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997585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1031875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2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54"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65405</wp:posOffset>
            </wp:positionV>
            <wp:extent cx="2297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7"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40005</wp:posOffset>
            </wp:positionV>
            <wp:extent cx="2297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99"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June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62230</wp:posOffset>
            </wp:positionV>
            <wp:extent cx="2297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49"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31750</wp:posOffset>
            </wp:positionV>
            <wp:extent cx="229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4"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001-39747</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0"/>
              </w:rPr>
              <w:t>82-1153150</w:t>
            </w:r>
          </w:p>
        </w:tc>
      </w:tr>
      <w:tr>
        <w:trPr>
          <w:trHeight w:val="203"/>
        </w:trPr>
        <w:tc>
          <w:tcPr>
            <w:tcW w:w="3020" w:type="dxa"/>
            <w:vAlign w:val="bottom"/>
          </w:tcPr>
          <w:p>
            <w:pPr>
              <w:jc w:val="center"/>
              <w:ind w:right="1148"/>
              <w:spacing w:after="0"/>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(Commission</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File Number)</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6"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30480</wp:posOffset>
            </wp:positionV>
            <wp:extent cx="229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75"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4"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43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4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r>
    </w:tbl>
    <w:p>
      <w:pPr>
        <w:spacing w:after="0" w:line="188" w:lineRule="exact"/>
        <w:rPr>
          <w:sz w:val="24"/>
          <w:szCs w:val="24"/>
          <w:color w:val="auto"/>
        </w:rPr>
      </w:pPr>
    </w:p>
    <w:p>
      <w:pPr>
        <w:ind w:left="634" w:right="100"/>
        <w:spacing w:after="0" w:line="298"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21" w:lineRule="exact"/>
        <w:rPr>
          <w:sz w:val="24"/>
          <w:szCs w:val="24"/>
          <w:color w:val="auto"/>
        </w:rPr>
      </w:pPr>
    </w:p>
    <w:p>
      <w:pPr>
        <w:ind w:left="634" w:right="160"/>
        <w:spacing w:after="0" w:line="17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1151255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15240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49530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 Amendments to Articles of Incorporation or Bylaws; Change in Fiscal Year.</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June 14, 2023, following the approval of the stockholders of Seer, Inc. (the “Company”) of Proposal One at the 2023 Annual Meeting of Stockholders (the “Annual Meeting”, as discussed below), the Company filed an amendment to the Company’s Amended and Restated Certificate of Incorporation (the “Amendment”) to phase out the classified structure of the Company’s Board of Directors (the “Board”). The foregoing description of the Amendment does not purport to be complete, and is qualified in its entirety by reference to the full text of the Amendment, which is filed as Exhibit 3.1 to this Current Report on Form 8-K and incorporated herein by reference.</w:t>
      </w:r>
    </w:p>
    <w:p>
      <w:pPr>
        <w:spacing w:after="0" w:line="21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June 15, 2023, the Board approved an amendment and restatement of the Company’s Amended and Restated Bylaws (the “A&amp;R Bylaws”) to align the Company’s bylaws with the Amendment, among other changes. The foregoing description of the A&amp;R Bylaws does not purport to be complete, and is qualified in its entirety by reference to the full text of the A&amp;R Bylaws, which are filed as Exhibit 3.2 to this Current Report on Form 8-K and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243"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On June 14, 2023, the Company held its 2023 Annual Meeting. Present at the meeting in person or by proxy were holders of the Company's Class A and Class B common stock, representing 81,512,301, or approximately 81.3%, of the 100,162,274 eligible votes, constituting a quorum for the transaction of business.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stockholders of the Company voted on the following items at the Meeting:</w:t>
      </w:r>
    </w:p>
    <w:p>
      <w:pPr>
        <w:spacing w:after="0" w:line="239" w:lineRule="exact"/>
        <w:rPr>
          <w:sz w:val="20"/>
          <w:szCs w:val="20"/>
          <w:color w:val="auto"/>
        </w:rPr>
      </w:pPr>
    </w:p>
    <w:p>
      <w:pPr>
        <w:ind w:left="66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adopt and approve an amendment to the Company’s Certificate of Incorporation to phase out the classified structure of the Company’s Board of Directors (the “Declassification Proposal”);</w:t>
      </w:r>
    </w:p>
    <w:p>
      <w:pPr>
        <w:ind w:left="660" w:right="30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the fiscal year ending December 31, 2023;</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conduct a non-binding advisory vote to approve the Company’s named executive officer compensation;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Omid Farokhzad, M.D., Meeta Gulyani, David Hallal and Terrance McGuire as directors.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One – Amendment to Certificate of Incorporation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voting results of the Declassification Proposal by the Company’s stockholders: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380" w:type="dxa"/>
            <w:vAlign w:val="bottom"/>
          </w:tcPr>
          <w:p>
            <w:pPr>
              <w:jc w:val="right"/>
              <w:ind w:right="650"/>
              <w:spacing w:after="0"/>
              <w:rPr>
                <w:sz w:val="20"/>
                <w:szCs w:val="20"/>
                <w:color w:val="auto"/>
              </w:rPr>
            </w:pPr>
            <w:r>
              <w:rPr>
                <w:rFonts w:ascii="Arial" w:cs="Arial" w:eastAsia="Arial" w:hAnsi="Arial"/>
                <w:sz w:val="18"/>
                <w:szCs w:val="18"/>
                <w:b w:val="1"/>
                <w:bCs w:val="1"/>
                <w:color w:val="auto"/>
              </w:rPr>
              <w:t>Abstentions</w:t>
            </w:r>
          </w:p>
        </w:tc>
        <w:tc>
          <w:tcPr>
            <w:tcW w:w="220" w:type="dxa"/>
            <w:vAlign w:val="bottom"/>
          </w:tcPr>
          <w:p>
            <w:pPr>
              <w:spacing w:after="0"/>
              <w:rPr>
                <w:sz w:val="20"/>
                <w:szCs w:val="20"/>
                <w:color w:val="auto"/>
              </w:rPr>
            </w:pPr>
          </w:p>
        </w:tc>
        <w:tc>
          <w:tcPr>
            <w:tcW w:w="2440" w:type="dxa"/>
            <w:vAlign w:val="bottom"/>
          </w:tcPr>
          <w:p>
            <w:pPr>
              <w:jc w:val="right"/>
              <w:ind w:right="45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6"/>
        </w:trPr>
        <w:tc>
          <w:tcPr>
            <w:tcW w:w="2480" w:type="dxa"/>
            <w:vAlign w:val="bottom"/>
            <w:shd w:val="clear" w:color="auto" w:fill="B6DDE8"/>
          </w:tcPr>
          <w:p>
            <w:pPr>
              <w:jc w:val="right"/>
              <w:ind w:right="730"/>
              <w:spacing w:after="0"/>
              <w:rPr>
                <w:sz w:val="20"/>
                <w:szCs w:val="20"/>
                <w:color w:val="auto"/>
              </w:rPr>
            </w:pPr>
            <w:r>
              <w:rPr>
                <w:rFonts w:ascii="Arial" w:cs="Arial" w:eastAsia="Arial" w:hAnsi="Arial"/>
                <w:sz w:val="18"/>
                <w:szCs w:val="18"/>
                <w:color w:val="auto"/>
              </w:rPr>
              <w:t>77,497,967</w:t>
            </w:r>
          </w:p>
        </w:tc>
        <w:tc>
          <w:tcPr>
            <w:tcW w:w="2840" w:type="dxa"/>
            <w:vAlign w:val="bottom"/>
            <w:gridSpan w:val="2"/>
            <w:shd w:val="clear" w:color="auto" w:fill="B6DDE8"/>
          </w:tcPr>
          <w:p>
            <w:pPr>
              <w:jc w:val="right"/>
              <w:ind w:right="1070"/>
              <w:spacing w:after="0"/>
              <w:rPr>
                <w:sz w:val="20"/>
                <w:szCs w:val="20"/>
                <w:color w:val="auto"/>
              </w:rPr>
            </w:pPr>
            <w:r>
              <w:rPr>
                <w:rFonts w:ascii="Arial" w:cs="Arial" w:eastAsia="Arial" w:hAnsi="Arial"/>
                <w:sz w:val="18"/>
                <w:szCs w:val="18"/>
                <w:color w:val="auto"/>
              </w:rPr>
              <w:t>5,866</w:t>
            </w:r>
          </w:p>
        </w:tc>
        <w:tc>
          <w:tcPr>
            <w:tcW w:w="2500" w:type="dxa"/>
            <w:vAlign w:val="bottom"/>
            <w:gridSpan w:val="2"/>
            <w:shd w:val="clear" w:color="auto" w:fill="B6DDE8"/>
          </w:tcPr>
          <w:p>
            <w:pPr>
              <w:jc w:val="right"/>
              <w:ind w:right="950"/>
              <w:spacing w:after="0"/>
              <w:rPr>
                <w:sz w:val="20"/>
                <w:szCs w:val="20"/>
                <w:color w:val="auto"/>
              </w:rPr>
            </w:pPr>
            <w:r>
              <w:rPr>
                <w:rFonts w:ascii="Arial" w:cs="Arial" w:eastAsia="Arial" w:hAnsi="Arial"/>
                <w:sz w:val="18"/>
                <w:szCs w:val="18"/>
                <w:color w:val="auto"/>
              </w:rPr>
              <w:t>4,140</w:t>
            </w:r>
          </w:p>
        </w:tc>
        <w:tc>
          <w:tcPr>
            <w:tcW w:w="2660" w:type="dxa"/>
            <w:vAlign w:val="bottom"/>
            <w:gridSpan w:val="2"/>
            <w:shd w:val="clear" w:color="auto" w:fill="B6DDE8"/>
          </w:tcPr>
          <w:p>
            <w:pPr>
              <w:jc w:val="right"/>
              <w:ind w:right="890"/>
              <w:spacing w:after="0"/>
              <w:rPr>
                <w:sz w:val="20"/>
                <w:szCs w:val="20"/>
                <w:color w:val="auto"/>
              </w:rPr>
            </w:pPr>
            <w:r>
              <w:rPr>
                <w:rFonts w:ascii="Arial" w:cs="Arial" w:eastAsia="Arial" w:hAnsi="Arial"/>
                <w:sz w:val="18"/>
                <w:szCs w:val="18"/>
                <w:color w:val="auto"/>
              </w:rPr>
              <w:t>4,004,328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Two – Ratification of Appointment of Independent Registered Public Accounting Firm</w:t>
      </w:r>
    </w:p>
    <w:p>
      <w:pPr>
        <w:spacing w:after="0" w:line="23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Company’s stockholders ratified the appointment of Deloitte &amp; Touche LLP as the Company’s independent registered public accounting firm for the fiscal year ending December 31, 2023 by the following votes: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4"/>
              </w:rPr>
              <w:t>Votes Against</w:t>
            </w:r>
          </w:p>
        </w:tc>
        <w:tc>
          <w:tcPr>
            <w:tcW w:w="100" w:type="dxa"/>
            <w:vAlign w:val="bottom"/>
          </w:tcPr>
          <w:p>
            <w:pPr>
              <w:spacing w:after="0"/>
              <w:rPr>
                <w:sz w:val="20"/>
                <w:szCs w:val="20"/>
                <w:color w:val="auto"/>
              </w:rPr>
            </w:pPr>
          </w:p>
        </w:tc>
        <w:tc>
          <w:tcPr>
            <w:tcW w:w="2420" w:type="dxa"/>
            <w:vAlign w:val="bottom"/>
          </w:tcPr>
          <w:p>
            <w:pPr>
              <w:jc w:val="right"/>
              <w:ind w:right="670"/>
              <w:spacing w:after="0"/>
              <w:rPr>
                <w:sz w:val="20"/>
                <w:szCs w:val="20"/>
                <w:color w:val="auto"/>
              </w:rPr>
            </w:pPr>
            <w:r>
              <w:rPr>
                <w:rFonts w:ascii="Arial" w:cs="Arial" w:eastAsia="Arial" w:hAnsi="Arial"/>
                <w:sz w:val="18"/>
                <w:szCs w:val="18"/>
                <w:b w:val="1"/>
                <w:bCs w:val="1"/>
                <w:color w:val="auto"/>
              </w:rPr>
              <w:t>Abstentions</w:t>
            </w:r>
          </w:p>
        </w:tc>
        <w:tc>
          <w:tcPr>
            <w:tcW w:w="200" w:type="dxa"/>
            <w:vAlign w:val="bottom"/>
          </w:tcPr>
          <w:p>
            <w:pPr>
              <w:spacing w:after="0"/>
              <w:rPr>
                <w:sz w:val="20"/>
                <w:szCs w:val="20"/>
                <w:color w:val="auto"/>
              </w:rPr>
            </w:pPr>
          </w:p>
        </w:tc>
        <w:tc>
          <w:tcPr>
            <w:tcW w:w="2420" w:type="dxa"/>
            <w:vAlign w:val="bottom"/>
          </w:tcPr>
          <w:p>
            <w:pPr>
              <w:ind w:left="52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B6DDE8"/>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3"/>
        </w:trPr>
        <w:tc>
          <w:tcPr>
            <w:tcW w:w="2500" w:type="dxa"/>
            <w:vAlign w:val="bottom"/>
            <w:shd w:val="clear" w:color="auto" w:fill="B6DDE8"/>
          </w:tcPr>
          <w:p>
            <w:pPr>
              <w:jc w:val="right"/>
              <w:ind w:right="750"/>
              <w:spacing w:after="0"/>
              <w:rPr>
                <w:sz w:val="20"/>
                <w:szCs w:val="20"/>
                <w:color w:val="auto"/>
              </w:rPr>
            </w:pPr>
            <w:r>
              <w:rPr>
                <w:rFonts w:ascii="Arial" w:cs="Arial" w:eastAsia="Arial" w:hAnsi="Arial"/>
                <w:sz w:val="18"/>
                <w:szCs w:val="18"/>
                <w:color w:val="auto"/>
              </w:rPr>
              <w:t>81,500,742</w:t>
            </w:r>
          </w:p>
        </w:tc>
        <w:tc>
          <w:tcPr>
            <w:tcW w:w="100" w:type="dxa"/>
            <w:vAlign w:val="bottom"/>
            <w:shd w:val="clear" w:color="auto" w:fill="B6DDE8"/>
          </w:tcPr>
          <w:p>
            <w:pPr>
              <w:spacing w:after="0"/>
              <w:rPr>
                <w:sz w:val="19"/>
                <w:szCs w:val="19"/>
                <w:color w:val="auto"/>
              </w:rPr>
            </w:pPr>
          </w:p>
        </w:tc>
        <w:tc>
          <w:tcPr>
            <w:tcW w:w="2740" w:type="dxa"/>
            <w:vAlign w:val="bottom"/>
            <w:shd w:val="clear" w:color="auto" w:fill="B6DDE8"/>
          </w:tcPr>
          <w:p>
            <w:pPr>
              <w:jc w:val="right"/>
              <w:ind w:right="1070"/>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B6DDE8"/>
          </w:tcPr>
          <w:p>
            <w:pPr>
              <w:spacing w:after="0"/>
              <w:rPr>
                <w:sz w:val="19"/>
                <w:szCs w:val="19"/>
                <w:color w:val="auto"/>
              </w:rPr>
            </w:pPr>
          </w:p>
        </w:tc>
        <w:tc>
          <w:tcPr>
            <w:tcW w:w="2420" w:type="dxa"/>
            <w:vAlign w:val="bottom"/>
            <w:shd w:val="clear" w:color="auto" w:fill="B6DDE8"/>
          </w:tcPr>
          <w:p>
            <w:pPr>
              <w:jc w:val="right"/>
              <w:ind w:right="970"/>
              <w:spacing w:after="0"/>
              <w:rPr>
                <w:sz w:val="20"/>
                <w:szCs w:val="20"/>
                <w:color w:val="auto"/>
              </w:rPr>
            </w:pPr>
            <w:r>
              <w:rPr>
                <w:rFonts w:ascii="Arial" w:cs="Arial" w:eastAsia="Arial" w:hAnsi="Arial"/>
                <w:sz w:val="18"/>
                <w:szCs w:val="18"/>
                <w:color w:val="auto"/>
              </w:rPr>
              <w:t>5,407</w:t>
            </w:r>
          </w:p>
        </w:tc>
        <w:tc>
          <w:tcPr>
            <w:tcW w:w="200" w:type="dxa"/>
            <w:vAlign w:val="bottom"/>
            <w:shd w:val="clear" w:color="auto" w:fill="B6DDE8"/>
          </w:tcPr>
          <w:p>
            <w:pPr>
              <w:spacing w:after="0"/>
              <w:rPr>
                <w:sz w:val="19"/>
                <w:szCs w:val="19"/>
                <w:color w:val="auto"/>
              </w:rPr>
            </w:pPr>
          </w:p>
        </w:tc>
        <w:tc>
          <w:tcPr>
            <w:tcW w:w="2420" w:type="dxa"/>
            <w:vAlign w:val="bottom"/>
            <w:shd w:val="clear" w:color="auto" w:fill="B6DDE8"/>
          </w:tcPr>
          <w:p>
            <w:pPr>
              <w:ind w:left="100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Three – Non-binding Advisory Vote to Approve Named Executive Officer Compensation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stockholders elected to approve, on a non-binding advisory basis, the compensation of the Company’s named executive officers.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2400" w:type="dxa"/>
            <w:vAlign w:val="bottom"/>
          </w:tcPr>
          <w:p>
            <w:pPr>
              <w:jc w:val="right"/>
              <w:ind w:right="650"/>
              <w:spacing w:after="0"/>
              <w:rPr>
                <w:sz w:val="20"/>
                <w:szCs w:val="20"/>
                <w:color w:val="auto"/>
              </w:rPr>
            </w:pPr>
            <w:r>
              <w:rPr>
                <w:rFonts w:ascii="Arial" w:cs="Arial" w:eastAsia="Arial" w:hAnsi="Arial"/>
                <w:sz w:val="18"/>
                <w:szCs w:val="18"/>
                <w:b w:val="1"/>
                <w:bCs w:val="1"/>
                <w:color w:val="auto"/>
              </w:rPr>
              <w:t>Abstentions</w:t>
            </w:r>
          </w:p>
        </w:tc>
        <w:tc>
          <w:tcPr>
            <w:tcW w:w="200" w:type="dxa"/>
            <w:vAlign w:val="bottom"/>
          </w:tcPr>
          <w:p>
            <w:pPr>
              <w:spacing w:after="0"/>
              <w:rPr>
                <w:sz w:val="20"/>
                <w:szCs w:val="20"/>
                <w:color w:val="auto"/>
              </w:rPr>
            </w:pPr>
          </w:p>
        </w:tc>
        <w:tc>
          <w:tcPr>
            <w:tcW w:w="2440" w:type="dxa"/>
            <w:vAlign w:val="bottom"/>
          </w:tcPr>
          <w:p>
            <w:pPr>
              <w:jc w:val="right"/>
              <w:ind w:right="45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00" w:type="dxa"/>
            <w:vAlign w:val="bottom"/>
            <w:tcBorders>
              <w:bottom w:val="single" w:sz="8" w:color="B6DDE8"/>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2480" w:type="dxa"/>
            <w:vAlign w:val="bottom"/>
            <w:shd w:val="clear" w:color="auto" w:fill="B6DDE8"/>
          </w:tcPr>
          <w:p>
            <w:pPr>
              <w:jc w:val="right"/>
              <w:ind w:right="750"/>
              <w:spacing w:after="0"/>
              <w:rPr>
                <w:sz w:val="20"/>
                <w:szCs w:val="20"/>
                <w:color w:val="auto"/>
              </w:rPr>
            </w:pPr>
            <w:r>
              <w:rPr>
                <w:rFonts w:ascii="Arial" w:cs="Arial" w:eastAsia="Arial" w:hAnsi="Arial"/>
                <w:sz w:val="18"/>
                <w:szCs w:val="18"/>
                <w:color w:val="auto"/>
              </w:rPr>
              <w:t>60,841,553</w:t>
            </w:r>
          </w:p>
        </w:tc>
        <w:tc>
          <w:tcPr>
            <w:tcW w:w="100" w:type="dxa"/>
            <w:vAlign w:val="bottom"/>
            <w:shd w:val="clear" w:color="auto" w:fill="B6DDE8"/>
          </w:tcPr>
          <w:p>
            <w:pPr>
              <w:spacing w:after="0"/>
              <w:rPr>
                <w:sz w:val="19"/>
                <w:szCs w:val="19"/>
                <w:color w:val="auto"/>
              </w:rPr>
            </w:pPr>
          </w:p>
        </w:tc>
        <w:tc>
          <w:tcPr>
            <w:tcW w:w="2760" w:type="dxa"/>
            <w:vAlign w:val="bottom"/>
            <w:shd w:val="clear" w:color="auto" w:fill="B6DDE8"/>
          </w:tcPr>
          <w:p>
            <w:pPr>
              <w:jc w:val="right"/>
              <w:ind w:right="890"/>
              <w:spacing w:after="0"/>
              <w:rPr>
                <w:sz w:val="20"/>
                <w:szCs w:val="20"/>
                <w:color w:val="auto"/>
              </w:rPr>
            </w:pPr>
            <w:r>
              <w:rPr>
                <w:rFonts w:ascii="Arial" w:cs="Arial" w:eastAsia="Arial" w:hAnsi="Arial"/>
                <w:sz w:val="18"/>
                <w:szCs w:val="18"/>
                <w:color w:val="auto"/>
              </w:rPr>
              <w:t>12,258,019</w:t>
            </w:r>
          </w:p>
        </w:tc>
        <w:tc>
          <w:tcPr>
            <w:tcW w:w="100" w:type="dxa"/>
            <w:vAlign w:val="bottom"/>
            <w:shd w:val="clear" w:color="auto" w:fill="B6DDE8"/>
          </w:tcPr>
          <w:p>
            <w:pPr>
              <w:spacing w:after="0"/>
              <w:rPr>
                <w:sz w:val="19"/>
                <w:szCs w:val="19"/>
                <w:color w:val="auto"/>
              </w:rPr>
            </w:pPr>
          </w:p>
        </w:tc>
        <w:tc>
          <w:tcPr>
            <w:tcW w:w="2400" w:type="dxa"/>
            <w:vAlign w:val="bottom"/>
            <w:shd w:val="clear" w:color="auto" w:fill="B6DDE8"/>
          </w:tcPr>
          <w:p>
            <w:pPr>
              <w:jc w:val="right"/>
              <w:ind w:right="810"/>
              <w:spacing w:after="0"/>
              <w:rPr>
                <w:sz w:val="20"/>
                <w:szCs w:val="20"/>
                <w:color w:val="auto"/>
              </w:rPr>
            </w:pPr>
            <w:r>
              <w:rPr>
                <w:rFonts w:ascii="Arial" w:cs="Arial" w:eastAsia="Arial" w:hAnsi="Arial"/>
                <w:sz w:val="18"/>
                <w:szCs w:val="18"/>
                <w:color w:val="auto"/>
              </w:rPr>
              <w:t>4,408,401</w:t>
            </w:r>
          </w:p>
        </w:tc>
        <w:tc>
          <w:tcPr>
            <w:tcW w:w="200" w:type="dxa"/>
            <w:vAlign w:val="bottom"/>
            <w:shd w:val="clear" w:color="auto" w:fill="B6DDE8"/>
          </w:tcPr>
          <w:p>
            <w:pPr>
              <w:spacing w:after="0"/>
              <w:rPr>
                <w:sz w:val="19"/>
                <w:szCs w:val="19"/>
                <w:color w:val="auto"/>
              </w:rPr>
            </w:pPr>
          </w:p>
        </w:tc>
        <w:tc>
          <w:tcPr>
            <w:tcW w:w="2440" w:type="dxa"/>
            <w:vAlign w:val="bottom"/>
            <w:shd w:val="clear" w:color="auto" w:fill="B6DDE8"/>
          </w:tcPr>
          <w:p>
            <w:pPr>
              <w:jc w:val="right"/>
              <w:ind w:right="890"/>
              <w:spacing w:after="0"/>
              <w:rPr>
                <w:sz w:val="20"/>
                <w:szCs w:val="20"/>
                <w:color w:val="auto"/>
              </w:rPr>
            </w:pPr>
            <w:r>
              <w:rPr>
                <w:rFonts w:ascii="Arial" w:cs="Arial" w:eastAsia="Arial" w:hAnsi="Arial"/>
                <w:sz w:val="18"/>
                <w:szCs w:val="18"/>
                <w:color w:val="auto"/>
              </w:rPr>
              <w:t>4,004,328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Four – Election of Directors</w:t>
      </w:r>
    </w:p>
    <w:p>
      <w:pPr>
        <w:spacing w:after="0" w:line="23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table below presents the voting results of the election of the four directors to the Company’s Board of Directors to serve until the 2024 annual meeting of stockholders by the Company’s stockholders: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ind w:left="660"/>
              <w:spacing w:after="0"/>
              <w:rPr>
                <w:sz w:val="20"/>
                <w:szCs w:val="20"/>
                <w:color w:val="auto"/>
              </w:rPr>
            </w:pPr>
            <w:r>
              <w:rPr>
                <w:rFonts w:ascii="Arial" w:cs="Arial" w:eastAsia="Arial" w:hAnsi="Arial"/>
                <w:sz w:val="18"/>
                <w:szCs w:val="18"/>
                <w:b w:val="1"/>
                <w:bCs w:val="1"/>
                <w:color w:val="auto"/>
              </w:rPr>
              <w:t>Nominee</w:t>
            </w:r>
          </w:p>
        </w:tc>
        <w:tc>
          <w:tcPr>
            <w:tcW w:w="104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b w:val="1"/>
                <w:bCs w:val="1"/>
                <w:color w:val="auto"/>
              </w:rPr>
              <w:t>Votes For</w:t>
            </w:r>
          </w:p>
        </w:tc>
        <w:tc>
          <w:tcPr>
            <w:tcW w:w="120" w:type="dxa"/>
            <w:vAlign w:val="bottom"/>
          </w:tcPr>
          <w:p>
            <w:pPr>
              <w:spacing w:after="0"/>
              <w:rPr>
                <w:sz w:val="20"/>
                <w:szCs w:val="20"/>
                <w:color w:val="auto"/>
              </w:rPr>
            </w:pPr>
          </w:p>
        </w:tc>
        <w:tc>
          <w:tcPr>
            <w:tcW w:w="2420" w:type="dxa"/>
            <w:vAlign w:val="bottom"/>
            <w:gridSpan w:val="3"/>
          </w:tcPr>
          <w:p>
            <w:pPr>
              <w:ind w:left="380"/>
              <w:spacing w:after="0"/>
              <w:rPr>
                <w:sz w:val="20"/>
                <w:szCs w:val="20"/>
                <w:color w:val="auto"/>
              </w:rPr>
            </w:pPr>
            <w:r>
              <w:rPr>
                <w:rFonts w:ascii="Arial" w:cs="Arial" w:eastAsia="Arial" w:hAnsi="Arial"/>
                <w:sz w:val="18"/>
                <w:szCs w:val="18"/>
                <w:b w:val="1"/>
                <w:bCs w:val="1"/>
                <w:color w:val="auto"/>
              </w:rPr>
              <w:t>Votes Withheld</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w w:val="86"/>
              </w:rPr>
              <w:t>Percent of Voted</w:t>
            </w: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Broker Non-Votes</w:t>
            </w:r>
          </w:p>
        </w:tc>
        <w:tc>
          <w:tcPr>
            <w:tcW w:w="680" w:type="dxa"/>
            <w:vAlign w:val="bottom"/>
          </w:tcPr>
          <w:p>
            <w:pPr>
              <w:spacing w:after="0"/>
              <w:rPr>
                <w:sz w:val="20"/>
                <w:szCs w:val="20"/>
                <w:color w:val="auto"/>
              </w:rPr>
            </w:pPr>
          </w:p>
        </w:tc>
      </w:tr>
      <w:tr>
        <w:trPr>
          <w:trHeight w:val="27"/>
        </w:trPr>
        <w:tc>
          <w:tcPr>
            <w:tcW w:w="258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B6DDE8"/>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B6DD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580" w:type="dxa"/>
            <w:vAlign w:val="bottom"/>
            <w:gridSpan w:val="2"/>
            <w:shd w:val="clear" w:color="auto" w:fill="B6DDE8"/>
          </w:tcPr>
          <w:p>
            <w:pPr>
              <w:ind w:left="180"/>
              <w:spacing w:after="0"/>
              <w:rPr>
                <w:sz w:val="20"/>
                <w:szCs w:val="20"/>
                <w:color w:val="auto"/>
              </w:rPr>
            </w:pPr>
            <w:r>
              <w:rPr>
                <w:rFonts w:ascii="Arial" w:cs="Arial" w:eastAsia="Arial" w:hAnsi="Arial"/>
                <w:sz w:val="18"/>
                <w:szCs w:val="18"/>
                <w:color w:val="auto"/>
              </w:rPr>
              <w:t>Omid Farokhzad, M.D.</w:t>
            </w:r>
          </w:p>
        </w:tc>
        <w:tc>
          <w:tcPr>
            <w:tcW w:w="2040" w:type="dxa"/>
            <w:vAlign w:val="bottom"/>
            <w:shd w:val="clear" w:color="auto" w:fill="B6DDE8"/>
          </w:tcPr>
          <w:p>
            <w:pPr>
              <w:jc w:val="right"/>
              <w:ind w:right="70"/>
              <w:spacing w:after="0"/>
              <w:rPr>
                <w:sz w:val="20"/>
                <w:szCs w:val="20"/>
                <w:color w:val="auto"/>
              </w:rPr>
            </w:pPr>
            <w:r>
              <w:rPr>
                <w:rFonts w:ascii="Arial" w:cs="Arial" w:eastAsia="Arial" w:hAnsi="Arial"/>
                <w:sz w:val="18"/>
                <w:szCs w:val="18"/>
                <w:color w:val="auto"/>
              </w:rPr>
              <w:t>70,123,224</w:t>
            </w:r>
          </w:p>
        </w:tc>
        <w:tc>
          <w:tcPr>
            <w:tcW w:w="2060" w:type="dxa"/>
            <w:vAlign w:val="bottom"/>
            <w:gridSpan w:val="2"/>
            <w:shd w:val="clear" w:color="auto" w:fill="B6DDE8"/>
          </w:tcPr>
          <w:p>
            <w:pPr>
              <w:jc w:val="right"/>
              <w:ind w:right="90"/>
              <w:spacing w:after="0"/>
              <w:rPr>
                <w:sz w:val="20"/>
                <w:szCs w:val="20"/>
                <w:color w:val="auto"/>
              </w:rPr>
            </w:pPr>
            <w:r>
              <w:rPr>
                <w:rFonts w:ascii="Arial" w:cs="Arial" w:eastAsia="Arial" w:hAnsi="Arial"/>
                <w:sz w:val="18"/>
                <w:szCs w:val="18"/>
                <w:color w:val="auto"/>
              </w:rPr>
              <w:t>7,384,749</w:t>
            </w:r>
          </w:p>
        </w:tc>
        <w:tc>
          <w:tcPr>
            <w:tcW w:w="220" w:type="dxa"/>
            <w:vAlign w:val="bottom"/>
            <w:shd w:val="clear" w:color="auto" w:fill="B6DDE8"/>
          </w:tcPr>
          <w:p>
            <w:pPr>
              <w:spacing w:after="0"/>
              <w:rPr>
                <w:sz w:val="21"/>
                <w:szCs w:val="21"/>
                <w:color w:val="auto"/>
              </w:rPr>
            </w:pPr>
          </w:p>
        </w:tc>
        <w:tc>
          <w:tcPr>
            <w:tcW w:w="260" w:type="dxa"/>
            <w:vAlign w:val="bottom"/>
            <w:shd w:val="clear" w:color="auto" w:fill="B6DDE8"/>
          </w:tcPr>
          <w:p>
            <w:pPr>
              <w:spacing w:after="0"/>
              <w:rPr>
                <w:sz w:val="21"/>
                <w:szCs w:val="21"/>
                <w:color w:val="auto"/>
              </w:rPr>
            </w:pPr>
          </w:p>
        </w:tc>
        <w:tc>
          <w:tcPr>
            <w:tcW w:w="1540" w:type="dxa"/>
            <w:vAlign w:val="bottom"/>
            <w:shd w:val="clear" w:color="auto" w:fill="B6DDE8"/>
          </w:tcPr>
          <w:p>
            <w:pPr>
              <w:jc w:val="right"/>
              <w:ind w:right="130"/>
              <w:spacing w:after="0"/>
              <w:rPr>
                <w:sz w:val="20"/>
                <w:szCs w:val="20"/>
                <w:color w:val="auto"/>
              </w:rPr>
            </w:pPr>
            <w:r>
              <w:rPr>
                <w:rFonts w:ascii="Arial" w:cs="Arial" w:eastAsia="Arial" w:hAnsi="Arial"/>
                <w:sz w:val="18"/>
                <w:szCs w:val="18"/>
                <w:color w:val="auto"/>
              </w:rPr>
              <w:t>90.5 %</w:t>
            </w:r>
          </w:p>
        </w:tc>
        <w:tc>
          <w:tcPr>
            <w:tcW w:w="1860" w:type="dxa"/>
            <w:vAlign w:val="bottom"/>
            <w:shd w:val="clear" w:color="auto" w:fill="B6DDE8"/>
          </w:tcPr>
          <w:p>
            <w:pPr>
              <w:jc w:val="right"/>
              <w:spacing w:after="0"/>
              <w:rPr>
                <w:sz w:val="20"/>
                <w:szCs w:val="20"/>
                <w:color w:val="auto"/>
              </w:rPr>
            </w:pPr>
            <w:r>
              <w:rPr>
                <w:rFonts w:ascii="Arial" w:cs="Arial" w:eastAsia="Arial" w:hAnsi="Arial"/>
                <w:sz w:val="18"/>
                <w:szCs w:val="18"/>
                <w:color w:val="auto"/>
              </w:rPr>
              <w:t>4,004,328</w:t>
            </w:r>
          </w:p>
        </w:tc>
        <w:tc>
          <w:tcPr>
            <w:tcW w:w="680" w:type="dxa"/>
            <w:vAlign w:val="bottom"/>
          </w:tcPr>
          <w:p>
            <w:pPr>
              <w:spacing w:after="0"/>
              <w:rPr>
                <w:sz w:val="21"/>
                <w:szCs w:val="21"/>
                <w:color w:val="auto"/>
              </w:rPr>
            </w:pPr>
          </w:p>
        </w:tc>
      </w:tr>
      <w:tr>
        <w:trPr>
          <w:trHeight w:val="243"/>
        </w:trPr>
        <w:tc>
          <w:tcPr>
            <w:tcW w:w="1540" w:type="dxa"/>
            <w:vAlign w:val="bottom"/>
          </w:tcPr>
          <w:p>
            <w:pPr>
              <w:ind w:left="180"/>
              <w:spacing w:after="0"/>
              <w:rPr>
                <w:sz w:val="20"/>
                <w:szCs w:val="20"/>
                <w:color w:val="auto"/>
              </w:rPr>
            </w:pPr>
            <w:r>
              <w:rPr>
                <w:rFonts w:ascii="Arial" w:cs="Arial" w:eastAsia="Arial" w:hAnsi="Arial"/>
                <w:sz w:val="18"/>
                <w:szCs w:val="18"/>
                <w:color w:val="auto"/>
              </w:rPr>
              <w:t>Meeta Gulyani</w:t>
            </w:r>
          </w:p>
        </w:tc>
        <w:tc>
          <w:tcPr>
            <w:tcW w:w="104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70,122,337</w:t>
            </w:r>
          </w:p>
        </w:tc>
        <w:tc>
          <w:tcPr>
            <w:tcW w:w="2060" w:type="dxa"/>
            <w:vAlign w:val="bottom"/>
            <w:gridSpan w:val="2"/>
          </w:tcPr>
          <w:p>
            <w:pPr>
              <w:jc w:val="right"/>
              <w:ind w:right="90"/>
              <w:spacing w:after="0"/>
              <w:rPr>
                <w:sz w:val="20"/>
                <w:szCs w:val="20"/>
                <w:color w:val="auto"/>
              </w:rPr>
            </w:pPr>
            <w:r>
              <w:rPr>
                <w:rFonts w:ascii="Arial" w:cs="Arial" w:eastAsia="Arial" w:hAnsi="Arial"/>
                <w:sz w:val="18"/>
                <w:szCs w:val="18"/>
                <w:color w:val="auto"/>
              </w:rPr>
              <w:t>7,385,636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90.5 %</w:t>
            </w:r>
          </w:p>
        </w:tc>
        <w:tc>
          <w:tcPr>
            <w:tcW w:w="1860" w:type="dxa"/>
            <w:vAlign w:val="bottom"/>
          </w:tcPr>
          <w:p>
            <w:pPr>
              <w:jc w:val="right"/>
              <w:spacing w:after="0"/>
              <w:rPr>
                <w:sz w:val="20"/>
                <w:szCs w:val="20"/>
                <w:color w:val="auto"/>
              </w:rPr>
            </w:pPr>
            <w:r>
              <w:rPr>
                <w:rFonts w:ascii="Arial" w:cs="Arial" w:eastAsia="Arial" w:hAnsi="Arial"/>
                <w:sz w:val="18"/>
                <w:szCs w:val="18"/>
                <w:color w:val="auto"/>
              </w:rPr>
              <w:t>4,004,328</w:t>
            </w:r>
          </w:p>
        </w:tc>
        <w:tc>
          <w:tcPr>
            <w:tcW w:w="680" w:type="dxa"/>
            <w:vAlign w:val="bottom"/>
          </w:tcPr>
          <w:p>
            <w:pPr>
              <w:spacing w:after="0"/>
              <w:rPr>
                <w:sz w:val="21"/>
                <w:szCs w:val="21"/>
                <w:color w:val="auto"/>
              </w:rPr>
            </w:pPr>
          </w:p>
        </w:tc>
      </w:tr>
      <w:tr>
        <w:trPr>
          <w:trHeight w:val="257"/>
        </w:trPr>
        <w:tc>
          <w:tcPr>
            <w:tcW w:w="1540" w:type="dxa"/>
            <w:vAlign w:val="bottom"/>
            <w:shd w:val="clear" w:color="auto" w:fill="B6DDE8"/>
          </w:tcPr>
          <w:p>
            <w:pPr>
              <w:ind w:left="180"/>
              <w:spacing w:after="0"/>
              <w:rPr>
                <w:sz w:val="20"/>
                <w:szCs w:val="20"/>
                <w:color w:val="auto"/>
              </w:rPr>
            </w:pPr>
            <w:r>
              <w:rPr>
                <w:rFonts w:ascii="Arial" w:cs="Arial" w:eastAsia="Arial" w:hAnsi="Arial"/>
                <w:sz w:val="18"/>
                <w:szCs w:val="18"/>
                <w:color w:val="auto"/>
              </w:rPr>
              <w:t>David Hallal</w:t>
            </w:r>
          </w:p>
        </w:tc>
        <w:tc>
          <w:tcPr>
            <w:tcW w:w="1040" w:type="dxa"/>
            <w:vAlign w:val="bottom"/>
            <w:shd w:val="clear" w:color="auto" w:fill="B6DDE8"/>
          </w:tcPr>
          <w:p>
            <w:pPr>
              <w:spacing w:after="0"/>
              <w:rPr>
                <w:sz w:val="22"/>
                <w:szCs w:val="22"/>
                <w:color w:val="auto"/>
              </w:rPr>
            </w:pPr>
          </w:p>
        </w:tc>
        <w:tc>
          <w:tcPr>
            <w:tcW w:w="2040" w:type="dxa"/>
            <w:vAlign w:val="bottom"/>
            <w:shd w:val="clear" w:color="auto" w:fill="B6DDE8"/>
          </w:tcPr>
          <w:p>
            <w:pPr>
              <w:jc w:val="right"/>
              <w:ind w:right="70"/>
              <w:spacing w:after="0"/>
              <w:rPr>
                <w:sz w:val="20"/>
                <w:szCs w:val="20"/>
                <w:color w:val="auto"/>
              </w:rPr>
            </w:pPr>
            <w:r>
              <w:rPr>
                <w:rFonts w:ascii="Arial" w:cs="Arial" w:eastAsia="Arial" w:hAnsi="Arial"/>
                <w:sz w:val="18"/>
                <w:szCs w:val="18"/>
                <w:color w:val="auto"/>
              </w:rPr>
              <w:t>54,309,805</w:t>
            </w:r>
          </w:p>
        </w:tc>
        <w:tc>
          <w:tcPr>
            <w:tcW w:w="2060" w:type="dxa"/>
            <w:vAlign w:val="bottom"/>
            <w:gridSpan w:val="2"/>
            <w:shd w:val="clear" w:color="auto" w:fill="B6DDE8"/>
          </w:tcPr>
          <w:p>
            <w:pPr>
              <w:jc w:val="right"/>
              <w:ind w:right="90"/>
              <w:spacing w:after="0"/>
              <w:rPr>
                <w:sz w:val="20"/>
                <w:szCs w:val="20"/>
                <w:color w:val="auto"/>
              </w:rPr>
            </w:pPr>
            <w:r>
              <w:rPr>
                <w:rFonts w:ascii="Arial" w:cs="Arial" w:eastAsia="Arial" w:hAnsi="Arial"/>
                <w:sz w:val="18"/>
                <w:szCs w:val="18"/>
                <w:color w:val="auto"/>
              </w:rPr>
              <w:t>23,198,168</w:t>
            </w:r>
          </w:p>
        </w:tc>
        <w:tc>
          <w:tcPr>
            <w:tcW w:w="220" w:type="dxa"/>
            <w:vAlign w:val="bottom"/>
            <w:shd w:val="clear" w:color="auto" w:fill="B6DDE8"/>
          </w:tcPr>
          <w:p>
            <w:pPr>
              <w:spacing w:after="0"/>
              <w:rPr>
                <w:sz w:val="22"/>
                <w:szCs w:val="22"/>
                <w:color w:val="auto"/>
              </w:rPr>
            </w:pPr>
          </w:p>
        </w:tc>
        <w:tc>
          <w:tcPr>
            <w:tcW w:w="260" w:type="dxa"/>
            <w:vAlign w:val="bottom"/>
            <w:shd w:val="clear" w:color="auto" w:fill="B6DDE8"/>
          </w:tcPr>
          <w:p>
            <w:pPr>
              <w:spacing w:after="0"/>
              <w:rPr>
                <w:sz w:val="22"/>
                <w:szCs w:val="22"/>
                <w:color w:val="auto"/>
              </w:rPr>
            </w:pPr>
          </w:p>
        </w:tc>
        <w:tc>
          <w:tcPr>
            <w:tcW w:w="1540" w:type="dxa"/>
            <w:vAlign w:val="bottom"/>
            <w:shd w:val="clear" w:color="auto" w:fill="B6DDE8"/>
          </w:tcPr>
          <w:p>
            <w:pPr>
              <w:jc w:val="right"/>
              <w:ind w:right="130"/>
              <w:spacing w:after="0"/>
              <w:rPr>
                <w:sz w:val="20"/>
                <w:szCs w:val="20"/>
                <w:color w:val="auto"/>
              </w:rPr>
            </w:pPr>
            <w:r>
              <w:rPr>
                <w:rFonts w:ascii="Arial" w:cs="Arial" w:eastAsia="Arial" w:hAnsi="Arial"/>
                <w:sz w:val="18"/>
                <w:szCs w:val="18"/>
                <w:color w:val="auto"/>
              </w:rPr>
              <w:t>70.1 %</w:t>
            </w:r>
          </w:p>
        </w:tc>
        <w:tc>
          <w:tcPr>
            <w:tcW w:w="1860" w:type="dxa"/>
            <w:vAlign w:val="bottom"/>
            <w:shd w:val="clear" w:color="auto" w:fill="B6DDE8"/>
          </w:tcPr>
          <w:p>
            <w:pPr>
              <w:jc w:val="right"/>
              <w:spacing w:after="0"/>
              <w:rPr>
                <w:sz w:val="20"/>
                <w:szCs w:val="20"/>
                <w:color w:val="auto"/>
              </w:rPr>
            </w:pPr>
            <w:r>
              <w:rPr>
                <w:rFonts w:ascii="Arial" w:cs="Arial" w:eastAsia="Arial" w:hAnsi="Arial"/>
                <w:sz w:val="18"/>
                <w:szCs w:val="18"/>
                <w:color w:val="auto"/>
              </w:rPr>
              <w:t>4,004,328</w:t>
            </w:r>
          </w:p>
        </w:tc>
        <w:tc>
          <w:tcPr>
            <w:tcW w:w="680" w:type="dxa"/>
            <w:vAlign w:val="bottom"/>
          </w:tcPr>
          <w:p>
            <w:pPr>
              <w:spacing w:after="0"/>
              <w:rPr>
                <w:sz w:val="22"/>
                <w:szCs w:val="22"/>
                <w:color w:val="auto"/>
              </w:rPr>
            </w:pPr>
          </w:p>
        </w:tc>
      </w:tr>
      <w:tr>
        <w:trPr>
          <w:trHeight w:val="257"/>
        </w:trPr>
        <w:tc>
          <w:tcPr>
            <w:tcW w:w="1540" w:type="dxa"/>
            <w:vAlign w:val="bottom"/>
          </w:tcPr>
          <w:p>
            <w:pPr>
              <w:ind w:left="180"/>
              <w:spacing w:after="0"/>
              <w:rPr>
                <w:sz w:val="20"/>
                <w:szCs w:val="20"/>
                <w:color w:val="auto"/>
              </w:rPr>
            </w:pPr>
            <w:r>
              <w:rPr>
                <w:rFonts w:ascii="Arial" w:cs="Arial" w:eastAsia="Arial" w:hAnsi="Arial"/>
                <w:sz w:val="18"/>
                <w:szCs w:val="18"/>
                <w:color w:val="auto"/>
                <w:w w:val="92"/>
              </w:rPr>
              <w:t>Terrance McGuire</w:t>
            </w:r>
          </w:p>
        </w:tc>
        <w:tc>
          <w:tcPr>
            <w:tcW w:w="1040" w:type="dxa"/>
            <w:vAlign w:val="bottom"/>
          </w:tcPr>
          <w:p>
            <w:pPr>
              <w:spacing w:after="0"/>
              <w:rPr>
                <w:sz w:val="22"/>
                <w:szCs w:val="22"/>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56,342,550</w:t>
            </w:r>
          </w:p>
        </w:tc>
        <w:tc>
          <w:tcPr>
            <w:tcW w:w="2060" w:type="dxa"/>
            <w:vAlign w:val="bottom"/>
            <w:gridSpan w:val="2"/>
          </w:tcPr>
          <w:p>
            <w:pPr>
              <w:jc w:val="right"/>
              <w:ind w:right="90"/>
              <w:spacing w:after="0"/>
              <w:rPr>
                <w:sz w:val="20"/>
                <w:szCs w:val="20"/>
                <w:color w:val="auto"/>
              </w:rPr>
            </w:pPr>
            <w:r>
              <w:rPr>
                <w:rFonts w:ascii="Arial" w:cs="Arial" w:eastAsia="Arial" w:hAnsi="Arial"/>
                <w:sz w:val="18"/>
                <w:szCs w:val="18"/>
                <w:color w:val="auto"/>
              </w:rPr>
              <w:t>21,165,423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72.7 %</w:t>
            </w:r>
          </w:p>
        </w:tc>
        <w:tc>
          <w:tcPr>
            <w:tcW w:w="1860" w:type="dxa"/>
            <w:vAlign w:val="bottom"/>
          </w:tcPr>
          <w:p>
            <w:pPr>
              <w:jc w:val="right"/>
              <w:spacing w:after="0"/>
              <w:rPr>
                <w:sz w:val="20"/>
                <w:szCs w:val="20"/>
                <w:color w:val="auto"/>
              </w:rPr>
            </w:pPr>
            <w:r>
              <w:rPr>
                <w:rFonts w:ascii="Arial" w:cs="Arial" w:eastAsia="Arial" w:hAnsi="Arial"/>
                <w:sz w:val="18"/>
                <w:szCs w:val="18"/>
                <w:color w:val="auto"/>
              </w:rPr>
              <w:t>4,004,328</w:t>
            </w:r>
          </w:p>
        </w:tc>
        <w:tc>
          <w:tcPr>
            <w:tcW w:w="680" w:type="dxa"/>
            <w:vAlign w:val="bottom"/>
          </w:tcPr>
          <w:p>
            <w:pPr>
              <w:spacing w:after="0"/>
              <w:rPr>
                <w:sz w:val="22"/>
                <w:szCs w:val="22"/>
                <w:color w:val="auto"/>
              </w:rPr>
            </w:pPr>
          </w:p>
        </w:tc>
      </w:tr>
      <w:tr>
        <w:trPr>
          <w:trHeight w:val="608"/>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30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0"/>
              </w:rPr>
              <w:t>Financial Statements and Exhibits</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01"/>
        </w:trPr>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Exhibit No.</w:t>
            </w:r>
          </w:p>
        </w:tc>
        <w:tc>
          <w:tcPr>
            <w:tcW w:w="10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b w:val="1"/>
                <w:bCs w:val="1"/>
                <w:color w:val="auto"/>
                <w:w w:val="88"/>
              </w:rPr>
              <w:t>Description</w:t>
            </w:r>
          </w:p>
        </w:tc>
        <w:tc>
          <w:tcPr>
            <w:tcW w:w="1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pacing w:after="0" w:line="2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0000FF"/>
        </w:rPr>
        <w:t>3.1</w:t>
      </w:r>
      <w:r>
        <w:rPr>
          <w:sz w:val="20"/>
          <w:szCs w:val="20"/>
          <w:color w:val="auto"/>
        </w:rPr>
        <w:tab/>
      </w:r>
      <w:r>
        <w:rPr>
          <w:rFonts w:ascii="Arial" w:cs="Arial" w:eastAsia="Arial" w:hAnsi="Arial"/>
          <w:sz w:val="16"/>
          <w:szCs w:val="16"/>
          <w:color w:val="auto"/>
        </w:rPr>
        <w:t>Amendment to the Amended and Restatement Certificate of Incorporation of the Company</w:t>
      </w:r>
    </w:p>
    <w:p>
      <w:pPr>
        <w:spacing w:after="0" w:line="1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0000FF"/>
        </w:rPr>
        <w:t>3.2</w:t>
      </w:r>
      <w:r>
        <w:rPr>
          <w:sz w:val="20"/>
          <w:szCs w:val="20"/>
          <w:color w:val="auto"/>
        </w:rPr>
        <w:tab/>
      </w:r>
      <w:r>
        <w:rPr>
          <w:rFonts w:ascii="Arial" w:cs="Arial" w:eastAsia="Arial" w:hAnsi="Arial"/>
          <w:sz w:val="16"/>
          <w:szCs w:val="16"/>
          <w:color w:val="auto"/>
        </w:rPr>
        <w:t>Amended and Restated Bylaws of the Company</w:t>
      </w:r>
    </w:p>
    <w:p>
      <w:pPr>
        <w:spacing w:after="0" w:line="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from this Current Report on Form 8-K, formatted in Inline XBRL.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SEER, INC.</w:t>
      </w:r>
    </w:p>
    <w:p>
      <w:pPr>
        <w:spacing w:after="0" w:line="297" w:lineRule="exact"/>
        <w:rPr>
          <w:sz w:val="20"/>
          <w:szCs w:val="20"/>
          <w:color w:val="auto"/>
        </w:rPr>
      </w:pPr>
    </w:p>
    <w:p>
      <w:pPr>
        <w:ind w:left="3140"/>
        <w:spacing w:after="0"/>
        <w:tabs>
          <w:tab w:leader="none" w:pos="5720" w:val="left"/>
          <w:tab w:leader="none" w:pos="6660" w:val="left"/>
        </w:tabs>
        <w:rPr>
          <w:sz w:val="20"/>
          <w:szCs w:val="20"/>
          <w:color w:val="auto"/>
        </w:rPr>
      </w:pPr>
      <w:r>
        <w:rPr>
          <w:rFonts w:ascii="Arial" w:cs="Arial" w:eastAsia="Arial" w:hAnsi="Arial"/>
          <w:sz w:val="18"/>
          <w:szCs w:val="18"/>
          <w:color w:val="auto"/>
        </w:rPr>
        <w:t>Date: June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23495</wp:posOffset>
            </wp:positionV>
            <wp:extent cx="31121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135" cy="8890"/>
                    </a:xfrm>
                    <a:prstGeom prst="rect">
                      <a:avLst/>
                    </a:prstGeom>
                    <a:noFill/>
                  </pic:spPr>
                </pic:pic>
              </a:graphicData>
            </a:graphic>
          </wp:anchor>
        </w:drawing>
      </w:r>
    </w:p>
    <w:p>
      <w:pPr>
        <w:spacing w:after="0" w:line="3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David Horn</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40" w:right="339" w:bottom="1440" w:gutter="0" w:footer="0" w:header="0"/>
        </w:sectPr>
      </w:pPr>
    </w:p>
    <w:bookmarkStart w:id="3" w:name="page4"/>
    <w:bookmarkEnd w:id="3"/>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AMENDED AND RESTATED CERTIFICATE OF INCORPORATION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SEER,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Seer, Inc., a corporation organized and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hereby certifies as follows:</w:t>
      </w:r>
    </w:p>
    <w:p>
      <w:pPr>
        <w:spacing w:after="0" w:line="202" w:lineRule="exact"/>
        <w:rPr>
          <w:sz w:val="20"/>
          <w:szCs w:val="20"/>
          <w:color w:val="auto"/>
        </w:rPr>
      </w:pPr>
    </w:p>
    <w:p>
      <w:pPr>
        <w:ind w:firstLine="413"/>
        <w:spacing w:after="0" w:line="235"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of the Corporation is Seer, Inc. The Corporation’s original Certificate of Incorporation was filed with the Secretary of State of the State of Delaware on March 16, 2017 under the name Seer Biosciences, Inc.</w:t>
      </w:r>
    </w:p>
    <w:p>
      <w:pPr>
        <w:spacing w:after="0" w:line="161" w:lineRule="exact"/>
        <w:rPr>
          <w:rFonts w:ascii="Arial" w:cs="Arial" w:eastAsia="Arial" w:hAnsi="Arial"/>
          <w:sz w:val="18"/>
          <w:szCs w:val="18"/>
          <w:color w:val="auto"/>
        </w:rPr>
      </w:pPr>
    </w:p>
    <w:p>
      <w:pPr>
        <w:jc w:val="both"/>
        <w:ind w:firstLine="413"/>
        <w:spacing w:after="0" w:line="229"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provisions of this Certificate of Amendment of the Amended and Restated Certificate of Incorporation have been duly adopted in accordance with Section 242 of the General Corporation Law of the State of Delaware by the Board of Directors of the Corporation and the stockholders of the Corporation.</w:t>
      </w:r>
    </w:p>
    <w:p>
      <w:pPr>
        <w:spacing w:after="0" w:line="163" w:lineRule="exact"/>
        <w:rPr>
          <w:rFonts w:ascii="Arial" w:cs="Arial" w:eastAsia="Arial" w:hAnsi="Arial"/>
          <w:sz w:val="18"/>
          <w:szCs w:val="18"/>
          <w:color w:val="auto"/>
        </w:rPr>
      </w:pPr>
    </w:p>
    <w:p>
      <w:pPr>
        <w:ind w:firstLine="413"/>
        <w:spacing w:after="0" w:line="246"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amendments to the Amended and Restated Certificate of Incorporation shall be effective upon filing with the Secretary of State of the State of Delaware.</w:t>
      </w:r>
    </w:p>
    <w:p>
      <w:pPr>
        <w:spacing w:after="0" w:line="156" w:lineRule="exact"/>
        <w:rPr>
          <w:rFonts w:ascii="Arial" w:cs="Arial" w:eastAsia="Arial" w:hAnsi="Arial"/>
          <w:sz w:val="18"/>
          <w:szCs w:val="18"/>
          <w:color w:val="auto"/>
        </w:rPr>
      </w:pPr>
    </w:p>
    <w:p>
      <w:pPr>
        <w:ind w:firstLine="413"/>
        <w:spacing w:after="0" w:line="235"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text of Section 2 of Article V of the Amended and Restated Certificate of Incorporation is hereby amended and restated in its entirety to read as follows:</w:t>
      </w:r>
    </w:p>
    <w:p>
      <w:pPr>
        <w:spacing w:after="0" w:line="202"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Section 2. Prior to the election of directors at the 2023 annual meeting of stockholders (the “2023 Annual Meeting”), the directors of the Corporation (other than any who may be elected by holders of Preferred Stock under specified circumstances) were divided into three classes as nearly equal in size as is practicable, designated Class I, Class II and Class III. Beginning with the 2023 Annual Meeting, directors shall be elected for a full term of one year to</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succeed the directors of the class whose terms expire at such annual meeting. Following the election of directors at the 2023 Annual Meeting, the Board of Directors will be divided into two classes, Class I and Class II, with the directors in Class I having a term expiring at the 2024 Annual Meeting and the directors in Class II having a term expiring at the 2025 Annual Meeting. The directors in Class I will be the directors elected to the Board of Directors at the</w:t>
      </w:r>
    </w:p>
    <w:p>
      <w:pPr>
        <w:spacing w:after="0" w:line="2"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2023 Annual Meeting and the directors who, immediately prior to the 2023 Annual Meeting, were in Class I and had terms expiring at the 2024 annual meeting of stockholders (the “2024 Annual Meeting”); the directors in Class II will be the directors who, immediately prior to the 2023 Annual Meeting, were in Class II and had terms expiring at the 2025 annual meeting of stockholders (the “2025 Annual Meeting”). Commencing with the election of</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directors at the 2024 Annual Meeting, the directors in Class I will be up for election for a one-year term ending at the 2025 Annual Meeting and, following the 2025 Annual Meeting, the Board of Directors shall no longer be classified and divided into classes and all directors will be elected for a term expiring at the following annual meeting of stockholders or, if earlier, their death or resignation.</w:t>
      </w:r>
    </w:p>
    <w:p>
      <w:pPr>
        <w:spacing w:after="0" w:line="162" w:lineRule="exact"/>
        <w:rPr>
          <w:sz w:val="20"/>
          <w:szCs w:val="20"/>
          <w:color w:val="auto"/>
        </w:rPr>
      </w:pPr>
    </w:p>
    <w:p>
      <w:pPr>
        <w:ind w:firstLine="413"/>
        <w:spacing w:after="0" w:line="246" w:lineRule="auto"/>
        <w:tabs>
          <w:tab w:leader="none" w:pos="95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text of Section 1 of Article VI of the Amended and Restated Certificate of Incorporation is hereby amended and restated in its entirety to read as follows:</w:t>
      </w:r>
    </w:p>
    <w:p>
      <w:pPr>
        <w:spacing w:after="0" w:line="183"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Section 1. Subject to the rights of holders of Preferred Stock, any director or the entire Board of Directors may be removed from office in the manner provided in Section 141(k) of the DGCL.</w:t>
      </w:r>
    </w:p>
    <w:p>
      <w:pPr>
        <w:sectPr>
          <w:pgSz w:w="11900" w:h="16838" w:orient="portrait"/>
          <w:cols w:equalWidth="0" w:num="1">
            <w:col w:w="11240"/>
          </w:cols>
          <w:pgMar w:left="320" w:top="1440" w:right="339" w:bottom="1440" w:gutter="0" w:footer="0" w:header="0"/>
        </w:sectPr>
      </w:pPr>
    </w:p>
    <w:bookmarkStart w:id="4" w:name="page5"/>
    <w:bookmarkEnd w:id="4"/>
    <w:p>
      <w:pPr>
        <w:spacing w:after="0" w:line="354" w:lineRule="exact"/>
        <w:rPr>
          <w:sz w:val="20"/>
          <w:szCs w:val="20"/>
          <w:color w:val="auto"/>
        </w:rPr>
      </w:pPr>
    </w:p>
    <w:p>
      <w:pPr>
        <w:ind w:firstLine="648"/>
        <w:spacing w:after="0" w:line="209"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Seer, Inc. has caused this Certificate of Amendment to be signed by its Chief Executive Officer on this 14</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2023.</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SEER,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Omid Farokhzad</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Omid Farokhzad, Chief Executive Officer</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AMENDED AND RESTATED BYLAWS OF</w:t>
      </w:r>
    </w:p>
    <w:p>
      <w:pPr>
        <w:sectPr>
          <w:pgSz w:w="11900" w:h="16838" w:orient="portrait"/>
          <w:cols w:equalWidth="0" w:num="1">
            <w:col w:w="9019"/>
          </w:cols>
          <w:pgMar w:left="1440" w:top="1440" w:right="1440" w:bottom="1440" w:gutter="0" w:footer="0" w:header="0"/>
        </w:sectPr>
      </w:pPr>
    </w:p>
    <w:p>
      <w:pPr>
        <w:spacing w:after="0" w:line="193" w:lineRule="exact"/>
        <w:rPr>
          <w:sz w:val="20"/>
          <w:szCs w:val="20"/>
          <w:color w:val="auto"/>
        </w:rPr>
      </w:pPr>
    </w:p>
    <w:p>
      <w:pPr>
        <w:ind w:left="4160"/>
        <w:spacing w:after="0"/>
        <w:rPr>
          <w:sz w:val="20"/>
          <w:szCs w:val="20"/>
          <w:color w:val="auto"/>
        </w:rPr>
      </w:pPr>
      <w:r>
        <w:rPr>
          <w:rFonts w:ascii="Arial" w:cs="Arial" w:eastAsia="Arial" w:hAnsi="Arial"/>
          <w:sz w:val="27"/>
          <w:szCs w:val="27"/>
          <w:color w:val="auto"/>
        </w:rPr>
        <w:t>SEER,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(initially adopted on December 8, 2020)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on June 14, 2023)</w:t>
      </w:r>
    </w:p>
    <w:p>
      <w:pPr>
        <w:sectPr>
          <w:pgSz w:w="11900" w:h="16838" w:orient="portrait"/>
          <w:cols w:equalWidth="0" w:num="1">
            <w:col w:w="9019"/>
          </w:cols>
          <w:pgMar w:left="1440" w:top="1440" w:right="1440"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TABLE OF CONTENTS</w:t>
      </w: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2100" w:type="dxa"/>
            <w:vAlign w:val="bottom"/>
          </w:tcPr>
          <w:p>
            <w:pPr>
              <w:ind w:left="1740"/>
              <w:spacing w:after="0"/>
              <w:rPr>
                <w:sz w:val="20"/>
                <w:szCs w:val="20"/>
                <w:color w:val="auto"/>
              </w:rPr>
            </w:pPr>
            <w:r>
              <w:rPr>
                <w:rFonts w:ascii="Arial" w:cs="Arial" w:eastAsia="Arial" w:hAnsi="Arial"/>
                <w:sz w:val="18"/>
                <w:szCs w:val="18"/>
                <w:b w:val="1"/>
                <w:bCs w:val="1"/>
                <w:i w:val="1"/>
                <w:iCs w:val="1"/>
                <w:color w:val="auto"/>
                <w:w w:val="78"/>
              </w:rPr>
              <w:t>Page</w:t>
            </w:r>
          </w:p>
        </w:tc>
      </w:tr>
      <w:tr>
        <w:trPr>
          <w:trHeight w:val="731"/>
        </w:trPr>
        <w:tc>
          <w:tcPr>
            <w:tcW w:w="8420" w:type="dxa"/>
            <w:vAlign w:val="bottom"/>
            <w:gridSpan w:val="2"/>
          </w:tcPr>
          <w:p>
            <w:pPr>
              <w:spacing w:after="0"/>
              <w:rPr>
                <w:sz w:val="20"/>
                <w:szCs w:val="20"/>
                <w:color w:val="auto"/>
              </w:rPr>
            </w:pPr>
            <w:r>
              <w:rPr>
                <w:rFonts w:ascii="Arial" w:cs="Arial" w:eastAsia="Arial" w:hAnsi="Arial"/>
                <w:sz w:val="20"/>
                <w:szCs w:val="20"/>
                <w:color w:val="auto"/>
              </w:rPr>
              <w:t>ARTICLE I - CORPORATE OFFICES</w:t>
            </w:r>
          </w:p>
        </w:tc>
        <w:tc>
          <w:tcPr>
            <w:tcW w:w="2100" w:type="dxa"/>
            <w:vAlign w:val="bottom"/>
          </w:tcPr>
          <w:p>
            <w:pPr>
              <w:ind w:left="1380"/>
              <w:spacing w:after="0"/>
              <w:rPr>
                <w:sz w:val="20"/>
                <w:szCs w:val="20"/>
                <w:color w:val="auto"/>
              </w:rPr>
            </w:pPr>
            <w:r>
              <w:rPr>
                <w:rFonts w:ascii="Arial" w:cs="Arial" w:eastAsia="Arial" w:hAnsi="Arial"/>
                <w:sz w:val="20"/>
                <w:szCs w:val="20"/>
                <w:color w:val="auto"/>
              </w:rPr>
              <w:t>1</w:t>
            </w:r>
          </w:p>
        </w:tc>
      </w:tr>
      <w:tr>
        <w:trPr>
          <w:trHeight w:val="473"/>
        </w:trPr>
        <w:tc>
          <w:tcPr>
            <w:tcW w:w="380" w:type="dxa"/>
            <w:vAlign w:val="bottom"/>
          </w:tcPr>
          <w:p>
            <w:pPr>
              <w:spacing w:after="0"/>
              <w:rPr>
                <w:sz w:val="20"/>
                <w:szCs w:val="20"/>
                <w:color w:val="auto"/>
              </w:rPr>
            </w:pPr>
            <w:r>
              <w:rPr>
                <w:rFonts w:ascii="Arial" w:cs="Arial" w:eastAsia="Arial" w:hAnsi="Arial"/>
                <w:sz w:val="20"/>
                <w:szCs w:val="20"/>
                <w:color w:val="auto"/>
              </w:rPr>
              <w:t>1.1</w:t>
            </w:r>
          </w:p>
        </w:tc>
        <w:tc>
          <w:tcPr>
            <w:tcW w:w="8040" w:type="dxa"/>
            <w:vAlign w:val="bottom"/>
          </w:tcPr>
          <w:p>
            <w:pPr>
              <w:ind w:left="40"/>
              <w:spacing w:after="0"/>
              <w:rPr>
                <w:sz w:val="20"/>
                <w:szCs w:val="20"/>
                <w:color w:val="auto"/>
              </w:rPr>
            </w:pPr>
            <w:r>
              <w:rPr>
                <w:rFonts w:ascii="Arial" w:cs="Arial" w:eastAsia="Arial" w:hAnsi="Arial"/>
                <w:sz w:val="20"/>
                <w:szCs w:val="20"/>
                <w:color w:val="auto"/>
              </w:rPr>
              <w:t>REGISTERED OFFICE</w:t>
            </w:r>
          </w:p>
        </w:tc>
        <w:tc>
          <w:tcPr>
            <w:tcW w:w="2100" w:type="dxa"/>
            <w:vAlign w:val="bottom"/>
          </w:tcPr>
          <w:p>
            <w:pPr>
              <w:ind w:left="1380"/>
              <w:spacing w:after="0"/>
              <w:rPr>
                <w:sz w:val="20"/>
                <w:szCs w:val="20"/>
                <w:color w:val="auto"/>
              </w:rPr>
            </w:pPr>
            <w:r>
              <w:rPr>
                <w:rFonts w:ascii="Arial" w:cs="Arial" w:eastAsia="Arial" w:hAnsi="Arial"/>
                <w:sz w:val="20"/>
                <w:szCs w:val="20"/>
                <w:color w:val="auto"/>
              </w:rPr>
              <w:t>1</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1.2</w:t>
            </w:r>
          </w:p>
        </w:tc>
        <w:tc>
          <w:tcPr>
            <w:tcW w:w="8040" w:type="dxa"/>
            <w:vAlign w:val="bottom"/>
          </w:tcPr>
          <w:p>
            <w:pPr>
              <w:ind w:left="40"/>
              <w:spacing w:after="0"/>
              <w:rPr>
                <w:sz w:val="20"/>
                <w:szCs w:val="20"/>
                <w:color w:val="auto"/>
              </w:rPr>
            </w:pPr>
            <w:r>
              <w:rPr>
                <w:rFonts w:ascii="Arial" w:cs="Arial" w:eastAsia="Arial" w:hAnsi="Arial"/>
                <w:sz w:val="20"/>
                <w:szCs w:val="20"/>
                <w:color w:val="auto"/>
              </w:rPr>
              <w:t>OTHER OFFICES</w:t>
            </w:r>
          </w:p>
        </w:tc>
        <w:tc>
          <w:tcPr>
            <w:tcW w:w="2100" w:type="dxa"/>
            <w:vAlign w:val="bottom"/>
          </w:tcPr>
          <w:p>
            <w:pPr>
              <w:ind w:left="1380"/>
              <w:spacing w:after="0"/>
              <w:rPr>
                <w:sz w:val="20"/>
                <w:szCs w:val="20"/>
                <w:color w:val="auto"/>
              </w:rPr>
            </w:pPr>
            <w:r>
              <w:rPr>
                <w:rFonts w:ascii="Arial" w:cs="Arial" w:eastAsia="Arial" w:hAnsi="Arial"/>
                <w:sz w:val="20"/>
                <w:szCs w:val="20"/>
                <w:color w:val="auto"/>
              </w:rPr>
              <w:t>1</w:t>
            </w:r>
          </w:p>
        </w:tc>
      </w:tr>
      <w:tr>
        <w:trPr>
          <w:trHeight w:val="540"/>
        </w:trPr>
        <w:tc>
          <w:tcPr>
            <w:tcW w:w="8420" w:type="dxa"/>
            <w:vAlign w:val="bottom"/>
            <w:gridSpan w:val="2"/>
          </w:tcPr>
          <w:p>
            <w:pPr>
              <w:spacing w:after="0"/>
              <w:rPr>
                <w:sz w:val="20"/>
                <w:szCs w:val="20"/>
                <w:color w:val="auto"/>
              </w:rPr>
            </w:pPr>
            <w:r>
              <w:rPr>
                <w:rFonts w:ascii="Arial" w:cs="Arial" w:eastAsia="Arial" w:hAnsi="Arial"/>
                <w:sz w:val="20"/>
                <w:szCs w:val="20"/>
                <w:color w:val="auto"/>
              </w:rPr>
              <w:t>ARTICLE II - MEETINGS OF STOCKHOLDERS</w:t>
            </w:r>
          </w:p>
        </w:tc>
        <w:tc>
          <w:tcPr>
            <w:tcW w:w="2100" w:type="dxa"/>
            <w:vAlign w:val="bottom"/>
          </w:tcPr>
          <w:p>
            <w:pPr>
              <w:ind w:left="1380"/>
              <w:spacing w:after="0"/>
              <w:rPr>
                <w:sz w:val="20"/>
                <w:szCs w:val="20"/>
                <w:color w:val="auto"/>
              </w:rPr>
            </w:pPr>
            <w:r>
              <w:rPr>
                <w:rFonts w:ascii="Arial" w:cs="Arial" w:eastAsia="Arial" w:hAnsi="Arial"/>
                <w:sz w:val="20"/>
                <w:szCs w:val="20"/>
                <w:color w:val="auto"/>
              </w:rPr>
              <w:t>1</w:t>
            </w:r>
          </w:p>
        </w:tc>
      </w:tr>
      <w:tr>
        <w:trPr>
          <w:trHeight w:val="473"/>
        </w:trPr>
        <w:tc>
          <w:tcPr>
            <w:tcW w:w="380" w:type="dxa"/>
            <w:vAlign w:val="bottom"/>
          </w:tcPr>
          <w:p>
            <w:pPr>
              <w:spacing w:after="0"/>
              <w:rPr>
                <w:sz w:val="20"/>
                <w:szCs w:val="20"/>
                <w:color w:val="auto"/>
              </w:rPr>
            </w:pPr>
            <w:r>
              <w:rPr>
                <w:rFonts w:ascii="Arial" w:cs="Arial" w:eastAsia="Arial" w:hAnsi="Arial"/>
                <w:sz w:val="20"/>
                <w:szCs w:val="20"/>
                <w:color w:val="auto"/>
              </w:rPr>
              <w:t>2.1</w:t>
            </w:r>
          </w:p>
        </w:tc>
        <w:tc>
          <w:tcPr>
            <w:tcW w:w="8040" w:type="dxa"/>
            <w:vAlign w:val="bottom"/>
          </w:tcPr>
          <w:p>
            <w:pPr>
              <w:ind w:left="40"/>
              <w:spacing w:after="0"/>
              <w:rPr>
                <w:sz w:val="20"/>
                <w:szCs w:val="20"/>
                <w:color w:val="auto"/>
              </w:rPr>
            </w:pPr>
            <w:r>
              <w:rPr>
                <w:rFonts w:ascii="Arial" w:cs="Arial" w:eastAsia="Arial" w:hAnsi="Arial"/>
                <w:sz w:val="20"/>
                <w:szCs w:val="20"/>
                <w:color w:val="auto"/>
              </w:rPr>
              <w:t>PLACE OF MEETINGS</w:t>
            </w:r>
          </w:p>
        </w:tc>
        <w:tc>
          <w:tcPr>
            <w:tcW w:w="2100" w:type="dxa"/>
            <w:vAlign w:val="bottom"/>
          </w:tcPr>
          <w:p>
            <w:pPr>
              <w:ind w:left="1380"/>
              <w:spacing w:after="0"/>
              <w:rPr>
                <w:sz w:val="20"/>
                <w:szCs w:val="20"/>
                <w:color w:val="auto"/>
              </w:rPr>
            </w:pPr>
            <w:r>
              <w:rPr>
                <w:rFonts w:ascii="Arial" w:cs="Arial" w:eastAsia="Arial" w:hAnsi="Arial"/>
                <w:sz w:val="20"/>
                <w:szCs w:val="20"/>
                <w:color w:val="auto"/>
              </w:rPr>
              <w:t>1</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2.2</w:t>
            </w:r>
          </w:p>
        </w:tc>
        <w:tc>
          <w:tcPr>
            <w:tcW w:w="8040" w:type="dxa"/>
            <w:vAlign w:val="bottom"/>
          </w:tcPr>
          <w:p>
            <w:pPr>
              <w:ind w:left="40"/>
              <w:spacing w:after="0"/>
              <w:rPr>
                <w:sz w:val="20"/>
                <w:szCs w:val="20"/>
                <w:color w:val="auto"/>
              </w:rPr>
            </w:pPr>
            <w:r>
              <w:rPr>
                <w:rFonts w:ascii="Arial" w:cs="Arial" w:eastAsia="Arial" w:hAnsi="Arial"/>
                <w:sz w:val="20"/>
                <w:szCs w:val="20"/>
                <w:color w:val="auto"/>
              </w:rPr>
              <w:t>ANNUAL MEETING</w:t>
            </w:r>
          </w:p>
        </w:tc>
        <w:tc>
          <w:tcPr>
            <w:tcW w:w="2100" w:type="dxa"/>
            <w:vAlign w:val="bottom"/>
          </w:tcPr>
          <w:p>
            <w:pPr>
              <w:ind w:left="1380"/>
              <w:spacing w:after="0"/>
              <w:rPr>
                <w:sz w:val="20"/>
                <w:szCs w:val="20"/>
                <w:color w:val="auto"/>
              </w:rPr>
            </w:pPr>
            <w:r>
              <w:rPr>
                <w:rFonts w:ascii="Arial" w:cs="Arial" w:eastAsia="Arial" w:hAnsi="Arial"/>
                <w:sz w:val="20"/>
                <w:szCs w:val="20"/>
                <w:color w:val="auto"/>
              </w:rPr>
              <w:t>1</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2.3</w:t>
            </w:r>
          </w:p>
        </w:tc>
        <w:tc>
          <w:tcPr>
            <w:tcW w:w="8040" w:type="dxa"/>
            <w:vAlign w:val="bottom"/>
          </w:tcPr>
          <w:p>
            <w:pPr>
              <w:ind w:left="40"/>
              <w:spacing w:after="0"/>
              <w:rPr>
                <w:sz w:val="20"/>
                <w:szCs w:val="20"/>
                <w:color w:val="auto"/>
              </w:rPr>
            </w:pPr>
            <w:r>
              <w:rPr>
                <w:rFonts w:ascii="Arial" w:cs="Arial" w:eastAsia="Arial" w:hAnsi="Arial"/>
                <w:sz w:val="20"/>
                <w:szCs w:val="20"/>
                <w:color w:val="auto"/>
              </w:rPr>
              <w:t>SPECIAL MEETING</w:t>
            </w:r>
          </w:p>
        </w:tc>
        <w:tc>
          <w:tcPr>
            <w:tcW w:w="2100" w:type="dxa"/>
            <w:vAlign w:val="bottom"/>
          </w:tcPr>
          <w:p>
            <w:pPr>
              <w:ind w:left="1380"/>
              <w:spacing w:after="0"/>
              <w:rPr>
                <w:sz w:val="20"/>
                <w:szCs w:val="20"/>
                <w:color w:val="auto"/>
              </w:rPr>
            </w:pPr>
            <w:r>
              <w:rPr>
                <w:rFonts w:ascii="Arial" w:cs="Arial" w:eastAsia="Arial" w:hAnsi="Arial"/>
                <w:sz w:val="20"/>
                <w:szCs w:val="20"/>
                <w:color w:val="auto"/>
              </w:rPr>
              <w:t>1</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2.4</w:t>
            </w:r>
          </w:p>
        </w:tc>
        <w:tc>
          <w:tcPr>
            <w:tcW w:w="8040" w:type="dxa"/>
            <w:vAlign w:val="bottom"/>
          </w:tcPr>
          <w:p>
            <w:pPr>
              <w:ind w:left="40"/>
              <w:spacing w:after="0"/>
              <w:rPr>
                <w:sz w:val="20"/>
                <w:szCs w:val="20"/>
                <w:color w:val="auto"/>
              </w:rPr>
            </w:pPr>
            <w:r>
              <w:rPr>
                <w:rFonts w:ascii="Arial" w:cs="Arial" w:eastAsia="Arial" w:hAnsi="Arial"/>
                <w:sz w:val="20"/>
                <w:szCs w:val="20"/>
                <w:color w:val="auto"/>
              </w:rPr>
              <w:t>ADVANCE NOTICE PROCEDURES</w:t>
            </w:r>
          </w:p>
        </w:tc>
        <w:tc>
          <w:tcPr>
            <w:tcW w:w="2100" w:type="dxa"/>
            <w:vAlign w:val="bottom"/>
          </w:tcPr>
          <w:p>
            <w:pPr>
              <w:ind w:left="1380"/>
              <w:spacing w:after="0"/>
              <w:rPr>
                <w:sz w:val="20"/>
                <w:szCs w:val="20"/>
                <w:color w:val="auto"/>
              </w:rPr>
            </w:pPr>
            <w:r>
              <w:rPr>
                <w:rFonts w:ascii="Arial" w:cs="Arial" w:eastAsia="Arial" w:hAnsi="Arial"/>
                <w:sz w:val="20"/>
                <w:szCs w:val="20"/>
                <w:color w:val="auto"/>
              </w:rPr>
              <w:t>2</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2.5</w:t>
            </w:r>
          </w:p>
        </w:tc>
        <w:tc>
          <w:tcPr>
            <w:tcW w:w="8040" w:type="dxa"/>
            <w:vAlign w:val="bottom"/>
          </w:tcPr>
          <w:p>
            <w:pPr>
              <w:ind w:left="40"/>
              <w:spacing w:after="0"/>
              <w:rPr>
                <w:sz w:val="20"/>
                <w:szCs w:val="20"/>
                <w:color w:val="auto"/>
              </w:rPr>
            </w:pPr>
            <w:r>
              <w:rPr>
                <w:rFonts w:ascii="Arial" w:cs="Arial" w:eastAsia="Arial" w:hAnsi="Arial"/>
                <w:sz w:val="20"/>
                <w:szCs w:val="20"/>
                <w:color w:val="auto"/>
              </w:rPr>
              <w:t>NOTICE OF STOCKHOLDERS’ MEETINGS</w:t>
            </w:r>
          </w:p>
        </w:tc>
        <w:tc>
          <w:tcPr>
            <w:tcW w:w="2100" w:type="dxa"/>
            <w:vAlign w:val="bottom"/>
          </w:tcPr>
          <w:p>
            <w:pPr>
              <w:ind w:left="1380"/>
              <w:spacing w:after="0"/>
              <w:rPr>
                <w:sz w:val="20"/>
                <w:szCs w:val="20"/>
                <w:color w:val="auto"/>
              </w:rPr>
            </w:pPr>
            <w:r>
              <w:rPr>
                <w:rFonts w:ascii="Arial" w:cs="Arial" w:eastAsia="Arial" w:hAnsi="Arial"/>
                <w:sz w:val="20"/>
                <w:szCs w:val="20"/>
                <w:color w:val="auto"/>
              </w:rPr>
              <w:t>10</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2.6</w:t>
            </w:r>
          </w:p>
        </w:tc>
        <w:tc>
          <w:tcPr>
            <w:tcW w:w="8040" w:type="dxa"/>
            <w:vAlign w:val="bottom"/>
          </w:tcPr>
          <w:p>
            <w:pPr>
              <w:ind w:left="40"/>
              <w:spacing w:after="0"/>
              <w:rPr>
                <w:sz w:val="20"/>
                <w:szCs w:val="20"/>
                <w:color w:val="auto"/>
              </w:rPr>
            </w:pPr>
            <w:r>
              <w:rPr>
                <w:rFonts w:ascii="Arial" w:cs="Arial" w:eastAsia="Arial" w:hAnsi="Arial"/>
                <w:sz w:val="20"/>
                <w:szCs w:val="20"/>
                <w:color w:val="auto"/>
              </w:rPr>
              <w:t>QUORUM</w:t>
            </w:r>
          </w:p>
        </w:tc>
        <w:tc>
          <w:tcPr>
            <w:tcW w:w="2100" w:type="dxa"/>
            <w:vAlign w:val="bottom"/>
          </w:tcPr>
          <w:p>
            <w:pPr>
              <w:ind w:left="1380"/>
              <w:spacing w:after="0"/>
              <w:rPr>
                <w:sz w:val="20"/>
                <w:szCs w:val="20"/>
                <w:color w:val="auto"/>
              </w:rPr>
            </w:pPr>
            <w:r>
              <w:rPr>
                <w:rFonts w:ascii="Arial" w:cs="Arial" w:eastAsia="Arial" w:hAnsi="Arial"/>
                <w:sz w:val="20"/>
                <w:szCs w:val="20"/>
                <w:color w:val="auto"/>
              </w:rPr>
              <w:t>10</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2.7</w:t>
            </w:r>
          </w:p>
        </w:tc>
        <w:tc>
          <w:tcPr>
            <w:tcW w:w="8040" w:type="dxa"/>
            <w:vAlign w:val="bottom"/>
          </w:tcPr>
          <w:p>
            <w:pPr>
              <w:ind w:left="40"/>
              <w:spacing w:after="0"/>
              <w:rPr>
                <w:sz w:val="20"/>
                <w:szCs w:val="20"/>
                <w:color w:val="auto"/>
              </w:rPr>
            </w:pPr>
            <w:r>
              <w:rPr>
                <w:rFonts w:ascii="Arial" w:cs="Arial" w:eastAsia="Arial" w:hAnsi="Arial"/>
                <w:sz w:val="20"/>
                <w:szCs w:val="20"/>
                <w:color w:val="auto"/>
              </w:rPr>
              <w:t>ADJOURNED MEETING; NOTICE</w:t>
            </w:r>
          </w:p>
        </w:tc>
        <w:tc>
          <w:tcPr>
            <w:tcW w:w="2100" w:type="dxa"/>
            <w:vAlign w:val="bottom"/>
          </w:tcPr>
          <w:p>
            <w:pPr>
              <w:ind w:left="1380"/>
              <w:spacing w:after="0"/>
              <w:rPr>
                <w:sz w:val="20"/>
                <w:szCs w:val="20"/>
                <w:color w:val="auto"/>
              </w:rPr>
            </w:pPr>
            <w:r>
              <w:rPr>
                <w:rFonts w:ascii="Arial" w:cs="Arial" w:eastAsia="Arial" w:hAnsi="Arial"/>
                <w:sz w:val="20"/>
                <w:szCs w:val="20"/>
                <w:color w:val="auto"/>
              </w:rPr>
              <w:t>10</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2.8</w:t>
            </w:r>
          </w:p>
        </w:tc>
        <w:tc>
          <w:tcPr>
            <w:tcW w:w="8040" w:type="dxa"/>
            <w:vAlign w:val="bottom"/>
          </w:tcPr>
          <w:p>
            <w:pPr>
              <w:ind w:left="40"/>
              <w:spacing w:after="0"/>
              <w:rPr>
                <w:sz w:val="20"/>
                <w:szCs w:val="20"/>
                <w:color w:val="auto"/>
              </w:rPr>
            </w:pPr>
            <w:r>
              <w:rPr>
                <w:rFonts w:ascii="Arial" w:cs="Arial" w:eastAsia="Arial" w:hAnsi="Arial"/>
                <w:sz w:val="20"/>
                <w:szCs w:val="20"/>
                <w:color w:val="auto"/>
              </w:rPr>
              <w:t>CONDUCT OF BUSINESS</w:t>
            </w:r>
          </w:p>
        </w:tc>
        <w:tc>
          <w:tcPr>
            <w:tcW w:w="2100" w:type="dxa"/>
            <w:vAlign w:val="bottom"/>
          </w:tcPr>
          <w:p>
            <w:pPr>
              <w:ind w:left="1380"/>
              <w:spacing w:after="0"/>
              <w:rPr>
                <w:sz w:val="20"/>
                <w:szCs w:val="20"/>
                <w:color w:val="auto"/>
              </w:rPr>
            </w:pPr>
            <w:r>
              <w:rPr>
                <w:rFonts w:ascii="Arial" w:cs="Arial" w:eastAsia="Arial" w:hAnsi="Arial"/>
                <w:sz w:val="20"/>
                <w:szCs w:val="20"/>
                <w:color w:val="auto"/>
              </w:rPr>
              <w:t>11</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2.9</w:t>
            </w:r>
          </w:p>
        </w:tc>
        <w:tc>
          <w:tcPr>
            <w:tcW w:w="8040" w:type="dxa"/>
            <w:vAlign w:val="bottom"/>
          </w:tcPr>
          <w:p>
            <w:pPr>
              <w:ind w:left="40"/>
              <w:spacing w:after="0"/>
              <w:rPr>
                <w:sz w:val="20"/>
                <w:szCs w:val="20"/>
                <w:color w:val="auto"/>
              </w:rPr>
            </w:pPr>
            <w:r>
              <w:rPr>
                <w:rFonts w:ascii="Arial" w:cs="Arial" w:eastAsia="Arial" w:hAnsi="Arial"/>
                <w:sz w:val="20"/>
                <w:szCs w:val="20"/>
                <w:color w:val="auto"/>
              </w:rPr>
              <w:t>VOTING</w:t>
            </w:r>
          </w:p>
        </w:tc>
        <w:tc>
          <w:tcPr>
            <w:tcW w:w="2100" w:type="dxa"/>
            <w:vAlign w:val="bottom"/>
          </w:tcPr>
          <w:p>
            <w:pPr>
              <w:ind w:left="1380"/>
              <w:spacing w:after="0"/>
              <w:rPr>
                <w:sz w:val="20"/>
                <w:szCs w:val="20"/>
                <w:color w:val="auto"/>
              </w:rPr>
            </w:pPr>
            <w:r>
              <w:rPr>
                <w:rFonts w:ascii="Arial" w:cs="Arial" w:eastAsia="Arial" w:hAnsi="Arial"/>
                <w:sz w:val="20"/>
                <w:szCs w:val="20"/>
                <w:color w:val="auto"/>
              </w:rPr>
              <w:t>11</w:t>
            </w:r>
          </w:p>
        </w:tc>
      </w:tr>
      <w:tr>
        <w:trPr>
          <w:trHeight w:val="513"/>
        </w:trPr>
        <w:tc>
          <w:tcPr>
            <w:tcW w:w="8420" w:type="dxa"/>
            <w:vAlign w:val="bottom"/>
            <w:gridSpan w:val="2"/>
          </w:tcPr>
          <w:p>
            <w:pPr>
              <w:spacing w:after="0"/>
              <w:rPr>
                <w:sz w:val="20"/>
                <w:szCs w:val="20"/>
                <w:color w:val="auto"/>
              </w:rPr>
            </w:pPr>
            <w:r>
              <w:rPr>
                <w:rFonts w:ascii="Arial" w:cs="Arial" w:eastAsia="Arial" w:hAnsi="Arial"/>
                <w:sz w:val="20"/>
                <w:szCs w:val="20"/>
                <w:color w:val="auto"/>
              </w:rPr>
              <w:t>2.10  STOCKHOLDER ACTION BY WRITTEN CONSENT WITHOUT A MEETING</w:t>
            </w:r>
          </w:p>
        </w:tc>
        <w:tc>
          <w:tcPr>
            <w:tcW w:w="2100" w:type="dxa"/>
            <w:vAlign w:val="bottom"/>
          </w:tcPr>
          <w:p>
            <w:pPr>
              <w:ind w:left="1380"/>
              <w:spacing w:after="0"/>
              <w:rPr>
                <w:sz w:val="20"/>
                <w:szCs w:val="20"/>
                <w:color w:val="auto"/>
              </w:rPr>
            </w:pPr>
            <w:r>
              <w:rPr>
                <w:rFonts w:ascii="Arial" w:cs="Arial" w:eastAsia="Arial" w:hAnsi="Arial"/>
                <w:sz w:val="20"/>
                <w:szCs w:val="20"/>
                <w:color w:val="auto"/>
              </w:rPr>
              <w:t>12</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w w:val="92"/>
              </w:rPr>
              <w:t>2.11</w:t>
            </w:r>
          </w:p>
        </w:tc>
        <w:tc>
          <w:tcPr>
            <w:tcW w:w="8040" w:type="dxa"/>
            <w:vAlign w:val="bottom"/>
          </w:tcPr>
          <w:p>
            <w:pPr>
              <w:ind w:left="140"/>
              <w:spacing w:after="0"/>
              <w:rPr>
                <w:sz w:val="20"/>
                <w:szCs w:val="20"/>
                <w:color w:val="auto"/>
              </w:rPr>
            </w:pPr>
            <w:r>
              <w:rPr>
                <w:rFonts w:ascii="Arial" w:cs="Arial" w:eastAsia="Arial" w:hAnsi="Arial"/>
                <w:sz w:val="20"/>
                <w:szCs w:val="20"/>
                <w:color w:val="auto"/>
              </w:rPr>
              <w:t>RECORD DATES</w:t>
            </w:r>
          </w:p>
        </w:tc>
        <w:tc>
          <w:tcPr>
            <w:tcW w:w="2100" w:type="dxa"/>
            <w:vAlign w:val="bottom"/>
          </w:tcPr>
          <w:p>
            <w:pPr>
              <w:ind w:left="1380"/>
              <w:spacing w:after="0"/>
              <w:rPr>
                <w:sz w:val="20"/>
                <w:szCs w:val="20"/>
                <w:color w:val="auto"/>
              </w:rPr>
            </w:pPr>
            <w:r>
              <w:rPr>
                <w:rFonts w:ascii="Arial" w:cs="Arial" w:eastAsia="Arial" w:hAnsi="Arial"/>
                <w:sz w:val="20"/>
                <w:szCs w:val="20"/>
                <w:color w:val="auto"/>
              </w:rPr>
              <w:t>12</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w w:val="92"/>
              </w:rPr>
              <w:t>2.12</w:t>
            </w:r>
          </w:p>
        </w:tc>
        <w:tc>
          <w:tcPr>
            <w:tcW w:w="8040" w:type="dxa"/>
            <w:vAlign w:val="bottom"/>
          </w:tcPr>
          <w:p>
            <w:pPr>
              <w:ind w:left="140"/>
              <w:spacing w:after="0"/>
              <w:rPr>
                <w:sz w:val="20"/>
                <w:szCs w:val="20"/>
                <w:color w:val="auto"/>
              </w:rPr>
            </w:pPr>
            <w:r>
              <w:rPr>
                <w:rFonts w:ascii="Arial" w:cs="Arial" w:eastAsia="Arial" w:hAnsi="Arial"/>
                <w:sz w:val="20"/>
                <w:szCs w:val="20"/>
                <w:color w:val="auto"/>
              </w:rPr>
              <w:t>PROXIES</w:t>
            </w:r>
          </w:p>
        </w:tc>
        <w:tc>
          <w:tcPr>
            <w:tcW w:w="2100" w:type="dxa"/>
            <w:vAlign w:val="bottom"/>
          </w:tcPr>
          <w:p>
            <w:pPr>
              <w:ind w:left="1380"/>
              <w:spacing w:after="0"/>
              <w:rPr>
                <w:sz w:val="20"/>
                <w:szCs w:val="20"/>
                <w:color w:val="auto"/>
              </w:rPr>
            </w:pPr>
            <w:r>
              <w:rPr>
                <w:rFonts w:ascii="Arial" w:cs="Arial" w:eastAsia="Arial" w:hAnsi="Arial"/>
                <w:sz w:val="20"/>
                <w:szCs w:val="20"/>
                <w:color w:val="auto"/>
              </w:rPr>
              <w:t>12</w:t>
            </w:r>
          </w:p>
        </w:tc>
      </w:tr>
      <w:tr>
        <w:trPr>
          <w:trHeight w:val="499"/>
        </w:trPr>
        <w:tc>
          <w:tcPr>
            <w:tcW w:w="8420" w:type="dxa"/>
            <w:vAlign w:val="bottom"/>
            <w:gridSpan w:val="2"/>
          </w:tcPr>
          <w:p>
            <w:pPr>
              <w:spacing w:after="0"/>
              <w:rPr>
                <w:sz w:val="20"/>
                <w:szCs w:val="20"/>
                <w:color w:val="auto"/>
              </w:rPr>
            </w:pPr>
            <w:r>
              <w:rPr>
                <w:rFonts w:ascii="Arial" w:cs="Arial" w:eastAsia="Arial" w:hAnsi="Arial"/>
                <w:sz w:val="20"/>
                <w:szCs w:val="20"/>
                <w:color w:val="auto"/>
              </w:rPr>
              <w:t>2.13  LIST OF STOCKHOLDERS ENTITLED TO VOTE</w:t>
            </w:r>
          </w:p>
        </w:tc>
        <w:tc>
          <w:tcPr>
            <w:tcW w:w="2100" w:type="dxa"/>
            <w:vAlign w:val="bottom"/>
          </w:tcPr>
          <w:p>
            <w:pPr>
              <w:ind w:left="1380"/>
              <w:spacing w:after="0"/>
              <w:rPr>
                <w:sz w:val="20"/>
                <w:szCs w:val="20"/>
                <w:color w:val="auto"/>
              </w:rPr>
            </w:pPr>
            <w:r>
              <w:rPr>
                <w:rFonts w:ascii="Arial" w:cs="Arial" w:eastAsia="Arial" w:hAnsi="Arial"/>
                <w:sz w:val="20"/>
                <w:szCs w:val="20"/>
                <w:color w:val="auto"/>
              </w:rPr>
              <w:t>13</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w w:val="92"/>
              </w:rPr>
              <w:t>2.14</w:t>
            </w:r>
          </w:p>
        </w:tc>
        <w:tc>
          <w:tcPr>
            <w:tcW w:w="8040" w:type="dxa"/>
            <w:vAlign w:val="bottom"/>
          </w:tcPr>
          <w:p>
            <w:pPr>
              <w:ind w:left="140"/>
              <w:spacing w:after="0"/>
              <w:rPr>
                <w:sz w:val="20"/>
                <w:szCs w:val="20"/>
                <w:color w:val="auto"/>
              </w:rPr>
            </w:pPr>
            <w:r>
              <w:rPr>
                <w:rFonts w:ascii="Arial" w:cs="Arial" w:eastAsia="Arial" w:hAnsi="Arial"/>
                <w:sz w:val="20"/>
                <w:szCs w:val="20"/>
                <w:color w:val="auto"/>
              </w:rPr>
              <w:t>INSPECTORS OF ELECTION</w:t>
            </w:r>
          </w:p>
        </w:tc>
        <w:tc>
          <w:tcPr>
            <w:tcW w:w="2100" w:type="dxa"/>
            <w:vAlign w:val="bottom"/>
          </w:tcPr>
          <w:p>
            <w:pPr>
              <w:ind w:left="1380"/>
              <w:spacing w:after="0"/>
              <w:rPr>
                <w:sz w:val="20"/>
                <w:szCs w:val="20"/>
                <w:color w:val="auto"/>
              </w:rPr>
            </w:pPr>
            <w:r>
              <w:rPr>
                <w:rFonts w:ascii="Arial" w:cs="Arial" w:eastAsia="Arial" w:hAnsi="Arial"/>
                <w:sz w:val="20"/>
                <w:szCs w:val="20"/>
                <w:color w:val="auto"/>
              </w:rPr>
              <w:t>13</w:t>
            </w:r>
          </w:p>
        </w:tc>
      </w:tr>
      <w:tr>
        <w:trPr>
          <w:trHeight w:val="540"/>
        </w:trPr>
        <w:tc>
          <w:tcPr>
            <w:tcW w:w="8420" w:type="dxa"/>
            <w:vAlign w:val="bottom"/>
            <w:gridSpan w:val="2"/>
          </w:tcPr>
          <w:p>
            <w:pPr>
              <w:spacing w:after="0"/>
              <w:rPr>
                <w:sz w:val="20"/>
                <w:szCs w:val="20"/>
                <w:color w:val="auto"/>
              </w:rPr>
            </w:pPr>
            <w:r>
              <w:rPr>
                <w:rFonts w:ascii="Arial" w:cs="Arial" w:eastAsia="Arial" w:hAnsi="Arial"/>
                <w:sz w:val="20"/>
                <w:szCs w:val="20"/>
                <w:color w:val="auto"/>
              </w:rPr>
              <w:t>ARTICLE III - DIRECTORS</w:t>
            </w:r>
          </w:p>
        </w:tc>
        <w:tc>
          <w:tcPr>
            <w:tcW w:w="2100" w:type="dxa"/>
            <w:vAlign w:val="bottom"/>
          </w:tcPr>
          <w:p>
            <w:pPr>
              <w:ind w:left="1380"/>
              <w:spacing w:after="0"/>
              <w:rPr>
                <w:sz w:val="20"/>
                <w:szCs w:val="20"/>
                <w:color w:val="auto"/>
              </w:rPr>
            </w:pPr>
            <w:r>
              <w:rPr>
                <w:rFonts w:ascii="Arial" w:cs="Arial" w:eastAsia="Arial" w:hAnsi="Arial"/>
                <w:sz w:val="20"/>
                <w:szCs w:val="20"/>
                <w:color w:val="auto"/>
              </w:rPr>
              <w:t>13</w:t>
            </w:r>
          </w:p>
        </w:tc>
      </w:tr>
      <w:tr>
        <w:trPr>
          <w:trHeight w:val="472"/>
        </w:trPr>
        <w:tc>
          <w:tcPr>
            <w:tcW w:w="380" w:type="dxa"/>
            <w:vAlign w:val="bottom"/>
          </w:tcPr>
          <w:p>
            <w:pPr>
              <w:spacing w:after="0"/>
              <w:rPr>
                <w:sz w:val="20"/>
                <w:szCs w:val="20"/>
                <w:color w:val="auto"/>
              </w:rPr>
            </w:pPr>
            <w:r>
              <w:rPr>
                <w:rFonts w:ascii="Arial" w:cs="Arial" w:eastAsia="Arial" w:hAnsi="Arial"/>
                <w:sz w:val="20"/>
                <w:szCs w:val="20"/>
                <w:color w:val="auto"/>
              </w:rPr>
              <w:t>3.1</w:t>
            </w:r>
          </w:p>
        </w:tc>
        <w:tc>
          <w:tcPr>
            <w:tcW w:w="8040" w:type="dxa"/>
            <w:vAlign w:val="bottom"/>
          </w:tcPr>
          <w:p>
            <w:pPr>
              <w:ind w:left="40"/>
              <w:spacing w:after="0"/>
              <w:rPr>
                <w:sz w:val="20"/>
                <w:szCs w:val="20"/>
                <w:color w:val="auto"/>
              </w:rPr>
            </w:pPr>
            <w:r>
              <w:rPr>
                <w:rFonts w:ascii="Arial" w:cs="Arial" w:eastAsia="Arial" w:hAnsi="Arial"/>
                <w:sz w:val="20"/>
                <w:szCs w:val="20"/>
                <w:color w:val="auto"/>
              </w:rPr>
              <w:t>POWERS</w:t>
            </w:r>
          </w:p>
        </w:tc>
        <w:tc>
          <w:tcPr>
            <w:tcW w:w="2100" w:type="dxa"/>
            <w:vAlign w:val="bottom"/>
          </w:tcPr>
          <w:p>
            <w:pPr>
              <w:ind w:left="1380"/>
              <w:spacing w:after="0"/>
              <w:rPr>
                <w:sz w:val="20"/>
                <w:szCs w:val="20"/>
                <w:color w:val="auto"/>
              </w:rPr>
            </w:pPr>
            <w:r>
              <w:rPr>
                <w:rFonts w:ascii="Arial" w:cs="Arial" w:eastAsia="Arial" w:hAnsi="Arial"/>
                <w:sz w:val="20"/>
                <w:szCs w:val="20"/>
                <w:color w:val="auto"/>
              </w:rPr>
              <w:t>13</w:t>
            </w:r>
          </w:p>
        </w:tc>
      </w:tr>
    </w:tbl>
    <w:p>
      <w:pPr>
        <w:sectPr>
          <w:pgSz w:w="11900" w:h="16838" w:orient="portrait"/>
          <w:cols w:equalWidth="0" w:num="1">
            <w:col w:w="10520"/>
          </w:cols>
          <w:pgMar w:left="1040" w:top="1440" w:right="339" w:bottom="1440" w:gutter="0" w:footer="0" w:header="0"/>
        </w:sectPr>
      </w:pPr>
    </w:p>
    <w:bookmarkStart w:id="7" w:name="page8"/>
    <w:bookmarkEnd w:id="7"/>
    <w:p>
      <w:pPr>
        <w:jc w:val="center"/>
        <w:ind w:right="720"/>
        <w:spacing w:after="0"/>
        <w:rPr>
          <w:sz w:val="20"/>
          <w:szCs w:val="20"/>
          <w:color w:val="auto"/>
        </w:rPr>
      </w:pPr>
      <w:r>
        <w:rPr>
          <w:rFonts w:ascii="Arial" w:cs="Arial" w:eastAsia="Arial" w:hAnsi="Arial"/>
          <w:sz w:val="20"/>
          <w:szCs w:val="20"/>
          <w:b w:val="1"/>
          <w:bCs w:val="1"/>
          <w:color w:val="auto"/>
        </w:rPr>
        <w:t>TABLE OF CONTENTS</w:t>
      </w:r>
    </w:p>
    <w:p>
      <w:pPr>
        <w:jc w:val="center"/>
        <w:ind w:right="720"/>
        <w:spacing w:after="0" w:line="197" w:lineRule="auto"/>
        <w:rPr>
          <w:sz w:val="20"/>
          <w:szCs w:val="20"/>
          <w:color w:val="auto"/>
        </w:rPr>
      </w:pPr>
      <w:r>
        <w:rPr>
          <w:rFonts w:ascii="Arial" w:cs="Arial" w:eastAsia="Arial" w:hAnsi="Arial"/>
          <w:sz w:val="20"/>
          <w:szCs w:val="20"/>
          <w:b w:val="1"/>
          <w:bCs w:val="1"/>
          <w:color w:val="auto"/>
        </w:rPr>
        <w:t>(continued)</w:t>
      </w:r>
    </w:p>
    <w:p>
      <w:pPr>
        <w:jc w:val="right"/>
        <w:spacing w:after="0"/>
        <w:rPr>
          <w:sz w:val="20"/>
          <w:szCs w:val="20"/>
          <w:color w:val="auto"/>
        </w:rPr>
      </w:pPr>
      <w:r>
        <w:rPr>
          <w:rFonts w:ascii="Arial" w:cs="Arial" w:eastAsia="Arial" w:hAnsi="Arial"/>
          <w:sz w:val="20"/>
          <w:szCs w:val="20"/>
          <w:b w:val="1"/>
          <w:bCs w:val="1"/>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Pr>
          <w:p>
            <w:pPr>
              <w:spacing w:after="0"/>
              <w:rPr>
                <w:sz w:val="20"/>
                <w:szCs w:val="20"/>
                <w:color w:val="auto"/>
              </w:rPr>
            </w:pPr>
            <w:r>
              <w:rPr>
                <w:rFonts w:ascii="Arial" w:cs="Arial" w:eastAsia="Arial" w:hAnsi="Arial"/>
                <w:sz w:val="20"/>
                <w:szCs w:val="20"/>
                <w:color w:val="auto"/>
              </w:rPr>
              <w:t>3.2</w:t>
            </w:r>
          </w:p>
        </w:tc>
        <w:tc>
          <w:tcPr>
            <w:tcW w:w="7800" w:type="dxa"/>
            <w:vAlign w:val="bottom"/>
          </w:tcPr>
          <w:p>
            <w:pPr>
              <w:ind w:left="40"/>
              <w:spacing w:after="0"/>
              <w:rPr>
                <w:sz w:val="20"/>
                <w:szCs w:val="20"/>
                <w:color w:val="auto"/>
              </w:rPr>
            </w:pPr>
            <w:r>
              <w:rPr>
                <w:rFonts w:ascii="Arial" w:cs="Arial" w:eastAsia="Arial" w:hAnsi="Arial"/>
                <w:sz w:val="20"/>
                <w:szCs w:val="20"/>
                <w:color w:val="auto"/>
              </w:rPr>
              <w:t>NUMBER OF DIRECTORS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3.3</w:t>
            </w:r>
          </w:p>
        </w:tc>
        <w:tc>
          <w:tcPr>
            <w:tcW w:w="7800" w:type="dxa"/>
            <w:vAlign w:val="bottom"/>
          </w:tcPr>
          <w:p>
            <w:pPr>
              <w:ind w:left="40"/>
              <w:spacing w:after="0"/>
              <w:rPr>
                <w:sz w:val="20"/>
                <w:szCs w:val="20"/>
                <w:color w:val="auto"/>
              </w:rPr>
            </w:pPr>
            <w:r>
              <w:rPr>
                <w:rFonts w:ascii="Arial" w:cs="Arial" w:eastAsia="Arial" w:hAnsi="Arial"/>
                <w:sz w:val="20"/>
                <w:szCs w:val="20"/>
                <w:color w:val="auto"/>
              </w:rPr>
              <w:t>ELECTION, QUALIFICATION AND TERM OF OFFICE OF DIRECTORS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3.4</w:t>
            </w:r>
          </w:p>
        </w:tc>
        <w:tc>
          <w:tcPr>
            <w:tcW w:w="7800" w:type="dxa"/>
            <w:vAlign w:val="bottom"/>
          </w:tcPr>
          <w:p>
            <w:pPr>
              <w:ind w:left="40"/>
              <w:spacing w:after="0"/>
              <w:rPr>
                <w:sz w:val="20"/>
                <w:szCs w:val="20"/>
                <w:color w:val="auto"/>
              </w:rPr>
            </w:pPr>
            <w:r>
              <w:rPr>
                <w:rFonts w:ascii="Arial" w:cs="Arial" w:eastAsia="Arial" w:hAnsi="Arial"/>
                <w:sz w:val="20"/>
                <w:szCs w:val="20"/>
                <w:color w:val="auto"/>
              </w:rPr>
              <w:t>RESIGNATION AND VACANCIES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3.5</w:t>
            </w:r>
          </w:p>
        </w:tc>
        <w:tc>
          <w:tcPr>
            <w:tcW w:w="7800" w:type="dxa"/>
            <w:vAlign w:val="bottom"/>
          </w:tcPr>
          <w:p>
            <w:pPr>
              <w:ind w:left="40"/>
              <w:spacing w:after="0"/>
              <w:rPr>
                <w:sz w:val="20"/>
                <w:szCs w:val="20"/>
                <w:color w:val="auto"/>
              </w:rPr>
            </w:pPr>
            <w:r>
              <w:rPr>
                <w:rFonts w:ascii="Arial" w:cs="Arial" w:eastAsia="Arial" w:hAnsi="Arial"/>
                <w:sz w:val="20"/>
                <w:szCs w:val="20"/>
                <w:color w:val="auto"/>
              </w:rPr>
              <w:t>PLACE OF MEETINGS; MEETINGS BY TELEPHONE</w:t>
            </w:r>
          </w:p>
        </w:tc>
        <w:tc>
          <w:tcPr>
            <w:tcW w:w="18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3.6</w:t>
            </w:r>
          </w:p>
        </w:tc>
        <w:tc>
          <w:tcPr>
            <w:tcW w:w="7800" w:type="dxa"/>
            <w:vAlign w:val="bottom"/>
          </w:tcPr>
          <w:p>
            <w:pPr>
              <w:ind w:left="40"/>
              <w:spacing w:after="0"/>
              <w:rPr>
                <w:sz w:val="20"/>
                <w:szCs w:val="20"/>
                <w:color w:val="auto"/>
              </w:rPr>
            </w:pPr>
            <w:r>
              <w:rPr>
                <w:rFonts w:ascii="Arial" w:cs="Arial" w:eastAsia="Arial" w:hAnsi="Arial"/>
                <w:sz w:val="20"/>
                <w:szCs w:val="20"/>
                <w:color w:val="auto"/>
              </w:rPr>
              <w:t>REGULAR MEETINGS</w:t>
            </w:r>
          </w:p>
        </w:tc>
        <w:tc>
          <w:tcPr>
            <w:tcW w:w="18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3.7</w:t>
            </w:r>
          </w:p>
        </w:tc>
        <w:tc>
          <w:tcPr>
            <w:tcW w:w="7800" w:type="dxa"/>
            <w:vAlign w:val="bottom"/>
          </w:tcPr>
          <w:p>
            <w:pPr>
              <w:ind w:left="40"/>
              <w:spacing w:after="0"/>
              <w:rPr>
                <w:sz w:val="20"/>
                <w:szCs w:val="20"/>
                <w:color w:val="auto"/>
              </w:rPr>
            </w:pPr>
            <w:r>
              <w:rPr>
                <w:rFonts w:ascii="Arial" w:cs="Arial" w:eastAsia="Arial" w:hAnsi="Arial"/>
                <w:sz w:val="20"/>
                <w:szCs w:val="20"/>
                <w:color w:val="auto"/>
              </w:rPr>
              <w:t>SPECIAL MEETINGS; NOTICE</w:t>
            </w:r>
          </w:p>
        </w:tc>
        <w:tc>
          <w:tcPr>
            <w:tcW w:w="18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3.8</w:t>
            </w:r>
          </w:p>
        </w:tc>
        <w:tc>
          <w:tcPr>
            <w:tcW w:w="7800" w:type="dxa"/>
            <w:vAlign w:val="bottom"/>
          </w:tcPr>
          <w:p>
            <w:pPr>
              <w:ind w:left="40"/>
              <w:spacing w:after="0"/>
              <w:rPr>
                <w:sz w:val="20"/>
                <w:szCs w:val="20"/>
                <w:color w:val="auto"/>
              </w:rPr>
            </w:pPr>
            <w:r>
              <w:rPr>
                <w:rFonts w:ascii="Arial" w:cs="Arial" w:eastAsia="Arial" w:hAnsi="Arial"/>
                <w:sz w:val="20"/>
                <w:szCs w:val="20"/>
                <w:color w:val="auto"/>
              </w:rPr>
              <w:t>QUORUM; VOTING</w:t>
            </w:r>
          </w:p>
        </w:tc>
        <w:tc>
          <w:tcPr>
            <w:tcW w:w="18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3.9</w:t>
            </w:r>
          </w:p>
        </w:tc>
        <w:tc>
          <w:tcPr>
            <w:tcW w:w="7800" w:type="dxa"/>
            <w:vAlign w:val="bottom"/>
          </w:tcPr>
          <w:p>
            <w:pPr>
              <w:ind w:left="40"/>
              <w:spacing w:after="0"/>
              <w:rPr>
                <w:sz w:val="20"/>
                <w:szCs w:val="20"/>
                <w:color w:val="auto"/>
              </w:rPr>
            </w:pPr>
            <w:r>
              <w:rPr>
                <w:rFonts w:ascii="Arial" w:cs="Arial" w:eastAsia="Arial" w:hAnsi="Arial"/>
                <w:sz w:val="20"/>
                <w:szCs w:val="20"/>
                <w:color w:val="auto"/>
              </w:rPr>
              <w:t>BOARD ACTION BY WRITTEN CONSENT WITHOUT A MEETING</w:t>
            </w:r>
          </w:p>
        </w:tc>
        <w:tc>
          <w:tcPr>
            <w:tcW w:w="18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8180" w:type="dxa"/>
            <w:vAlign w:val="bottom"/>
            <w:gridSpan w:val="2"/>
          </w:tcPr>
          <w:p>
            <w:pPr>
              <w:spacing w:after="0"/>
              <w:rPr>
                <w:sz w:val="20"/>
                <w:szCs w:val="20"/>
                <w:color w:val="auto"/>
              </w:rPr>
            </w:pPr>
            <w:r>
              <w:rPr>
                <w:rFonts w:ascii="Arial" w:cs="Arial" w:eastAsia="Arial" w:hAnsi="Arial"/>
                <w:sz w:val="20"/>
                <w:szCs w:val="20"/>
                <w:color w:val="auto"/>
              </w:rPr>
              <w:t>3.10  FEES AND COMPENSATION OF DIRECTORS</w:t>
            </w:r>
          </w:p>
        </w:tc>
        <w:tc>
          <w:tcPr>
            <w:tcW w:w="18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99"/>
        </w:trPr>
        <w:tc>
          <w:tcPr>
            <w:tcW w:w="380" w:type="dxa"/>
            <w:vAlign w:val="bottom"/>
          </w:tcPr>
          <w:p>
            <w:pPr>
              <w:spacing w:after="0"/>
              <w:rPr>
                <w:sz w:val="20"/>
                <w:szCs w:val="20"/>
                <w:color w:val="auto"/>
              </w:rPr>
            </w:pPr>
            <w:r>
              <w:rPr>
                <w:rFonts w:ascii="Arial" w:cs="Arial" w:eastAsia="Arial" w:hAnsi="Arial"/>
                <w:sz w:val="20"/>
                <w:szCs w:val="20"/>
                <w:color w:val="auto"/>
                <w:w w:val="92"/>
              </w:rPr>
              <w:t>3.11</w:t>
            </w:r>
          </w:p>
        </w:tc>
        <w:tc>
          <w:tcPr>
            <w:tcW w:w="7800" w:type="dxa"/>
            <w:vAlign w:val="bottom"/>
          </w:tcPr>
          <w:p>
            <w:pPr>
              <w:ind w:left="140"/>
              <w:spacing w:after="0"/>
              <w:rPr>
                <w:sz w:val="20"/>
                <w:szCs w:val="20"/>
                <w:color w:val="auto"/>
              </w:rPr>
            </w:pPr>
            <w:r>
              <w:rPr>
                <w:rFonts w:ascii="Arial" w:cs="Arial" w:eastAsia="Arial" w:hAnsi="Arial"/>
                <w:sz w:val="20"/>
                <w:szCs w:val="20"/>
                <w:color w:val="auto"/>
              </w:rPr>
              <w:t>REMOVAL OF DIRECTORS</w:t>
            </w:r>
          </w:p>
        </w:tc>
        <w:tc>
          <w:tcPr>
            <w:tcW w:w="18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40"/>
        </w:trPr>
        <w:tc>
          <w:tcPr>
            <w:tcW w:w="8180" w:type="dxa"/>
            <w:vAlign w:val="bottom"/>
            <w:gridSpan w:val="2"/>
          </w:tcPr>
          <w:p>
            <w:pPr>
              <w:spacing w:after="0"/>
              <w:rPr>
                <w:sz w:val="20"/>
                <w:szCs w:val="20"/>
                <w:color w:val="auto"/>
              </w:rPr>
            </w:pPr>
            <w:r>
              <w:rPr>
                <w:rFonts w:ascii="Arial" w:cs="Arial" w:eastAsia="Arial" w:hAnsi="Arial"/>
                <w:sz w:val="20"/>
                <w:szCs w:val="20"/>
                <w:color w:val="auto"/>
              </w:rPr>
              <w:t>ARTICLE IV - COMMITTEES</w:t>
            </w:r>
          </w:p>
        </w:tc>
        <w:tc>
          <w:tcPr>
            <w:tcW w:w="18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73"/>
        </w:trPr>
        <w:tc>
          <w:tcPr>
            <w:tcW w:w="380" w:type="dxa"/>
            <w:vAlign w:val="bottom"/>
          </w:tcPr>
          <w:p>
            <w:pPr>
              <w:spacing w:after="0"/>
              <w:rPr>
                <w:sz w:val="20"/>
                <w:szCs w:val="20"/>
                <w:color w:val="auto"/>
              </w:rPr>
            </w:pPr>
            <w:r>
              <w:rPr>
                <w:rFonts w:ascii="Arial" w:cs="Arial" w:eastAsia="Arial" w:hAnsi="Arial"/>
                <w:sz w:val="20"/>
                <w:szCs w:val="20"/>
                <w:color w:val="auto"/>
              </w:rPr>
              <w:t>4.1</w:t>
            </w:r>
          </w:p>
        </w:tc>
        <w:tc>
          <w:tcPr>
            <w:tcW w:w="7800" w:type="dxa"/>
            <w:vAlign w:val="bottom"/>
          </w:tcPr>
          <w:p>
            <w:pPr>
              <w:ind w:left="40"/>
              <w:spacing w:after="0"/>
              <w:rPr>
                <w:sz w:val="20"/>
                <w:szCs w:val="20"/>
                <w:color w:val="auto"/>
              </w:rPr>
            </w:pPr>
            <w:r>
              <w:rPr>
                <w:rFonts w:ascii="Arial" w:cs="Arial" w:eastAsia="Arial" w:hAnsi="Arial"/>
                <w:sz w:val="20"/>
                <w:szCs w:val="20"/>
                <w:color w:val="auto"/>
              </w:rPr>
              <w:t>COMMITTEES OF DIRECTORS</w:t>
            </w:r>
          </w:p>
        </w:tc>
        <w:tc>
          <w:tcPr>
            <w:tcW w:w="18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4.2</w:t>
            </w:r>
          </w:p>
        </w:tc>
        <w:tc>
          <w:tcPr>
            <w:tcW w:w="7800" w:type="dxa"/>
            <w:vAlign w:val="bottom"/>
          </w:tcPr>
          <w:p>
            <w:pPr>
              <w:ind w:left="40"/>
              <w:spacing w:after="0"/>
              <w:rPr>
                <w:sz w:val="20"/>
                <w:szCs w:val="20"/>
                <w:color w:val="auto"/>
              </w:rPr>
            </w:pPr>
            <w:r>
              <w:rPr>
                <w:rFonts w:ascii="Arial" w:cs="Arial" w:eastAsia="Arial" w:hAnsi="Arial"/>
                <w:sz w:val="20"/>
                <w:szCs w:val="20"/>
                <w:color w:val="auto"/>
              </w:rPr>
              <w:t>COMMITTEE MINUTES</w:t>
            </w:r>
          </w:p>
        </w:tc>
        <w:tc>
          <w:tcPr>
            <w:tcW w:w="18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4.3</w:t>
            </w:r>
          </w:p>
        </w:tc>
        <w:tc>
          <w:tcPr>
            <w:tcW w:w="7800" w:type="dxa"/>
            <w:vAlign w:val="bottom"/>
          </w:tcPr>
          <w:p>
            <w:pPr>
              <w:ind w:left="40"/>
              <w:spacing w:after="0"/>
              <w:rPr>
                <w:sz w:val="20"/>
                <w:szCs w:val="20"/>
                <w:color w:val="auto"/>
              </w:rPr>
            </w:pPr>
            <w:r>
              <w:rPr>
                <w:rFonts w:ascii="Arial" w:cs="Arial" w:eastAsia="Arial" w:hAnsi="Arial"/>
                <w:sz w:val="20"/>
                <w:szCs w:val="20"/>
                <w:color w:val="auto"/>
              </w:rPr>
              <w:t>MEETINGS AND ACTION OF COMMITTEES</w:t>
            </w:r>
          </w:p>
        </w:tc>
        <w:tc>
          <w:tcPr>
            <w:tcW w:w="18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99"/>
        </w:trPr>
        <w:tc>
          <w:tcPr>
            <w:tcW w:w="380" w:type="dxa"/>
            <w:vAlign w:val="bottom"/>
          </w:tcPr>
          <w:p>
            <w:pPr>
              <w:spacing w:after="0"/>
              <w:rPr>
                <w:sz w:val="20"/>
                <w:szCs w:val="20"/>
                <w:color w:val="auto"/>
              </w:rPr>
            </w:pPr>
            <w:r>
              <w:rPr>
                <w:rFonts w:ascii="Arial" w:cs="Arial" w:eastAsia="Arial" w:hAnsi="Arial"/>
                <w:sz w:val="20"/>
                <w:szCs w:val="20"/>
                <w:color w:val="auto"/>
              </w:rPr>
              <w:t>4.4</w:t>
            </w:r>
          </w:p>
        </w:tc>
        <w:tc>
          <w:tcPr>
            <w:tcW w:w="7800" w:type="dxa"/>
            <w:vAlign w:val="bottom"/>
          </w:tcPr>
          <w:p>
            <w:pPr>
              <w:ind w:left="40"/>
              <w:spacing w:after="0"/>
              <w:rPr>
                <w:sz w:val="20"/>
                <w:szCs w:val="20"/>
                <w:color w:val="auto"/>
              </w:rPr>
            </w:pPr>
            <w:r>
              <w:rPr>
                <w:rFonts w:ascii="Arial" w:cs="Arial" w:eastAsia="Arial" w:hAnsi="Arial"/>
                <w:sz w:val="20"/>
                <w:szCs w:val="20"/>
                <w:color w:val="auto"/>
              </w:rPr>
              <w:t>SUBCOMMITTEES</w:t>
            </w:r>
          </w:p>
        </w:tc>
        <w:tc>
          <w:tcPr>
            <w:tcW w:w="18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40"/>
        </w:trPr>
        <w:tc>
          <w:tcPr>
            <w:tcW w:w="8180" w:type="dxa"/>
            <w:vAlign w:val="bottom"/>
            <w:gridSpan w:val="2"/>
          </w:tcPr>
          <w:p>
            <w:pPr>
              <w:spacing w:after="0"/>
              <w:rPr>
                <w:sz w:val="20"/>
                <w:szCs w:val="20"/>
                <w:color w:val="auto"/>
              </w:rPr>
            </w:pPr>
            <w:r>
              <w:rPr>
                <w:rFonts w:ascii="Arial" w:cs="Arial" w:eastAsia="Arial" w:hAnsi="Arial"/>
                <w:sz w:val="20"/>
                <w:szCs w:val="20"/>
                <w:color w:val="auto"/>
              </w:rPr>
              <w:t>ARTICLE V -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73"/>
        </w:trPr>
        <w:tc>
          <w:tcPr>
            <w:tcW w:w="380" w:type="dxa"/>
            <w:vAlign w:val="bottom"/>
          </w:tcPr>
          <w:p>
            <w:pPr>
              <w:spacing w:after="0"/>
              <w:rPr>
                <w:sz w:val="20"/>
                <w:szCs w:val="20"/>
                <w:color w:val="auto"/>
              </w:rPr>
            </w:pPr>
            <w:r>
              <w:rPr>
                <w:rFonts w:ascii="Arial" w:cs="Arial" w:eastAsia="Arial" w:hAnsi="Arial"/>
                <w:sz w:val="20"/>
                <w:szCs w:val="20"/>
                <w:color w:val="auto"/>
              </w:rPr>
              <w:t>5.1</w:t>
            </w:r>
          </w:p>
        </w:tc>
        <w:tc>
          <w:tcPr>
            <w:tcW w:w="7800" w:type="dxa"/>
            <w:vAlign w:val="bottom"/>
          </w:tcPr>
          <w:p>
            <w:pPr>
              <w:ind w:left="40"/>
              <w:spacing w:after="0"/>
              <w:rPr>
                <w:sz w:val="20"/>
                <w:szCs w:val="20"/>
                <w:color w:val="auto"/>
              </w:rPr>
            </w:pPr>
            <w:r>
              <w:rPr>
                <w:rFonts w:ascii="Arial" w:cs="Arial" w:eastAsia="Arial" w:hAnsi="Arial"/>
                <w:sz w:val="20"/>
                <w:szCs w:val="20"/>
                <w:color w:val="auto"/>
              </w:rPr>
              <w:t>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5.2</w:t>
            </w:r>
          </w:p>
        </w:tc>
        <w:tc>
          <w:tcPr>
            <w:tcW w:w="7800" w:type="dxa"/>
            <w:vAlign w:val="bottom"/>
          </w:tcPr>
          <w:p>
            <w:pPr>
              <w:ind w:left="40"/>
              <w:spacing w:after="0"/>
              <w:rPr>
                <w:sz w:val="20"/>
                <w:szCs w:val="20"/>
                <w:color w:val="auto"/>
              </w:rPr>
            </w:pPr>
            <w:r>
              <w:rPr>
                <w:rFonts w:ascii="Arial" w:cs="Arial" w:eastAsia="Arial" w:hAnsi="Arial"/>
                <w:sz w:val="20"/>
                <w:szCs w:val="20"/>
                <w:color w:val="auto"/>
              </w:rPr>
              <w:t>APPOINTMENT OF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5.3</w:t>
            </w:r>
          </w:p>
        </w:tc>
        <w:tc>
          <w:tcPr>
            <w:tcW w:w="7800" w:type="dxa"/>
            <w:vAlign w:val="bottom"/>
          </w:tcPr>
          <w:p>
            <w:pPr>
              <w:ind w:left="40"/>
              <w:spacing w:after="0"/>
              <w:rPr>
                <w:sz w:val="20"/>
                <w:szCs w:val="20"/>
                <w:color w:val="auto"/>
              </w:rPr>
            </w:pPr>
            <w:r>
              <w:rPr>
                <w:rFonts w:ascii="Arial" w:cs="Arial" w:eastAsia="Arial" w:hAnsi="Arial"/>
                <w:sz w:val="20"/>
                <w:szCs w:val="20"/>
                <w:color w:val="auto"/>
              </w:rPr>
              <w:t>SUBORDINATE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5.4</w:t>
            </w:r>
          </w:p>
        </w:tc>
        <w:tc>
          <w:tcPr>
            <w:tcW w:w="7800" w:type="dxa"/>
            <w:vAlign w:val="bottom"/>
          </w:tcPr>
          <w:p>
            <w:pPr>
              <w:ind w:left="40"/>
              <w:spacing w:after="0"/>
              <w:rPr>
                <w:sz w:val="20"/>
                <w:szCs w:val="20"/>
                <w:color w:val="auto"/>
              </w:rPr>
            </w:pPr>
            <w:r>
              <w:rPr>
                <w:rFonts w:ascii="Arial" w:cs="Arial" w:eastAsia="Arial" w:hAnsi="Arial"/>
                <w:sz w:val="20"/>
                <w:szCs w:val="20"/>
                <w:color w:val="auto"/>
              </w:rPr>
              <w:t>REMOVAL AND RESIGNATION OF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5.5</w:t>
            </w:r>
          </w:p>
        </w:tc>
        <w:tc>
          <w:tcPr>
            <w:tcW w:w="7800" w:type="dxa"/>
            <w:vAlign w:val="bottom"/>
          </w:tcPr>
          <w:p>
            <w:pPr>
              <w:ind w:left="40"/>
              <w:spacing w:after="0"/>
              <w:rPr>
                <w:sz w:val="20"/>
                <w:szCs w:val="20"/>
                <w:color w:val="auto"/>
              </w:rPr>
            </w:pPr>
            <w:r>
              <w:rPr>
                <w:rFonts w:ascii="Arial" w:cs="Arial" w:eastAsia="Arial" w:hAnsi="Arial"/>
                <w:sz w:val="20"/>
                <w:szCs w:val="20"/>
                <w:color w:val="auto"/>
              </w:rPr>
              <w:t>VACANCIES IN OFFICES</w:t>
            </w:r>
          </w:p>
        </w:tc>
        <w:tc>
          <w:tcPr>
            <w:tcW w:w="1820" w:type="dxa"/>
            <w:vAlign w:val="bottom"/>
          </w:tcPr>
          <w:p>
            <w:pPr>
              <w:jc w:val="right"/>
              <w:spacing w:after="0"/>
              <w:rPr>
                <w:sz w:val="20"/>
                <w:szCs w:val="20"/>
                <w:color w:val="auto"/>
              </w:rPr>
            </w:pPr>
            <w:r>
              <w:rPr>
                <w:rFonts w:ascii="Arial" w:cs="Arial" w:eastAsia="Arial" w:hAnsi="Arial"/>
                <w:sz w:val="20"/>
                <w:szCs w:val="20"/>
                <w:color w:val="auto"/>
              </w:rPr>
              <w:t>19</w:t>
            </w:r>
          </w:p>
        </w:tc>
      </w:tr>
    </w:tbl>
    <w:p>
      <w:pPr>
        <w:sectPr>
          <w:pgSz w:w="11900" w:h="16838" w:orient="portrait"/>
          <w:cols w:equalWidth="0" w:num="1">
            <w:col w:w="10520"/>
          </w:cols>
          <w:pgMar w:left="1040" w:top="98" w:right="339" w:bottom="1440" w:gutter="0" w:footer="0" w:header="0"/>
        </w:sectPr>
      </w:pPr>
    </w:p>
    <w:bookmarkStart w:id="8" w:name="page9"/>
    <w:bookmarkEnd w:id="8"/>
    <w:p>
      <w:pPr>
        <w:jc w:val="center"/>
        <w:ind w:right="80"/>
        <w:spacing w:after="0"/>
        <w:rPr>
          <w:sz w:val="20"/>
          <w:szCs w:val="20"/>
          <w:color w:val="auto"/>
        </w:rPr>
      </w:pPr>
      <w:r>
        <w:rPr>
          <w:rFonts w:ascii="Arial" w:cs="Arial" w:eastAsia="Arial" w:hAnsi="Arial"/>
          <w:sz w:val="20"/>
          <w:szCs w:val="20"/>
          <w:b w:val="1"/>
          <w:bCs w:val="1"/>
          <w:color w:val="auto"/>
        </w:rPr>
        <w:t>TABLE OF CONTENTS</w:t>
      </w:r>
    </w:p>
    <w:p>
      <w:pPr>
        <w:jc w:val="center"/>
        <w:ind w:right="80"/>
        <w:spacing w:after="0" w:line="197" w:lineRule="auto"/>
        <w:rPr>
          <w:sz w:val="20"/>
          <w:szCs w:val="20"/>
          <w:color w:val="auto"/>
        </w:rPr>
      </w:pPr>
      <w:r>
        <w:rPr>
          <w:rFonts w:ascii="Arial" w:cs="Arial" w:eastAsia="Arial" w:hAnsi="Arial"/>
          <w:sz w:val="20"/>
          <w:szCs w:val="20"/>
          <w:b w:val="1"/>
          <w:bCs w:val="1"/>
          <w:color w:val="auto"/>
        </w:rPr>
        <w:t>(continued)</w:t>
      </w:r>
    </w:p>
    <w:p>
      <w:pPr>
        <w:jc w:val="right"/>
        <w:spacing w:after="0"/>
        <w:rPr>
          <w:sz w:val="20"/>
          <w:szCs w:val="20"/>
          <w:color w:val="auto"/>
        </w:rPr>
      </w:pPr>
      <w:r>
        <w:rPr>
          <w:rFonts w:ascii="Arial" w:cs="Arial" w:eastAsia="Arial" w:hAnsi="Arial"/>
          <w:sz w:val="20"/>
          <w:szCs w:val="20"/>
          <w:b w:val="1"/>
          <w:bCs w:val="1"/>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0" w:type="dxa"/>
            <w:vAlign w:val="bottom"/>
          </w:tcPr>
          <w:p>
            <w:pPr>
              <w:ind w:left="640"/>
              <w:spacing w:after="0"/>
              <w:rPr>
                <w:sz w:val="20"/>
                <w:szCs w:val="20"/>
                <w:color w:val="auto"/>
              </w:rPr>
            </w:pPr>
            <w:r>
              <w:rPr>
                <w:rFonts w:ascii="Arial" w:cs="Arial" w:eastAsia="Arial" w:hAnsi="Arial"/>
                <w:sz w:val="20"/>
                <w:szCs w:val="20"/>
                <w:color w:val="auto"/>
              </w:rPr>
              <w:t>5.6</w:t>
            </w:r>
          </w:p>
        </w:tc>
        <w:tc>
          <w:tcPr>
            <w:tcW w:w="9060" w:type="dxa"/>
            <w:vAlign w:val="bottom"/>
          </w:tcPr>
          <w:p>
            <w:pPr>
              <w:ind w:left="80"/>
              <w:spacing w:after="0"/>
              <w:rPr>
                <w:sz w:val="20"/>
                <w:szCs w:val="20"/>
                <w:color w:val="auto"/>
              </w:rPr>
            </w:pPr>
            <w:r>
              <w:rPr>
                <w:rFonts w:ascii="Arial" w:cs="Arial" w:eastAsia="Arial" w:hAnsi="Arial"/>
                <w:sz w:val="20"/>
                <w:szCs w:val="20"/>
                <w:color w:val="auto"/>
              </w:rPr>
              <w:t>REPRESENTATION OF SECURITIES OF OTHER ENTITIES</w:t>
            </w:r>
          </w:p>
        </w:tc>
        <w:tc>
          <w:tcPr>
            <w:tcW w:w="60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513"/>
        </w:trPr>
        <w:tc>
          <w:tcPr>
            <w:tcW w:w="980" w:type="dxa"/>
            <w:vAlign w:val="bottom"/>
          </w:tcPr>
          <w:p>
            <w:pPr>
              <w:ind w:left="640"/>
              <w:spacing w:after="0"/>
              <w:rPr>
                <w:sz w:val="20"/>
                <w:szCs w:val="20"/>
                <w:color w:val="auto"/>
              </w:rPr>
            </w:pPr>
            <w:r>
              <w:rPr>
                <w:rFonts w:ascii="Arial" w:cs="Arial" w:eastAsia="Arial" w:hAnsi="Arial"/>
                <w:sz w:val="20"/>
                <w:szCs w:val="20"/>
                <w:color w:val="auto"/>
              </w:rPr>
              <w:t>5.7</w:t>
            </w:r>
          </w:p>
        </w:tc>
        <w:tc>
          <w:tcPr>
            <w:tcW w:w="9060" w:type="dxa"/>
            <w:vAlign w:val="bottom"/>
          </w:tcPr>
          <w:p>
            <w:pPr>
              <w:ind w:left="80"/>
              <w:spacing w:after="0"/>
              <w:rPr>
                <w:sz w:val="20"/>
                <w:szCs w:val="20"/>
                <w:color w:val="auto"/>
              </w:rPr>
            </w:pPr>
            <w:r>
              <w:rPr>
                <w:rFonts w:ascii="Arial" w:cs="Arial" w:eastAsia="Arial" w:hAnsi="Arial"/>
                <w:sz w:val="20"/>
                <w:szCs w:val="20"/>
                <w:color w:val="auto"/>
              </w:rPr>
              <w:t>AUTHORITY AND DUTIES OF OFFICERS</w:t>
            </w:r>
          </w:p>
        </w:tc>
        <w:tc>
          <w:tcPr>
            <w:tcW w:w="60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527"/>
        </w:trPr>
        <w:tc>
          <w:tcPr>
            <w:tcW w:w="10040" w:type="dxa"/>
            <w:vAlign w:val="bottom"/>
            <w:gridSpan w:val="2"/>
          </w:tcPr>
          <w:p>
            <w:pPr>
              <w:ind w:left="640"/>
              <w:spacing w:after="0"/>
              <w:rPr>
                <w:sz w:val="20"/>
                <w:szCs w:val="20"/>
                <w:color w:val="auto"/>
              </w:rPr>
            </w:pPr>
            <w:r>
              <w:rPr>
                <w:rFonts w:ascii="Arial" w:cs="Arial" w:eastAsia="Arial" w:hAnsi="Arial"/>
                <w:sz w:val="20"/>
                <w:szCs w:val="20"/>
                <w:color w:val="auto"/>
              </w:rPr>
              <w:t>ARTICLE VI - STOCK</w:t>
            </w:r>
          </w:p>
        </w:tc>
        <w:tc>
          <w:tcPr>
            <w:tcW w:w="60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486"/>
        </w:trPr>
        <w:tc>
          <w:tcPr>
            <w:tcW w:w="980" w:type="dxa"/>
            <w:vAlign w:val="bottom"/>
          </w:tcPr>
          <w:p>
            <w:pPr>
              <w:ind w:left="640"/>
              <w:spacing w:after="0"/>
              <w:rPr>
                <w:sz w:val="20"/>
                <w:szCs w:val="20"/>
                <w:color w:val="auto"/>
              </w:rPr>
            </w:pPr>
            <w:r>
              <w:rPr>
                <w:rFonts w:ascii="Arial" w:cs="Arial" w:eastAsia="Arial" w:hAnsi="Arial"/>
                <w:sz w:val="20"/>
                <w:szCs w:val="20"/>
                <w:color w:val="auto"/>
              </w:rPr>
              <w:t>6.1</w:t>
            </w:r>
          </w:p>
        </w:tc>
        <w:tc>
          <w:tcPr>
            <w:tcW w:w="9060" w:type="dxa"/>
            <w:vAlign w:val="bottom"/>
          </w:tcPr>
          <w:p>
            <w:pPr>
              <w:ind w:left="80"/>
              <w:spacing w:after="0"/>
              <w:rPr>
                <w:sz w:val="20"/>
                <w:szCs w:val="20"/>
                <w:color w:val="auto"/>
              </w:rPr>
            </w:pPr>
            <w:r>
              <w:rPr>
                <w:rFonts w:ascii="Arial" w:cs="Arial" w:eastAsia="Arial" w:hAnsi="Arial"/>
                <w:sz w:val="20"/>
                <w:szCs w:val="20"/>
                <w:color w:val="auto"/>
              </w:rPr>
              <w:t>STOCK CERTIFICATES; PARTLY PAID SHARES</w:t>
            </w:r>
          </w:p>
        </w:tc>
        <w:tc>
          <w:tcPr>
            <w:tcW w:w="6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500"/>
        </w:trPr>
        <w:tc>
          <w:tcPr>
            <w:tcW w:w="980" w:type="dxa"/>
            <w:vAlign w:val="bottom"/>
          </w:tcPr>
          <w:p>
            <w:pPr>
              <w:ind w:left="640"/>
              <w:spacing w:after="0"/>
              <w:rPr>
                <w:sz w:val="20"/>
                <w:szCs w:val="20"/>
                <w:color w:val="auto"/>
              </w:rPr>
            </w:pPr>
            <w:r>
              <w:rPr>
                <w:rFonts w:ascii="Arial" w:cs="Arial" w:eastAsia="Arial" w:hAnsi="Arial"/>
                <w:sz w:val="20"/>
                <w:szCs w:val="20"/>
                <w:color w:val="auto"/>
              </w:rPr>
              <w:t>6.2</w:t>
            </w:r>
          </w:p>
        </w:tc>
        <w:tc>
          <w:tcPr>
            <w:tcW w:w="9060" w:type="dxa"/>
            <w:vAlign w:val="bottom"/>
          </w:tcPr>
          <w:p>
            <w:pPr>
              <w:ind w:left="80"/>
              <w:spacing w:after="0"/>
              <w:rPr>
                <w:sz w:val="20"/>
                <w:szCs w:val="20"/>
                <w:color w:val="auto"/>
              </w:rPr>
            </w:pPr>
            <w:r>
              <w:rPr>
                <w:rFonts w:ascii="Arial" w:cs="Arial" w:eastAsia="Arial" w:hAnsi="Arial"/>
                <w:sz w:val="20"/>
                <w:szCs w:val="20"/>
                <w:color w:val="auto"/>
              </w:rPr>
              <w:t>SPECIAL DESIGNATION ON CERTIFICATES</w:t>
            </w:r>
          </w:p>
        </w:tc>
        <w:tc>
          <w:tcPr>
            <w:tcW w:w="6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513"/>
        </w:trPr>
        <w:tc>
          <w:tcPr>
            <w:tcW w:w="980" w:type="dxa"/>
            <w:vAlign w:val="bottom"/>
          </w:tcPr>
          <w:p>
            <w:pPr>
              <w:ind w:left="640"/>
              <w:spacing w:after="0"/>
              <w:rPr>
                <w:sz w:val="20"/>
                <w:szCs w:val="20"/>
                <w:color w:val="auto"/>
              </w:rPr>
            </w:pPr>
            <w:r>
              <w:rPr>
                <w:rFonts w:ascii="Arial" w:cs="Arial" w:eastAsia="Arial" w:hAnsi="Arial"/>
                <w:sz w:val="20"/>
                <w:szCs w:val="20"/>
                <w:color w:val="auto"/>
              </w:rPr>
              <w:t>6.3</w:t>
            </w:r>
          </w:p>
        </w:tc>
        <w:tc>
          <w:tcPr>
            <w:tcW w:w="9060" w:type="dxa"/>
            <w:vAlign w:val="bottom"/>
          </w:tcPr>
          <w:p>
            <w:pPr>
              <w:ind w:left="80"/>
              <w:spacing w:after="0"/>
              <w:rPr>
                <w:sz w:val="20"/>
                <w:szCs w:val="20"/>
                <w:color w:val="auto"/>
              </w:rPr>
            </w:pPr>
            <w:r>
              <w:rPr>
                <w:rFonts w:ascii="Arial" w:cs="Arial" w:eastAsia="Arial" w:hAnsi="Arial"/>
                <w:sz w:val="20"/>
                <w:szCs w:val="20"/>
                <w:color w:val="auto"/>
              </w:rPr>
              <w:t>LOST CERTIFICATES</w:t>
            </w:r>
          </w:p>
        </w:tc>
        <w:tc>
          <w:tcPr>
            <w:tcW w:w="6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500"/>
        </w:trPr>
        <w:tc>
          <w:tcPr>
            <w:tcW w:w="980" w:type="dxa"/>
            <w:vAlign w:val="bottom"/>
          </w:tcPr>
          <w:p>
            <w:pPr>
              <w:ind w:left="640"/>
              <w:spacing w:after="0"/>
              <w:rPr>
                <w:sz w:val="20"/>
                <w:szCs w:val="20"/>
                <w:color w:val="auto"/>
              </w:rPr>
            </w:pPr>
            <w:r>
              <w:rPr>
                <w:rFonts w:ascii="Arial" w:cs="Arial" w:eastAsia="Arial" w:hAnsi="Arial"/>
                <w:sz w:val="20"/>
                <w:szCs w:val="20"/>
                <w:color w:val="auto"/>
              </w:rPr>
              <w:t>6.4</w:t>
            </w:r>
          </w:p>
        </w:tc>
        <w:tc>
          <w:tcPr>
            <w:tcW w:w="9060" w:type="dxa"/>
            <w:vAlign w:val="bottom"/>
          </w:tcPr>
          <w:p>
            <w:pPr>
              <w:ind w:left="80"/>
              <w:spacing w:after="0"/>
              <w:rPr>
                <w:sz w:val="20"/>
                <w:szCs w:val="20"/>
                <w:color w:val="auto"/>
              </w:rPr>
            </w:pPr>
            <w:r>
              <w:rPr>
                <w:rFonts w:ascii="Arial" w:cs="Arial" w:eastAsia="Arial" w:hAnsi="Arial"/>
                <w:sz w:val="20"/>
                <w:szCs w:val="20"/>
                <w:color w:val="auto"/>
              </w:rPr>
              <w:t>DIVIDENDS</w:t>
            </w:r>
          </w:p>
        </w:tc>
        <w:tc>
          <w:tcPr>
            <w:tcW w:w="6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513"/>
        </w:trPr>
        <w:tc>
          <w:tcPr>
            <w:tcW w:w="980" w:type="dxa"/>
            <w:vAlign w:val="bottom"/>
          </w:tcPr>
          <w:p>
            <w:pPr>
              <w:ind w:left="640"/>
              <w:spacing w:after="0"/>
              <w:rPr>
                <w:sz w:val="20"/>
                <w:szCs w:val="20"/>
                <w:color w:val="auto"/>
              </w:rPr>
            </w:pPr>
            <w:r>
              <w:rPr>
                <w:rFonts w:ascii="Arial" w:cs="Arial" w:eastAsia="Arial" w:hAnsi="Arial"/>
                <w:sz w:val="20"/>
                <w:szCs w:val="20"/>
                <w:color w:val="auto"/>
              </w:rPr>
              <w:t>6.5</w:t>
            </w:r>
          </w:p>
        </w:tc>
        <w:tc>
          <w:tcPr>
            <w:tcW w:w="9060" w:type="dxa"/>
            <w:vAlign w:val="bottom"/>
          </w:tcPr>
          <w:p>
            <w:pPr>
              <w:ind w:left="80"/>
              <w:spacing w:after="0"/>
              <w:rPr>
                <w:sz w:val="20"/>
                <w:szCs w:val="20"/>
                <w:color w:val="auto"/>
              </w:rPr>
            </w:pPr>
            <w:r>
              <w:rPr>
                <w:rFonts w:ascii="Arial" w:cs="Arial" w:eastAsia="Arial" w:hAnsi="Arial"/>
                <w:sz w:val="20"/>
                <w:szCs w:val="20"/>
                <w:color w:val="auto"/>
              </w:rPr>
              <w:t>TRANSFER OF STOCK</w:t>
            </w:r>
          </w:p>
        </w:tc>
        <w:tc>
          <w:tcPr>
            <w:tcW w:w="6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513"/>
        </w:trPr>
        <w:tc>
          <w:tcPr>
            <w:tcW w:w="980" w:type="dxa"/>
            <w:vAlign w:val="bottom"/>
          </w:tcPr>
          <w:p>
            <w:pPr>
              <w:ind w:left="640"/>
              <w:spacing w:after="0"/>
              <w:rPr>
                <w:sz w:val="20"/>
                <w:szCs w:val="20"/>
                <w:color w:val="auto"/>
              </w:rPr>
            </w:pPr>
            <w:r>
              <w:rPr>
                <w:rFonts w:ascii="Arial" w:cs="Arial" w:eastAsia="Arial" w:hAnsi="Arial"/>
                <w:sz w:val="20"/>
                <w:szCs w:val="20"/>
                <w:color w:val="auto"/>
              </w:rPr>
              <w:t>6.6</w:t>
            </w:r>
          </w:p>
        </w:tc>
        <w:tc>
          <w:tcPr>
            <w:tcW w:w="9060" w:type="dxa"/>
            <w:vAlign w:val="bottom"/>
          </w:tcPr>
          <w:p>
            <w:pPr>
              <w:ind w:left="80"/>
              <w:spacing w:after="0"/>
              <w:rPr>
                <w:sz w:val="20"/>
                <w:szCs w:val="20"/>
                <w:color w:val="auto"/>
              </w:rPr>
            </w:pPr>
            <w:r>
              <w:rPr>
                <w:rFonts w:ascii="Arial" w:cs="Arial" w:eastAsia="Arial" w:hAnsi="Arial"/>
                <w:sz w:val="20"/>
                <w:szCs w:val="20"/>
                <w:color w:val="auto"/>
              </w:rPr>
              <w:t>STOCK TRANSFER AGREEMENTS</w:t>
            </w:r>
          </w:p>
        </w:tc>
        <w:tc>
          <w:tcPr>
            <w:tcW w:w="6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499"/>
        </w:trPr>
        <w:tc>
          <w:tcPr>
            <w:tcW w:w="980" w:type="dxa"/>
            <w:vAlign w:val="bottom"/>
          </w:tcPr>
          <w:p>
            <w:pPr>
              <w:ind w:left="640"/>
              <w:spacing w:after="0"/>
              <w:rPr>
                <w:sz w:val="20"/>
                <w:szCs w:val="20"/>
                <w:color w:val="auto"/>
              </w:rPr>
            </w:pPr>
            <w:r>
              <w:rPr>
                <w:rFonts w:ascii="Arial" w:cs="Arial" w:eastAsia="Arial" w:hAnsi="Arial"/>
                <w:sz w:val="20"/>
                <w:szCs w:val="20"/>
                <w:color w:val="auto"/>
              </w:rPr>
              <w:t>6.7</w:t>
            </w:r>
          </w:p>
        </w:tc>
        <w:tc>
          <w:tcPr>
            <w:tcW w:w="9060" w:type="dxa"/>
            <w:vAlign w:val="bottom"/>
          </w:tcPr>
          <w:p>
            <w:pPr>
              <w:ind w:left="80"/>
              <w:spacing w:after="0"/>
              <w:rPr>
                <w:sz w:val="20"/>
                <w:szCs w:val="20"/>
                <w:color w:val="auto"/>
              </w:rPr>
            </w:pPr>
            <w:r>
              <w:rPr>
                <w:rFonts w:ascii="Arial" w:cs="Arial" w:eastAsia="Arial" w:hAnsi="Arial"/>
                <w:sz w:val="20"/>
                <w:szCs w:val="20"/>
                <w:color w:val="auto"/>
              </w:rPr>
              <w:t>REGISTERED STOCKHOLDERS</w:t>
            </w:r>
          </w:p>
        </w:tc>
        <w:tc>
          <w:tcPr>
            <w:tcW w:w="6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540"/>
        </w:trPr>
        <w:tc>
          <w:tcPr>
            <w:tcW w:w="10040" w:type="dxa"/>
            <w:vAlign w:val="bottom"/>
            <w:gridSpan w:val="2"/>
          </w:tcPr>
          <w:p>
            <w:pPr>
              <w:ind w:left="640"/>
              <w:spacing w:after="0"/>
              <w:rPr>
                <w:sz w:val="20"/>
                <w:szCs w:val="20"/>
                <w:color w:val="auto"/>
              </w:rPr>
            </w:pPr>
            <w:r>
              <w:rPr>
                <w:rFonts w:ascii="Arial" w:cs="Arial" w:eastAsia="Arial" w:hAnsi="Arial"/>
                <w:sz w:val="20"/>
                <w:szCs w:val="20"/>
                <w:color w:val="auto"/>
              </w:rPr>
              <w:t>ARTICLE VII - MANNER OF GIVING NOTICE AND WAIVER</w:t>
            </w:r>
          </w:p>
        </w:tc>
        <w:tc>
          <w:tcPr>
            <w:tcW w:w="6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473"/>
        </w:trPr>
        <w:tc>
          <w:tcPr>
            <w:tcW w:w="980" w:type="dxa"/>
            <w:vAlign w:val="bottom"/>
          </w:tcPr>
          <w:p>
            <w:pPr>
              <w:ind w:left="640"/>
              <w:spacing w:after="0"/>
              <w:rPr>
                <w:sz w:val="20"/>
                <w:szCs w:val="20"/>
                <w:color w:val="auto"/>
              </w:rPr>
            </w:pPr>
            <w:r>
              <w:rPr>
                <w:rFonts w:ascii="Arial" w:cs="Arial" w:eastAsia="Arial" w:hAnsi="Arial"/>
                <w:sz w:val="20"/>
                <w:szCs w:val="20"/>
                <w:color w:val="auto"/>
              </w:rPr>
              <w:t>7.1</w:t>
            </w:r>
          </w:p>
        </w:tc>
        <w:tc>
          <w:tcPr>
            <w:tcW w:w="9060" w:type="dxa"/>
            <w:vAlign w:val="bottom"/>
          </w:tcPr>
          <w:p>
            <w:pPr>
              <w:ind w:left="80"/>
              <w:spacing w:after="0"/>
              <w:rPr>
                <w:sz w:val="20"/>
                <w:szCs w:val="20"/>
                <w:color w:val="auto"/>
              </w:rPr>
            </w:pPr>
            <w:r>
              <w:rPr>
                <w:rFonts w:ascii="Arial" w:cs="Arial" w:eastAsia="Arial" w:hAnsi="Arial"/>
                <w:sz w:val="20"/>
                <w:szCs w:val="20"/>
                <w:color w:val="auto"/>
              </w:rPr>
              <w:t>NOTICE OF STOCKHOLDERS’ MEETINGS</w:t>
            </w:r>
          </w:p>
        </w:tc>
        <w:tc>
          <w:tcPr>
            <w:tcW w:w="6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513"/>
        </w:trPr>
        <w:tc>
          <w:tcPr>
            <w:tcW w:w="980" w:type="dxa"/>
            <w:vAlign w:val="bottom"/>
          </w:tcPr>
          <w:p>
            <w:pPr>
              <w:ind w:left="640"/>
              <w:spacing w:after="0"/>
              <w:rPr>
                <w:sz w:val="20"/>
                <w:szCs w:val="20"/>
                <w:color w:val="auto"/>
              </w:rPr>
            </w:pPr>
            <w:r>
              <w:rPr>
                <w:rFonts w:ascii="Arial" w:cs="Arial" w:eastAsia="Arial" w:hAnsi="Arial"/>
                <w:sz w:val="20"/>
                <w:szCs w:val="20"/>
                <w:color w:val="auto"/>
              </w:rPr>
              <w:t>7.2</w:t>
            </w:r>
          </w:p>
        </w:tc>
        <w:tc>
          <w:tcPr>
            <w:tcW w:w="9060" w:type="dxa"/>
            <w:vAlign w:val="bottom"/>
          </w:tcPr>
          <w:p>
            <w:pPr>
              <w:ind w:left="80"/>
              <w:spacing w:after="0"/>
              <w:rPr>
                <w:sz w:val="20"/>
                <w:szCs w:val="20"/>
                <w:color w:val="auto"/>
              </w:rPr>
            </w:pPr>
            <w:r>
              <w:rPr>
                <w:rFonts w:ascii="Arial" w:cs="Arial" w:eastAsia="Arial" w:hAnsi="Arial"/>
                <w:sz w:val="20"/>
                <w:szCs w:val="20"/>
                <w:color w:val="auto"/>
              </w:rPr>
              <w:t>NOTICE TO STOCKHOLDERS SHARING AN ADDRESS</w:t>
            </w:r>
          </w:p>
        </w:tc>
        <w:tc>
          <w:tcPr>
            <w:tcW w:w="60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513"/>
        </w:trPr>
        <w:tc>
          <w:tcPr>
            <w:tcW w:w="980" w:type="dxa"/>
            <w:vAlign w:val="bottom"/>
          </w:tcPr>
          <w:p>
            <w:pPr>
              <w:ind w:left="640"/>
              <w:spacing w:after="0"/>
              <w:rPr>
                <w:sz w:val="20"/>
                <w:szCs w:val="20"/>
                <w:color w:val="auto"/>
              </w:rPr>
            </w:pPr>
            <w:r>
              <w:rPr>
                <w:rFonts w:ascii="Arial" w:cs="Arial" w:eastAsia="Arial" w:hAnsi="Arial"/>
                <w:sz w:val="20"/>
                <w:szCs w:val="20"/>
                <w:color w:val="auto"/>
              </w:rPr>
              <w:t>7.3</w:t>
            </w:r>
          </w:p>
        </w:tc>
        <w:tc>
          <w:tcPr>
            <w:tcW w:w="9060" w:type="dxa"/>
            <w:vAlign w:val="bottom"/>
          </w:tcPr>
          <w:p>
            <w:pPr>
              <w:ind w:left="80"/>
              <w:spacing w:after="0"/>
              <w:rPr>
                <w:sz w:val="20"/>
                <w:szCs w:val="20"/>
                <w:color w:val="auto"/>
              </w:rPr>
            </w:pPr>
            <w:r>
              <w:rPr>
                <w:rFonts w:ascii="Arial" w:cs="Arial" w:eastAsia="Arial" w:hAnsi="Arial"/>
                <w:sz w:val="20"/>
                <w:szCs w:val="20"/>
                <w:color w:val="auto"/>
              </w:rPr>
              <w:t>NOTICE TO PERSON WITH WHOM COMMUNICATION IS UNLAWFUL</w:t>
            </w:r>
          </w:p>
        </w:tc>
        <w:tc>
          <w:tcPr>
            <w:tcW w:w="60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499"/>
        </w:trPr>
        <w:tc>
          <w:tcPr>
            <w:tcW w:w="980" w:type="dxa"/>
            <w:vAlign w:val="bottom"/>
          </w:tcPr>
          <w:p>
            <w:pPr>
              <w:ind w:left="640"/>
              <w:spacing w:after="0"/>
              <w:rPr>
                <w:sz w:val="20"/>
                <w:szCs w:val="20"/>
                <w:color w:val="auto"/>
              </w:rPr>
            </w:pPr>
            <w:r>
              <w:rPr>
                <w:rFonts w:ascii="Arial" w:cs="Arial" w:eastAsia="Arial" w:hAnsi="Arial"/>
                <w:sz w:val="20"/>
                <w:szCs w:val="20"/>
                <w:color w:val="auto"/>
              </w:rPr>
              <w:t>7.4</w:t>
            </w:r>
          </w:p>
        </w:tc>
        <w:tc>
          <w:tcPr>
            <w:tcW w:w="9060" w:type="dxa"/>
            <w:vAlign w:val="bottom"/>
          </w:tcPr>
          <w:p>
            <w:pPr>
              <w:ind w:left="80"/>
              <w:spacing w:after="0"/>
              <w:rPr>
                <w:sz w:val="20"/>
                <w:szCs w:val="20"/>
                <w:color w:val="auto"/>
              </w:rPr>
            </w:pPr>
            <w:r>
              <w:rPr>
                <w:rFonts w:ascii="Arial" w:cs="Arial" w:eastAsia="Arial" w:hAnsi="Arial"/>
                <w:sz w:val="20"/>
                <w:szCs w:val="20"/>
                <w:color w:val="auto"/>
              </w:rPr>
              <w:t>WAIVER OF NOTICE</w:t>
            </w:r>
          </w:p>
        </w:tc>
        <w:tc>
          <w:tcPr>
            <w:tcW w:w="60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540"/>
        </w:trPr>
        <w:tc>
          <w:tcPr>
            <w:tcW w:w="10040" w:type="dxa"/>
            <w:vAlign w:val="bottom"/>
            <w:gridSpan w:val="2"/>
          </w:tcPr>
          <w:p>
            <w:pPr>
              <w:ind w:left="640"/>
              <w:spacing w:after="0"/>
              <w:rPr>
                <w:sz w:val="20"/>
                <w:szCs w:val="20"/>
                <w:color w:val="auto"/>
              </w:rPr>
            </w:pPr>
            <w:r>
              <w:rPr>
                <w:rFonts w:ascii="Arial" w:cs="Arial" w:eastAsia="Arial" w:hAnsi="Arial"/>
                <w:sz w:val="20"/>
                <w:szCs w:val="20"/>
                <w:color w:val="auto"/>
              </w:rPr>
              <w:t>ARTICLE VIII - INDEMNIFICATION</w:t>
            </w:r>
          </w:p>
        </w:tc>
        <w:tc>
          <w:tcPr>
            <w:tcW w:w="60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473"/>
        </w:trPr>
        <w:tc>
          <w:tcPr>
            <w:tcW w:w="980" w:type="dxa"/>
            <w:vAlign w:val="bottom"/>
          </w:tcPr>
          <w:p>
            <w:pPr>
              <w:ind w:left="640"/>
              <w:spacing w:after="0"/>
              <w:rPr>
                <w:sz w:val="20"/>
                <w:szCs w:val="20"/>
                <w:color w:val="auto"/>
              </w:rPr>
            </w:pPr>
            <w:r>
              <w:rPr>
                <w:rFonts w:ascii="Arial" w:cs="Arial" w:eastAsia="Arial" w:hAnsi="Arial"/>
                <w:sz w:val="20"/>
                <w:szCs w:val="20"/>
                <w:color w:val="auto"/>
              </w:rPr>
              <w:t>8.1</w:t>
            </w:r>
          </w:p>
        </w:tc>
        <w:tc>
          <w:tcPr>
            <w:tcW w:w="9060" w:type="dxa"/>
            <w:vAlign w:val="bottom"/>
          </w:tcPr>
          <w:p>
            <w:pPr>
              <w:ind w:left="80"/>
              <w:spacing w:after="0"/>
              <w:rPr>
                <w:sz w:val="20"/>
                <w:szCs w:val="20"/>
                <w:color w:val="auto"/>
              </w:rPr>
            </w:pPr>
            <w:r>
              <w:rPr>
                <w:rFonts w:ascii="Arial" w:cs="Arial" w:eastAsia="Arial" w:hAnsi="Arial"/>
                <w:sz w:val="20"/>
                <w:szCs w:val="20"/>
                <w:color w:val="auto"/>
              </w:rPr>
              <w:t>INDEMNIFICATION OF DIRECTORS AND OFFICERS IN THIRD PARTY PROCEEDINGS</w:t>
            </w:r>
          </w:p>
        </w:tc>
        <w:tc>
          <w:tcPr>
            <w:tcW w:w="60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479"/>
        </w:trPr>
        <w:tc>
          <w:tcPr>
            <w:tcW w:w="980" w:type="dxa"/>
            <w:vAlign w:val="bottom"/>
          </w:tcPr>
          <w:p>
            <w:pPr>
              <w:ind w:left="640"/>
              <w:spacing w:after="0"/>
              <w:rPr>
                <w:sz w:val="20"/>
                <w:szCs w:val="20"/>
                <w:color w:val="auto"/>
              </w:rPr>
            </w:pPr>
            <w:r>
              <w:rPr>
                <w:rFonts w:ascii="Arial" w:cs="Arial" w:eastAsia="Arial" w:hAnsi="Arial"/>
                <w:sz w:val="20"/>
                <w:szCs w:val="20"/>
                <w:color w:val="auto"/>
              </w:rPr>
              <w:t>8.2</w:t>
            </w:r>
          </w:p>
        </w:tc>
        <w:tc>
          <w:tcPr>
            <w:tcW w:w="9060" w:type="dxa"/>
            <w:vAlign w:val="bottom"/>
          </w:tcPr>
          <w:p>
            <w:pPr>
              <w:ind w:left="100"/>
              <w:spacing w:after="0"/>
              <w:rPr>
                <w:sz w:val="20"/>
                <w:szCs w:val="20"/>
                <w:color w:val="auto"/>
              </w:rPr>
            </w:pPr>
            <w:r>
              <w:rPr>
                <w:rFonts w:ascii="Arial" w:cs="Arial" w:eastAsia="Arial" w:hAnsi="Arial"/>
                <w:sz w:val="20"/>
                <w:szCs w:val="20"/>
                <w:color w:val="auto"/>
                <w:w w:val="99"/>
              </w:rPr>
              <w:t>INDEMNIFICATION OF DIRECTORS AND OFFICERS IN ACTIONS BY OR IN THE RIGHT OF THE</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50"/>
        </w:trPr>
        <w:tc>
          <w:tcPr>
            <w:tcW w:w="10040" w:type="dxa"/>
            <w:vAlign w:val="bottom"/>
            <w:gridSpan w:val="2"/>
          </w:tcPr>
          <w:p>
            <w:pPr>
              <w:spacing w:after="0"/>
              <w:rPr>
                <w:sz w:val="20"/>
                <w:szCs w:val="20"/>
                <w:color w:val="auto"/>
              </w:rPr>
            </w:pPr>
            <w:r>
              <w:rPr>
                <w:rFonts w:ascii="Arial" w:cs="Arial" w:eastAsia="Arial" w:hAnsi="Arial"/>
                <w:sz w:val="20"/>
                <w:szCs w:val="20"/>
                <w:color w:val="auto"/>
              </w:rPr>
              <w:t>CORPORATION</w:t>
            </w: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980" w:type="dxa"/>
            <w:vAlign w:val="bottom"/>
          </w:tcPr>
          <w:p>
            <w:pPr>
              <w:ind w:left="640"/>
              <w:spacing w:after="0"/>
              <w:rPr>
                <w:sz w:val="20"/>
                <w:szCs w:val="20"/>
                <w:color w:val="auto"/>
              </w:rPr>
            </w:pPr>
            <w:r>
              <w:rPr>
                <w:rFonts w:ascii="Arial" w:cs="Arial" w:eastAsia="Arial" w:hAnsi="Arial"/>
                <w:sz w:val="20"/>
                <w:szCs w:val="20"/>
                <w:color w:val="auto"/>
              </w:rPr>
              <w:t>8.3</w:t>
            </w:r>
          </w:p>
        </w:tc>
        <w:tc>
          <w:tcPr>
            <w:tcW w:w="9060" w:type="dxa"/>
            <w:vAlign w:val="bottom"/>
          </w:tcPr>
          <w:p>
            <w:pPr>
              <w:ind w:left="80"/>
              <w:spacing w:after="0"/>
              <w:rPr>
                <w:sz w:val="20"/>
                <w:szCs w:val="20"/>
                <w:color w:val="auto"/>
              </w:rPr>
            </w:pPr>
            <w:r>
              <w:rPr>
                <w:rFonts w:ascii="Arial" w:cs="Arial" w:eastAsia="Arial" w:hAnsi="Arial"/>
                <w:sz w:val="20"/>
                <w:szCs w:val="20"/>
                <w:color w:val="auto"/>
              </w:rPr>
              <w:t>SUCCESSFUL DEFENSE</w:t>
            </w:r>
          </w:p>
        </w:tc>
        <w:tc>
          <w:tcPr>
            <w:tcW w:w="60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513"/>
        </w:trPr>
        <w:tc>
          <w:tcPr>
            <w:tcW w:w="980" w:type="dxa"/>
            <w:vAlign w:val="bottom"/>
          </w:tcPr>
          <w:p>
            <w:pPr>
              <w:ind w:left="640"/>
              <w:spacing w:after="0"/>
              <w:rPr>
                <w:sz w:val="20"/>
                <w:szCs w:val="20"/>
                <w:color w:val="auto"/>
              </w:rPr>
            </w:pPr>
            <w:r>
              <w:rPr>
                <w:rFonts w:ascii="Arial" w:cs="Arial" w:eastAsia="Arial" w:hAnsi="Arial"/>
                <w:sz w:val="20"/>
                <w:szCs w:val="20"/>
                <w:color w:val="auto"/>
              </w:rPr>
              <w:t>8.4</w:t>
            </w:r>
          </w:p>
        </w:tc>
        <w:tc>
          <w:tcPr>
            <w:tcW w:w="9060" w:type="dxa"/>
            <w:vAlign w:val="bottom"/>
          </w:tcPr>
          <w:p>
            <w:pPr>
              <w:ind w:left="80"/>
              <w:spacing w:after="0"/>
              <w:rPr>
                <w:sz w:val="20"/>
                <w:szCs w:val="20"/>
                <w:color w:val="auto"/>
              </w:rPr>
            </w:pPr>
            <w:r>
              <w:rPr>
                <w:rFonts w:ascii="Arial" w:cs="Arial" w:eastAsia="Arial" w:hAnsi="Arial"/>
                <w:sz w:val="20"/>
                <w:szCs w:val="20"/>
                <w:color w:val="auto"/>
              </w:rPr>
              <w:t>INDEMNIFICATION OF OTHERS</w:t>
            </w:r>
          </w:p>
        </w:tc>
        <w:tc>
          <w:tcPr>
            <w:tcW w:w="60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bl>
    <w:p>
      <w:pPr>
        <w:sectPr>
          <w:pgSz w:w="11900" w:h="16838" w:orient="portrait"/>
          <w:cols w:equalWidth="0" w:num="1">
            <w:col w:w="11160"/>
          </w:cols>
          <w:pgMar w:left="400" w:top="98" w:right="339" w:bottom="1440" w:gutter="0" w:footer="0" w:header="0"/>
        </w:sectPr>
      </w:pPr>
    </w:p>
    <w:bookmarkStart w:id="9" w:name="page10"/>
    <w:bookmarkEnd w:id="9"/>
    <w:p>
      <w:pPr>
        <w:jc w:val="center"/>
        <w:ind w:right="720"/>
        <w:spacing w:after="0"/>
        <w:rPr>
          <w:sz w:val="20"/>
          <w:szCs w:val="20"/>
          <w:color w:val="auto"/>
        </w:rPr>
      </w:pPr>
      <w:r>
        <w:rPr>
          <w:rFonts w:ascii="Arial" w:cs="Arial" w:eastAsia="Arial" w:hAnsi="Arial"/>
          <w:sz w:val="20"/>
          <w:szCs w:val="20"/>
          <w:b w:val="1"/>
          <w:bCs w:val="1"/>
          <w:color w:val="auto"/>
        </w:rPr>
        <w:t>TABLE OF CONTENTS</w:t>
      </w:r>
    </w:p>
    <w:p>
      <w:pPr>
        <w:jc w:val="center"/>
        <w:ind w:right="720"/>
        <w:spacing w:after="0" w:line="197" w:lineRule="auto"/>
        <w:rPr>
          <w:sz w:val="20"/>
          <w:szCs w:val="20"/>
          <w:color w:val="auto"/>
        </w:rPr>
      </w:pPr>
      <w:r>
        <w:rPr>
          <w:rFonts w:ascii="Arial" w:cs="Arial" w:eastAsia="Arial" w:hAnsi="Arial"/>
          <w:sz w:val="20"/>
          <w:szCs w:val="20"/>
          <w:b w:val="1"/>
          <w:bCs w:val="1"/>
          <w:color w:val="auto"/>
        </w:rPr>
        <w:t>(continued)</w:t>
      </w:r>
    </w:p>
    <w:p>
      <w:pPr>
        <w:jc w:val="right"/>
        <w:spacing w:after="0"/>
        <w:rPr>
          <w:sz w:val="20"/>
          <w:szCs w:val="20"/>
          <w:color w:val="auto"/>
        </w:rPr>
      </w:pPr>
      <w:r>
        <w:rPr>
          <w:rFonts w:ascii="Arial" w:cs="Arial" w:eastAsia="Arial" w:hAnsi="Arial"/>
          <w:sz w:val="20"/>
          <w:szCs w:val="20"/>
          <w:b w:val="1"/>
          <w:bCs w:val="1"/>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Pr>
          <w:p>
            <w:pPr>
              <w:spacing w:after="0"/>
              <w:rPr>
                <w:sz w:val="20"/>
                <w:szCs w:val="20"/>
                <w:color w:val="auto"/>
              </w:rPr>
            </w:pPr>
            <w:r>
              <w:rPr>
                <w:rFonts w:ascii="Arial" w:cs="Arial" w:eastAsia="Arial" w:hAnsi="Arial"/>
                <w:sz w:val="20"/>
                <w:szCs w:val="20"/>
                <w:color w:val="auto"/>
              </w:rPr>
              <w:t>8.5</w:t>
            </w:r>
          </w:p>
        </w:tc>
        <w:tc>
          <w:tcPr>
            <w:tcW w:w="7620" w:type="dxa"/>
            <w:vAlign w:val="bottom"/>
          </w:tcPr>
          <w:p>
            <w:pPr>
              <w:ind w:left="40"/>
              <w:spacing w:after="0"/>
              <w:rPr>
                <w:sz w:val="20"/>
                <w:szCs w:val="20"/>
                <w:color w:val="auto"/>
              </w:rPr>
            </w:pPr>
            <w:r>
              <w:rPr>
                <w:rFonts w:ascii="Arial" w:cs="Arial" w:eastAsia="Arial" w:hAnsi="Arial"/>
                <w:sz w:val="20"/>
                <w:szCs w:val="20"/>
                <w:color w:val="auto"/>
              </w:rPr>
              <w:t>ADVANCED PAYMENT OF EXPENSES</w:t>
            </w:r>
          </w:p>
        </w:tc>
        <w:tc>
          <w:tcPr>
            <w:tcW w:w="20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8.6</w:t>
            </w:r>
          </w:p>
        </w:tc>
        <w:tc>
          <w:tcPr>
            <w:tcW w:w="7620" w:type="dxa"/>
            <w:vAlign w:val="bottom"/>
          </w:tcPr>
          <w:p>
            <w:pPr>
              <w:ind w:left="40"/>
              <w:spacing w:after="0"/>
              <w:rPr>
                <w:sz w:val="20"/>
                <w:szCs w:val="20"/>
                <w:color w:val="auto"/>
              </w:rPr>
            </w:pPr>
            <w:r>
              <w:rPr>
                <w:rFonts w:ascii="Arial" w:cs="Arial" w:eastAsia="Arial" w:hAnsi="Arial"/>
                <w:sz w:val="20"/>
                <w:szCs w:val="20"/>
                <w:color w:val="auto"/>
              </w:rPr>
              <w:t>LIMITATION ON INDEMNIFICATION</w:t>
            </w:r>
          </w:p>
        </w:tc>
        <w:tc>
          <w:tcPr>
            <w:tcW w:w="20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8.7</w:t>
            </w:r>
          </w:p>
        </w:tc>
        <w:tc>
          <w:tcPr>
            <w:tcW w:w="7620" w:type="dxa"/>
            <w:vAlign w:val="bottom"/>
          </w:tcPr>
          <w:p>
            <w:pPr>
              <w:ind w:left="40"/>
              <w:spacing w:after="0"/>
              <w:rPr>
                <w:sz w:val="20"/>
                <w:szCs w:val="20"/>
                <w:color w:val="auto"/>
              </w:rPr>
            </w:pPr>
            <w:r>
              <w:rPr>
                <w:rFonts w:ascii="Arial" w:cs="Arial" w:eastAsia="Arial" w:hAnsi="Arial"/>
                <w:sz w:val="20"/>
                <w:szCs w:val="20"/>
                <w:color w:val="auto"/>
              </w:rPr>
              <w:t>DETERMINATION; CLAIM</w:t>
            </w:r>
          </w:p>
        </w:tc>
        <w:tc>
          <w:tcPr>
            <w:tcW w:w="20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8.8</w:t>
            </w:r>
          </w:p>
        </w:tc>
        <w:tc>
          <w:tcPr>
            <w:tcW w:w="7620" w:type="dxa"/>
            <w:vAlign w:val="bottom"/>
          </w:tcPr>
          <w:p>
            <w:pPr>
              <w:ind w:left="40"/>
              <w:spacing w:after="0"/>
              <w:rPr>
                <w:sz w:val="20"/>
                <w:szCs w:val="20"/>
                <w:color w:val="auto"/>
              </w:rPr>
            </w:pPr>
            <w:r>
              <w:rPr>
                <w:rFonts w:ascii="Arial" w:cs="Arial" w:eastAsia="Arial" w:hAnsi="Arial"/>
                <w:sz w:val="20"/>
                <w:szCs w:val="20"/>
                <w:color w:val="auto"/>
              </w:rPr>
              <w:t>NON-EXCLUSIVITY OF RIGHTS</w:t>
            </w:r>
          </w:p>
        </w:tc>
        <w:tc>
          <w:tcPr>
            <w:tcW w:w="20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8.9</w:t>
            </w:r>
          </w:p>
        </w:tc>
        <w:tc>
          <w:tcPr>
            <w:tcW w:w="7620" w:type="dxa"/>
            <w:vAlign w:val="bottom"/>
          </w:tcPr>
          <w:p>
            <w:pPr>
              <w:ind w:left="40"/>
              <w:spacing w:after="0"/>
              <w:rPr>
                <w:sz w:val="20"/>
                <w:szCs w:val="20"/>
                <w:color w:val="auto"/>
              </w:rPr>
            </w:pPr>
            <w:r>
              <w:rPr>
                <w:rFonts w:ascii="Arial" w:cs="Arial" w:eastAsia="Arial" w:hAnsi="Arial"/>
                <w:sz w:val="20"/>
                <w:szCs w:val="20"/>
                <w:color w:val="auto"/>
              </w:rPr>
              <w:t>INSURANCE</w:t>
            </w:r>
          </w:p>
        </w:tc>
        <w:tc>
          <w:tcPr>
            <w:tcW w:w="20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w w:val="92"/>
              </w:rPr>
              <w:t>8.10</w:t>
            </w:r>
          </w:p>
        </w:tc>
        <w:tc>
          <w:tcPr>
            <w:tcW w:w="7620" w:type="dxa"/>
            <w:vAlign w:val="bottom"/>
          </w:tcPr>
          <w:p>
            <w:pPr>
              <w:ind w:left="140"/>
              <w:spacing w:after="0"/>
              <w:rPr>
                <w:sz w:val="20"/>
                <w:szCs w:val="20"/>
                <w:color w:val="auto"/>
              </w:rPr>
            </w:pPr>
            <w:r>
              <w:rPr>
                <w:rFonts w:ascii="Arial" w:cs="Arial" w:eastAsia="Arial" w:hAnsi="Arial"/>
                <w:sz w:val="20"/>
                <w:szCs w:val="20"/>
                <w:color w:val="auto"/>
              </w:rPr>
              <w:t>SURVIVAL</w:t>
            </w:r>
          </w:p>
        </w:tc>
        <w:tc>
          <w:tcPr>
            <w:tcW w:w="20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500"/>
        </w:trPr>
        <w:tc>
          <w:tcPr>
            <w:tcW w:w="8000" w:type="dxa"/>
            <w:vAlign w:val="bottom"/>
            <w:gridSpan w:val="2"/>
          </w:tcPr>
          <w:p>
            <w:pPr>
              <w:spacing w:after="0"/>
              <w:rPr>
                <w:sz w:val="20"/>
                <w:szCs w:val="20"/>
                <w:color w:val="auto"/>
              </w:rPr>
            </w:pPr>
            <w:r>
              <w:rPr>
                <w:rFonts w:ascii="Arial" w:cs="Arial" w:eastAsia="Arial" w:hAnsi="Arial"/>
                <w:sz w:val="20"/>
                <w:szCs w:val="20"/>
                <w:color w:val="auto"/>
              </w:rPr>
              <w:t>8.11  EFFECT OF REPEAL OR MODIFICATION</w:t>
            </w:r>
          </w:p>
        </w:tc>
        <w:tc>
          <w:tcPr>
            <w:tcW w:w="20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w w:val="92"/>
              </w:rPr>
              <w:t>8.12</w:t>
            </w:r>
          </w:p>
        </w:tc>
        <w:tc>
          <w:tcPr>
            <w:tcW w:w="7620" w:type="dxa"/>
            <w:vAlign w:val="bottom"/>
          </w:tcPr>
          <w:p>
            <w:pPr>
              <w:ind w:left="140"/>
              <w:spacing w:after="0"/>
              <w:rPr>
                <w:sz w:val="20"/>
                <w:szCs w:val="20"/>
                <w:color w:val="auto"/>
              </w:rPr>
            </w:pPr>
            <w:r>
              <w:rPr>
                <w:rFonts w:ascii="Arial" w:cs="Arial" w:eastAsia="Arial" w:hAnsi="Arial"/>
                <w:sz w:val="20"/>
                <w:szCs w:val="20"/>
                <w:color w:val="auto"/>
              </w:rPr>
              <w:t>CERTAIN DEFINITIONS</w:t>
            </w:r>
          </w:p>
        </w:tc>
        <w:tc>
          <w:tcPr>
            <w:tcW w:w="20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540"/>
        </w:trPr>
        <w:tc>
          <w:tcPr>
            <w:tcW w:w="8000" w:type="dxa"/>
            <w:vAlign w:val="bottom"/>
            <w:gridSpan w:val="2"/>
          </w:tcPr>
          <w:p>
            <w:pPr>
              <w:spacing w:after="0"/>
              <w:rPr>
                <w:sz w:val="20"/>
                <w:szCs w:val="20"/>
                <w:color w:val="auto"/>
              </w:rPr>
            </w:pPr>
            <w:r>
              <w:rPr>
                <w:rFonts w:ascii="Arial" w:cs="Arial" w:eastAsia="Arial" w:hAnsi="Arial"/>
                <w:sz w:val="20"/>
                <w:szCs w:val="20"/>
                <w:color w:val="auto"/>
              </w:rPr>
              <w:t>ARTICLE IX - GENERAL MATTERS</w:t>
            </w:r>
          </w:p>
        </w:tc>
        <w:tc>
          <w:tcPr>
            <w:tcW w:w="20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73"/>
        </w:trPr>
        <w:tc>
          <w:tcPr>
            <w:tcW w:w="380" w:type="dxa"/>
            <w:vAlign w:val="bottom"/>
          </w:tcPr>
          <w:p>
            <w:pPr>
              <w:spacing w:after="0"/>
              <w:rPr>
                <w:sz w:val="20"/>
                <w:szCs w:val="20"/>
                <w:color w:val="auto"/>
              </w:rPr>
            </w:pPr>
            <w:r>
              <w:rPr>
                <w:rFonts w:ascii="Arial" w:cs="Arial" w:eastAsia="Arial" w:hAnsi="Arial"/>
                <w:sz w:val="20"/>
                <w:szCs w:val="20"/>
                <w:color w:val="auto"/>
              </w:rPr>
              <w:t>9.1</w:t>
            </w:r>
          </w:p>
        </w:tc>
        <w:tc>
          <w:tcPr>
            <w:tcW w:w="7620" w:type="dxa"/>
            <w:vAlign w:val="bottom"/>
          </w:tcPr>
          <w:p>
            <w:pPr>
              <w:ind w:left="40"/>
              <w:spacing w:after="0"/>
              <w:rPr>
                <w:sz w:val="20"/>
                <w:szCs w:val="20"/>
                <w:color w:val="auto"/>
              </w:rPr>
            </w:pPr>
            <w:r>
              <w:rPr>
                <w:rFonts w:ascii="Arial" w:cs="Arial" w:eastAsia="Arial" w:hAnsi="Arial"/>
                <w:sz w:val="20"/>
                <w:szCs w:val="20"/>
                <w:color w:val="auto"/>
              </w:rPr>
              <w:t>EXECUTION OF CORPORATE CONTRACTS AND INSTRUMENTS</w:t>
            </w:r>
          </w:p>
        </w:tc>
        <w:tc>
          <w:tcPr>
            <w:tcW w:w="20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9.2</w:t>
            </w:r>
          </w:p>
        </w:tc>
        <w:tc>
          <w:tcPr>
            <w:tcW w:w="7620" w:type="dxa"/>
            <w:vAlign w:val="bottom"/>
          </w:tcPr>
          <w:p>
            <w:pPr>
              <w:ind w:left="40"/>
              <w:spacing w:after="0"/>
              <w:rPr>
                <w:sz w:val="20"/>
                <w:szCs w:val="20"/>
                <w:color w:val="auto"/>
              </w:rPr>
            </w:pPr>
            <w:r>
              <w:rPr>
                <w:rFonts w:ascii="Arial" w:cs="Arial" w:eastAsia="Arial" w:hAnsi="Arial"/>
                <w:sz w:val="20"/>
                <w:szCs w:val="20"/>
                <w:color w:val="auto"/>
              </w:rPr>
              <w:t>FISCAL YEAR</w:t>
            </w:r>
          </w:p>
        </w:tc>
        <w:tc>
          <w:tcPr>
            <w:tcW w:w="20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500"/>
        </w:trPr>
        <w:tc>
          <w:tcPr>
            <w:tcW w:w="380" w:type="dxa"/>
            <w:vAlign w:val="bottom"/>
          </w:tcPr>
          <w:p>
            <w:pPr>
              <w:spacing w:after="0"/>
              <w:rPr>
                <w:sz w:val="20"/>
                <w:szCs w:val="20"/>
                <w:color w:val="auto"/>
              </w:rPr>
            </w:pPr>
            <w:r>
              <w:rPr>
                <w:rFonts w:ascii="Arial" w:cs="Arial" w:eastAsia="Arial" w:hAnsi="Arial"/>
                <w:sz w:val="20"/>
                <w:szCs w:val="20"/>
                <w:color w:val="auto"/>
              </w:rPr>
              <w:t>9.3</w:t>
            </w:r>
          </w:p>
        </w:tc>
        <w:tc>
          <w:tcPr>
            <w:tcW w:w="7620" w:type="dxa"/>
            <w:vAlign w:val="bottom"/>
          </w:tcPr>
          <w:p>
            <w:pPr>
              <w:ind w:left="40"/>
              <w:spacing w:after="0"/>
              <w:rPr>
                <w:sz w:val="20"/>
                <w:szCs w:val="20"/>
                <w:color w:val="auto"/>
              </w:rPr>
            </w:pPr>
            <w:r>
              <w:rPr>
                <w:rFonts w:ascii="Arial" w:cs="Arial" w:eastAsia="Arial" w:hAnsi="Arial"/>
                <w:sz w:val="20"/>
                <w:szCs w:val="20"/>
                <w:color w:val="auto"/>
              </w:rPr>
              <w:t>SEAL</w:t>
            </w:r>
          </w:p>
        </w:tc>
        <w:tc>
          <w:tcPr>
            <w:tcW w:w="20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513"/>
        </w:trPr>
        <w:tc>
          <w:tcPr>
            <w:tcW w:w="380" w:type="dxa"/>
            <w:vAlign w:val="bottom"/>
          </w:tcPr>
          <w:p>
            <w:pPr>
              <w:spacing w:after="0"/>
              <w:rPr>
                <w:sz w:val="20"/>
                <w:szCs w:val="20"/>
                <w:color w:val="auto"/>
              </w:rPr>
            </w:pPr>
            <w:r>
              <w:rPr>
                <w:rFonts w:ascii="Arial" w:cs="Arial" w:eastAsia="Arial" w:hAnsi="Arial"/>
                <w:sz w:val="20"/>
                <w:szCs w:val="20"/>
                <w:color w:val="auto"/>
              </w:rPr>
              <w:t>9.4</w:t>
            </w:r>
          </w:p>
        </w:tc>
        <w:tc>
          <w:tcPr>
            <w:tcW w:w="7620" w:type="dxa"/>
            <w:vAlign w:val="bottom"/>
          </w:tcPr>
          <w:p>
            <w:pPr>
              <w:ind w:left="40"/>
              <w:spacing w:after="0"/>
              <w:rPr>
                <w:sz w:val="20"/>
                <w:szCs w:val="20"/>
                <w:color w:val="auto"/>
              </w:rPr>
            </w:pPr>
            <w:r>
              <w:rPr>
                <w:rFonts w:ascii="Arial" w:cs="Arial" w:eastAsia="Arial" w:hAnsi="Arial"/>
                <w:sz w:val="20"/>
                <w:szCs w:val="20"/>
                <w:color w:val="auto"/>
              </w:rPr>
              <w:t>CONSTRUCTION; DEFINITIONS</w:t>
            </w:r>
          </w:p>
        </w:tc>
        <w:tc>
          <w:tcPr>
            <w:tcW w:w="20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540"/>
        </w:trPr>
        <w:tc>
          <w:tcPr>
            <w:tcW w:w="8000" w:type="dxa"/>
            <w:vAlign w:val="bottom"/>
            <w:gridSpan w:val="2"/>
          </w:tcPr>
          <w:p>
            <w:pPr>
              <w:spacing w:after="0"/>
              <w:rPr>
                <w:sz w:val="20"/>
                <w:szCs w:val="20"/>
                <w:color w:val="auto"/>
              </w:rPr>
            </w:pPr>
            <w:r>
              <w:rPr>
                <w:rFonts w:ascii="Arial" w:cs="Arial" w:eastAsia="Arial" w:hAnsi="Arial"/>
                <w:sz w:val="20"/>
                <w:szCs w:val="20"/>
                <w:color w:val="auto"/>
              </w:rPr>
              <w:t>ARTICLE X - AMENDMENTS</w:t>
            </w:r>
          </w:p>
        </w:tc>
        <w:tc>
          <w:tcPr>
            <w:tcW w:w="20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500"/>
        </w:trPr>
        <w:tc>
          <w:tcPr>
            <w:tcW w:w="8000" w:type="dxa"/>
            <w:vAlign w:val="bottom"/>
            <w:gridSpan w:val="2"/>
          </w:tcPr>
          <w:p>
            <w:pPr>
              <w:spacing w:after="0"/>
              <w:rPr>
                <w:sz w:val="20"/>
                <w:szCs w:val="20"/>
                <w:color w:val="auto"/>
              </w:rPr>
            </w:pPr>
            <w:r>
              <w:rPr>
                <w:rFonts w:ascii="Arial" w:cs="Arial" w:eastAsia="Arial" w:hAnsi="Arial"/>
                <w:sz w:val="20"/>
                <w:szCs w:val="20"/>
                <w:color w:val="auto"/>
              </w:rPr>
              <w:t>ARTICLE XI - EXCLUSIVE FORUM</w:t>
            </w:r>
          </w:p>
        </w:tc>
        <w:tc>
          <w:tcPr>
            <w:tcW w:w="2000" w:type="dxa"/>
            <w:vAlign w:val="bottom"/>
          </w:tcPr>
          <w:p>
            <w:pPr>
              <w:jc w:val="right"/>
              <w:spacing w:after="0"/>
              <w:rPr>
                <w:sz w:val="20"/>
                <w:szCs w:val="20"/>
                <w:color w:val="auto"/>
              </w:rPr>
            </w:pPr>
            <w:r>
              <w:rPr>
                <w:rFonts w:ascii="Arial" w:cs="Arial" w:eastAsia="Arial" w:hAnsi="Arial"/>
                <w:sz w:val="20"/>
                <w:szCs w:val="20"/>
                <w:color w:val="auto"/>
              </w:rPr>
              <w:t>27</w:t>
            </w:r>
          </w:p>
        </w:tc>
      </w:tr>
    </w:tbl>
    <w:p>
      <w:pPr>
        <w:sectPr>
          <w:pgSz w:w="11900" w:h="16838" w:orient="portrait"/>
          <w:cols w:equalWidth="0" w:num="1">
            <w:col w:w="10520"/>
          </w:cols>
          <w:pgMar w:left="1040" w:top="98" w:right="339" w:bottom="1440" w:gutter="0" w:footer="0" w:header="0"/>
        </w:sectPr>
      </w:pPr>
    </w:p>
    <w:bookmarkStart w:id="10" w:name="page11"/>
    <w:bookmarkEnd w:id="10"/>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 OF SEER, INC.</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_________________________________</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CORPORATE OFFICES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REGISTERED OFFICE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registered office of Seer, Inc. shall be fixed in the corporation’s certificate of incorporation, as the same may be amended from time to time.</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OTHER OFFICES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corporation’s board of directors (the “</w:t>
      </w:r>
      <w:r>
        <w:rPr>
          <w:rFonts w:ascii="Arial" w:cs="Arial" w:eastAsia="Arial" w:hAnsi="Arial"/>
          <w:sz w:val="19"/>
          <w:szCs w:val="19"/>
          <w:b w:val="1"/>
          <w:bCs w:val="1"/>
          <w:color w:val="auto"/>
        </w:rPr>
        <w:t>board of directors</w:t>
      </w:r>
      <w:r>
        <w:rPr>
          <w:rFonts w:ascii="Arial" w:cs="Arial" w:eastAsia="Arial" w:hAnsi="Arial"/>
          <w:sz w:val="19"/>
          <w:szCs w:val="19"/>
          <w:color w:val="auto"/>
        </w:rPr>
        <w:t>”) may at any time establish other offices at any place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places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 MEETINGS OF STOCKHOLDERS</w:t>
      </w:r>
    </w:p>
    <w:p>
      <w:pPr>
        <w:spacing w:after="0" w:line="19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PLACE OF MEETINGS</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Meetings of stockholders shall be held at any place, within or outside the State of Delaware, determined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22"/>
          <w:szCs w:val="22"/>
          <w:b w:val="1"/>
          <w:bCs w:val="1"/>
          <w:color w:val="auto"/>
        </w:rPr>
        <w:t>DGCL</w:t>
      </w:r>
      <w:r>
        <w:rPr>
          <w:rFonts w:ascii="Arial" w:cs="Arial" w:eastAsia="Arial" w:hAnsi="Arial"/>
          <w:sz w:val="22"/>
          <w:szCs w:val="22"/>
          <w:color w:val="auto"/>
        </w:rPr>
        <w:t>”). In the absence of any such designation or determination, stockholders’ meetings shall be held at the corporation’s principal executive office.</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ANNUAL MEETING</w:t>
      </w:r>
    </w:p>
    <w:p>
      <w:pPr>
        <w:spacing w:after="0" w:line="17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The annual meeting of stockholders shall be held at such place, on such day and at such time as may be fixed by the board of directors each year.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22"/>
          <w:szCs w:val="22"/>
          <w:b w:val="1"/>
          <w:bCs w:val="1"/>
          <w:color w:val="auto"/>
        </w:rPr>
        <w:t>Whole Board</w:t>
      </w:r>
      <w:r>
        <w:rPr>
          <w:rFonts w:ascii="Arial" w:cs="Arial" w:eastAsia="Arial" w:hAnsi="Arial"/>
          <w:sz w:val="22"/>
          <w:szCs w:val="22"/>
          <w:color w:val="auto"/>
        </w:rPr>
        <w:t>” shall mean the total number of authorized directorships whether or not there exist any vacancies or other unfilled seats in previously authorized directorships.</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SPECIAL MEETING</w:t>
      </w:r>
    </w:p>
    <w:p>
      <w:pPr>
        <w:spacing w:after="0" w:line="179" w:lineRule="exact"/>
        <w:rPr>
          <w:sz w:val="20"/>
          <w:szCs w:val="20"/>
          <w:color w:val="auto"/>
        </w:rPr>
      </w:pPr>
    </w:p>
    <w:p>
      <w:pPr>
        <w:jc w:val="both"/>
        <w:ind w:firstLine="1304"/>
        <w:spacing w:after="0" w:line="249" w:lineRule="auto"/>
        <w:tabs>
          <w:tab w:leader="none" w:pos="1738" w:val="left"/>
        </w:tabs>
        <w:numPr>
          <w:ilvl w:val="0"/>
          <w:numId w:val="5"/>
        </w:numPr>
        <w:rPr>
          <w:rFonts w:ascii="Arial" w:cs="Arial" w:eastAsia="Arial" w:hAnsi="Arial"/>
          <w:sz w:val="19"/>
          <w:szCs w:val="19"/>
          <w:color w:val="auto"/>
        </w:rPr>
      </w:pPr>
      <w:r>
        <w:rPr>
          <w:rFonts w:ascii="Arial" w:cs="Arial" w:eastAsia="Arial" w:hAnsi="Arial"/>
          <w:sz w:val="19"/>
          <w:szCs w:val="19"/>
          <w:color w:val="auto"/>
        </w:rPr>
        <w:t>A special meeting of the stockholders, other than as required by statute, may be called at any time by (A) the board of directors acting pursuant to a resolution adopted by a majority of the Whole Board, (B) the chairperson of the board of directors, (C) the chief executive officer or (D)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51" w:lineRule="exact"/>
        <w:rPr>
          <w:rFonts w:ascii="Arial" w:cs="Arial" w:eastAsia="Arial" w:hAnsi="Arial"/>
          <w:sz w:val="19"/>
          <w:szCs w:val="19"/>
          <w:color w:val="auto"/>
        </w:rPr>
      </w:pPr>
    </w:p>
    <w:p>
      <w:pPr>
        <w:ind w:firstLine="1304"/>
        <w:spacing w:after="0" w:line="232" w:lineRule="auto"/>
        <w:tabs>
          <w:tab w:leader="none" w:pos="1784"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notice of a special meeting shall include the purpose for which the meeting is called. Only such business shall be conducted at a special meeting of stockholders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shall have been brought before the meeting by or at the direction of a majority of the Whole Board, chairperson of the board of directors, the chief executive officer or the president (in the absence of a chief executive officer). Nothing contained in this Section 2.3(ii) shall be construed as limiting, fixing or affecting the time when a meeting of stockholders called by action of the board of directors may be held.</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ADVANCE NOTICE PROCEDURES</w:t>
      </w:r>
    </w:p>
    <w:p>
      <w:pPr>
        <w:spacing w:after="0" w:line="193" w:lineRule="exact"/>
        <w:rPr>
          <w:sz w:val="20"/>
          <w:szCs w:val="20"/>
          <w:color w:val="auto"/>
        </w:rPr>
      </w:pPr>
    </w:p>
    <w:p>
      <w:pPr>
        <w:jc w:val="both"/>
        <w:ind w:firstLine="1304"/>
        <w:spacing w:after="0" w:line="241" w:lineRule="auto"/>
        <w:tabs>
          <w:tab w:leader="none" w:pos="1753" w:val="left"/>
        </w:tabs>
        <w:numPr>
          <w:ilvl w:val="0"/>
          <w:numId w:val="6"/>
        </w:numPr>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9"/>
          <w:szCs w:val="19"/>
          <w:i w:val="1"/>
          <w:iCs w:val="1"/>
          <w:color w:val="auto"/>
        </w:rPr>
        <w:t>dvance Notice of Stockholder Business.</w:t>
      </w:r>
      <w:r>
        <w:rPr>
          <w:rFonts w:ascii="Arial" w:cs="Arial" w:eastAsia="Arial" w:hAnsi="Arial"/>
          <w:sz w:val="19"/>
          <w:szCs w:val="19"/>
          <w:color w:val="auto"/>
        </w:rPr>
        <w:t xml:space="preserve"> At an annual meeting of the stockholders, only such business shall be conducted as shall have been properly brought before the meeting. To be properly brought before an annual meeting, business must be brought (A) pursuant to the corporation’s proxy materials with respect to such meeting (or supplement thereto), (B) by or at the direction of the board of directors, or any committee thereof that has been formally delegated authority to propose such business pursuant to a resolution adopted by a majority of the Whole Board, (C) by a stockholder of the corporation who (1) is a stockholder of record at the time of the giving of the notice required by this Section 2.4(i); (2) is a stockholder of record on the record date for the determination of stockholders entitled to notice of the annual meeting; (3) is a stockholder of record on the record date for the determination of stockholders entitled to vote at the annual meeting ; (4) is a stockholder of record at the time of the annual meeting; and (5) has timely complied in proper written form with the notice procedures set forth in this Section 2.4(i), or (D) as may be provided in the certificate of designations for any class or series of preferred stock.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Exchange Act of 1934, as amended , or any successor thereto, and the rules and regulations thereunder (as so amended and inclusive of such rules and regulations, the “</w:t>
      </w:r>
      <w:r>
        <w:rPr>
          <w:rFonts w:ascii="Arial" w:cs="Arial" w:eastAsia="Arial" w:hAnsi="Arial"/>
          <w:sz w:val="19"/>
          <w:szCs w:val="19"/>
          <w:b w:val="1"/>
          <w:bCs w:val="1"/>
          <w:color w:val="auto"/>
        </w:rPr>
        <w:t>1934 Act</w:t>
      </w:r>
      <w:r>
        <w:rPr>
          <w:rFonts w:ascii="Arial" w:cs="Arial" w:eastAsia="Arial" w:hAnsi="Arial"/>
          <w:sz w:val="19"/>
          <w:szCs w:val="19"/>
          <w:color w:val="auto"/>
        </w:rPr>
        <w:t>”), and included in the notice of meeting given by or at the direction of the board of directors, for the avoidance of doubt, subject to clause (D) above, clause (C) above shall be the exclusive means for a stockholder to bring business before an annual meeting of stockholders.</w:t>
      </w:r>
    </w:p>
    <w:p>
      <w:pPr>
        <w:spacing w:after="0" w:line="161" w:lineRule="exact"/>
        <w:rPr>
          <w:rFonts w:ascii="Arial" w:cs="Arial" w:eastAsia="Arial" w:hAnsi="Arial"/>
          <w:sz w:val="19"/>
          <w:szCs w:val="19"/>
          <w:color w:val="auto"/>
        </w:rPr>
      </w:pPr>
    </w:p>
    <w:p>
      <w:pPr>
        <w:jc w:val="both"/>
        <w:ind w:left="420" w:firstLine="2585"/>
        <w:spacing w:after="0" w:line="217" w:lineRule="auto"/>
        <w:tabs>
          <w:tab w:leader="none" w:pos="3513" w:val="left"/>
        </w:tabs>
        <w:numPr>
          <w:ilvl w:val="1"/>
          <w:numId w:val="6"/>
        </w:numPr>
        <w:rPr>
          <w:rFonts w:ascii="Arial" w:cs="Arial" w:eastAsia="Arial" w:hAnsi="Arial"/>
          <w:sz w:val="21"/>
          <w:szCs w:val="21"/>
          <w:color w:val="auto"/>
        </w:rPr>
      </w:pPr>
      <w:r>
        <w:rPr>
          <w:rFonts w:ascii="Arial" w:cs="Arial" w:eastAsia="Arial" w:hAnsi="Arial"/>
          <w:sz w:val="21"/>
          <w:szCs w:val="21"/>
          <w:color w:val="auto"/>
        </w:rPr>
        <w:t>To comply with clause (C) of Section 2.4(i) above, a stockholder’s notice must set forth all information required under this Section 2.4(i) and must be timely received by the secretary of the corporation (the “</w:t>
      </w:r>
      <w:r>
        <w:rPr>
          <w:rFonts w:ascii="Arial" w:cs="Arial" w:eastAsia="Arial" w:hAnsi="Arial"/>
          <w:sz w:val="21"/>
          <w:szCs w:val="21"/>
          <w:b w:val="1"/>
          <w:bCs w:val="1"/>
          <w:color w:val="auto"/>
        </w:rPr>
        <w:t>secretary</w:t>
      </w:r>
      <w:r>
        <w:rPr>
          <w:rFonts w:ascii="Arial" w:cs="Arial" w:eastAsia="Arial" w:hAnsi="Arial"/>
          <w:sz w:val="21"/>
          <w:szCs w:val="21"/>
          <w:color w:val="auto"/>
        </w:rPr>
        <w:t xml:space="preserve">”). To be timely, a stockholder’s notice must be received by the secretary at the principal executive offices of the corporation not later than 5:00 p.m., Pacific time, on the 45th day nor earlier than 8:00 a.m., Pacific time, on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event that no annual meeting was held in the previous year or if the date of the annual meeting for the current year is changed by more than 25 days from the one-year anniversary of the date of the previous year’s annual meeting, then, for notice by the stockholder to be timely, it must be so received by the secretary at the then-principal place of business of the corporation not earlier than 5:00 p.m., Pacific time on the 120th day prior to such annual meeting and not later than 5:00 p.m., Pacific time on the later of (i) the 90th day prior to such annual meeting, or (ii) the tenth day following the day on which Public Announcement (as defined below) of the date of such annual meeting is first made. In no event shall any adjournment, rescheduling, postponement or other delay of an annual meeting or the announcement thereof commence a new time period (or extend any time period) for the giving of a stockholder’s notice as described in this Section 2.4(i)(a). “</w:t>
      </w:r>
      <w:r>
        <w:rPr>
          <w:rFonts w:ascii="Arial" w:cs="Arial" w:eastAsia="Arial" w:hAnsi="Arial"/>
          <w:sz w:val="21"/>
          <w:szCs w:val="21"/>
          <w:b w:val="1"/>
          <w:bCs w:val="1"/>
          <w:color w:val="auto"/>
        </w:rPr>
        <w:t>Public Announcement</w:t>
      </w:r>
      <w:r>
        <w:rPr>
          <w:rFonts w:ascii="Arial" w:cs="Arial" w:eastAsia="Arial" w:hAnsi="Arial"/>
          <w:sz w:val="21"/>
          <w:szCs w:val="21"/>
          <w:color w:val="auto"/>
        </w:rPr>
        <w:t>” shall mean disclosure in a press release reported by a national news service or in a document publicly filed by the corporation with the Securities and Exchange Commission pursuant to Section 13, 14 or 15(d) of the 1934 Act or by such other means as is reasonably designed to inform the public or stockholders of the corporation in general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such information, including, without limitation, posting on the corporation’s investor relations website.</w:t>
      </w:r>
    </w:p>
    <w:p>
      <w:pPr>
        <w:spacing w:after="0" w:line="179" w:lineRule="exact"/>
        <w:rPr>
          <w:sz w:val="20"/>
          <w:szCs w:val="20"/>
          <w:color w:val="auto"/>
        </w:rPr>
      </w:pPr>
    </w:p>
    <w:p>
      <w:pPr>
        <w:ind w:firstLine="2504"/>
        <w:spacing w:after="0" w:line="232" w:lineRule="auto"/>
        <w:tabs>
          <w:tab w:leader="none" w:pos="3042" w:val="left"/>
        </w:tabs>
        <w:numPr>
          <w:ilvl w:val="1"/>
          <w:numId w:val="7"/>
        </w:numPr>
        <w:rPr>
          <w:rFonts w:ascii="Arial" w:cs="Arial" w:eastAsia="Arial" w:hAnsi="Arial"/>
          <w:sz w:val="22"/>
          <w:szCs w:val="22"/>
          <w:color w:val="auto"/>
        </w:rPr>
      </w:pPr>
      <w:r>
        <w:rPr>
          <w:rFonts w:ascii="Arial" w:cs="Arial" w:eastAsia="Arial" w:hAnsi="Arial"/>
          <w:sz w:val="22"/>
          <w:szCs w:val="22"/>
          <w:color w:val="auto"/>
        </w:rPr>
        <w:t>To be in proper written form, a stockholder’s notice to the secretary must set forth as to each matter of business the stockholder intends to bring before the annual meeting:</w:t>
      </w:r>
    </w:p>
    <w:p>
      <w:pPr>
        <w:spacing w:after="0" w:line="158" w:lineRule="exact"/>
        <w:rPr>
          <w:rFonts w:ascii="Arial" w:cs="Arial" w:eastAsia="Arial" w:hAnsi="Arial"/>
          <w:sz w:val="22"/>
          <w:szCs w:val="22"/>
          <w:color w:val="auto"/>
        </w:rPr>
      </w:pPr>
    </w:p>
    <w:p>
      <w:pPr>
        <w:jc w:val="both"/>
        <w:ind w:left="1620" w:hanging="7"/>
        <w:spacing w:after="0" w:line="218" w:lineRule="auto"/>
        <w:tabs>
          <w:tab w:leader="none" w:pos="193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brief description of the business intended to be brought before the annual meeting, including the text of any proposed resolutions and in the event that such business includes a proposal to amend the bylaws of the corporation, the language of the proposed amendment and the reasons for conducting such business at the annual meeting,</w:t>
      </w:r>
    </w:p>
    <w:p>
      <w:pPr>
        <w:spacing w:after="0" w:line="160" w:lineRule="exact"/>
        <w:rPr>
          <w:rFonts w:ascii="Arial" w:cs="Arial" w:eastAsia="Arial" w:hAnsi="Arial"/>
          <w:sz w:val="22"/>
          <w:szCs w:val="22"/>
          <w:color w:val="auto"/>
        </w:rPr>
      </w:pPr>
    </w:p>
    <w:p>
      <w:pPr>
        <w:ind w:left="1620" w:hanging="7"/>
        <w:spacing w:after="0" w:line="232" w:lineRule="auto"/>
        <w:tabs>
          <w:tab w:leader="none" w:pos="194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name and address, as they appear on the corporation’s books, of the stockholder proposing such business and any Stockholder Associated Person (as defined below),</w:t>
      </w:r>
    </w:p>
    <w:p>
      <w:pPr>
        <w:spacing w:after="0" w:line="158" w:lineRule="exact"/>
        <w:rPr>
          <w:rFonts w:ascii="Arial" w:cs="Arial" w:eastAsia="Arial" w:hAnsi="Arial"/>
          <w:sz w:val="22"/>
          <w:szCs w:val="22"/>
          <w:color w:val="auto"/>
        </w:rPr>
      </w:pPr>
    </w:p>
    <w:p>
      <w:pPr>
        <w:jc w:val="both"/>
        <w:ind w:left="1620" w:hanging="7"/>
        <w:spacing w:after="0" w:line="216" w:lineRule="auto"/>
        <w:tabs>
          <w:tab w:leader="none" w:pos="1959"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class or series and number of shares of the corporation that are, directly or indirectly, held of record or are beneficially owned by the stockholder or any Stockholder Associated Person and any Derivative Instruments (as defined below) held or beneficially held by the stockholder or any Stockholder Associated Person, including the full notional amount of any securities that, directly or indirectly, underlie any Derivative Instruments,</w:t>
      </w:r>
    </w:p>
    <w:p>
      <w:pPr>
        <w:spacing w:after="0" w:line="157" w:lineRule="exact"/>
        <w:rPr>
          <w:rFonts w:ascii="Arial" w:cs="Arial" w:eastAsia="Arial" w:hAnsi="Arial"/>
          <w:sz w:val="22"/>
          <w:szCs w:val="22"/>
          <w:color w:val="auto"/>
        </w:rPr>
      </w:pPr>
    </w:p>
    <w:p>
      <w:pPr>
        <w:jc w:val="both"/>
        <w:ind w:left="1620" w:hanging="7"/>
        <w:spacing w:after="0" w:line="244" w:lineRule="auto"/>
        <w:tabs>
          <w:tab w:leader="none" w:pos="1944" w:val="left"/>
        </w:tabs>
        <w:numPr>
          <w:ilvl w:val="0"/>
          <w:numId w:val="8"/>
        </w:numPr>
        <w:rPr>
          <w:rFonts w:ascii="Arial" w:cs="Arial" w:eastAsia="Arial" w:hAnsi="Arial"/>
          <w:sz w:val="19"/>
          <w:szCs w:val="19"/>
          <w:color w:val="auto"/>
        </w:rPr>
      </w:pPr>
      <w:r>
        <w:rPr>
          <w:rFonts w:ascii="Arial" w:cs="Arial" w:eastAsia="Arial" w:hAnsi="Arial"/>
          <w:sz w:val="19"/>
          <w:szCs w:val="19"/>
          <w:color w:val="auto"/>
        </w:rPr>
        <w:t>any (1)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or any Stockholder Associated Person with respect to the corporation’s securities (any of the foregoing, a “</w:t>
      </w:r>
      <w:r>
        <w:rPr>
          <w:rFonts w:ascii="Arial" w:cs="Arial" w:eastAsia="Arial" w:hAnsi="Arial"/>
          <w:sz w:val="19"/>
          <w:szCs w:val="19"/>
          <w:b w:val="1"/>
          <w:bCs w:val="1"/>
          <w:color w:val="auto"/>
        </w:rPr>
        <w:t>Derivative Instrument</w:t>
      </w:r>
      <w:r>
        <w:rPr>
          <w:rFonts w:ascii="Arial" w:cs="Arial" w:eastAsia="Arial" w:hAnsi="Arial"/>
          <w:sz w:val="19"/>
          <w:szCs w:val="19"/>
          <w:color w:val="auto"/>
        </w:rPr>
        <w:t>”) including the full notional amount of any securities that, directly or indirectly, underlie any Derivative Instrument); and (ii) other agreement, arrangement or understanding that has been made the effect or intent of which is to create or mitigate loss to, or to manage the risk or benefit from share price changes for, or to increase or decrease the voting power of, such stockholder or any Stockholder Associated Person with respect to any securities of the corporation,</w:t>
      </w:r>
    </w:p>
    <w:p>
      <w:pPr>
        <w:spacing w:after="0" w:line="154" w:lineRule="exact"/>
        <w:rPr>
          <w:rFonts w:ascii="Arial" w:cs="Arial" w:eastAsia="Arial" w:hAnsi="Arial"/>
          <w:sz w:val="19"/>
          <w:szCs w:val="19"/>
          <w:color w:val="auto"/>
        </w:rPr>
      </w:pPr>
    </w:p>
    <w:p>
      <w:pPr>
        <w:ind w:left="1920" w:hanging="307"/>
        <w:spacing w:after="0"/>
        <w:tabs>
          <w:tab w:leader="none" w:pos="1920" w:val="left"/>
        </w:tabs>
        <w:numPr>
          <w:ilvl w:val="0"/>
          <w:numId w:val="8"/>
        </w:numPr>
        <w:rPr>
          <w:rFonts w:ascii="Arial" w:cs="Arial" w:eastAsia="Arial" w:hAnsi="Arial"/>
          <w:sz w:val="21"/>
          <w:szCs w:val="21"/>
          <w:color w:val="auto"/>
        </w:rPr>
      </w:pPr>
      <w:r>
        <w:rPr>
          <w:rFonts w:ascii="Arial" w:cs="Arial" w:eastAsia="Arial" w:hAnsi="Arial"/>
          <w:sz w:val="21"/>
          <w:szCs w:val="21"/>
          <w:color w:val="auto"/>
        </w:rPr>
        <w:t>any material interest of the stockholder or a Stockholder Associated Person in such business,</w:t>
      </w:r>
    </w:p>
    <w:p>
      <w:pPr>
        <w:spacing w:after="0" w:line="190" w:lineRule="exact"/>
        <w:rPr>
          <w:rFonts w:ascii="Arial" w:cs="Arial" w:eastAsia="Arial" w:hAnsi="Arial"/>
          <w:sz w:val="21"/>
          <w:szCs w:val="21"/>
          <w:color w:val="auto"/>
        </w:rPr>
      </w:pPr>
    </w:p>
    <w:p>
      <w:pPr>
        <w:jc w:val="both"/>
        <w:ind w:left="1620" w:hanging="7"/>
        <w:spacing w:after="0" w:line="212" w:lineRule="auto"/>
        <w:tabs>
          <w:tab w:leader="none" w:pos="1928"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representation and undertaking as to whether such stockholder or any Stockholder Associated Person or others acting in concert with them intends, or is part of a group that intends, to (x) deliver a proxy statement or form of proxy to holders of at least the percentage of the voting power of the corporation’s then-outstanding stock required to approve or adopt the proposal (which representation and undertaking must include a statement as to whether such stockholder or any Stockholder Associated Person or others acting in concert with them intends to solicit the requisite percentage of the voting power of the corporation’s stock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20"/>
          </w:cols>
          <w:pgMar w:left="740" w:top="1440" w:right="339" w:bottom="1440" w:gutter="0" w:footer="0" w:header="0"/>
        </w:sectPr>
      </w:pPr>
    </w:p>
    <w:bookmarkStart w:id="13" w:name="page14"/>
    <w:bookmarkEnd w:id="13"/>
    <w:p>
      <w:pPr>
        <w:spacing w:after="0" w:line="177" w:lineRule="exact"/>
        <w:rPr>
          <w:sz w:val="20"/>
          <w:szCs w:val="20"/>
          <w:color w:val="auto"/>
        </w:rPr>
      </w:pPr>
    </w:p>
    <w:p>
      <w:pPr>
        <w:ind w:left="920"/>
        <w:spacing w:after="0" w:line="232" w:lineRule="auto"/>
        <w:rPr>
          <w:sz w:val="20"/>
          <w:szCs w:val="20"/>
          <w:color w:val="auto"/>
        </w:rPr>
      </w:pPr>
      <w:r>
        <w:rPr>
          <w:rFonts w:ascii="Arial" w:cs="Arial" w:eastAsia="Arial" w:hAnsi="Arial"/>
          <w:sz w:val="22"/>
          <w:szCs w:val="22"/>
          <w:color w:val="auto"/>
        </w:rPr>
        <w:t>Rule 14a-19 of the 1934 Act); or (y) otherwise solicit proxies from stockholders in support of such proposal or nomination,</w:t>
      </w:r>
    </w:p>
    <w:p>
      <w:pPr>
        <w:spacing w:after="0" w:line="159" w:lineRule="exact"/>
        <w:rPr>
          <w:sz w:val="20"/>
          <w:szCs w:val="20"/>
          <w:color w:val="auto"/>
        </w:rPr>
      </w:pPr>
    </w:p>
    <w:p>
      <w:pPr>
        <w:jc w:val="both"/>
        <w:ind w:left="920" w:hanging="7"/>
        <w:spacing w:after="0" w:line="218"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all agreements, arrangements and understandings between or among the stockholder and any Stockholder Associated Persons or between or among the stockholder or any Stockholder Associated Person and any other person or entity (including their names) in connection with the proposal of such business by such stockholder,</w:t>
      </w:r>
    </w:p>
    <w:p>
      <w:pPr>
        <w:spacing w:after="0" w:line="160" w:lineRule="exact"/>
        <w:rPr>
          <w:rFonts w:ascii="Arial" w:cs="Arial" w:eastAsia="Arial" w:hAnsi="Arial"/>
          <w:sz w:val="22"/>
          <w:szCs w:val="22"/>
          <w:color w:val="auto"/>
        </w:rPr>
      </w:pPr>
    </w:p>
    <w:p>
      <w:pPr>
        <w:ind w:left="920" w:hanging="7"/>
        <w:spacing w:after="0" w:line="298" w:lineRule="auto"/>
        <w:tabs>
          <w:tab w:leader="none" w:pos="1241"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proxy, contract, arrangement, understanding or relationship pursuant to which the stockholder or any Stockholder Associated Person has a right to vote any shares of any security of the corporation,</w:t>
      </w:r>
    </w:p>
    <w:p>
      <w:pPr>
        <w:spacing w:after="0" w:line="105" w:lineRule="exact"/>
        <w:rPr>
          <w:rFonts w:ascii="Arial" w:cs="Arial" w:eastAsia="Arial" w:hAnsi="Arial"/>
          <w:sz w:val="19"/>
          <w:szCs w:val="19"/>
          <w:color w:val="auto"/>
        </w:rPr>
      </w:pPr>
    </w:p>
    <w:p>
      <w:pPr>
        <w:ind w:left="920" w:hanging="7"/>
        <w:spacing w:after="0" w:line="247" w:lineRule="auto"/>
        <w:tabs>
          <w:tab w:leader="none" w:pos="1239" w:val="left"/>
        </w:tabs>
        <w:numPr>
          <w:ilvl w:val="0"/>
          <w:numId w:val="9"/>
        </w:numPr>
        <w:rPr>
          <w:rFonts w:ascii="Arial" w:cs="Arial" w:eastAsia="Arial" w:hAnsi="Arial"/>
          <w:sz w:val="21"/>
          <w:szCs w:val="21"/>
          <w:color w:val="auto"/>
        </w:rPr>
      </w:pPr>
      <w:r>
        <w:rPr>
          <w:rFonts w:ascii="Arial" w:cs="Arial" w:eastAsia="Arial" w:hAnsi="Arial"/>
          <w:sz w:val="21"/>
          <w:szCs w:val="21"/>
          <w:color w:val="auto"/>
        </w:rPr>
        <w:t>any rights to dividends on the corporation’s securities owned beneficially by such stockholder or any Stockholder Associated Person that are separated or separable from the underlying security,</w:t>
      </w:r>
    </w:p>
    <w:p>
      <w:pPr>
        <w:spacing w:after="0" w:line="150" w:lineRule="exact"/>
        <w:rPr>
          <w:rFonts w:ascii="Arial" w:cs="Arial" w:eastAsia="Arial" w:hAnsi="Arial"/>
          <w:sz w:val="21"/>
          <w:szCs w:val="21"/>
          <w:color w:val="auto"/>
        </w:rPr>
      </w:pPr>
    </w:p>
    <w:p>
      <w:pPr>
        <w:jc w:val="both"/>
        <w:ind w:left="920" w:hanging="7"/>
        <w:spacing w:after="0" w:line="218" w:lineRule="auto"/>
        <w:tabs>
          <w:tab w:leader="none" w:pos="1344"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proportionate interest in the corporation’s securities or any Derivative Instruments held, directly or indirectly, by a general or limited partnership in which such stockholder or any Stockholder Associated Person is a general partner or, directly or indirectly, beneficially owns an interest in a general partner of such general or limited partnership,</w:t>
      </w:r>
    </w:p>
    <w:p>
      <w:pPr>
        <w:spacing w:after="0" w:line="160" w:lineRule="exact"/>
        <w:rPr>
          <w:rFonts w:ascii="Arial" w:cs="Arial" w:eastAsia="Arial" w:hAnsi="Arial"/>
          <w:sz w:val="22"/>
          <w:szCs w:val="22"/>
          <w:color w:val="auto"/>
        </w:rPr>
      </w:pPr>
    </w:p>
    <w:p>
      <w:pPr>
        <w:jc w:val="both"/>
        <w:ind w:left="920" w:hanging="7"/>
        <w:spacing w:after="0" w:line="229" w:lineRule="auto"/>
        <w:tabs>
          <w:tab w:leader="none" w:pos="1327" w:val="left"/>
        </w:tabs>
        <w:numPr>
          <w:ilvl w:val="0"/>
          <w:numId w:val="9"/>
        </w:numPr>
        <w:rPr>
          <w:rFonts w:ascii="Arial" w:cs="Arial" w:eastAsia="Arial" w:hAnsi="Arial"/>
          <w:sz w:val="21"/>
          <w:szCs w:val="21"/>
          <w:color w:val="auto"/>
        </w:rPr>
      </w:pPr>
      <w:r>
        <w:rPr>
          <w:rFonts w:ascii="Arial" w:cs="Arial" w:eastAsia="Arial" w:hAnsi="Arial"/>
          <w:sz w:val="21"/>
          <w:szCs w:val="21"/>
          <w:color w:val="auto"/>
        </w:rPr>
        <w:t>any performance-related fees (other than an asset-based fee) that such stockholder or any Stockholder Associated Person is entitled to based on any increase or decrease in the value of the corporation’s securities or Derivative Instruments, including, without limitation, any such interests held by members of the immediate family of such persons sharing the same household,</w:t>
      </w:r>
    </w:p>
    <w:p>
      <w:pPr>
        <w:spacing w:after="0" w:line="158" w:lineRule="exact"/>
        <w:rPr>
          <w:rFonts w:ascii="Arial" w:cs="Arial" w:eastAsia="Arial" w:hAnsi="Arial"/>
          <w:sz w:val="21"/>
          <w:szCs w:val="21"/>
          <w:color w:val="auto"/>
        </w:rPr>
      </w:pPr>
    </w:p>
    <w:p>
      <w:pPr>
        <w:ind w:left="920" w:hanging="7"/>
        <w:spacing w:after="0" w:line="232" w:lineRule="auto"/>
        <w:tabs>
          <w:tab w:leader="none" w:pos="1374"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significant equity interests or any Derivative Instruments in any principal competitor of the corporation that are held by such stockholder or any Stockholder Associated Person,</w:t>
      </w:r>
    </w:p>
    <w:p>
      <w:pPr>
        <w:spacing w:after="0" w:line="158" w:lineRule="exact"/>
        <w:rPr>
          <w:rFonts w:ascii="Arial" w:cs="Arial" w:eastAsia="Arial" w:hAnsi="Arial"/>
          <w:sz w:val="22"/>
          <w:szCs w:val="22"/>
          <w:color w:val="auto"/>
        </w:rPr>
      </w:pPr>
    </w:p>
    <w:p>
      <w:pPr>
        <w:jc w:val="both"/>
        <w:ind w:left="920" w:hanging="7"/>
        <w:spacing w:after="0" w:line="218" w:lineRule="auto"/>
        <w:tabs>
          <w:tab w:leader="none" w:pos="1376"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direct or indirect interest of such stockholder or any Stockholder Associated Person in any contract with the corporation, any affiliate of the corporation or any principal competitor of the corporation (in each case, including, without limitation, any employment agreement, collective bargaining agreement or consulting agreement),</w:t>
      </w:r>
    </w:p>
    <w:p>
      <w:pPr>
        <w:spacing w:after="0" w:line="160" w:lineRule="exact"/>
        <w:rPr>
          <w:rFonts w:ascii="Arial" w:cs="Arial" w:eastAsia="Arial" w:hAnsi="Arial"/>
          <w:sz w:val="22"/>
          <w:szCs w:val="22"/>
          <w:color w:val="auto"/>
        </w:rPr>
      </w:pPr>
    </w:p>
    <w:p>
      <w:pPr>
        <w:jc w:val="both"/>
        <w:ind w:left="920" w:hanging="7"/>
        <w:spacing w:after="0" w:line="223" w:lineRule="auto"/>
        <w:tabs>
          <w:tab w:leader="none" w:pos="1354"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material pending or threatened legal proceeding in which such stockholder or any Stockholder Associated Person is a party or material participant involving the corporation or any of its officers, directors or affiliates,</w:t>
      </w:r>
    </w:p>
    <w:p>
      <w:pPr>
        <w:spacing w:after="0" w:line="158" w:lineRule="exact"/>
        <w:rPr>
          <w:rFonts w:ascii="Arial" w:cs="Arial" w:eastAsia="Arial" w:hAnsi="Arial"/>
          <w:sz w:val="22"/>
          <w:szCs w:val="22"/>
          <w:color w:val="auto"/>
        </w:rPr>
      </w:pPr>
    </w:p>
    <w:p>
      <w:pPr>
        <w:ind w:left="920" w:hanging="7"/>
        <w:spacing w:after="0" w:line="247" w:lineRule="auto"/>
        <w:tabs>
          <w:tab w:leader="none" w:pos="1336" w:val="left"/>
        </w:tabs>
        <w:numPr>
          <w:ilvl w:val="0"/>
          <w:numId w:val="9"/>
        </w:numPr>
        <w:rPr>
          <w:rFonts w:ascii="Arial" w:cs="Arial" w:eastAsia="Arial" w:hAnsi="Arial"/>
          <w:sz w:val="21"/>
          <w:szCs w:val="21"/>
          <w:color w:val="auto"/>
        </w:rPr>
      </w:pPr>
      <w:r>
        <w:rPr>
          <w:rFonts w:ascii="Arial" w:cs="Arial" w:eastAsia="Arial" w:hAnsi="Arial"/>
          <w:sz w:val="21"/>
          <w:szCs w:val="21"/>
          <w:color w:val="auto"/>
        </w:rPr>
        <w:t>any material relationship between such stockholder or any Stockholder Associated Person, on the one hand, and the corporation or any of its officers, directors or affiliates, on the other hand,</w:t>
      </w:r>
    </w:p>
    <w:p>
      <w:pPr>
        <w:spacing w:after="0" w:line="150" w:lineRule="exact"/>
        <w:rPr>
          <w:rFonts w:ascii="Arial" w:cs="Arial" w:eastAsia="Arial" w:hAnsi="Arial"/>
          <w:sz w:val="21"/>
          <w:szCs w:val="21"/>
          <w:color w:val="auto"/>
        </w:rPr>
      </w:pPr>
    </w:p>
    <w:p>
      <w:pPr>
        <w:jc w:val="both"/>
        <w:ind w:left="920" w:hanging="7"/>
        <w:spacing w:after="0" w:line="234" w:lineRule="auto"/>
        <w:tabs>
          <w:tab w:leader="none" w:pos="1338" w:val="left"/>
        </w:tabs>
        <w:numPr>
          <w:ilvl w:val="0"/>
          <w:numId w:val="9"/>
        </w:numPr>
        <w:rPr>
          <w:rFonts w:ascii="Arial" w:cs="Arial" w:eastAsia="Arial" w:hAnsi="Arial"/>
          <w:sz w:val="21"/>
          <w:szCs w:val="21"/>
          <w:color w:val="auto"/>
        </w:rPr>
      </w:pPr>
      <w:r>
        <w:rPr>
          <w:rFonts w:ascii="Arial" w:cs="Arial" w:eastAsia="Arial" w:hAnsi="Arial"/>
          <w:sz w:val="21"/>
          <w:szCs w:val="21"/>
          <w:color w:val="auto"/>
        </w:rPr>
        <w:t>a representation and undertaking that the stockholder is a holder of record of stock of the corporation as of the date of submission of the stockholder’s notice and intends to appear in person or by proxy at the annual meeting to bring such other business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440" w:right="339" w:bottom="1440" w:gutter="0" w:footer="0" w:header="0"/>
        </w:sectPr>
      </w:pPr>
    </w:p>
    <w:bookmarkStart w:id="14" w:name="page15"/>
    <w:bookmarkEnd w:id="14"/>
    <w:p>
      <w:pPr>
        <w:spacing w:after="0" w:line="177" w:lineRule="exact"/>
        <w:rPr>
          <w:sz w:val="20"/>
          <w:szCs w:val="20"/>
          <w:color w:val="auto"/>
        </w:rPr>
      </w:pPr>
    </w:p>
    <w:p>
      <w:pPr>
        <w:jc w:val="both"/>
        <w:ind w:left="2040" w:hanging="7"/>
        <w:spacing w:after="0" w:line="216" w:lineRule="auto"/>
        <w:tabs>
          <w:tab w:leader="none" w:pos="2477"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any other information relating to such stockholder or any Stockholder Associated Person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57" w:lineRule="exact"/>
        <w:rPr>
          <w:rFonts w:ascii="Arial" w:cs="Arial" w:eastAsia="Arial" w:hAnsi="Arial"/>
          <w:sz w:val="22"/>
          <w:szCs w:val="22"/>
          <w:color w:val="auto"/>
        </w:rPr>
      </w:pPr>
    </w:p>
    <w:p>
      <w:pPr>
        <w:ind w:left="2040" w:hanging="7"/>
        <w:spacing w:after="0" w:line="298" w:lineRule="auto"/>
        <w:tabs>
          <w:tab w:leader="none" w:pos="2467" w:val="left"/>
        </w:tabs>
        <w:numPr>
          <w:ilvl w:val="0"/>
          <w:numId w:val="10"/>
        </w:numPr>
        <w:rPr>
          <w:rFonts w:ascii="Arial" w:cs="Arial" w:eastAsia="Arial" w:hAnsi="Arial"/>
          <w:sz w:val="19"/>
          <w:szCs w:val="19"/>
          <w:color w:val="auto"/>
        </w:rPr>
      </w:pPr>
      <w:r>
        <w:rPr>
          <w:rFonts w:ascii="Arial" w:cs="Arial" w:eastAsia="Arial" w:hAnsi="Arial"/>
          <w:sz w:val="19"/>
          <w:szCs w:val="19"/>
          <w:color w:val="auto"/>
        </w:rPr>
        <w:t>such other information relating to any proposed item of business as the corporation may reasonably require to determine whether such proposed item of business is a proper matter for stockholder action</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9"/>
          <w:szCs w:val="19"/>
          <w:color w:val="auto"/>
        </w:rPr>
        <w:t>(such information provided and statements made as required by clauses (1) through (18), a “</w:t>
      </w:r>
      <w:r>
        <w:rPr>
          <w:rFonts w:ascii="Arial" w:cs="Arial" w:eastAsia="Arial" w:hAnsi="Arial"/>
          <w:sz w:val="19"/>
          <w:szCs w:val="19"/>
          <w:b w:val="1"/>
          <w:bCs w:val="1"/>
          <w:color w:val="auto"/>
        </w:rPr>
        <w:t>Business Solicitation Statement</w:t>
      </w:r>
      <w:r>
        <w:rPr>
          <w:rFonts w:ascii="Arial" w:cs="Arial" w:eastAsia="Arial" w:hAnsi="Arial"/>
          <w:sz w:val="19"/>
          <w:szCs w:val="19"/>
          <w:color w:val="auto"/>
        </w:rPr>
        <w:t xml:space="preserve">”). In addition, to be timely and in proper written form, a stockholder’s notice to the secretary (and any additional information submitted to the corporation in connection therewith) must further be updated and supplemented (the “ </w:t>
      </w:r>
      <w:r>
        <w:rPr>
          <w:rFonts w:ascii="Arial" w:cs="Arial" w:eastAsia="Arial" w:hAnsi="Arial"/>
          <w:sz w:val="19"/>
          <w:szCs w:val="19"/>
          <w:b w:val="1"/>
          <w:bCs w:val="1"/>
          <w:color w:val="auto"/>
        </w:rPr>
        <w:t>Supplement</w:t>
      </w:r>
      <w:r>
        <w:rPr>
          <w:rFonts w:ascii="Arial" w:cs="Arial" w:eastAsia="Arial" w:hAnsi="Arial"/>
          <w:sz w:val="19"/>
          <w:szCs w:val="19"/>
          <w:color w:val="auto"/>
        </w:rPr>
        <w:t>”) (x) if necessary, so that the information provided or required to be provided in such notice is true and correct as of the record date(s) for determining stockholders entitled to notice of, and to vote at, the meeting and as of the date that is 10 business days prior to the meeting or any adjournment, rescheduling, postponement or other delay thereof; and (y) to provide any additional information that the corporation may reasonably request. Any such update and supplement or additional information (including if requested pursuant to Section 2.4(i)(b)(18)) must be received by the secretary at the principal executive offices of the corporation (A) in the case of a request for additional information, promptly following a request therefor, which response must be received by the secretary not later than such reasonable time as is specified in any such request from the corporation; or (B)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postponement or other delay thereof (in the case of any update or supplement required to be made as of 10 business days prior to the meeting or any adjournment, rescheduling, postponement or other delay thereof). The failure to timely provide such update, supplement or additional information shall result in the proposal no longer being eligible for consideration at the annual meeting. For purposes of this Section 2.4, a “</w:t>
      </w:r>
      <w:r>
        <w:rPr>
          <w:rFonts w:ascii="Arial" w:cs="Arial" w:eastAsia="Arial" w:hAnsi="Arial"/>
          <w:sz w:val="19"/>
          <w:szCs w:val="19"/>
          <w:b w:val="1"/>
          <w:bCs w:val="1"/>
          <w:color w:val="auto"/>
        </w:rPr>
        <w:t>Stockholder Associated</w:t>
      </w:r>
      <w:r>
        <w:rPr>
          <w:rFonts w:ascii="Arial" w:cs="Arial" w:eastAsia="Arial" w:hAnsi="Arial"/>
          <w:sz w:val="19"/>
          <w:szCs w:val="19"/>
          <w:color w:val="auto"/>
        </w:rPr>
        <w:t xml:space="preserve"> </w:t>
      </w:r>
      <w:r>
        <w:rPr>
          <w:rFonts w:ascii="Arial" w:cs="Arial" w:eastAsia="Arial" w:hAnsi="Arial"/>
          <w:sz w:val="19"/>
          <w:szCs w:val="19"/>
          <w:b w:val="1"/>
          <w:bCs w:val="1"/>
          <w:color w:val="auto"/>
        </w:rPr>
        <w:t>Person</w:t>
      </w:r>
      <w:r>
        <w:rPr>
          <w:rFonts w:ascii="Arial" w:cs="Arial" w:eastAsia="Arial" w:hAnsi="Arial"/>
          <w:sz w:val="19"/>
          <w:szCs w:val="19"/>
          <w:color w:val="auto"/>
        </w:rPr>
        <w:t>” of any stockholder shall mean (i) any person controlling, directly or indirectly, or acting in concert with, such</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391" w:lineRule="exact"/>
        <w:rPr>
          <w:sz w:val="20"/>
          <w:szCs w:val="20"/>
          <w:color w:val="auto"/>
        </w:rPr>
      </w:pPr>
    </w:p>
    <w:p>
      <w:pPr>
        <w:jc w:val="both"/>
        <w:ind w:firstLine="2924"/>
        <w:spacing w:after="0" w:line="243" w:lineRule="auto"/>
        <w:tabs>
          <w:tab w:leader="none" w:pos="3547" w:val="left"/>
        </w:tabs>
        <w:numPr>
          <w:ilvl w:val="0"/>
          <w:numId w:val="11"/>
        </w:numPr>
        <w:rPr>
          <w:rFonts w:ascii="Arial" w:cs="Arial" w:eastAsia="Arial" w:hAnsi="Arial"/>
          <w:sz w:val="19"/>
          <w:szCs w:val="19"/>
          <w:color w:val="auto"/>
        </w:rPr>
      </w:pPr>
      <w:r>
        <w:rPr>
          <w:rFonts w:ascii="Arial" w:cs="Arial" w:eastAsia="Arial" w:hAnsi="Arial"/>
          <w:sz w:val="19"/>
          <w:szCs w:val="19"/>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Notwithstanding anything to the contrary in this Section 2.4, unless otherwise required by law, if the stockholder (or a qualified representative of the stockholder) does not appear in person at the meeting to present proposed business, such proposed business will not be transacted, notwithstanding that proxies in respect of such business may have been received by the corporation and counted for purposes of determining a quorum. For purposes of this Section 2.4, to be considered a qualified representative of the stockholder, a person must be a duly authorized officer, manager or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77"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 The chairperson of the annual meeting shall, if the facts warrant, determine and declare at the annual meeting that business was not properly brought before the annual meeting and in accordance with the provisions of this Section 2.4(i), and, if the chairperson should so determine, the chairperson shall so declare at the annual meeting that any such business not properly brought before the annual meeting shall not be conducted.</w:t>
      </w:r>
    </w:p>
    <w:p>
      <w:pPr>
        <w:spacing w:after="0" w:line="164" w:lineRule="exact"/>
        <w:rPr>
          <w:sz w:val="20"/>
          <w:szCs w:val="20"/>
          <w:color w:val="auto"/>
        </w:rPr>
      </w:pPr>
    </w:p>
    <w:p>
      <w:pPr>
        <w:jc w:val="both"/>
        <w:ind w:firstLine="1628"/>
        <w:spacing w:after="0" w:line="242" w:lineRule="auto"/>
        <w:tabs>
          <w:tab w:leader="none" w:pos="2129"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Advance Notice of Director Nominations at Annual Meetings. </w:t>
      </w:r>
      <w:r>
        <w:rPr>
          <w:rFonts w:ascii="Arial" w:cs="Arial" w:eastAsia="Arial" w:hAnsi="Arial"/>
          <w:sz w:val="19"/>
          <w:szCs w:val="19"/>
          <w:color w:val="auto"/>
        </w:rPr>
        <w:t>Notwithstanding anything in these bylaws</w:t>
      </w:r>
      <w:r>
        <w:rPr>
          <w:rFonts w:ascii="Arial" w:cs="Arial" w:eastAsia="Arial" w:hAnsi="Arial"/>
          <w:sz w:val="19"/>
          <w:szCs w:val="19"/>
          <w:i w:val="1"/>
          <w:iCs w:val="1"/>
          <w:color w:val="auto"/>
        </w:rPr>
        <w:t xml:space="preserve"> </w:t>
      </w:r>
      <w:r>
        <w:rPr>
          <w:rFonts w:ascii="Arial" w:cs="Arial" w:eastAsia="Arial" w:hAnsi="Arial"/>
          <w:sz w:val="19"/>
          <w:szCs w:val="19"/>
          <w:color w:val="auto"/>
        </w:rPr>
        <w:t>to the contrary, only persons who are nominated in accordance with the procedures set forth in this Section 2.4(ii)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any committee thereof that has been formally delegated authority to nominate such persons pursuant to a resolution adopted by a majority of the Whole Board, or (B) by a stockholder of the corporation who (1) was a stockholder of record at the time of the giving of the notice required by this Section 2.4(ii); (2) is a stockholder of record on the record date for the determination of stockholders entitled to notice of the annual meeting, (3) is a stockholder of record on the record date for the determination of stockholders entitled to vote at the annual meeting; (4) is a stockholder of record at the time of the annual meeting; and (5) has complied with the notice procedures set forth in this Section 2.4(ii). In addition to any other applicable requirements, for a nomination to be made by a stockholder, the stockholder must have given timely notice thereof in proper written form to the secretary at the corporation’s principal executive offices.</w:t>
      </w:r>
    </w:p>
    <w:p>
      <w:pPr>
        <w:spacing w:after="0" w:line="164" w:lineRule="exact"/>
        <w:rPr>
          <w:rFonts w:ascii="Arial" w:cs="Arial" w:eastAsia="Arial" w:hAnsi="Arial"/>
          <w:sz w:val="19"/>
          <w:szCs w:val="19"/>
          <w:color w:val="auto"/>
        </w:rPr>
      </w:pPr>
    </w:p>
    <w:p>
      <w:pPr>
        <w:jc w:val="both"/>
        <w:ind w:firstLine="2924"/>
        <w:spacing w:after="0" w:line="219" w:lineRule="auto"/>
        <w:tabs>
          <w:tab w:leader="none" w:pos="3541" w:val="left"/>
        </w:tabs>
        <w:numPr>
          <w:ilvl w:val="1"/>
          <w:numId w:val="12"/>
        </w:numPr>
        <w:rPr>
          <w:rFonts w:ascii="Arial" w:cs="Arial" w:eastAsia="Arial" w:hAnsi="Arial"/>
          <w:sz w:val="21"/>
          <w:szCs w:val="21"/>
          <w:color w:val="auto"/>
        </w:rPr>
      </w:pPr>
      <w:r>
        <w:rPr>
          <w:rFonts w:ascii="Arial" w:cs="Arial" w:eastAsia="Arial" w:hAnsi="Arial"/>
          <w:sz w:val="21"/>
          <w:szCs w:val="21"/>
          <w:color w:val="auto"/>
        </w:rPr>
        <w:t>To comply with clause (B) of Section 2.4(ii) above, a nomination to be made by a stockholder must set forth all information required under this Section 2.4(ii) and must be received by the secretary at the principal executive offices of the corporation at the time set forth in, and in accordance with, the final three sentences of Section 2.4(i)(a)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2.4(ii) will also be considered timely, but only with respect to any nominees for any new positions created by such increase, if it is received by the secretary at the principal executive offices of the corporation no later than 5:00 p.m., Pacific Time, on the 10th day following the day on which such Public Announcement is first made.</w:t>
      </w:r>
    </w:p>
    <w:p>
      <w:pPr>
        <w:spacing w:after="0" w:line="168" w:lineRule="exact"/>
        <w:rPr>
          <w:rFonts w:ascii="Arial" w:cs="Arial" w:eastAsia="Arial" w:hAnsi="Arial"/>
          <w:sz w:val="21"/>
          <w:szCs w:val="21"/>
          <w:color w:val="auto"/>
        </w:rPr>
      </w:pPr>
    </w:p>
    <w:p>
      <w:pPr>
        <w:ind w:left="3400" w:hanging="476"/>
        <w:spacing w:after="0"/>
        <w:tabs>
          <w:tab w:leader="none" w:pos="34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To be in proper written form, such stockholder’s notice to the secretary must set forth:</w:t>
      </w:r>
    </w:p>
    <w:p>
      <w:pPr>
        <w:spacing w:after="0" w:line="208" w:lineRule="exact"/>
        <w:rPr>
          <w:sz w:val="20"/>
          <w:szCs w:val="20"/>
          <w:color w:val="auto"/>
        </w:rPr>
      </w:pPr>
    </w:p>
    <w:p>
      <w:pPr>
        <w:ind w:left="3420" w:hanging="496"/>
        <w:spacing w:after="0"/>
        <w:tabs>
          <w:tab w:leader="none" w:pos="34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as to each person (a “</w:t>
      </w:r>
      <w:r>
        <w:rPr>
          <w:rFonts w:ascii="Arial" w:cs="Arial" w:eastAsia="Arial" w:hAnsi="Arial"/>
          <w:sz w:val="19"/>
          <w:szCs w:val="19"/>
          <w:b w:val="1"/>
          <w:bCs w:val="1"/>
          <w:color w:val="auto"/>
        </w:rPr>
        <w:t>nominee</w:t>
      </w:r>
      <w:r>
        <w:rPr>
          <w:rFonts w:ascii="Arial" w:cs="Arial" w:eastAsia="Arial" w:hAnsi="Arial"/>
          <w:sz w:val="19"/>
          <w:szCs w:val="19"/>
          <w:color w:val="auto"/>
        </w:rPr>
        <w:t>”) whom the stockholder proposes to nominate for election</w:t>
      </w:r>
    </w:p>
    <w:p>
      <w:pPr>
        <w:spacing w:after="0" w:line="21" w:lineRule="exact"/>
        <w:rPr>
          <w:rFonts w:ascii="Arial" w:cs="Arial" w:eastAsia="Arial" w:hAnsi="Arial"/>
          <w:sz w:val="19"/>
          <w:szCs w:val="19"/>
          <w:color w:val="auto"/>
        </w:rPr>
      </w:pPr>
    </w:p>
    <w:p>
      <w:pPr>
        <w:jc w:val="both"/>
        <w:spacing w:after="0" w:line="221" w:lineRule="auto"/>
        <w:rPr>
          <w:rFonts w:ascii="Arial" w:cs="Arial" w:eastAsia="Arial" w:hAnsi="Arial"/>
          <w:sz w:val="19"/>
          <w:szCs w:val="19"/>
          <w:color w:val="auto"/>
        </w:rPr>
      </w:pPr>
      <w:r>
        <w:rPr>
          <w:rFonts w:ascii="Arial" w:cs="Arial" w:eastAsia="Arial" w:hAnsi="Arial"/>
          <w:sz w:val="21"/>
          <w:szCs w:val="21"/>
          <w:color w:val="auto"/>
        </w:rPr>
        <w:t>or re-election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Instruments held or beneficially held by the nominee, including the full notional amount of any securities that, directly or indirectly, underlie any such Derivative Instruments, (D) whether and the extent to which any hedging or other transaction or series of transactions has been entered into by or on behalf of the nominee with respect to any securities of the corporation, and a description of any other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arrangement or understanding (including any short position or any borrowing or lending of shares), the effect or intent of which is to create or mitigate loss to, or to manage the risk or benefit of share price changes for, or to increase or decrease the voting power of the nominee, (E) all arrangements or understandings between the stockholder giving the notice and any Stockholder Associated Person, on the one hand, and each nominee and such nominee’s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 (F) a written statement executed by the nominee acknowledging that as a director of the corporation, the nominee will owe a fiduciary duty under Delaware law with respect to the corporation and its stockholders, (G) any proxy, contract, arrangement, understanding or relationship pursuant to which such stockholder or any Stockholder Associated Person or others acting in concert with them has a right to vote any shares of any security of the corporation, (H) any material pending or threatened legal proceeding in which such stockholder or any Stockholder Associated Person is a party or material participant involving the corporation or any of its officers, directors or affiliates, (I) any material relationship between such stockholder or any Stockholder Associated Person or others acting in concert with them, on the one hand, and the corporation or any of its officers, directors or affiliates, on the other hand, (J) any direct or indirect compensatory, payment, indemnification or other financial agreement, arrangement or understanding that such nominee has, or has had within the past three years, with any person or entity other than the corporation (including, without limitation, the amount of any payment or payments received or receivable thereunder), in each case in connection with candidacy or service as a director of the corporation (such agreement, arrangement or understanding, a “</w:t>
      </w:r>
      <w:r>
        <w:rPr>
          <w:rFonts w:ascii="Arial" w:cs="Arial" w:eastAsia="Arial" w:hAnsi="Arial"/>
          <w:sz w:val="19"/>
          <w:szCs w:val="19"/>
          <w:b w:val="1"/>
          <w:bCs w:val="1"/>
          <w:color w:val="auto"/>
        </w:rPr>
        <w:t>Third-Party Compensation Arrangement</w:t>
      </w:r>
      <w:r>
        <w:rPr>
          <w:rFonts w:ascii="Arial" w:cs="Arial" w:eastAsia="Arial" w:hAnsi="Arial"/>
          <w:sz w:val="19"/>
          <w:szCs w:val="19"/>
          <w:color w:val="auto"/>
        </w:rPr>
        <w:t>”), and</w:t>
      </w:r>
    </w:p>
    <w:p>
      <w:pPr>
        <w:spacing w:after="0" w:line="6" w:lineRule="exact"/>
        <w:rPr>
          <w:sz w:val="20"/>
          <w:szCs w:val="20"/>
          <w:color w:val="auto"/>
        </w:rPr>
      </w:pPr>
    </w:p>
    <w:p>
      <w:pPr>
        <w:jc w:val="both"/>
        <w:ind w:firstLine="8"/>
        <w:spacing w:after="0" w:line="212" w:lineRule="auto"/>
        <w:tabs>
          <w:tab w:leader="none" w:pos="377"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other information relating to the nominee that would be required to be disclosed about such nominee if proxies were being solicited for the election or re-election of the nominee as a director, or that is otherwise required, in each case pursuant to Regulation 14A under the 1934 Act (including without limitation the nominee’s written consent (i) to being named as a nominee of such stockholder, (ii) to being named in the corporation’s form of proxy pursuant to Rule 14a-19 under the 1934 Act and (iii) to serving as a director of the corporation if elected); and</w:t>
      </w:r>
    </w:p>
    <w:p>
      <w:pPr>
        <w:spacing w:after="0" w:line="160" w:lineRule="exact"/>
        <w:rPr>
          <w:rFonts w:ascii="Arial" w:cs="Arial" w:eastAsia="Arial" w:hAnsi="Arial"/>
          <w:sz w:val="22"/>
          <w:szCs w:val="22"/>
          <w:color w:val="auto"/>
        </w:rPr>
      </w:pPr>
    </w:p>
    <w:p>
      <w:pPr>
        <w:jc w:val="both"/>
        <w:ind w:firstLine="2924"/>
        <w:spacing w:after="0" w:line="243" w:lineRule="auto"/>
        <w:tabs>
          <w:tab w:leader="none" w:pos="3401" w:val="left"/>
        </w:tabs>
        <w:numPr>
          <w:ilvl w:val="2"/>
          <w:numId w:val="14"/>
        </w:numPr>
        <w:rPr>
          <w:rFonts w:ascii="Arial" w:cs="Arial" w:eastAsia="Arial" w:hAnsi="Arial"/>
          <w:sz w:val="19"/>
          <w:szCs w:val="19"/>
          <w:color w:val="auto"/>
        </w:rPr>
      </w:pPr>
      <w:r>
        <w:rPr>
          <w:rFonts w:ascii="Arial" w:cs="Arial" w:eastAsia="Arial" w:hAnsi="Arial"/>
          <w:sz w:val="19"/>
          <w:szCs w:val="19"/>
          <w:color w:val="auto"/>
        </w:rPr>
        <w:t>as to such stockholder giving notice, (A) the information required to be provided pursuant to clauses (2) through (18) of Section 2.4(i)(b) above, and the Supplement referenced in Section 2.4(i)(b) above (except that the references to “business” in such clauses shall instead refer to nominations of directors for purposes of this paragraph), and (B) a representation and undertaking as to whether either such stockholder or Stockholder Associated Person will (x) deliver a proxy statement and form of proxy to holders of a number of the corporation’s voting shares reasonably believed by such stockholder or Stockholder Associated Person to be necessary to elect or re-elect such nominee(s) (which representation must include a statement as to whether such stockholder or Stockholder Associated Person or others acting in concert with them intends to solicit the requisite percentage of the voting power of the corporation’s stock under Rule 14a-19 of the 1934 Act) and intends to appear in person or by proxy at the meeting to bring such nomination before the meeting, or (y) otherwise solicit proxies from stockholders in support of such nomination (such information provided and statements made as required by clauses (A) and (B) above, a “</w:t>
      </w:r>
      <w:r>
        <w:rPr>
          <w:rFonts w:ascii="Arial" w:cs="Arial" w:eastAsia="Arial" w:hAnsi="Arial"/>
          <w:sz w:val="19"/>
          <w:szCs w:val="19"/>
          <w:b w:val="1"/>
          <w:bCs w:val="1"/>
          <w:color w:val="auto"/>
        </w:rPr>
        <w:t>Nominee Solicitation Statement</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2276"/>
        <w:spacing w:after="0" w:line="216" w:lineRule="auto"/>
        <w:tabs>
          <w:tab w:leader="none" w:pos="2802" w:val="left"/>
        </w:tabs>
        <w:numPr>
          <w:ilvl w:val="1"/>
          <w:numId w:val="14"/>
        </w:numPr>
        <w:rPr>
          <w:rFonts w:ascii="Arial" w:cs="Arial" w:eastAsia="Arial" w:hAnsi="Arial"/>
          <w:sz w:val="22"/>
          <w:szCs w:val="22"/>
          <w:color w:val="auto"/>
        </w:rPr>
      </w:pPr>
      <w:r>
        <w:rPr>
          <w:rFonts w:ascii="Arial" w:cs="Arial" w:eastAsia="Arial" w:hAnsi="Arial"/>
          <w:sz w:val="22"/>
          <w:szCs w:val="22"/>
          <w:color w:val="auto"/>
        </w:rPr>
        <w:t>No later than five business days prior to the annual meeting or any adjournment, rescheduling, postponement or other delay thereof, a stockholder nominating one or more individuals for election as a director will provide the corporation with reasonable evidence that such stockholder has met the requirements of Rule 14a-19. The failure to timely provide such update, supplement, evidence or additional information shall result in the nomination no longer being eligible for consideration at the annual meeting. If the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 For the avoidance of doubt, the obligation to update and supplement, or provide additional information or evidence, with respect to any nomination as set forth in these bylaws shall not limit the corporation’s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proposal or to submit any new nomination or proposal.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64" w:lineRule="exact"/>
        <w:rPr>
          <w:sz w:val="20"/>
          <w:szCs w:val="20"/>
          <w:color w:val="auto"/>
        </w:rPr>
      </w:pPr>
    </w:p>
    <w:p>
      <w:pPr>
        <w:jc w:val="both"/>
        <w:ind w:firstLine="2276"/>
        <w:spacing w:after="0" w:line="242" w:lineRule="auto"/>
        <w:tabs>
          <w:tab w:leader="none" w:pos="2792" w:val="left"/>
        </w:tabs>
        <w:numPr>
          <w:ilvl w:val="1"/>
          <w:numId w:val="15"/>
        </w:numPr>
        <w:rPr>
          <w:rFonts w:ascii="Arial" w:cs="Arial" w:eastAsia="Arial" w:hAnsi="Arial"/>
          <w:sz w:val="19"/>
          <w:szCs w:val="19"/>
          <w:color w:val="auto"/>
        </w:rPr>
      </w:pPr>
      <w:r>
        <w:rPr>
          <w:rFonts w:ascii="Arial" w:cs="Arial" w:eastAsia="Arial" w:hAnsi="Arial"/>
          <w:sz w:val="19"/>
          <w:szCs w:val="19"/>
          <w:color w:val="auto"/>
        </w:rPr>
        <w:t>To be eligible to be a nominee of any stockholder for election or re-election as a director of the corporation, at the request of the board of directors, any person nominated by a stockholder for election or re-election as a director must furnish to the secretary (1) that information required to be set forth in the stockholder’s notice of nomination of such person as a director as of a date subsequent to the date on which the notice of such person’s nomination was given and</w:t>
      </w:r>
    </w:p>
    <w:p>
      <w:pPr>
        <w:jc w:val="both"/>
        <w:ind w:firstLine="8"/>
        <w:spacing w:after="0"/>
        <w:tabs>
          <w:tab w:leader="none" w:pos="348" w:val="left"/>
        </w:tabs>
        <w:numPr>
          <w:ilvl w:val="0"/>
          <w:numId w:val="16"/>
        </w:numPr>
        <w:rPr>
          <w:rFonts w:ascii="Arial" w:cs="Arial" w:eastAsia="Arial" w:hAnsi="Arial"/>
          <w:sz w:val="19"/>
          <w:szCs w:val="19"/>
          <w:color w:val="auto"/>
        </w:rPr>
      </w:pPr>
      <w:r>
        <w:rPr>
          <w:rFonts w:ascii="Arial" w:cs="Arial" w:eastAsia="Arial" w:hAnsi="Arial"/>
          <w:sz w:val="19"/>
          <w:szCs w:val="19"/>
          <w:color w:val="auto"/>
        </w:rPr>
        <w:t>such other information as may reasonably be required by the corporation to determine the eligibility of such proposed nominee to serve as an independent director or audit committee financial expert of the corporation under applicable law, securities exchange rule or regulation, or any publicly disclosed corporate governance guideline or committee charter of the corporation and that could be material to a reasonable stockholder’s understanding of the independence, or lack thereof, or the qualifications of such nominee. Such additional information, if applicable, must be received by the secretary at the principal executive offices of the corporation promptly following a request therefor, not later than such reasonable time as is specified in any such request from the corporation. In the absence of the timely furnishing of such information if requested, such stockholder’s nomination shall not be considered in proper form and shall be ineligible for consideration at the annual meeting pursuant to this Section 2.4(ii). Without limiting the foregoing, to be eligible to be a nominee and qualify for election or re-election as a director of the corporation, the proposed nominee must deliver (in accordance with the time period prescribed for delivery in a notice to such proposed nominee given by or on behalf of the board of directors), to the secretary at the principal executive offices of the corporation, (1) a signed and completed written questionnaire (in a form provided by the corporation, which will be provided by the secretary within 10 days of receiving such request) containing information regarding such nominee’s background and qualifications and such other information as may reasonably be required by the corporation to determine the eligibility of such nominee to serve as a director of the corporation or to serve as an independent director of the corporation and (2) a written representation and undertaking that such proposed nominee (A) unless previously disclosed to the corporation, is not and, if elected as a director during such director’s term of office will not become, a party to (x) any agreement, arrangement or understanding with, and has not given and will not give any commitment or assurance to, any person or entity as to how such proposed nominee, if elected as a director of the corporation, will act or vote on any issue or question or (y) any Third-Party Compensation Arrangement, unless previously disclosed to the corporation, and (B) if elected as a director of the corporation, such nominee would be in compliance, and will continue to comply, with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shall provide to such proposed nominee all such policies and guidelines then in effect), and that such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intends to serve a full term on the board of directors. No later than five business days prior to the annual meeting or any adjournment, rescheduling, postponement or other delay thereof, a stockholder nominating individuals for election or re-election as a director will provide the corporation with reasonable evidence that such stockholder has met the requirements of Rule 14a-</w:t>
      </w:r>
    </w:p>
    <w:p>
      <w:pPr>
        <w:spacing w:after="0" w:line="2" w:lineRule="exact"/>
        <w:rPr>
          <w:sz w:val="20"/>
          <w:szCs w:val="20"/>
          <w:color w:val="auto"/>
        </w:rPr>
      </w:pPr>
    </w:p>
    <w:p>
      <w:pPr>
        <w:ind w:firstLine="8"/>
        <w:spacing w:after="0" w:line="224" w:lineRule="auto"/>
        <w:tabs>
          <w:tab w:leader="none" w:pos="336"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failure to timely provide such update, supplement, evidence or additional information shall result in the nomination no longer being eligible for consideration at the meeting.</w:t>
      </w:r>
    </w:p>
    <w:p>
      <w:pPr>
        <w:spacing w:after="0" w:line="157" w:lineRule="exact"/>
        <w:rPr>
          <w:rFonts w:ascii="Arial" w:cs="Arial" w:eastAsia="Arial" w:hAnsi="Arial"/>
          <w:sz w:val="22"/>
          <w:szCs w:val="22"/>
          <w:color w:val="auto"/>
        </w:rPr>
      </w:pPr>
    </w:p>
    <w:p>
      <w:pPr>
        <w:jc w:val="both"/>
        <w:ind w:firstLine="2276"/>
        <w:spacing w:after="0" w:line="242" w:lineRule="auto"/>
        <w:tabs>
          <w:tab w:leader="none" w:pos="2855" w:val="left"/>
        </w:tabs>
        <w:numPr>
          <w:ilvl w:val="2"/>
          <w:numId w:val="17"/>
        </w:numPr>
        <w:rPr>
          <w:rFonts w:ascii="Arial" w:cs="Arial" w:eastAsia="Arial" w:hAnsi="Arial"/>
          <w:sz w:val="19"/>
          <w:szCs w:val="19"/>
          <w:color w:val="auto"/>
        </w:rPr>
      </w:pPr>
      <w:r>
        <w:rPr>
          <w:rFonts w:ascii="Arial" w:cs="Arial" w:eastAsia="Arial" w:hAnsi="Arial"/>
          <w:sz w:val="19"/>
          <w:szCs w:val="19"/>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or other information provided to the corporation by or on behalf of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 Notwithstanding anything to the contrary in this Section 2.4, unless otherwise required by law, if the stockholder (or a qualified representative of the stockholder) does not appear in person at the meeting to present a nomination, such nomination will be disregarded notwithstanding that proxies in respect of such nomination may have been received by the corporation and counted for purposes of determining a quorum.</w:t>
      </w:r>
    </w:p>
    <w:p>
      <w:pPr>
        <w:spacing w:after="0" w:line="160" w:lineRule="exact"/>
        <w:rPr>
          <w:rFonts w:ascii="Arial" w:cs="Arial" w:eastAsia="Arial" w:hAnsi="Arial"/>
          <w:sz w:val="19"/>
          <w:szCs w:val="19"/>
          <w:color w:val="auto"/>
        </w:rPr>
      </w:pPr>
    </w:p>
    <w:p>
      <w:pPr>
        <w:ind w:left="2160" w:hanging="532"/>
        <w:spacing w:after="0"/>
        <w:tabs>
          <w:tab w:leader="none" w:pos="2160" w:val="left"/>
        </w:tabs>
        <w:numPr>
          <w:ilvl w:val="1"/>
          <w:numId w:val="17"/>
        </w:numPr>
        <w:rPr>
          <w:rFonts w:ascii="Arial" w:cs="Arial" w:eastAsia="Arial" w:hAnsi="Arial"/>
          <w:sz w:val="22"/>
          <w:szCs w:val="22"/>
          <w:color w:val="auto"/>
        </w:rPr>
      </w:pPr>
      <w:r>
        <w:rPr>
          <w:rFonts w:ascii="Arial" w:cs="Arial" w:eastAsia="Arial" w:hAnsi="Arial"/>
          <w:sz w:val="22"/>
          <w:szCs w:val="22"/>
          <w:i w:val="1"/>
          <w:iCs w:val="1"/>
          <w:color w:val="auto"/>
        </w:rPr>
        <w:t>Advance Notice of Director Nominations for Special Meetings.</w:t>
      </w:r>
    </w:p>
    <w:p>
      <w:pPr>
        <w:spacing w:after="0" w:line="179" w:lineRule="exact"/>
        <w:rPr>
          <w:rFonts w:ascii="Arial" w:cs="Arial" w:eastAsia="Arial" w:hAnsi="Arial"/>
          <w:sz w:val="22"/>
          <w:szCs w:val="22"/>
          <w:color w:val="auto"/>
        </w:rPr>
      </w:pPr>
    </w:p>
    <w:p>
      <w:pPr>
        <w:jc w:val="both"/>
        <w:ind w:firstLine="2276"/>
        <w:spacing w:after="0" w:line="225" w:lineRule="auto"/>
        <w:tabs>
          <w:tab w:leader="none" w:pos="2734" w:val="left"/>
        </w:tabs>
        <w:numPr>
          <w:ilvl w:val="2"/>
          <w:numId w:val="18"/>
        </w:numPr>
        <w:rPr>
          <w:rFonts w:ascii="Arial" w:cs="Arial" w:eastAsia="Arial" w:hAnsi="Arial"/>
          <w:sz w:val="20"/>
          <w:szCs w:val="20"/>
          <w:color w:val="auto"/>
        </w:rPr>
      </w:pPr>
      <w:r>
        <w:rPr>
          <w:rFonts w:ascii="Arial" w:cs="Arial" w:eastAsia="Arial" w:hAnsi="Arial"/>
          <w:sz w:val="20"/>
          <w:szCs w:val="20"/>
          <w:color w:val="auto"/>
        </w:rPr>
        <w:t>For a special meeting of stockholders at which directors are to be elected or re-elected pursuant to Section 2.3, nominations of persons for election to the board of directors shall be made only (1) by or at the direction of the board of directors, or any committee thereof that has been formally delegated authority to nominate such persons pursuant to a resolution adopted by a majority of the Whole Board, or (2) by any stockholder of the corporation who (A) is a stockholder of record at the time of the giving of the notice required by this Section 2.4(iii); (B) is a stockholder of record on the record date for the determination of stockholders entitled to notice of the special meeting; (C) is a stockholder of record on the record date for the determination of stockholders entitled to vote at the special meeting; (D) is a stockholder of record at the time of the special meeting; and (E) delivers a timely written notice of the nomination to the secretary that includes the information set forth in Sections 2.4(ii)(b) and (ii)(c) above (with references therein to “annual meeting” deemed to mean “special meeting” for the purposes of this Section 2.4(iii) and further with such procedures that the corporation deems to be applicable to such special meeting). To be timely, such notice must be received by the secretary at the principal executive offices of the corporation not earlier than 8:00 a.m., Pacific time, on the 120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prior to the day of the special meeting and not later than 5:00 p.m., Pacific time, on the later of (i) the 90th day prior to such special meeting or (ii) the tenth day following the day on which Public Announcement is first made of the date of the special meeting and of the nominees proposed by the board of directors to be elected or re-elected at such meeting. In no event shall any adjournment, rescheduling, postponement or other delay of a special meeting or the announcement thereof commence a new time period for the giving of a stockholder’s notice. A person shall not be eligible for election or re-election as a director at a special meeting unless the person is nominated (i) by or at the direction of the board of directors, or any committee thereof that has been formally delegated authority to nominate such persons pursuant to a resolution adopted by a majority of the Whole Board, or (ii) by a stockholder in accordance with the notice procedures set forth in this Section 2.4(iii). In addition, a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77"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shall not be eligible for election or re-election if a stockholder or Stockholder Associated Person, as applicable, takes action contrary to the representations made in the Nominee Solicitation Statement applicable to such nominee or other information provided to the corporation by or on behalf of such nominee or if the Nominee Solicitation Statement applicable to such nominee contains an untrue statement of a material fact or omits to state a material fact necessary to make the statements therein not misleading. Any person nominated in accordance with this Section 2.4(iii) is subject to, and must comply with, the provisions of Section 2.4(ii)(c).</w:t>
      </w:r>
    </w:p>
    <w:p>
      <w:pPr>
        <w:spacing w:after="0" w:line="159" w:lineRule="exact"/>
        <w:rPr>
          <w:sz w:val="20"/>
          <w:szCs w:val="20"/>
          <w:color w:val="auto"/>
        </w:rPr>
      </w:pPr>
    </w:p>
    <w:p>
      <w:pPr>
        <w:jc w:val="both"/>
        <w:ind w:firstLine="2276"/>
        <w:spacing w:after="0" w:line="218" w:lineRule="auto"/>
        <w:tabs>
          <w:tab w:leader="none" w:pos="2821" w:val="left"/>
        </w:tabs>
        <w:numPr>
          <w:ilvl w:val="2"/>
          <w:numId w:val="19"/>
        </w:numPr>
        <w:rPr>
          <w:rFonts w:ascii="Arial" w:cs="Arial" w:eastAsia="Arial" w:hAnsi="Arial"/>
          <w:sz w:val="22"/>
          <w:szCs w:val="22"/>
          <w:color w:val="auto"/>
        </w:rPr>
      </w:pPr>
      <w:r>
        <w:rPr>
          <w:rFonts w:ascii="Arial" w:cs="Arial" w:eastAsia="Arial" w:hAnsi="Arial"/>
          <w:sz w:val="22"/>
          <w:szCs w:val="22"/>
          <w:color w:val="auto"/>
        </w:rPr>
        <w:t>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w:t>
      </w:r>
    </w:p>
    <w:p>
      <w:pPr>
        <w:spacing w:after="0" w:line="160" w:lineRule="exact"/>
        <w:rPr>
          <w:rFonts w:ascii="Arial" w:cs="Arial" w:eastAsia="Arial" w:hAnsi="Arial"/>
          <w:sz w:val="22"/>
          <w:szCs w:val="22"/>
          <w:color w:val="auto"/>
        </w:rPr>
      </w:pPr>
    </w:p>
    <w:p>
      <w:pPr>
        <w:jc w:val="both"/>
        <w:ind w:firstLine="1628"/>
        <w:spacing w:after="0" w:line="268" w:lineRule="auto"/>
        <w:tabs>
          <w:tab w:leader="none" w:pos="2155"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 xml:space="preserve">Other Requirements and Rights. </w:t>
      </w:r>
      <w:r>
        <w:rPr>
          <w:rFonts w:ascii="Arial" w:cs="Arial" w:eastAsia="Arial" w:hAnsi="Arial"/>
          <w:sz w:val="19"/>
          <w:szCs w:val="19"/>
          <w:color w:val="auto"/>
        </w:rPr>
        <w:t>In addition to the foregoing provisions of this Section 2.4, a stockholder</w:t>
      </w:r>
      <w:r>
        <w:rPr>
          <w:rFonts w:ascii="Arial" w:cs="Arial" w:eastAsia="Arial" w:hAnsi="Arial"/>
          <w:sz w:val="19"/>
          <w:szCs w:val="19"/>
          <w:i w:val="1"/>
          <w:iCs w:val="1"/>
          <w:color w:val="auto"/>
        </w:rPr>
        <w:t xml:space="preserve"> </w:t>
      </w:r>
      <w:r>
        <w:rPr>
          <w:rFonts w:ascii="Arial" w:cs="Arial" w:eastAsia="Arial" w:hAnsi="Arial"/>
          <w:sz w:val="19"/>
          <w:szCs w:val="19"/>
          <w:color w:val="auto"/>
        </w:rPr>
        <w:t>must also comply with all applicable requirements of state law and of the 1934 Act and the rules and regulations thereunder with respect to the matters set forth in this Section 2.4. Nothing in this Section 2.4 shall be deemed to affect any rights of:</w:t>
      </w:r>
    </w:p>
    <w:p>
      <w:pPr>
        <w:spacing w:after="0" w:line="132" w:lineRule="exact"/>
        <w:rPr>
          <w:rFonts w:ascii="Arial" w:cs="Arial" w:eastAsia="Arial" w:hAnsi="Arial"/>
          <w:sz w:val="19"/>
          <w:szCs w:val="19"/>
          <w:color w:val="auto"/>
        </w:rPr>
      </w:pPr>
    </w:p>
    <w:p>
      <w:pPr>
        <w:ind w:firstLine="2114"/>
        <w:spacing w:after="0" w:line="232" w:lineRule="auto"/>
        <w:tabs>
          <w:tab w:leader="none" w:pos="2669" w:val="left"/>
        </w:tabs>
        <w:numPr>
          <w:ilvl w:val="1"/>
          <w:numId w:val="20"/>
        </w:numPr>
        <w:rPr>
          <w:rFonts w:ascii="Arial" w:cs="Arial" w:eastAsia="Arial" w:hAnsi="Arial"/>
          <w:sz w:val="22"/>
          <w:szCs w:val="22"/>
          <w:color w:val="auto"/>
        </w:rPr>
      </w:pPr>
      <w:r>
        <w:rPr>
          <w:rFonts w:ascii="Arial" w:cs="Arial" w:eastAsia="Arial" w:hAnsi="Arial"/>
          <w:sz w:val="22"/>
          <w:szCs w:val="22"/>
          <w:color w:val="auto"/>
        </w:rPr>
        <w:t>a stockholder to request inclusion of proposals in the corporation’s proxy statement pursuant to Rule 14a-8 (or any successor provision) under the 1934 Act; or</w:t>
      </w:r>
    </w:p>
    <w:p>
      <w:pPr>
        <w:spacing w:after="0" w:line="158" w:lineRule="exact"/>
        <w:rPr>
          <w:rFonts w:ascii="Arial" w:cs="Arial" w:eastAsia="Arial" w:hAnsi="Arial"/>
          <w:sz w:val="22"/>
          <w:szCs w:val="22"/>
          <w:color w:val="auto"/>
        </w:rPr>
      </w:pPr>
    </w:p>
    <w:p>
      <w:pPr>
        <w:ind w:firstLine="2276"/>
        <w:spacing w:after="0" w:line="232" w:lineRule="auto"/>
        <w:tabs>
          <w:tab w:leader="none" w:pos="2760"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corporation to omit a proposal from the corporation’s proxy statement pursuant to Rule 14a-8 (or any successor provision) under the 1934 Act.</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NOTICE OF STOCKHOLDERS’ MEETINGS</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QUORUM</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corporation’s securities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7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ADJOURNED MEETING; NOTICE</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When a meeting is adjourned to another time or place (including an adjournment taken to address a technical failure to convene or continue a meeting using remote communication),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CONDUCT OF BUSINESS</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The chairperson of any meeting of stockholders shall determine the order of business and the procedure at the meeting, including such regulation of the manner of voting and the conduct of business and discussion as seen to the chairperson in order. The chairperson of any meeting of stockholders shall be designated by the board of directors; in the absence of such designation, the chairperson of the board, if any, or the chief executive officer (in the absence of the chairperson) or the president (in the absence of the chairperson of the board of directors and the chief executive officer), or in their absence any other executive officer of the corporation, shall serve as chairperson of the stockholder meeting. The chairperson of any meeting of the stockholders shall have the power to adjourn the meeting to another place, if any, date or time, whether or not a quorum is present.</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color w:val="auto"/>
        </w:rPr>
        <w:t>VOTING</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Except as otherwise provided by law, the certificate of incorporation, these bylaws or the rules of any applicable stock exchange on which the corporation’s securities are listed,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 on which the corporation’s securities are listed.</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STOCKHOLDER ACTION BY WRITTEN CONSENT WITHOUT A MEETING</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Unless otherwise provided in the certificate of incorporation and subject to the rights of the holders of the shares of any series of preferred stock or any other class of stock or series thereof having a preference over the common stock as dividend or upon liquidation of the corporation,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RECORD DATES</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A determination of stockholders of record entitled to notice of or to vote at a meeting of stockholders shall apply to any adjournment of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PROXIES</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authorization shall set forth, or be delivered with information enabling the corporation to determine, the identity of the stockholder granting such authorization. The revocability of a proxy that states on its face that it is irrevocable shall be governed by the provisions of Section 212 of the DGCL.</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LIST OF STOCKHOLDERS ENTITLED TO VOTE</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INSPECTORS OF ELECTION</w:t>
      </w:r>
    </w:p>
    <w:p>
      <w:pPr>
        <w:spacing w:after="0" w:line="179" w:lineRule="exact"/>
        <w:rPr>
          <w:sz w:val="20"/>
          <w:szCs w:val="20"/>
          <w:color w:val="auto"/>
        </w:rPr>
      </w:pPr>
    </w:p>
    <w:p>
      <w:pPr>
        <w:ind w:right="20" w:firstLine="972"/>
        <w:spacing w:after="0" w:line="243" w:lineRule="auto"/>
        <w:rPr>
          <w:sz w:val="20"/>
          <w:szCs w:val="20"/>
          <w:color w:val="auto"/>
        </w:rPr>
      </w:pPr>
      <w:r>
        <w:rPr>
          <w:rFonts w:ascii="Arial" w:cs="Arial" w:eastAsia="Arial" w:hAnsi="Arial"/>
          <w:sz w:val="19"/>
          <w:szCs w:val="19"/>
          <w:color w:val="auto"/>
        </w:rPr>
        <w:t xml:space="preserve">The corporation shall prepare, no later than the tenth day before every meeting of stockholders, a complete list of the stockholders entitled to vote at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(i) on a reasonably accessible electronic network,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information required to gain access to such list is provided with the notice of the meeting, or (ii) during ordinary</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w:t>
      </w:r>
    </w:p>
    <w:p>
      <w:pPr>
        <w:spacing w:after="0" w:line="159"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Before any meeting of stockholders, the corporation shall appoint an inspector or inspectors of election to act at the meeting or its adjournment. The corporation may designate one or more persons as alternate inspectors to replace any inspector who fails to act.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inspectors shall:</w:t>
      </w:r>
    </w:p>
    <w:p>
      <w:pPr>
        <w:spacing w:after="0" w:line="179" w:lineRule="exact"/>
        <w:rPr>
          <w:sz w:val="20"/>
          <w:szCs w:val="20"/>
          <w:color w:val="auto"/>
        </w:rPr>
      </w:pPr>
    </w:p>
    <w:p>
      <w:pPr>
        <w:ind w:left="2300" w:hanging="413"/>
        <w:spacing w:after="0"/>
        <w:tabs>
          <w:tab w:leader="none" w:pos="23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ascertain the number of shares outstanding and the voting power of each;</w:t>
      </w:r>
    </w:p>
    <w:p>
      <w:pPr>
        <w:spacing w:after="0" w:line="179" w:lineRule="exact"/>
        <w:rPr>
          <w:rFonts w:ascii="Arial" w:cs="Arial" w:eastAsia="Arial" w:hAnsi="Arial"/>
          <w:sz w:val="22"/>
          <w:szCs w:val="22"/>
          <w:color w:val="auto"/>
        </w:rPr>
      </w:pPr>
    </w:p>
    <w:p>
      <w:pPr>
        <w:ind w:left="1700" w:hanging="477"/>
        <w:spacing w:after="0"/>
        <w:tabs>
          <w:tab w:leader="none" w:pos="1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determine the shares represented at the meeting and the validity of proxies and ballots;</w:t>
      </w:r>
    </w:p>
    <w:p>
      <w:pPr>
        <w:spacing w:after="0" w:line="179" w:lineRule="exact"/>
        <w:rPr>
          <w:rFonts w:ascii="Arial" w:cs="Arial" w:eastAsia="Arial" w:hAnsi="Arial"/>
          <w:sz w:val="22"/>
          <w:szCs w:val="22"/>
          <w:color w:val="auto"/>
        </w:rPr>
      </w:pPr>
    </w:p>
    <w:p>
      <w:pPr>
        <w:ind w:left="2420" w:hanging="533"/>
        <w:spacing w:after="0"/>
        <w:tabs>
          <w:tab w:leader="none" w:pos="2420" w:val="left"/>
        </w:tabs>
        <w:numPr>
          <w:ilvl w:val="1"/>
          <w:numId w:val="22"/>
        </w:numPr>
        <w:rPr>
          <w:rFonts w:ascii="Arial" w:cs="Arial" w:eastAsia="Arial" w:hAnsi="Arial"/>
          <w:sz w:val="22"/>
          <w:szCs w:val="22"/>
          <w:color w:val="auto"/>
        </w:rPr>
      </w:pPr>
      <w:r>
        <w:rPr>
          <w:rFonts w:ascii="Arial" w:cs="Arial" w:eastAsia="Arial" w:hAnsi="Arial"/>
          <w:sz w:val="22"/>
          <w:szCs w:val="22"/>
          <w:color w:val="auto"/>
        </w:rPr>
        <w:t>count all votes and ballots;</w:t>
      </w:r>
    </w:p>
    <w:p>
      <w:pPr>
        <w:spacing w:after="0" w:line="179" w:lineRule="exact"/>
        <w:rPr>
          <w:sz w:val="20"/>
          <w:szCs w:val="20"/>
          <w:color w:val="auto"/>
        </w:rPr>
      </w:pPr>
    </w:p>
    <w:p>
      <w:pPr>
        <w:ind w:firstLine="1223"/>
        <w:spacing w:after="0" w:line="232" w:lineRule="auto"/>
        <w:tabs>
          <w:tab w:leader="none" w:pos="1874" w:val="left"/>
        </w:tabs>
        <w:numPr>
          <w:ilvl w:val="0"/>
          <w:numId w:val="23"/>
        </w:numPr>
        <w:rPr>
          <w:rFonts w:ascii="Arial" w:cs="Arial" w:eastAsia="Arial" w:hAnsi="Arial"/>
          <w:sz w:val="22"/>
          <w:szCs w:val="22"/>
          <w:color w:val="auto"/>
        </w:rPr>
      </w:pPr>
      <w:r>
        <w:rPr>
          <w:rFonts w:ascii="Arial" w:cs="Arial" w:eastAsia="Arial" w:hAnsi="Arial"/>
          <w:sz w:val="22"/>
          <w:szCs w:val="22"/>
          <w:color w:val="auto"/>
        </w:rPr>
        <w:t>determine and retain for a reasonable period a record of the disposition of any challenges made to any determination by the inspectors; and</w:t>
      </w:r>
    </w:p>
    <w:p>
      <w:pPr>
        <w:spacing w:after="0" w:line="158" w:lineRule="exact"/>
        <w:rPr>
          <w:rFonts w:ascii="Arial" w:cs="Arial" w:eastAsia="Arial" w:hAnsi="Arial"/>
          <w:sz w:val="22"/>
          <w:szCs w:val="22"/>
          <w:color w:val="auto"/>
        </w:rPr>
      </w:pPr>
    </w:p>
    <w:p>
      <w:pPr>
        <w:ind w:left="2420" w:hanging="533"/>
        <w:spacing w:after="0"/>
        <w:tabs>
          <w:tab w:leader="none" w:pos="2420" w:val="left"/>
        </w:tabs>
        <w:numPr>
          <w:ilvl w:val="1"/>
          <w:numId w:val="23"/>
        </w:numPr>
        <w:rPr>
          <w:rFonts w:ascii="Arial" w:cs="Arial" w:eastAsia="Arial" w:hAnsi="Arial"/>
          <w:sz w:val="19"/>
          <w:szCs w:val="19"/>
          <w:color w:val="auto"/>
        </w:rPr>
      </w:pPr>
      <w:r>
        <w:rPr>
          <w:rFonts w:ascii="Arial" w:cs="Arial" w:eastAsia="Arial" w:hAnsi="Arial"/>
          <w:sz w:val="19"/>
          <w:szCs w:val="19"/>
          <w:color w:val="auto"/>
        </w:rPr>
        <w:t>certify their determination of the number of shares represented at the meeting, and their count of all</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votes and ballots.</w:t>
      </w:r>
    </w:p>
    <w:p>
      <w:pPr>
        <w:spacing w:after="0" w:line="161" w:lineRule="exact"/>
        <w:rPr>
          <w:sz w:val="20"/>
          <w:szCs w:val="20"/>
          <w:color w:val="auto"/>
        </w:rPr>
      </w:pPr>
    </w:p>
    <w:p>
      <w:pPr>
        <w:ind w:firstLine="972"/>
        <w:spacing w:after="0" w:line="232" w:lineRule="auto"/>
        <w:rPr>
          <w:sz w:val="20"/>
          <w:szCs w:val="20"/>
          <w:color w:val="auto"/>
        </w:rPr>
      </w:pPr>
      <w:r>
        <w:rPr>
          <w:rFonts w:ascii="Arial" w:cs="Arial" w:eastAsia="Arial" w:hAnsi="Arial"/>
          <w:sz w:val="22"/>
          <w:szCs w:val="22"/>
          <w:color w:val="auto"/>
        </w:rPr>
        <w:t>The inspectors of election shall perform their duties impartially, in good faith, to the best of their ability and as expeditiously as is practical. If there are multiple inspectors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election, the decision, act or certificate of a majority is effective in all respects as the decision, act or certificate of all. Any report or certificate made by the inspectors of election is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facts stated therein.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 - DIRECTORS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POWERS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business and affairs of the corporation shall be managed by or under the direction of the board of directors, except as may be otherwise provided in the DGCL or the certificate of incorporation</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NUMBER OF DIRECTORS</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ELECTION, QUALIFICATION AND TERM OF OFFICE OF DIRECTORS</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RESIGNATION AND VACANCIES</w:t>
      </w:r>
    </w:p>
    <w:p>
      <w:pPr>
        <w:spacing w:after="0" w:line="17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Unless otherwise provided in the certificate of incorporation or these bylaws or permitted in the specific case by resolution of the board of directors, and subject to the rights of holders of the shares of any series of preferred stock or any other class of stock or series thereof having a preference over the common stock as dividend or upon liquidation of the corporation,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chosen to fill a vacancy or newly created directorship shall hold office until the next election of the class for which such director shall have been chosen and until such person’s successor shall have been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7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5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PLACE OF MEETINGS; MEETINGS BY TELEPHONE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board of directors may hold meetings, both regular and special, either within or outside the State of Delaware.</w:t>
      </w:r>
    </w:p>
    <w:p>
      <w:pPr>
        <w:spacing w:after="0" w:line="21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Unless otherwise restricted by the certificate of incorporation or these bylaws, members of the board of directors, or any committee designated by the board of directors or any subcommittee, may participate in a meeting of the board of directors,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REGULAR MEETINGS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Regular meetings of the board of directors may be held without notice at such time and at such place as shall from time to time be determined by the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meeting is to be held at the corporation’s principal executive office) nor the purpose of the meeting.</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SPECIAL MEETINGS; NOTICE</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Special meetings of the board of directors for any purpose or purposes may be called at any time by the chairperson of the board of directors, the chief executive officer, the president, or the secretary or a majority of the Whole Board;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person(s) authorized to call a special meeting of the board of directors may authorize another person or persons to send notice of such meeting..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 of the time and place of special meetings shall be:</w:t>
      </w:r>
    </w:p>
    <w:p>
      <w:pPr>
        <w:spacing w:after="0" w:line="179" w:lineRule="exact"/>
        <w:rPr>
          <w:sz w:val="20"/>
          <w:szCs w:val="20"/>
          <w:color w:val="auto"/>
        </w:rPr>
      </w:pPr>
    </w:p>
    <w:p>
      <w:pPr>
        <w:ind w:left="2300" w:hanging="413"/>
        <w:spacing w:after="0"/>
        <w:tabs>
          <w:tab w:leader="none" w:pos="2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delivered personally by hand, by courier or by telephone;</w:t>
      </w:r>
    </w:p>
    <w:p>
      <w:pPr>
        <w:spacing w:after="0" w:line="179" w:lineRule="exact"/>
        <w:rPr>
          <w:rFonts w:ascii="Arial" w:cs="Arial" w:eastAsia="Arial" w:hAnsi="Arial"/>
          <w:sz w:val="22"/>
          <w:szCs w:val="22"/>
          <w:color w:val="auto"/>
        </w:rPr>
      </w:pPr>
    </w:p>
    <w:p>
      <w:pPr>
        <w:ind w:left="2360" w:hanging="473"/>
        <w:spacing w:after="0"/>
        <w:tabs>
          <w:tab w:leader="none" w:pos="2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sent by United States first-class mail, postage prepaid;</w:t>
      </w:r>
    </w:p>
    <w:p>
      <w:pPr>
        <w:spacing w:after="0" w:line="179" w:lineRule="exact"/>
        <w:rPr>
          <w:rFonts w:ascii="Arial" w:cs="Arial" w:eastAsia="Arial" w:hAnsi="Arial"/>
          <w:sz w:val="22"/>
          <w:szCs w:val="22"/>
          <w:color w:val="auto"/>
        </w:rPr>
      </w:pPr>
    </w:p>
    <w:p>
      <w:pPr>
        <w:ind w:left="2420" w:hanging="533"/>
        <w:spacing w:after="0"/>
        <w:tabs>
          <w:tab w:leader="none" w:pos="2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sent by facsimile;</w:t>
      </w:r>
    </w:p>
    <w:p>
      <w:pPr>
        <w:spacing w:after="0" w:line="179" w:lineRule="exact"/>
        <w:rPr>
          <w:rFonts w:ascii="Arial" w:cs="Arial" w:eastAsia="Arial" w:hAnsi="Arial"/>
          <w:sz w:val="22"/>
          <w:szCs w:val="22"/>
          <w:color w:val="auto"/>
        </w:rPr>
      </w:pPr>
    </w:p>
    <w:p>
      <w:pPr>
        <w:ind w:left="2420" w:hanging="533"/>
        <w:spacing w:after="0"/>
        <w:tabs>
          <w:tab w:leader="none" w:pos="2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sent by electronic mail;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77" w:lineRule="exact"/>
        <w:rPr>
          <w:sz w:val="20"/>
          <w:szCs w:val="20"/>
          <w:color w:val="auto"/>
        </w:rPr>
      </w:pPr>
    </w:p>
    <w:p>
      <w:pPr>
        <w:ind w:left="1700" w:hanging="477"/>
        <w:spacing w:after="0"/>
        <w:tabs>
          <w:tab w:leader="none" w:pos="17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otherwise given by electronic transmission (as defined in Section 232 of the DGCL),</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corporation’s principal executive office) nor the purpose of the meeting.</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color w:val="auto"/>
        </w:rPr>
        <w:t>QUORUM; VOTING</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3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BOARD ACTION BY WRITTEN CONSENT WITHOUT A MEETING</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Unless otherwise restricted by the certificate of incorporation or these bylaws, (i) any action required or permitted to be taken at any meeting of the board of directors, or of any committee or subcommittee thereof, may be taken without a meeting if all members of the board of directors or committee or subcommittee,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or subcommittee thereof, in the same paper or electronic form as the minutes are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color w:val="auto"/>
        </w:rPr>
        <w:t>FEES AND COMPENSATION OF DIRECTORS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Unless otherwise restricted by the certificate of incorporation or these bylaws, the board of directors shall have the authority to fix the compensation of directors.</w:t>
      </w:r>
    </w:p>
    <w:p>
      <w:pPr>
        <w:spacing w:after="0" w:line="15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REMOVAL OF DIRECTORS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Any director may be removed from office by the stockholders of the corporation in the manner provided in Section 141(k) of the DGCL.</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 reduction of the authorized number of directors shall have the effect of removing any director prior to the expiration of such director’s term of office.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 - COMMITTEES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COMMITTEES OF DIRECTORS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The board of directors may, by resolution passed by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3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COMMITTEE MINUTES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committee and subcommittee shall keep regular minutes of its meetings</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MEETINGS AND ACTION OF COMMITTEES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Unless otherwise specified by the board of directors meetings and actions of committees and subcommittees shall be governed by, and held and taken in accordance with, the provisions of:</w:t>
      </w:r>
    </w:p>
    <w:p>
      <w:pPr>
        <w:spacing w:after="0" w:line="159" w:lineRule="exact"/>
        <w:rPr>
          <w:sz w:val="20"/>
          <w:szCs w:val="20"/>
          <w:color w:val="auto"/>
        </w:rPr>
      </w:pPr>
    </w:p>
    <w:p>
      <w:pPr>
        <w:ind w:left="2300" w:hanging="413"/>
        <w:spacing w:after="0"/>
        <w:tabs>
          <w:tab w:leader="none" w:pos="23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Section 3.5 (place of meetings and meetings by telephone);</w:t>
      </w:r>
    </w:p>
    <w:p>
      <w:pPr>
        <w:spacing w:after="0" w:line="179" w:lineRule="exact"/>
        <w:rPr>
          <w:rFonts w:ascii="Arial" w:cs="Arial" w:eastAsia="Arial" w:hAnsi="Arial"/>
          <w:sz w:val="22"/>
          <w:szCs w:val="22"/>
          <w:color w:val="auto"/>
        </w:rPr>
      </w:pPr>
    </w:p>
    <w:p>
      <w:pPr>
        <w:ind w:left="2360" w:hanging="473"/>
        <w:spacing w:after="0"/>
        <w:tabs>
          <w:tab w:leader="none" w:pos="23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Section 3.6 (regular meetings);</w:t>
      </w:r>
    </w:p>
    <w:p>
      <w:pPr>
        <w:spacing w:after="0" w:line="179" w:lineRule="exact"/>
        <w:rPr>
          <w:rFonts w:ascii="Arial" w:cs="Arial" w:eastAsia="Arial" w:hAnsi="Arial"/>
          <w:sz w:val="22"/>
          <w:szCs w:val="22"/>
          <w:color w:val="auto"/>
        </w:rPr>
      </w:pPr>
    </w:p>
    <w:p>
      <w:pPr>
        <w:ind w:left="2420" w:hanging="533"/>
        <w:spacing w:after="0"/>
        <w:tabs>
          <w:tab w:leader="none" w:pos="24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Section 3.7 (special meetings and notice);</w:t>
      </w:r>
    </w:p>
    <w:p>
      <w:pPr>
        <w:spacing w:after="0" w:line="179" w:lineRule="exact"/>
        <w:rPr>
          <w:rFonts w:ascii="Arial" w:cs="Arial" w:eastAsia="Arial" w:hAnsi="Arial"/>
          <w:sz w:val="22"/>
          <w:szCs w:val="22"/>
          <w:color w:val="auto"/>
        </w:rPr>
      </w:pPr>
    </w:p>
    <w:p>
      <w:pPr>
        <w:ind w:left="2420" w:hanging="533"/>
        <w:spacing w:after="0"/>
        <w:tabs>
          <w:tab w:leader="none" w:pos="24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Section 3.8 (quorum; voting);</w:t>
      </w:r>
    </w:p>
    <w:p>
      <w:pPr>
        <w:spacing w:after="0" w:line="179" w:lineRule="exact"/>
        <w:rPr>
          <w:rFonts w:ascii="Arial" w:cs="Arial" w:eastAsia="Arial" w:hAnsi="Arial"/>
          <w:sz w:val="22"/>
          <w:szCs w:val="22"/>
          <w:color w:val="auto"/>
        </w:rPr>
      </w:pPr>
    </w:p>
    <w:p>
      <w:pPr>
        <w:ind w:left="2360" w:hanging="473"/>
        <w:spacing w:after="0"/>
        <w:tabs>
          <w:tab w:leader="none" w:pos="23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Section 3.9 (action without a meeting);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77" w:lineRule="exact"/>
        <w:rPr>
          <w:sz w:val="20"/>
          <w:szCs w:val="20"/>
          <w:color w:val="auto"/>
        </w:rPr>
      </w:pPr>
    </w:p>
    <w:p>
      <w:pPr>
        <w:ind w:left="2420" w:hanging="533"/>
        <w:spacing w:after="0"/>
        <w:tabs>
          <w:tab w:leader="none" w:pos="24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Section 7.4 (waiver of notice)</w:t>
      </w:r>
    </w:p>
    <w:p>
      <w:pPr>
        <w:spacing w:after="0" w:line="17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22"/>
          <w:szCs w:val="22"/>
          <w:i w:val="1"/>
          <w:iCs w:val="1"/>
          <w:color w:val="auto"/>
        </w:rPr>
        <w:t>However</w:t>
      </w:r>
      <w:r>
        <w:rPr>
          <w:rFonts w:ascii="Arial" w:cs="Arial" w:eastAsia="Arial" w:hAnsi="Arial"/>
          <w:sz w:val="22"/>
          <w:szCs w:val="22"/>
          <w:color w:val="auto"/>
        </w:rPr>
        <w:t>:</w:t>
      </w:r>
    </w:p>
    <w:p>
      <w:pPr>
        <w:spacing w:after="0" w:line="159" w:lineRule="exact"/>
        <w:rPr>
          <w:sz w:val="20"/>
          <w:szCs w:val="20"/>
          <w:color w:val="auto"/>
        </w:rPr>
      </w:pPr>
    </w:p>
    <w:p>
      <w:pPr>
        <w:ind w:firstLine="1628"/>
        <w:spacing w:after="0" w:line="232" w:lineRule="auto"/>
        <w:tabs>
          <w:tab w:leader="none" w:pos="2143"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time and place of regular meetings of committees or subcommittees may be determined either by resolution of the board of directors or by resolution of the committee or subcommittee;</w:t>
      </w:r>
    </w:p>
    <w:p>
      <w:pPr>
        <w:spacing w:after="0" w:line="158" w:lineRule="exact"/>
        <w:rPr>
          <w:rFonts w:ascii="Arial" w:cs="Arial" w:eastAsia="Arial" w:hAnsi="Arial"/>
          <w:sz w:val="22"/>
          <w:szCs w:val="22"/>
          <w:color w:val="auto"/>
        </w:rPr>
      </w:pPr>
    </w:p>
    <w:p>
      <w:pPr>
        <w:ind w:firstLine="1628"/>
        <w:spacing w:after="0" w:line="232" w:lineRule="auto"/>
        <w:tabs>
          <w:tab w:leader="none" w:pos="2238" w:val="left"/>
        </w:tabs>
        <w:numPr>
          <w:ilvl w:val="0"/>
          <w:numId w:val="28"/>
        </w:numPr>
        <w:rPr>
          <w:rFonts w:ascii="Arial" w:cs="Arial" w:eastAsia="Arial" w:hAnsi="Arial"/>
          <w:sz w:val="22"/>
          <w:szCs w:val="22"/>
          <w:color w:val="auto"/>
        </w:rPr>
      </w:pPr>
      <w:r>
        <w:rPr>
          <w:rFonts w:ascii="Arial" w:cs="Arial" w:eastAsia="Arial" w:hAnsi="Arial"/>
          <w:sz w:val="22"/>
          <w:szCs w:val="22"/>
          <w:color w:val="auto"/>
        </w:rPr>
        <w:t>special meetings of committees or subcommittees may also be called by resolution of the board of directors or the committee or subcommittee; and</w:t>
      </w:r>
    </w:p>
    <w:p>
      <w:pPr>
        <w:spacing w:after="0" w:line="158" w:lineRule="exact"/>
        <w:rPr>
          <w:rFonts w:ascii="Arial" w:cs="Arial" w:eastAsia="Arial" w:hAnsi="Arial"/>
          <w:sz w:val="22"/>
          <w:szCs w:val="22"/>
          <w:color w:val="auto"/>
        </w:rPr>
      </w:pPr>
    </w:p>
    <w:p>
      <w:pPr>
        <w:jc w:val="both"/>
        <w:ind w:firstLine="1628"/>
        <w:spacing w:after="0" w:line="268" w:lineRule="auto"/>
        <w:tabs>
          <w:tab w:leader="none" w:pos="2355" w:val="left"/>
        </w:tabs>
        <w:numPr>
          <w:ilvl w:val="0"/>
          <w:numId w:val="28"/>
        </w:numPr>
        <w:rPr>
          <w:rFonts w:ascii="Arial" w:cs="Arial" w:eastAsia="Arial" w:hAnsi="Arial"/>
          <w:sz w:val="19"/>
          <w:szCs w:val="19"/>
          <w:color w:val="auto"/>
        </w:rPr>
      </w:pPr>
      <w:r>
        <w:rPr>
          <w:rFonts w:ascii="Arial" w:cs="Arial" w:eastAsia="Arial" w:hAnsi="Arial"/>
          <w:sz w:val="19"/>
          <w:szCs w:val="19"/>
          <w:color w:val="auto"/>
        </w:rPr>
        <w:t>notice of special meetings of committees and subcommittees shall also be given to all alternate members, as applicable, who shall have the right to attend all meetings of the committee or subcommittee. The board of directors or a committee or subcommittee, may also adopt other rules for the government of any committee or subcommittee.</w:t>
      </w:r>
    </w:p>
    <w:p>
      <w:pPr>
        <w:spacing w:after="0" w:line="13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SUBCOMMITTEES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 OFFICERS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OFFICERS</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APPOINTMENT OF OFFICERS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board of directors shall appoint the officers of the corporation, except such officers as may be appointed in accordance with the provisions of Section 5.3 of these bylaws, subject to the rights, if any, of an officer under any contract of employment.</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SUBORDINATE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REMOVAL AND RESIGNATION OF OFFICERS</w:t>
      </w:r>
    </w:p>
    <w:p>
      <w:pPr>
        <w:spacing w:after="0" w:line="233" w:lineRule="exact"/>
        <w:rPr>
          <w:sz w:val="20"/>
          <w:szCs w:val="20"/>
          <w:color w:val="auto"/>
        </w:rPr>
      </w:pPr>
    </w:p>
    <w:p>
      <w:pPr>
        <w:ind w:right="40" w:firstLine="648"/>
        <w:spacing w:after="0" w:line="307" w:lineRule="auto"/>
        <w:rPr>
          <w:sz w:val="20"/>
          <w:szCs w:val="20"/>
          <w:color w:val="auto"/>
        </w:rPr>
      </w:pPr>
      <w:r>
        <w:rPr>
          <w:rFonts w:ascii="Arial" w:cs="Arial" w:eastAsia="Arial" w:hAnsi="Arial"/>
          <w:sz w:val="19"/>
          <w:szCs w:val="19"/>
          <w:color w:val="auto"/>
        </w:rPr>
        <w:t>The board of directors may appoint, or empower any officer to appoint, such other officers as the business of the corporation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1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VACANCIES IN OFFICES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Any vacancy occurring in any office of the corporation shall be filled by the board of directors or as provided in Section 5.3.</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REPRESENTATION OF SECURITIES OF OTHER ENTITIES</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The chairperson of the board of directors, the chief executive officer, the president, any vice president, the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the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AUTHORITY AND DUTIES OF OFFICERS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All officers of the corporation shall respectively have such authority and perform such duties in the management of the business of the corporation as may be designated from time to time by the board of directors or, for the avoidance of doubt, any duly authorized committee or subcommittee thereof or by any officer who has been conferred such power of designation and, to the extent not so provided, as generally pertain to their respective offices, subject to the control of the board of directors.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 -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STOCK CERTIFICATES; PARTLY PAID SHARES</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6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The corporation may issue the whole or any part of its shares as partly-paid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SPECIAL DESIGNATION ON CERTIFICATES</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LOST CERTIFICATES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Except as provided in this Section 6.3, no new certificates for shares shall be issued to replace a previously issued certificate unless the latter is surrendered to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77"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color w:val="auto"/>
        </w:rPr>
        <w:t>DIVIDENDS</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w:t>
      </w:r>
    </w:p>
    <w:p>
      <w:pPr>
        <w:spacing w:after="0" w:line="15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TRANSFER OF STOCK</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Transfers of record of shares of stock of the corporation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STOCK TRANSFER AGREEMENTS</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REGISTERED STOCKHOLDERS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corporation:</w:t>
      </w:r>
    </w:p>
    <w:p>
      <w:pPr>
        <w:spacing w:after="0" w:line="179" w:lineRule="exact"/>
        <w:rPr>
          <w:sz w:val="20"/>
          <w:szCs w:val="20"/>
          <w:color w:val="auto"/>
        </w:rPr>
      </w:pPr>
    </w:p>
    <w:p>
      <w:pPr>
        <w:ind w:firstLine="1887"/>
        <w:spacing w:after="0" w:line="232" w:lineRule="auto"/>
        <w:tabs>
          <w:tab w:leader="none" w:pos="23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shall be entitled to recognize the exclusive right of a person registered on its books as the owner of shares to receive dividends and notices and to vote as such owner; and</w:t>
      </w:r>
    </w:p>
    <w:p>
      <w:pPr>
        <w:spacing w:after="0" w:line="158" w:lineRule="exact"/>
        <w:rPr>
          <w:rFonts w:ascii="Arial" w:cs="Arial" w:eastAsia="Arial" w:hAnsi="Arial"/>
          <w:sz w:val="22"/>
          <w:szCs w:val="22"/>
          <w:color w:val="auto"/>
        </w:rPr>
      </w:pPr>
    </w:p>
    <w:p>
      <w:pPr>
        <w:jc w:val="both"/>
        <w:ind w:firstLine="1887"/>
        <w:spacing w:after="0" w:line="223" w:lineRule="auto"/>
        <w:tabs>
          <w:tab w:leader="none" w:pos="2405" w:val="left"/>
        </w:tabs>
        <w:numPr>
          <w:ilvl w:val="0"/>
          <w:numId w:val="29"/>
        </w:numPr>
        <w:rPr>
          <w:rFonts w:ascii="Arial" w:cs="Arial" w:eastAsia="Arial" w:hAnsi="Arial"/>
          <w:sz w:val="22"/>
          <w:szCs w:val="22"/>
          <w:color w:val="auto"/>
        </w:rPr>
      </w:pPr>
      <w:r>
        <w:rPr>
          <w:rFonts w:ascii="Arial" w:cs="Arial" w:eastAsia="Arial" w:hAnsi="Arial"/>
          <w:sz w:val="22"/>
          <w:szCs w:val="22"/>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69"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ARTICLE VII - MANNER OF GIVING NOTICE AND WAIVER</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NOTICE OF STOCKHOLDERS’ MEETINGS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 of any meeting of stockholders shall be given in the manner set forth in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NOTICE TO STOCKHOLDERS SHARING AN ADDRESS</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Sections 164, 296, 311, 312 or 324 of the DGCL.</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1"/>
          <w:szCs w:val="21"/>
          <w:color w:val="auto"/>
        </w:rPr>
        <w:t>NOTICE TO PERSON WITH WHOM COMMUNICATION IS UNLAWFUL</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WAIVER OF NOTICE</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need be specified in any written waiver of notice or any waiver by electronic transmission unless so required by the certificate of incorporation or these bylaws.</w:t>
      </w:r>
    </w:p>
    <w:p>
      <w:pPr>
        <w:spacing w:after="0" w:line="375"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ARTICLE VIII - INDEMNIFICATION</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INDEMNIFICATION OF DIRECTORS AND OFFICERS IN THIRD PARTY PROCEEDINGS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9"/>
          <w:szCs w:val="19"/>
          <w:b w:val="1"/>
          <w:bCs w:val="1"/>
          <w:color w:val="auto"/>
        </w:rPr>
        <w:t>Proceeding</w:t>
      </w:r>
      <w:r>
        <w:rPr>
          <w:rFonts w:ascii="Arial" w:cs="Arial" w:eastAsia="Arial" w:hAnsi="Arial"/>
          <w:sz w:val="19"/>
          <w:szCs w:val="19"/>
          <w:color w:val="auto"/>
        </w:rPr>
        <w:t>”)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77"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 xml:space="preserve">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6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8.2 INDEMNIFICATION OF DIRECTORS AND OFFICERS IN ACTIONS BY OR IN THE RIGHT OF THE CORPORATION</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Proceeding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SUCCESSFUL DEFENSE</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To the extent that a present or former director or officer (for purposes of this Section 8.3 only, as such term is defined in Section 145(c)(1) of the DGCL) of the corporation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Proceeding described in Section 8.1 or Section 8.2, or in defense of any claim, issue or matter therein.</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INDEMNIFICATION OF OTHERS</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Subject to the other provisions of this Article VIII, the corporation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ADVANCED PAYMENT OF EXPENSES</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1"/>
          <w:szCs w:val="21"/>
          <w:color w:val="auto"/>
        </w:rPr>
        <w:t>LIMITATION ON INDEMNIFICATION</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Subject to the requirements in Section 8.3 and the DGCL, the corporation shall not be obligated to indemnify any person pursuant to this Article VIII in connection with any Proceeding (or any part of any Proceeding):</w:t>
      </w:r>
    </w:p>
    <w:p>
      <w:pPr>
        <w:spacing w:after="0" w:line="159" w:lineRule="exact"/>
        <w:rPr>
          <w:sz w:val="20"/>
          <w:szCs w:val="20"/>
          <w:color w:val="auto"/>
        </w:rPr>
      </w:pPr>
    </w:p>
    <w:p>
      <w:pPr>
        <w:ind w:firstLine="1628"/>
        <w:spacing w:after="0" w:line="247" w:lineRule="auto"/>
        <w:tabs>
          <w:tab w:leader="none" w:pos="2116" w:val="left"/>
        </w:tabs>
        <w:numPr>
          <w:ilvl w:val="0"/>
          <w:numId w:val="30"/>
        </w:numPr>
        <w:rPr>
          <w:rFonts w:ascii="Arial" w:cs="Arial" w:eastAsia="Arial" w:hAnsi="Arial"/>
          <w:sz w:val="21"/>
          <w:szCs w:val="21"/>
          <w:color w:val="auto"/>
        </w:rPr>
      </w:pPr>
      <w:r>
        <w:rPr>
          <w:rFonts w:ascii="Arial" w:cs="Arial" w:eastAsia="Arial" w:hAnsi="Arial"/>
          <w:sz w:val="21"/>
          <w:szCs w:val="21"/>
          <w:color w:val="auto"/>
        </w:rPr>
        <w:t>for which payment has actually been made to or on behalf of such person under any statute, insurance policy, indemnity provision, vote or otherwise, except with respect to any excess beyond the amount paid;</w:t>
      </w:r>
    </w:p>
    <w:p>
      <w:pPr>
        <w:spacing w:after="0" w:line="150" w:lineRule="exact"/>
        <w:rPr>
          <w:rFonts w:ascii="Arial" w:cs="Arial" w:eastAsia="Arial" w:hAnsi="Arial"/>
          <w:sz w:val="21"/>
          <w:szCs w:val="21"/>
          <w:color w:val="auto"/>
        </w:rPr>
      </w:pPr>
    </w:p>
    <w:p>
      <w:pPr>
        <w:jc w:val="both"/>
        <w:ind w:firstLine="1628"/>
        <w:spacing w:after="0" w:line="223" w:lineRule="auto"/>
        <w:tabs>
          <w:tab w:leader="none" w:pos="2246" w:val="left"/>
        </w:tabs>
        <w:numPr>
          <w:ilvl w:val="0"/>
          <w:numId w:val="30"/>
        </w:numPr>
        <w:rPr>
          <w:rFonts w:ascii="Arial" w:cs="Arial" w:eastAsia="Arial" w:hAnsi="Arial"/>
          <w:sz w:val="22"/>
          <w:szCs w:val="22"/>
          <w:color w:val="auto"/>
        </w:rPr>
      </w:pPr>
      <w:r>
        <w:rPr>
          <w:rFonts w:ascii="Arial" w:cs="Arial" w:eastAsia="Arial" w:hAnsi="Arial"/>
          <w:sz w:val="22"/>
          <w:szCs w:val="22"/>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58" w:lineRule="exact"/>
        <w:rPr>
          <w:rFonts w:ascii="Arial" w:cs="Arial" w:eastAsia="Arial" w:hAnsi="Arial"/>
          <w:sz w:val="22"/>
          <w:szCs w:val="22"/>
          <w:color w:val="auto"/>
        </w:rPr>
      </w:pPr>
    </w:p>
    <w:p>
      <w:pPr>
        <w:jc w:val="both"/>
        <w:ind w:firstLine="1628"/>
        <w:spacing w:after="0" w:line="249" w:lineRule="auto"/>
        <w:tabs>
          <w:tab w:leader="none" w:pos="2288" w:val="left"/>
        </w:tabs>
        <w:numPr>
          <w:ilvl w:val="0"/>
          <w:numId w:val="30"/>
        </w:numPr>
        <w:rPr>
          <w:rFonts w:ascii="Arial" w:cs="Arial" w:eastAsia="Arial" w:hAnsi="Arial"/>
          <w:sz w:val="19"/>
          <w:szCs w:val="19"/>
          <w:color w:val="auto"/>
        </w:rPr>
      </w:pPr>
      <w:r>
        <w:rPr>
          <w:rFonts w:ascii="Arial" w:cs="Arial" w:eastAsia="Arial" w:hAnsi="Arial"/>
          <w:sz w:val="19"/>
          <w:szCs w:val="19"/>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9"/>
          <w:szCs w:val="19"/>
          <w:b w:val="1"/>
          <w:bCs w:val="1"/>
          <w:color w:val="auto"/>
        </w:rPr>
        <w:t>Sarbanes-Oxley Act</w:t>
      </w:r>
      <w:r>
        <w:rPr>
          <w:rFonts w:ascii="Arial" w:cs="Arial" w:eastAsia="Arial" w:hAnsi="Arial"/>
          <w:sz w:val="19"/>
          <w:szCs w:val="19"/>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51" w:lineRule="exact"/>
        <w:rPr>
          <w:rFonts w:ascii="Arial" w:cs="Arial" w:eastAsia="Arial" w:hAnsi="Arial"/>
          <w:sz w:val="19"/>
          <w:szCs w:val="19"/>
          <w:color w:val="auto"/>
        </w:rPr>
      </w:pPr>
    </w:p>
    <w:p>
      <w:pPr>
        <w:jc w:val="both"/>
        <w:ind w:firstLine="1628"/>
        <w:spacing w:after="0" w:line="226" w:lineRule="auto"/>
        <w:tabs>
          <w:tab w:leader="none" w:pos="2247" w:val="left"/>
        </w:tabs>
        <w:numPr>
          <w:ilvl w:val="0"/>
          <w:numId w:val="30"/>
        </w:numPr>
        <w:rPr>
          <w:rFonts w:ascii="Arial" w:cs="Arial" w:eastAsia="Arial" w:hAnsi="Arial"/>
          <w:sz w:val="21"/>
          <w:szCs w:val="21"/>
          <w:color w:val="auto"/>
        </w:rPr>
      </w:pPr>
      <w:r>
        <w:rPr>
          <w:rFonts w:ascii="Arial" w:cs="Arial" w:eastAsia="Arial" w:hAnsi="Arial"/>
          <w:sz w:val="21"/>
          <w:szCs w:val="21"/>
          <w:color w:val="auto"/>
        </w:rPr>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59" w:lineRule="exact"/>
        <w:rPr>
          <w:rFonts w:ascii="Arial" w:cs="Arial" w:eastAsia="Arial" w:hAnsi="Arial"/>
          <w:sz w:val="21"/>
          <w:szCs w:val="21"/>
          <w:color w:val="auto"/>
        </w:rPr>
      </w:pPr>
    </w:p>
    <w:p>
      <w:pPr>
        <w:ind w:left="2100" w:hanging="472"/>
        <w:spacing w:after="0"/>
        <w:tabs>
          <w:tab w:leader="none" w:pos="21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if prohibited by applicable law.</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21"/>
          <w:szCs w:val="21"/>
          <w:color w:val="auto"/>
        </w:rPr>
        <w:t>DETERMINATION; CLAIM</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If a claim for indemnification or advancement of expenses under this Article VIII is not paid in full within 90 days after receipt by the corporation of the written request therefor,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claimant shall be entitled to an adjudication by a court of competent jurisdiction of such claimant’s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1"/>
          <w:szCs w:val="21"/>
          <w:color w:val="auto"/>
        </w:rPr>
        <w:t>NON-EXCLUSIVITY OF RIGHTS</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21"/>
          <w:szCs w:val="21"/>
          <w:color w:val="auto"/>
        </w:rPr>
        <w:t>INSURANCE</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4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21"/>
          <w:szCs w:val="21"/>
          <w:color w:val="auto"/>
        </w:rPr>
        <w:t>SURVIVAL</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5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color w:val="auto"/>
        </w:rPr>
        <w:t>EFFECT OF REPEAL OR MODIFICATION</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5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19"/>
          <w:szCs w:val="19"/>
          <w:color w:val="auto"/>
        </w:rPr>
        <w:t>CERTAIN DEFINITIONS</w:t>
      </w:r>
    </w:p>
    <w:p>
      <w:pPr>
        <w:spacing w:after="0" w:line="17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For purposes of this Article VIII, references to the “</w:t>
      </w:r>
      <w:r>
        <w:rPr>
          <w:rFonts w:ascii="Arial" w:cs="Arial" w:eastAsia="Arial" w:hAnsi="Arial"/>
          <w:sz w:val="21"/>
          <w:szCs w:val="21"/>
          <w:b w:val="1"/>
          <w:bCs w:val="1"/>
          <w:color w:val="auto"/>
        </w:rPr>
        <w:t>corporation</w:t>
      </w:r>
      <w:r>
        <w:rPr>
          <w:rFonts w:ascii="Arial" w:cs="Arial" w:eastAsia="Arial" w:hAnsi="Arial"/>
          <w:sz w:val="21"/>
          <w:szCs w:val="21"/>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Arial" w:cs="Arial" w:eastAsia="Arial" w:hAnsi="Arial"/>
          <w:sz w:val="19"/>
          <w:szCs w:val="19"/>
          <w:b w:val="1"/>
          <w:bCs w:val="1"/>
          <w:color w:val="auto"/>
        </w:rPr>
        <w:t>other enterprises</w:t>
      </w:r>
      <w:r>
        <w:rPr>
          <w:rFonts w:ascii="Arial" w:cs="Arial" w:eastAsia="Arial" w:hAnsi="Arial"/>
          <w:sz w:val="19"/>
          <w:szCs w:val="19"/>
          <w:color w:val="auto"/>
        </w:rPr>
        <w:t>” shall include employee benefit plans; references to “</w:t>
      </w:r>
      <w:r>
        <w:rPr>
          <w:rFonts w:ascii="Arial" w:cs="Arial" w:eastAsia="Arial" w:hAnsi="Arial"/>
          <w:sz w:val="19"/>
          <w:szCs w:val="19"/>
          <w:b w:val="1"/>
          <w:bCs w:val="1"/>
          <w:color w:val="auto"/>
        </w:rPr>
        <w:t>fines</w:t>
      </w:r>
      <w:r>
        <w:rPr>
          <w:rFonts w:ascii="Arial" w:cs="Arial" w:eastAsia="Arial" w:hAnsi="Arial"/>
          <w:sz w:val="19"/>
          <w:szCs w:val="19"/>
          <w:color w:val="auto"/>
        </w:rPr>
        <w:t>” shall include any excise taxes assessed on a person with respect to an employee benefit plan; and references to “</w:t>
      </w:r>
      <w:r>
        <w:rPr>
          <w:rFonts w:ascii="Arial" w:cs="Arial" w:eastAsia="Arial" w:hAnsi="Arial"/>
          <w:sz w:val="19"/>
          <w:szCs w:val="19"/>
          <w:b w:val="1"/>
          <w:bCs w:val="1"/>
          <w:color w:val="auto"/>
        </w:rPr>
        <w:t>serving</w:t>
      </w:r>
      <w:r>
        <w:rPr>
          <w:rFonts w:ascii="Arial" w:cs="Arial" w:eastAsia="Arial" w:hAnsi="Arial"/>
          <w:sz w:val="19"/>
          <w:szCs w:val="19"/>
          <w:color w:val="auto"/>
        </w:rPr>
        <w:t xml:space="preserve"> </w:t>
      </w:r>
      <w:r>
        <w:rPr>
          <w:rFonts w:ascii="Arial" w:cs="Arial" w:eastAsia="Arial" w:hAnsi="Arial"/>
          <w:sz w:val="19"/>
          <w:szCs w:val="19"/>
          <w:b w:val="1"/>
          <w:bCs w:val="1"/>
          <w:color w:val="auto"/>
        </w:rPr>
        <w:t>at the request of the corporation</w:t>
      </w:r>
      <w:r>
        <w:rPr>
          <w:rFonts w:ascii="Arial" w:cs="Arial" w:eastAsia="Arial" w:hAnsi="Arial"/>
          <w:sz w:val="19"/>
          <w:szCs w:val="19"/>
          <w:color w:val="auto"/>
        </w:rPr>
        <w:t>” shall include any service as a director, officer, employee or agent of the corporation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9"/>
          <w:szCs w:val="19"/>
          <w:b w:val="1"/>
          <w:bCs w:val="1"/>
          <w:color w:val="auto"/>
        </w:rPr>
        <w:t>not opposed</w:t>
      </w:r>
      <w:r>
        <w:rPr>
          <w:rFonts w:ascii="Arial" w:cs="Arial" w:eastAsia="Arial" w:hAnsi="Arial"/>
          <w:sz w:val="19"/>
          <w:szCs w:val="19"/>
          <w:color w:val="auto"/>
        </w:rPr>
        <w:t xml:space="preserve"> </w:t>
      </w:r>
      <w:r>
        <w:rPr>
          <w:rFonts w:ascii="Arial" w:cs="Arial" w:eastAsia="Arial" w:hAnsi="Arial"/>
          <w:sz w:val="19"/>
          <w:szCs w:val="19"/>
          <w:b w:val="1"/>
          <w:bCs w:val="1"/>
          <w:color w:val="auto"/>
        </w:rPr>
        <w:t>to the best interests of the corporation</w:t>
      </w:r>
      <w:r>
        <w:rPr>
          <w:rFonts w:ascii="Arial" w:cs="Arial" w:eastAsia="Arial" w:hAnsi="Arial"/>
          <w:sz w:val="19"/>
          <w:szCs w:val="19"/>
          <w:color w:val="auto"/>
        </w:rPr>
        <w:t>” as referred to in this Article VIII.</w:t>
      </w:r>
    </w:p>
    <w:p>
      <w:pPr>
        <w:spacing w:after="0" w:line="365"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ARTICLE IX - GENERAL MATTERS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EXECUTION OF CORPORATE CONTRACTS AND INSTRUMENTS</w:t>
      </w:r>
    </w:p>
    <w:p>
      <w:pPr>
        <w:spacing w:after="0" w:line="17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FISCAL YEAR</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fiscal year of the corporation shall be fixed by resolution of the board of directors and may be changed by the board of directors</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SEAL</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CONSTRUCTION; DEFINITIONS</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9"/>
          <w:szCs w:val="19"/>
          <w:b w:val="1"/>
          <w:bCs w:val="1"/>
          <w:color w:val="auto"/>
        </w:rPr>
        <w:t>person</w:t>
      </w:r>
      <w:r>
        <w:rPr>
          <w:rFonts w:ascii="Arial" w:cs="Arial" w:eastAsia="Arial" w:hAnsi="Arial"/>
          <w:sz w:val="19"/>
          <w:szCs w:val="19"/>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36" w:name="page37"/>
    <w:bookmarkEnd w:id="36"/>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 - AMENDMENTS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 - EXCLUSIVE FORUM</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Unless the corporation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stockholder,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w:t>
      </w:r>
    </w:p>
    <w:p>
      <w:pPr>
        <w:spacing w:after="0" w:line="1" w:lineRule="exact"/>
        <w:rPr>
          <w:sz w:val="20"/>
          <w:szCs w:val="20"/>
          <w:color w:val="auto"/>
        </w:rPr>
      </w:pPr>
    </w:p>
    <w:p>
      <w:pPr>
        <w:jc w:val="both"/>
        <w:ind w:firstLine="8"/>
        <w:spacing w:after="0" w:line="214" w:lineRule="auto"/>
        <w:tabs>
          <w:tab w:leader="none" w:pos="2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through (iv) above,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w:t>
      </w:r>
    </w:p>
    <w:p>
      <w:pPr>
        <w:spacing w:after="0" w:line="1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Any person or entity purchasing, holding, or otherwise acquiring any interest in any security of the corporation shall be deemed to have notice of and consented to the provisions of this Article XI</w:t>
      </w:r>
      <w:r>
        <w:rPr>
          <w:rFonts w:ascii="Arial" w:cs="Arial" w:eastAsia="Arial" w:hAnsi="Arial"/>
          <w:sz w:val="17"/>
          <w:szCs w:val="17"/>
          <w:color w:val="auto"/>
        </w:rPr>
        <w:t>.</w:t>
      </w:r>
      <w:r>
        <w:rPr>
          <w:rFonts w:ascii="Arial" w:cs="Arial" w:eastAsia="Arial" w:hAnsi="Arial"/>
          <w:sz w:val="19"/>
          <w:szCs w:val="19"/>
          <w:color w:val="auto"/>
        </w:rPr>
        <w:t xml:space="preserve"> This provision shall be enforceable by any party to a complaint covered by the provisions of this Article XI. For the avoidance of doubt, nothing contained in this Article XI shall apply to any claim brought to enforce a duty or liability created by the 1934 Act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139700</wp:posOffset>
            </wp:positionV>
            <wp:extent cx="19716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undersigned hereby certifies that he or she is the duly elected, qualified, and acting Secretary or Assistant Secretary of Seer, Inc., a Delaware corporation and that the foregoing bylaws were amended and restated on June 15, 2023 by the corporation’s board of directors.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has hereunto set his or her hand this 15th day of June,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By: /s/ Elona Kogan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-17780</wp:posOffset>
            </wp:positionV>
            <wp:extent cx="1021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480"/>
        <w:spacing w:after="0" w:line="225" w:lineRule="auto"/>
        <w:rPr>
          <w:sz w:val="20"/>
          <w:szCs w:val="20"/>
          <w:color w:val="auto"/>
        </w:rPr>
      </w:pPr>
      <w:r>
        <w:rPr>
          <w:rFonts w:ascii="Arial" w:cs="Arial" w:eastAsia="Arial" w:hAnsi="Arial"/>
          <w:sz w:val="22"/>
          <w:szCs w:val="22"/>
          <w:color w:val="auto"/>
        </w:rPr>
        <w:t>Elona Kogan</w:t>
      </w:r>
    </w:p>
    <w:p>
      <w:pPr>
        <w:ind w:left="648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5"/>
    </w:lvl>
  </w:abstractNum>
  <w:abstractNum w:abstractNumId="4">
    <w:nsid w:val="431BD7B7"/>
    <w:multiLevelType w:val="hybridMultilevel"/>
    <w:lvl w:ilvl="0">
      <w:lvlJc w:val="left"/>
      <w:lvlText w:val="(%1)"/>
      <w:numFmt w:val="lowerRoman"/>
      <w:start w:val="1"/>
    </w:lvl>
  </w:abstractNum>
  <w:abstractNum w:abstractNumId="5">
    <w:nsid w:val="3F2DBA31"/>
    <w:multiLevelType w:val="hybridMultilevel"/>
    <w:lvl w:ilvl="0">
      <w:lvlJc w:val="left"/>
      <w:lvlText w:val="(%1)"/>
      <w:numFmt w:val="lowerLetter"/>
      <w:start w:val="9"/>
    </w:lvl>
    <w:lvl w:ilvl="1">
      <w:lvlJc w:val="left"/>
      <w:lvlText w:val="(%2)"/>
      <w:numFmt w:val="lowerLetter"/>
      <w:start w:val="1"/>
    </w:lvl>
  </w:abstractNum>
  <w:abstractNum w:abstractNumId="6">
    <w:nsid w:val="7C83E458"/>
    <w:multiLevelType w:val="hybridMultilevel"/>
    <w:lvl w:ilvl="0">
      <w:lvlJc w:val="left"/>
      <w:lvlText w:val="%1"/>
      <w:numFmt w:val="decimal"/>
      <w:start w:val="1"/>
    </w:lvl>
    <w:lvl w:ilvl="1">
      <w:lvlJc w:val="left"/>
      <w:lvlText w:val="(%2)"/>
      <w:numFmt w:val="lowerLetter"/>
      <w:start w:val="2"/>
    </w:lvl>
  </w:abstractNum>
  <w:abstractNum w:abstractNumId="7">
    <w:nsid w:val="257130A3"/>
    <w:multiLevelType w:val="hybridMultilevel"/>
    <w:lvl w:ilvl="0">
      <w:lvlJc w:val="left"/>
      <w:lvlText w:val="(%1)"/>
      <w:numFmt w:val="decimal"/>
      <w:start w:val="1"/>
    </w:lvl>
    <w:lvl w:ilvl="1">
      <w:lvlJc w:val="left"/>
      <w:lvlText w:val="%2"/>
      <w:numFmt w:val="lowerLetter"/>
      <w:start w:val="1"/>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17"/>
    </w:lvl>
  </w:abstractNum>
  <w:abstractNum w:abstractNumId="10">
    <w:nsid w:val="628C895D"/>
    <w:multiLevelType w:val="hybridMultilevel"/>
    <w:lvl w:ilvl="0">
      <w:lvlJc w:val="left"/>
      <w:lvlText w:val="(%1)"/>
      <w:numFmt w:val="lowerLetter"/>
      <w:start w:val="3"/>
    </w:lvl>
  </w:abstractNum>
  <w:abstractNum w:abstractNumId="11">
    <w:nsid w:val="333AB105"/>
    <w:multiLevelType w:val="hybridMultilevel"/>
    <w:lvl w:ilvl="0">
      <w:lvlJc w:val="left"/>
      <w:lvlText w:val="(%1)"/>
      <w:numFmt w:val="lowerLetter"/>
      <w:start w:val="35"/>
    </w:lvl>
    <w:lvl w:ilvl="1">
      <w:lvlJc w:val="left"/>
      <w:lvlText w:val="(%2)"/>
      <w:numFmt w:val="lowerLetter"/>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upperLetter"/>
      <w:start w:val="11"/>
    </w:lvl>
    <w:lvl w:ilvl="1">
      <w:lvlJc w:val="left"/>
      <w:lvlText w:val="(%2)"/>
      <w:numFmt w:val="lowerLetter"/>
      <w:start w:val="2"/>
    </w:lvl>
    <w:lvl w:ilvl="2">
      <w:lvlJc w:val="left"/>
      <w:lvlText w:val="(%3)"/>
      <w:numFmt w:val="decimal"/>
      <w:start w:val="2"/>
    </w:lvl>
  </w:abstractNum>
  <w:abstractNum w:abstractNumId="14">
    <w:nsid w:val="2D1D5AE9"/>
    <w:multiLevelType w:val="hybridMultilevel"/>
    <w:lvl w:ilvl="0">
      <w:lvlJc w:val="left"/>
      <w:lvlText w:val="%1"/>
      <w:numFmt w:val="decimal"/>
      <w:start w:val="1"/>
    </w:lvl>
    <w:lvl w:ilvl="1">
      <w:lvlJc w:val="left"/>
      <w:lvlText w:val="(%2)"/>
      <w:numFmt w:val="lowerLetter"/>
      <w:start w:val="4"/>
    </w:lvl>
  </w:abstractNum>
  <w:abstractNum w:abstractNumId="15">
    <w:nsid w:val="6763845E"/>
    <w:multiLevelType w:val="hybridMultilevel"/>
    <w:lvl w:ilvl="0">
      <w:lvlJc w:val="left"/>
      <w:lvlText w:val="(%1)"/>
      <w:numFmt w:val="decimal"/>
      <w:start w:val="2"/>
    </w:lvl>
    <w:lvl w:ilvl="1">
      <w:lvlJc w:val="left"/>
      <w:lvlText w:val="%2"/>
      <w:numFmt w:val="lowerLetter"/>
      <w:start w:val="1"/>
    </w:lvl>
  </w:abstractNum>
  <w:abstractNum w:abstractNumId="16">
    <w:nsid w:val="75A2A8D4"/>
    <w:multiLevelType w:val="hybridMultilevel"/>
    <w:lvl w:ilvl="0">
      <w:lvlJc w:val="left"/>
      <w:lvlText w:val="%1."/>
      <w:numFmt w:val="decimal"/>
      <w:start w:val="19"/>
    </w:lvl>
    <w:lvl w:ilvl="1">
      <w:lvlJc w:val="left"/>
      <w:lvlText w:val="(%2)"/>
      <w:numFmt w:val="lowerLetter"/>
      <w:start w:val="60"/>
    </w:lvl>
    <w:lvl w:ilvl="2">
      <w:lvlJc w:val="left"/>
      <w:lvlText w:val="(%3)"/>
      <w:numFmt w:val="lowerLetter"/>
      <w:start w:val="5"/>
    </w:lvl>
  </w:abstractNum>
  <w:abstractNum w:abstractNumId="17">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79838CB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19">
    <w:nsid w:val="4353D0CD"/>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2"/>
    </w:lvl>
  </w:abstractNum>
  <w:abstractNum w:abstractNumId="20">
    <w:nsid w:val="B03E0C6"/>
    <w:multiLevelType w:val="hybridMultilevel"/>
    <w:lvl w:ilvl="0">
      <w:lvlJc w:val="left"/>
      <w:lvlText w:val="%1"/>
      <w:numFmt w:val="lowerRoman"/>
      <w:start w:val="1"/>
    </w:lvl>
    <w:lvl w:ilvl="1">
      <w:lvlJc w:val="left"/>
      <w:lvlText w:val="(%2)"/>
      <w:numFmt w:val="lowerRoman"/>
      <w:start w:val="1"/>
    </w:lvl>
  </w:abstractNum>
  <w:abstractNum w:abstractNumId="21">
    <w:nsid w:val="189A769B"/>
    <w:multiLevelType w:val="hybridMultilevel"/>
    <w:lvl w:ilvl="0">
      <w:lvlJc w:val="left"/>
      <w:lvlText w:val="(%1)"/>
      <w:numFmt w:val="lowerRoman"/>
      <w:start w:val="2"/>
    </w:lvl>
    <w:lvl w:ilvl="1">
      <w:lvlJc w:val="left"/>
      <w:lvlText w:val="(%2)"/>
      <w:numFmt w:val="lowerRoman"/>
      <w:start w:val="3"/>
    </w:lvl>
  </w:abstractNum>
  <w:abstractNum w:abstractNumId="22">
    <w:nsid w:val="54E49EB4"/>
    <w:multiLevelType w:val="hybridMultilevel"/>
    <w:lvl w:ilvl="0">
      <w:lvlJc w:val="left"/>
      <w:lvlText w:val="(%1)"/>
      <w:numFmt w:val="lowerRoman"/>
      <w:start w:val="4"/>
    </w:lvl>
    <w:lvl w:ilvl="1">
      <w:lvlJc w:val="left"/>
      <w:lvlText w:val="(%2)"/>
      <w:numFmt w:val="lowerRoman"/>
      <w:start w:val="5"/>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1)"/>
      <w:numFmt w:val="lowerRoman"/>
      <w:start w:val="5"/>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Roman"/>
      <w:start w:val="6"/>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2023-06-16T05:13:51Z</dcterms:created>
  <dcterms:modified xsi:type="dcterms:W3CDTF">2023-06-16T05:13:51Z</dcterms:modified>
</cp:coreProperties>
</file>