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Maverick Capital Ventures, LLC</w:t>
              </w:r>
            </w:hyperlink>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gridSpan w:val="3"/>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Seer,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SEER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12"/>
                <w:szCs w:val="12"/>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420" w:type="dxa"/>
            <w:vAlign w:val="bottom"/>
            <w:gridSpan w:val="6"/>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20" w:type="dxa"/>
            <w:vAlign w:val="bottom"/>
            <w:gridSpan w:val="6"/>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(Last)</w:t>
            </w:r>
          </w:p>
        </w:tc>
        <w:tc>
          <w:tcPr>
            <w:tcW w:w="5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60" w:type="dxa"/>
            <w:vAlign w:val="bottom"/>
          </w:tcPr>
          <w:p>
            <w:pPr>
              <w:ind w:left="4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4"/>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center"/>
              <w:ind w:left="98"/>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rPr>
              <w:t>C/O MAVERICK CAPITAL</w:t>
            </w:r>
          </w:p>
        </w:tc>
        <w:tc>
          <w:tcPr>
            <w:tcW w:w="1060" w:type="dxa"/>
            <w:vAlign w:val="bottom"/>
          </w:tcPr>
          <w:p>
            <w:pPr>
              <w:spacing w:after="0"/>
              <w:rPr>
                <w:sz w:val="17"/>
                <w:szCs w:val="17"/>
                <w:color w:val="auto"/>
              </w:rPr>
            </w:pPr>
          </w:p>
        </w:tc>
        <w:tc>
          <w:tcPr>
            <w:tcW w:w="1680" w:type="dxa"/>
            <w:vAlign w:val="bottom"/>
            <w:gridSpan w:val="4"/>
          </w:tcPr>
          <w:p>
            <w:pPr>
              <w:ind w:left="320"/>
              <w:spacing w:after="0"/>
              <w:rPr>
                <w:sz w:val="20"/>
                <w:szCs w:val="20"/>
                <w:color w:val="auto"/>
              </w:rPr>
            </w:pPr>
            <w:r>
              <w:rPr>
                <w:rFonts w:ascii="Arial" w:cs="Arial" w:eastAsia="Arial" w:hAnsi="Arial"/>
                <w:sz w:val="16"/>
                <w:szCs w:val="16"/>
                <w:color w:val="0000FF"/>
              </w:rPr>
              <w:t>12/08/2020</w:t>
            </w: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5"/>
          </w:tcPr>
          <w:p>
            <w:pPr>
              <w:ind w:left="20"/>
              <w:spacing w:after="0"/>
              <w:rPr>
                <w:sz w:val="20"/>
                <w:szCs w:val="20"/>
                <w:color w:val="auto"/>
              </w:rPr>
            </w:pPr>
            <w:r>
              <w:rPr>
                <w:rFonts w:ascii="Arial" w:cs="Arial" w:eastAsia="Arial" w:hAnsi="Arial"/>
                <w:sz w:val="16"/>
                <w:szCs w:val="16"/>
                <w:color w:val="0000FF"/>
              </w:rPr>
              <w:t>1900 N. PEARL STREET, 20TH FLOOR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6"/>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13"/>
                <w:szCs w:val="13"/>
                <w:color w:val="auto"/>
              </w:rPr>
            </w:pPr>
          </w:p>
        </w:tc>
        <w:tc>
          <w:tcPr>
            <w:tcW w:w="3400" w:type="dxa"/>
            <w:vAlign w:val="bottom"/>
            <w:gridSpan w:val="11"/>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gridSpan w:val="5"/>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ind w:left="20"/>
              <w:spacing w:after="0"/>
              <w:rPr>
                <w:sz w:val="20"/>
                <w:szCs w:val="20"/>
                <w:color w:val="auto"/>
              </w:rPr>
            </w:pPr>
            <w:r>
              <w:rPr>
                <w:rFonts w:ascii="Arial" w:cs="Arial" w:eastAsia="Arial" w:hAnsi="Arial"/>
                <w:sz w:val="16"/>
                <w:szCs w:val="16"/>
                <w:color w:val="0000FF"/>
              </w:rPr>
              <w:t>DALLAS</w:t>
            </w:r>
          </w:p>
        </w:tc>
        <w:tc>
          <w:tcPr>
            <w:tcW w:w="56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6"/>
                <w:szCs w:val="16"/>
                <w:color w:val="0000FF"/>
              </w:rPr>
              <w:t>TX</w:t>
            </w:r>
          </w:p>
        </w:tc>
        <w:tc>
          <w:tcPr>
            <w:tcW w:w="1060" w:type="dxa"/>
            <w:vAlign w:val="bottom"/>
            <w:vMerge w:val="restart"/>
          </w:tcPr>
          <w:p>
            <w:pPr>
              <w:ind w:left="40"/>
              <w:spacing w:after="0"/>
              <w:rPr>
                <w:sz w:val="20"/>
                <w:szCs w:val="20"/>
                <w:color w:val="auto"/>
              </w:rPr>
            </w:pPr>
            <w:r>
              <w:rPr>
                <w:rFonts w:ascii="Arial" w:cs="Arial" w:eastAsia="Arial" w:hAnsi="Arial"/>
                <w:sz w:val="16"/>
                <w:szCs w:val="16"/>
                <w:color w:val="0000FF"/>
              </w:rPr>
              <w:t>75201</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gridSpan w:val="11"/>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7"/>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4"/>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1"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4"/>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5"/>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ind w:left="800"/>
              <w:spacing w:after="0"/>
              <w:rPr>
                <w:sz w:val="20"/>
                <w:szCs w:val="20"/>
                <w:color w:val="auto"/>
              </w:rPr>
            </w:pPr>
            <w:r>
              <w:rPr>
                <w:rFonts w:ascii="Arial" w:cs="Arial" w:eastAsia="Arial" w:hAnsi="Arial"/>
                <w:sz w:val="16"/>
                <w:szCs w:val="16"/>
                <w:color w:val="0000FF"/>
              </w:rPr>
              <w:t>12/08/2020</w:t>
            </w:r>
          </w:p>
        </w:tc>
        <w:tc>
          <w:tcPr>
            <w:tcW w:w="98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2"/>
                <w:szCs w:val="12"/>
                <w:color w:val="0000FF"/>
                <w:w w:val="91"/>
              </w:rPr>
              <w:t>C</w:t>
            </w:r>
          </w:p>
        </w:tc>
        <w:tc>
          <w:tcPr>
            <w:tcW w:w="7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7"/>
              </w:rPr>
              <w:t>3,390,559</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color w:val="008000"/>
              </w:rPr>
              <w:t>(1)(2)(3)(4)(5)</w:t>
            </w:r>
          </w:p>
        </w:tc>
        <w:tc>
          <w:tcPr>
            <w:tcW w:w="4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3,390,559</w:t>
            </w:r>
          </w:p>
        </w:tc>
        <w:tc>
          <w:tcPr>
            <w:tcW w:w="360" w:type="dxa"/>
            <w:vAlign w:val="bottom"/>
          </w:tcPr>
          <w:p>
            <w:pPr>
              <w:spacing w:after="0"/>
              <w:rPr>
                <w:sz w:val="20"/>
                <w:szCs w:val="2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ind w:left="800"/>
              <w:spacing w:after="0"/>
              <w:rPr>
                <w:sz w:val="20"/>
                <w:szCs w:val="20"/>
                <w:color w:val="auto"/>
              </w:rPr>
            </w:pPr>
            <w:r>
              <w:rPr>
                <w:rFonts w:ascii="Arial" w:cs="Arial" w:eastAsia="Arial" w:hAnsi="Arial"/>
                <w:sz w:val="16"/>
                <w:szCs w:val="16"/>
                <w:color w:val="0000FF"/>
              </w:rPr>
              <w:t>12/08/2020</w:t>
            </w:r>
          </w:p>
        </w:tc>
        <w:tc>
          <w:tcPr>
            <w:tcW w:w="98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2"/>
                <w:szCs w:val="12"/>
                <w:color w:val="0000FF"/>
                <w:w w:val="91"/>
              </w:rPr>
              <w:t>C</w:t>
            </w:r>
          </w:p>
        </w:tc>
        <w:tc>
          <w:tcPr>
            <w:tcW w:w="7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7"/>
              </w:rPr>
              <w:t>1,934,954</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color w:val="008000"/>
              </w:rPr>
              <w:t>(1)(2)(3)(4)(5)</w:t>
            </w:r>
          </w:p>
        </w:tc>
        <w:tc>
          <w:tcPr>
            <w:tcW w:w="4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1,934,954</w:t>
            </w:r>
          </w:p>
        </w:tc>
        <w:tc>
          <w:tcPr>
            <w:tcW w:w="360" w:type="dxa"/>
            <w:vAlign w:val="bottom"/>
          </w:tcPr>
          <w:p>
            <w:pPr>
              <w:spacing w:after="0"/>
              <w:rPr>
                <w:sz w:val="20"/>
                <w:szCs w:val="2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8"/>
              </w:rPr>
              <w:t>Ownership</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Direct (D)</w:t>
            </w:r>
          </w:p>
        </w:tc>
        <w:tc>
          <w:tcPr>
            <w:tcW w:w="180" w:type="dxa"/>
            <w:vAlign w:val="bottom"/>
          </w:tcPr>
          <w:p>
            <w:pPr>
              <w:spacing w:after="0"/>
              <w:rPr>
                <w:sz w:val="10"/>
                <w:szCs w:val="10"/>
                <w:color w:val="auto"/>
              </w:rPr>
            </w:pP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(1)</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1,280,724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01"/>
              <w:spacing w:after="0" w:line="137" w:lineRule="exact"/>
              <w:rPr>
                <w:sz w:val="20"/>
                <w:szCs w:val="20"/>
                <w:color w:val="auto"/>
              </w:rPr>
            </w:pPr>
            <w:r>
              <w:rPr>
                <w:rFonts w:ascii="Arial" w:cs="Arial" w:eastAsia="Arial" w:hAnsi="Arial"/>
                <w:sz w:val="12"/>
                <w:szCs w:val="12"/>
                <w:color w:val="0000FF"/>
                <w:w w:val="93"/>
              </w:rPr>
              <w:t>1,280,724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(2)</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(2)</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1,275,928</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(2)</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01"/>
              <w:spacing w:after="0" w:line="137" w:lineRule="exact"/>
              <w:rPr>
                <w:sz w:val="20"/>
                <w:szCs w:val="20"/>
                <w:color w:val="auto"/>
              </w:rPr>
            </w:pPr>
            <w:r>
              <w:rPr>
                <w:rFonts w:ascii="Arial" w:cs="Arial" w:eastAsia="Arial" w:hAnsi="Arial"/>
                <w:sz w:val="12"/>
                <w:szCs w:val="12"/>
                <w:color w:val="0000FF"/>
                <w:w w:val="93"/>
              </w:rPr>
              <w:t>1,275,928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(3)</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265,434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265,434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(4)</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(4)</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326,269</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(4)</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326,269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D-1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(5)</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(5)</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(5)</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242,204</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(5)</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242,204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(1)</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777,593</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777,593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(2)</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(2)</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700,762</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(2)</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700,762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(3)</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145,780</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145,780</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(4)</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(4)</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179,192</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(4)</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line="137" w:lineRule="exact"/>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line="137" w:lineRule="exact"/>
              <w:rPr>
                <w:sz w:val="20"/>
                <w:szCs w:val="20"/>
                <w:color w:val="auto"/>
              </w:rPr>
            </w:pPr>
            <w:r>
              <w:rPr>
                <w:rFonts w:ascii="Arial" w:cs="Arial" w:eastAsia="Arial" w:hAnsi="Arial"/>
                <w:sz w:val="12"/>
                <w:szCs w:val="12"/>
                <w:color w:val="0000FF"/>
                <w:w w:val="92"/>
              </w:rPr>
              <w:t>179,192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line="137" w:lineRule="exact"/>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Series D-1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Convertible</w:t>
            </w:r>
          </w:p>
        </w:tc>
        <w:tc>
          <w:tcPr>
            <w:tcW w:w="560" w:type="dxa"/>
            <w:vAlign w:val="bottom"/>
            <w:vMerge w:val="restart"/>
          </w:tcPr>
          <w:p>
            <w:pPr>
              <w:jc w:val="right"/>
              <w:ind w:right="127"/>
              <w:spacing w:after="0"/>
              <w:rPr>
                <w:sz w:val="20"/>
                <w:szCs w:val="20"/>
                <w:color w:val="auto"/>
              </w:rPr>
            </w:pPr>
            <w:r>
              <w:rPr>
                <w:rFonts w:ascii="Arial" w:cs="Arial" w:eastAsia="Arial" w:hAnsi="Arial"/>
                <w:sz w:val="10"/>
                <w:szCs w:val="10"/>
                <w:color w:val="008000"/>
              </w:rPr>
              <w:t>(5)</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0"/>
                <w:szCs w:val="10"/>
                <w:color w:val="008000"/>
              </w:rPr>
              <w:t>(5)</w:t>
            </w:r>
          </w:p>
        </w:tc>
        <w:tc>
          <w:tcPr>
            <w:tcW w:w="680" w:type="dxa"/>
            <w:vAlign w:val="bottom"/>
            <w:vMerge w:val="restart"/>
          </w:tcPr>
          <w:p>
            <w:pPr>
              <w:jc w:val="right"/>
              <w:ind w:right="223"/>
              <w:spacing w:after="0"/>
              <w:rPr>
                <w:sz w:val="20"/>
                <w:szCs w:val="20"/>
                <w:color w:val="auto"/>
              </w:rPr>
            </w:pPr>
            <w:r>
              <w:rPr>
                <w:rFonts w:ascii="Arial" w:cs="Arial" w:eastAsia="Arial" w:hAnsi="Arial"/>
                <w:sz w:val="10"/>
                <w:szCs w:val="10"/>
                <w:color w:val="008000"/>
              </w:rPr>
              <w:t>(5)</w:t>
            </w: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131,627</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(5)</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12/08/2020</w:t>
            </w:r>
          </w:p>
        </w:tc>
        <w:tc>
          <w:tcPr>
            <w:tcW w:w="1060" w:type="dxa"/>
            <w:vAlign w:val="bottom"/>
          </w:tcPr>
          <w:p>
            <w:pPr>
              <w:spacing w:after="0"/>
              <w:rPr>
                <w:sz w:val="5"/>
                <w:szCs w:val="5"/>
                <w:color w:val="auto"/>
              </w:rPr>
            </w:pP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C</w:t>
            </w:r>
          </w:p>
        </w:tc>
        <w:tc>
          <w:tcPr>
            <w:tcW w:w="980" w:type="dxa"/>
            <w:vAlign w:val="bottom"/>
            <w:vMerge w:val="restart"/>
          </w:tcPr>
          <w:p>
            <w:pPr>
              <w:jc w:val="center"/>
              <w:ind w:left="321"/>
              <w:spacing w:after="0"/>
              <w:rPr>
                <w:sz w:val="20"/>
                <w:szCs w:val="20"/>
                <w:color w:val="auto"/>
              </w:rPr>
            </w:pPr>
            <w:r>
              <w:rPr>
                <w:rFonts w:ascii="Arial" w:cs="Arial" w:eastAsia="Arial" w:hAnsi="Arial"/>
                <w:sz w:val="12"/>
                <w:szCs w:val="12"/>
                <w:color w:val="0000FF"/>
                <w:w w:val="92"/>
              </w:rPr>
              <w:t>131,627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left="58"/>
              <w:spacing w:after="0"/>
              <w:rPr>
                <w:sz w:val="20"/>
                <w:szCs w:val="20"/>
                <w:color w:val="auto"/>
              </w:rPr>
            </w:pPr>
            <w:r>
              <w:rPr>
                <w:rFonts w:ascii="Arial" w:cs="Arial" w:eastAsia="Arial" w:hAnsi="Arial"/>
                <w:sz w:val="12"/>
                <w:szCs w:val="12"/>
                <w:color w:val="0000FF"/>
              </w:rPr>
              <w:t>I</w:t>
            </w:r>
          </w:p>
        </w:tc>
        <w:tc>
          <w:tcPr>
            <w:tcW w:w="1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4"/>
          </w:tcPr>
          <w:p>
            <w:pPr>
              <w:ind w:left="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-6878320</wp:posOffset>
            </wp:positionV>
            <wp:extent cx="7035800" cy="7059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0599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700" w:type="dxa"/>
            <w:vAlign w:val="bottom"/>
          </w:tcPr>
          <w:p>
            <w:pPr>
              <w:ind w:left="2480"/>
              <w:spacing w:after="0"/>
              <w:rPr>
                <w:sz w:val="20"/>
                <w:szCs w:val="20"/>
                <w:color w:val="auto"/>
              </w:rPr>
            </w:pPr>
            <w:r>
              <w:rPr>
                <w:rFonts w:ascii="Arial" w:cs="Arial" w:eastAsia="Arial" w:hAnsi="Arial"/>
                <w:sz w:val="12"/>
                <w:szCs w:val="12"/>
                <w:color w:val="0000FF"/>
              </w:rPr>
              <w:t>Stock</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360" w:type="dxa"/>
            <w:vAlign w:val="bottom"/>
            <w:gridSpan w:val="2"/>
            <w:vMerge w:val="continue"/>
          </w:tcPr>
          <w:p>
            <w:pPr>
              <w:spacing w:after="0"/>
              <w:rPr>
                <w:sz w:val="5"/>
                <w:szCs w:val="5"/>
                <w:color w:val="auto"/>
              </w:rPr>
            </w:pPr>
          </w:p>
        </w:tc>
        <w:tc>
          <w:tcPr>
            <w:tcW w:w="6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4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7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82570" cy="680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68008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Maverick Capital Ventures,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85090</wp:posOffset>
            </wp:positionV>
            <wp:extent cx="265620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56205" cy="1587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295"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C/O MAVERICK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2782570" cy="5913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2570" cy="5913755"/>
                    </a:xfrm>
                    <a:prstGeom prst="rect">
                      <a:avLst/>
                    </a:prstGeom>
                    <a:noFill/>
                  </pic:spPr>
                </pic:pic>
              </a:graphicData>
            </a:graphic>
          </wp:anchor>
        </w:drawing>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1900 N. PEARL STREET, 20TH FLOOR</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DALLAS</w:t>
            </w:r>
          </w:p>
        </w:tc>
        <w:tc>
          <w:tcPr>
            <w:tcW w:w="1280" w:type="dxa"/>
            <w:vAlign w:val="bottom"/>
          </w:tcPr>
          <w:p>
            <w:pPr>
              <w:ind w:left="380"/>
              <w:spacing w:after="0"/>
              <w:rPr>
                <w:sz w:val="20"/>
                <w:szCs w:val="20"/>
                <w:color w:val="auto"/>
              </w:rPr>
            </w:pPr>
            <w:r>
              <w:rPr>
                <w:rFonts w:ascii="Arial" w:cs="Arial" w:eastAsia="Arial" w:hAnsi="Arial"/>
                <w:sz w:val="16"/>
                <w:szCs w:val="16"/>
                <w:color w:val="0000FF"/>
              </w:rPr>
              <w:t>TX</w:t>
            </w:r>
          </w:p>
        </w:tc>
        <w:tc>
          <w:tcPr>
            <w:tcW w:w="1880" w:type="dxa"/>
            <w:vAlign w:val="bottom"/>
          </w:tcPr>
          <w:p>
            <w:pPr>
              <w:ind w:left="520"/>
              <w:spacing w:after="0"/>
              <w:rPr>
                <w:sz w:val="20"/>
                <w:szCs w:val="20"/>
                <w:color w:val="auto"/>
              </w:rPr>
            </w:pPr>
            <w:r>
              <w:rPr>
                <w:rFonts w:ascii="Arial" w:cs="Arial" w:eastAsia="Arial" w:hAnsi="Arial"/>
                <w:sz w:val="16"/>
                <w:szCs w:val="16"/>
                <w:color w:val="0000FF"/>
              </w:rPr>
              <w:t>75201</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(City)</w:t>
            </w:r>
          </w:p>
        </w:tc>
        <w:tc>
          <w:tcPr>
            <w:tcW w:w="1280" w:type="dxa"/>
            <w:vAlign w:val="bottom"/>
          </w:tcPr>
          <w:p>
            <w:pPr>
              <w:ind w:left="3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Maverick Ventures Investment Fund, L.P.</w:t>
        </w:r>
      </w:hyperlink>
    </w:p>
    <w:p>
      <w:pPr>
        <w:spacing w:after="0" w:line="295"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MAVERICK CAPITAL</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1900 N. PEARL STREET, 20TH FLOOR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4"/>
        </w:trPr>
        <w:tc>
          <w:tcPr>
            <w:tcW w:w="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DALLAS</w:t>
            </w:r>
          </w:p>
        </w:tc>
        <w:tc>
          <w:tcPr>
            <w:tcW w:w="1600" w:type="dxa"/>
            <w:vAlign w:val="bottom"/>
          </w:tcPr>
          <w:p>
            <w:pPr>
              <w:ind w:left="380"/>
              <w:spacing w:after="0"/>
              <w:rPr>
                <w:sz w:val="20"/>
                <w:szCs w:val="20"/>
                <w:color w:val="auto"/>
              </w:rPr>
            </w:pPr>
            <w:r>
              <w:rPr>
                <w:rFonts w:ascii="Arial" w:cs="Arial" w:eastAsia="Arial" w:hAnsi="Arial"/>
                <w:sz w:val="16"/>
                <w:szCs w:val="16"/>
                <w:color w:val="0000FF"/>
              </w:rPr>
              <w:t>TX</w:t>
            </w:r>
          </w:p>
        </w:tc>
        <w:tc>
          <w:tcPr>
            <w:tcW w:w="1560" w:type="dxa"/>
            <w:vAlign w:val="bottom"/>
          </w:tcPr>
          <w:p>
            <w:pPr>
              <w:ind w:left="200"/>
              <w:spacing w:after="0"/>
              <w:rPr>
                <w:sz w:val="20"/>
                <w:szCs w:val="20"/>
                <w:color w:val="auto"/>
              </w:rPr>
            </w:pPr>
            <w:r>
              <w:rPr>
                <w:rFonts w:ascii="Arial" w:cs="Arial" w:eastAsia="Arial" w:hAnsi="Arial"/>
                <w:sz w:val="16"/>
                <w:szCs w:val="16"/>
                <w:color w:val="0000FF"/>
              </w:rPr>
              <w:t>75201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(City)</w:t>
            </w:r>
          </w:p>
        </w:tc>
        <w:tc>
          <w:tcPr>
            <w:tcW w:w="1600" w:type="dxa"/>
            <w:vAlign w:val="bottom"/>
          </w:tcPr>
          <w:p>
            <w:pPr>
              <w:ind w:left="38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7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620" w:type="dxa"/>
            <w:vAlign w:val="bottom"/>
            <w:gridSpan w:val="2"/>
          </w:tcPr>
          <w:p>
            <w:pPr>
              <w:ind w:left="20"/>
              <w:spacing w:after="0"/>
              <w:rPr>
                <w:rFonts w:ascii="Arial" w:cs="Arial" w:eastAsia="Arial" w:hAnsi="Arial"/>
                <w:sz w:val="20"/>
                <w:szCs w:val="20"/>
                <w:u w:val="single" w:color="auto"/>
                <w:color w:val="0000EE"/>
                <w:w w:val="99"/>
              </w:rPr>
            </w:pPr>
            <w:hyperlink r:id="rId20">
              <w:r>
                <w:rPr>
                  <w:rFonts w:ascii="Arial" w:cs="Arial" w:eastAsia="Arial" w:hAnsi="Arial"/>
                  <w:sz w:val="20"/>
                  <w:szCs w:val="20"/>
                  <w:u w:val="single" w:color="auto"/>
                  <w:color w:val="0000EE"/>
                  <w:w w:val="99"/>
                </w:rPr>
                <w:t>Maverick Advisors Fund, L.P.</w:t>
              </w:r>
            </w:hyperlink>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(Last)</w:t>
            </w:r>
          </w:p>
        </w:tc>
        <w:tc>
          <w:tcPr>
            <w:tcW w:w="1600" w:type="dxa"/>
            <w:vAlign w:val="bottom"/>
          </w:tcPr>
          <w:p>
            <w:pPr>
              <w:ind w:left="38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MAVERICK CAPITAL</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1900 N. PEARL STREET, 20TH FLOOR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4"/>
        </w:trPr>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440" w:type="dxa"/>
            <w:vAlign w:val="bottom"/>
          </w:tcPr>
          <w:p>
            <w:pPr>
              <w:ind w:left="260"/>
              <w:spacing w:after="0"/>
              <w:rPr>
                <w:sz w:val="20"/>
                <w:szCs w:val="20"/>
                <w:color w:val="auto"/>
              </w:rPr>
            </w:pPr>
            <w:r>
              <w:rPr>
                <w:rFonts w:ascii="Arial" w:cs="Arial" w:eastAsia="Arial" w:hAnsi="Arial"/>
                <w:sz w:val="16"/>
                <w:szCs w:val="16"/>
                <w:color w:val="0000FF"/>
              </w:rPr>
              <w:t>TX</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440" w:type="dxa"/>
            <w:vAlign w:val="bottom"/>
          </w:tcPr>
          <w:p>
            <w:pPr>
              <w:ind w:left="2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AINSLIE LEE S III</w:t>
              </w:r>
            </w:hyperlink>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(Last)</w:t>
            </w:r>
          </w:p>
        </w:tc>
        <w:tc>
          <w:tcPr>
            <w:tcW w:w="1440" w:type="dxa"/>
            <w:vAlign w:val="bottom"/>
          </w:tcPr>
          <w:p>
            <w:pPr>
              <w:ind w:left="2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311"/>
        </w:trPr>
        <w:tc>
          <w:tcPr>
            <w:tcW w:w="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767 5TH AVENUE, 11TH FLOOR</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2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440" w:type="dxa"/>
            <w:vAlign w:val="bottom"/>
          </w:tcPr>
          <w:p>
            <w:pPr>
              <w:ind w:left="260"/>
              <w:spacing w:after="0"/>
              <w:rPr>
                <w:sz w:val="20"/>
                <w:szCs w:val="20"/>
                <w:color w:val="auto"/>
              </w:rPr>
            </w:pPr>
            <w:r>
              <w:rPr>
                <w:rFonts w:ascii="Arial" w:cs="Arial" w:eastAsia="Arial" w:hAnsi="Arial"/>
                <w:sz w:val="16"/>
                <w:szCs w:val="16"/>
                <w:color w:val="0000FF"/>
              </w:rPr>
              <w:t>NY</w:t>
            </w:r>
          </w:p>
        </w:tc>
        <w:tc>
          <w:tcPr>
            <w:tcW w:w="1600" w:type="dxa"/>
            <w:vAlign w:val="bottom"/>
          </w:tcPr>
          <w:p>
            <w:pPr>
              <w:ind w:left="240"/>
              <w:spacing w:after="0"/>
              <w:rPr>
                <w:sz w:val="20"/>
                <w:szCs w:val="20"/>
                <w:color w:val="auto"/>
              </w:rPr>
            </w:pPr>
            <w:r>
              <w:rPr>
                <w:rFonts w:ascii="Arial" w:cs="Arial" w:eastAsia="Arial" w:hAnsi="Arial"/>
                <w:sz w:val="16"/>
                <w:szCs w:val="16"/>
                <w:color w:val="0000FF"/>
              </w:rPr>
              <w:t>10153</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440" w:type="dxa"/>
            <w:vAlign w:val="bottom"/>
          </w:tcPr>
          <w:p>
            <w:pPr>
              <w:ind w:left="2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22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Convertible Preferred Stock automatically converted into Class A Common Stock on a one-to-one basis immediately prior to the completion of the Issuer's initial public offering of Class A Common Stock and had no expiration date.</w:t>
      </w:r>
    </w:p>
    <w:p>
      <w:pPr>
        <w:spacing w:after="0" w:line="12" w:lineRule="exact"/>
        <w:rPr>
          <w:rFonts w:ascii="Arial" w:cs="Arial" w:eastAsia="Arial" w:hAnsi="Arial"/>
          <w:sz w:val="12"/>
          <w:szCs w:val="12"/>
          <w:color w:val="008000"/>
        </w:rPr>
      </w:pPr>
    </w:p>
    <w:p>
      <w:pPr>
        <w:ind w:left="20" w:right="22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B Convertible Preferred Stock automatically converted into Class A Common Stock on a one-to-one basis immediately prior to the completion of the Issuer's initial public offering of Class A Common Stock and had no expiration date.</w:t>
      </w:r>
    </w:p>
    <w:p>
      <w:pPr>
        <w:spacing w:after="0" w:line="12" w:lineRule="exact"/>
        <w:rPr>
          <w:rFonts w:ascii="Arial" w:cs="Arial" w:eastAsia="Arial" w:hAnsi="Arial"/>
          <w:sz w:val="12"/>
          <w:szCs w:val="12"/>
          <w:color w:val="008000"/>
        </w:rPr>
      </w:pPr>
    </w:p>
    <w:p>
      <w:pPr>
        <w:ind w:left="20" w:right="22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Class A Common Stock on a one-to-one basis immediately prior to the completion of the Issuer's initial public offering of Class A Common Stock and had no expiration date.</w:t>
      </w:r>
    </w:p>
    <w:p>
      <w:pPr>
        <w:spacing w:after="0" w:line="12" w:lineRule="exact"/>
        <w:rPr>
          <w:rFonts w:ascii="Arial" w:cs="Arial" w:eastAsia="Arial" w:hAnsi="Arial"/>
          <w:sz w:val="12"/>
          <w:szCs w:val="12"/>
          <w:color w:val="008000"/>
        </w:rPr>
      </w:pPr>
    </w:p>
    <w:p>
      <w:pPr>
        <w:ind w:left="20" w:right="22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D Convertible Preferred Stock automatically converted into Class A Common Stock on a one-to-one basis immediately prior to the completion of the Issuer's initial public offering of Class A Common Stock and had no expiration date.</w:t>
      </w:r>
    </w:p>
    <w:p>
      <w:pPr>
        <w:spacing w:after="0" w:line="12" w:lineRule="exact"/>
        <w:rPr>
          <w:rFonts w:ascii="Arial" w:cs="Arial" w:eastAsia="Arial" w:hAnsi="Arial"/>
          <w:sz w:val="12"/>
          <w:szCs w:val="12"/>
          <w:color w:val="008000"/>
        </w:rPr>
      </w:pPr>
    </w:p>
    <w:p>
      <w:pPr>
        <w:ind w:left="20" w:right="12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D-1 Convertible Preferred Stock automatically converted into Class A Common Stock on a one-to-one basis immediately prior to the completion of the Issuer's initial public offering of Class A Common Stock and had no expiration date.</w:t>
      </w:r>
    </w:p>
    <w:p>
      <w:pPr>
        <w:spacing w:after="0" w:line="12" w:lineRule="exact"/>
        <w:rPr>
          <w:rFonts w:ascii="Arial" w:cs="Arial" w:eastAsia="Arial" w:hAnsi="Arial"/>
          <w:sz w:val="12"/>
          <w:szCs w:val="12"/>
          <w:color w:val="008000"/>
        </w:rPr>
      </w:pPr>
    </w:p>
    <w:p>
      <w:pPr>
        <w:ind w:left="20" w:hanging="3"/>
        <w:spacing w:after="0" w:line="288"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reported shares are held of record by Maverick Ventures Investment Fund, L.P. ("Maverick Ventures Fund"). Maverick Capital Ventures, LLC (Maverick Ventures) is the general partner of Maverick Ventures Fund. As the Managing Partners of Maverick Ventures, Lee S. Ainslie III and David B. Singer, a director of the Issuer, share voting and dispositive power with respect to the shares held by Maverick Ventures Fund. The reporting entities and individuals disclaim beneficial ownership of the reported securities of the Issuer held of record by Maverick Ventures Fund except to the extent of any pecuniary interest therein.</w:t>
      </w:r>
    </w:p>
    <w:p>
      <w:pPr>
        <w:spacing w:after="0" w:line="5" w:lineRule="exact"/>
        <w:rPr>
          <w:rFonts w:ascii="Arial" w:cs="Arial" w:eastAsia="Arial" w:hAnsi="Arial"/>
          <w:sz w:val="11"/>
          <w:szCs w:val="11"/>
          <w:color w:val="008000"/>
        </w:rPr>
      </w:pPr>
    </w:p>
    <w:p>
      <w:pPr>
        <w:ind w:left="20" w:right="6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held of record by Maverick Advisors Fund, L.P. ("Maverick Advisors"). Maverick Ventures is the general partner of Maverick Advisors. As the Managing Partners of Maverick Ventures, Messrs. Ainslie and Singer share voting and dispositive power with respect to the shares held by Maverick Advisors. The reporting entities and individuals disclaim beneficial ownership of the reported securities of the Issuer held of record by Maverick Ventures Fund except to the extent of any pecuniary interest therein.</w:t>
      </w:r>
    </w:p>
    <w:p>
      <w:pPr>
        <w:sectPr>
          <w:pgSz w:w="11900" w:h="16838" w:orient="portrait"/>
          <w:cols w:equalWidth="0" w:num="1">
            <w:col w:w="10900"/>
          </w:cols>
          <w:pgMar w:left="480" w:top="131" w:right="519" w:bottom="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01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182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700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Capital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277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2773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017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182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700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042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499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499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Ventures 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2903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0320" cy="7620"/>
                    </a:xfrm>
                    <a:prstGeom prst="rect">
                      <a:avLst/>
                    </a:prstGeom>
                    <a:noFill/>
                  </pic:spPr>
                </pic:pic>
              </a:graphicData>
            </a:graphic>
          </wp:anchor>
        </w:drawing>
      </w:r>
    </w:p>
    <w:p>
      <w:pPr>
        <w:spacing w:after="0" w:line="6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017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attorney for Lee S. Ainslie III,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182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700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042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499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499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Advisors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197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81978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017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217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217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8660" w:space="120"/>
            <w:col w:w="2120"/>
          </w:cols>
          <w:pgMar w:left="480" w:top="131" w:right="519" w:bottom="0" w:gutter="0" w:footer="0" w:header="0"/>
          <w:type w:val="continuous"/>
        </w:sectPr>
      </w:pPr>
    </w:p>
    <w:p>
      <w:pPr>
        <w:jc w:val="right"/>
        <w:ind w:right="1860"/>
        <w:spacing w:after="0"/>
        <w:tabs>
          <w:tab w:leader="none" w:pos="2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38" w:orient="portrait"/>
          <w:cols w:equalWidth="0" w:num="1">
            <w:col w:w="10900"/>
          </w:cols>
          <w:pgMar w:left="480" w:top="131" w:right="519" w:bottom="0" w:gutter="0" w:footer="0" w:header="0"/>
          <w:type w:val="continuous"/>
        </w:sectPr>
      </w:pPr>
    </w:p>
    <w:bookmarkStart w:id="2" w:name="page3"/>
    <w:bookmarkEnd w:id="2"/>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50" w:lineRule="exact"/>
        <w:rPr>
          <w:sz w:val="20"/>
          <w:szCs w:val="20"/>
          <w:color w:val="auto"/>
        </w:rPr>
      </w:pPr>
    </w:p>
    <w:p>
      <w:pPr>
        <w:jc w:val="both"/>
        <w:ind w:left="3" w:right="2779" w:hanging="3"/>
        <w:spacing w:after="0" w:line="323"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3" Type="http://schemas.openxmlformats.org/officeDocument/2006/relationships/hyperlink" Target="http://www.sec.gov/cgi-bin/browse-edgar?action=getcompany&amp;CIK=0001632173" TargetMode="External"/><Relationship Id="rId14" Type="http://schemas.openxmlformats.org/officeDocument/2006/relationships/hyperlink" Target="http://www.sec.gov/cgi-bin/browse-edgar?action=getcompany&amp;CIK=0001726445" TargetMode="External"/><Relationship Id="rId19" Type="http://schemas.openxmlformats.org/officeDocument/2006/relationships/hyperlink" Target="http://www.sec.gov/cgi-bin/browse-edgar?action=getcompany&amp;CIK=0001632191" TargetMode="External"/><Relationship Id="rId20" Type="http://schemas.openxmlformats.org/officeDocument/2006/relationships/hyperlink" Target="http://www.sec.gov/cgi-bin/browse-edgar?action=getcompany&amp;CIK=0001632167" TargetMode="External"/><Relationship Id="rId21" Type="http://schemas.openxmlformats.org/officeDocument/2006/relationships/hyperlink" Target="http://www.sec.gov/cgi-bin/browse-edgar?action=getcompany&amp;CIK=0001286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2020-12-10T15:21:01Z</dcterms:created>
  <dcterms:modified xsi:type="dcterms:W3CDTF">2020-12-10T15:21:01Z</dcterms:modified>
</cp:coreProperties>
</file>