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_defa14a_revised_pro.htm"/>
      <w:bookmarkStart w:id="1" w:name="ksform_defa14a_revised_pro"/>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color w:val="000000"/>
          <w:sz w:val="24"/>
        </w:rPr>
      </w:pPr>
      <w:r>
        <w:rPr>
          <w:rFonts w:ascii="Times New Roman" w:hAnsi="Times New Roman"/>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SCHEDULE 14A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Seer,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Payment of the Filing Fee (Check the appropriate box):</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April 27,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 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sz w:val="20"/>
        </w:rPr>
      </w:pPr>
      <w:r>
        <w:rPr>
          <w:rFonts w:ascii="Times New Roman" w:hAnsi="Times New Roman"/>
          <w:b/>
          <w:color w:val="000000"/>
          <w:sz w:val="20"/>
        </w:rPr>
        <w:t>650-453-0000</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Global Select Market</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Preferred Stock Purchase Rights</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N/A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27, 2026, Seer, Inc. issued a press release concerning the revised highly contingent, non-binding and unsolicited acquisition proposal received from Bradley L. Radoff, Michael Torok and certain of their affiliates on April 24,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copy of the press release is attached hereto as Exhibit 99.1 and is incorporated herein by reference. </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4"/>
        <w:gridCol w:w="146"/>
        <w:gridCol w:w="9065"/>
      </w:tblGrid>
      <w:tr>
        <w:trPr/>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sz w:val="4"/>
                <w:szCs w:val="4"/>
              </w:rPr>
            </w:pPr>
            <w:r>
              <w:rPr>
                <w:sz w:val="4"/>
                <w:szCs w:val="4"/>
              </w:rPr>
            </w:r>
          </w:p>
        </w:tc>
      </w:tr>
      <w:tr>
        <w:trPr/>
        <w:tc>
          <w:tcPr>
            <w:tcW w:w="99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center"/>
              <w:rPr/>
            </w:pPr>
            <w:hyperlink r:id="rId2">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April 27, 2026, titled “Seer Board of Directors Unanimously Rejects Revised Unsolicited Proposal from Radoff-JEC Group.”</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635" w:type="dxa"/>
        <w:jc w:val="left"/>
        <w:tblInd w:w="0" w:type="dxa"/>
        <w:tblLayout w:type="fixed"/>
        <w:tblCellMar>
          <w:top w:w="28" w:type="dxa"/>
          <w:left w:w="28" w:type="dxa"/>
          <w:bottom w:w="28" w:type="dxa"/>
          <w:right w:w="28" w:type="dxa"/>
        </w:tblCellMar>
      </w:tblPr>
      <w:tblGrid>
        <w:gridCol w:w="1786"/>
        <w:gridCol w:w="146"/>
        <w:gridCol w:w="406"/>
        <w:gridCol w:w="146"/>
        <w:gridCol w:w="315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April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6445/000119312526182155/ck0001726445-ex99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3280</Characters>
  <CharactersWithSpaces>3861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