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OSTADAN OMEAD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45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Borders>
              <w:top w:val="single" w:sz="8" w:color="2C2C2C"/>
            </w:tcBorders>
          </w:tcPr>
          <w:p>
            <w:pPr>
              <w:spacing w:after="0"/>
              <w:rPr>
                <w:sz w:val="4"/>
                <w:szCs w:val="4"/>
                <w:color w:val="auto"/>
              </w:rPr>
            </w:pPr>
          </w:p>
        </w:tc>
        <w:tc>
          <w:tcPr>
            <w:tcW w:w="3400" w:type="dxa"/>
            <w:vAlign w:val="bottom"/>
            <w:tcBorders>
              <w:top w:val="single" w:sz="8" w:color="2C2C2C"/>
              <w:bottom w:val="single" w:sz="8" w:color="2C2C2C"/>
            </w:tcBorders>
            <w:gridSpan w:val="7"/>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gridSpan w:val="7"/>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restart"/>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ind w:left="40"/>
              <w:spacing w:after="0" w:line="190" w:lineRule="exact"/>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6"/>
                <w:szCs w:val="16"/>
                <w:color w:val="auto"/>
              </w:rPr>
            </w:pPr>
          </w:p>
        </w:tc>
        <w:tc>
          <w:tcPr>
            <w:tcW w:w="1340" w:type="dxa"/>
            <w:vAlign w:val="bottom"/>
          </w:tcPr>
          <w:p>
            <w:pPr>
              <w:ind w:left="140"/>
              <w:spacing w:after="0" w:line="190" w:lineRule="exact"/>
              <w:rPr>
                <w:sz w:val="20"/>
                <w:szCs w:val="20"/>
                <w:color w:val="auto"/>
              </w:rPr>
            </w:pPr>
            <w:r>
              <w:rPr>
                <w:rFonts w:ascii="Times New Roman" w:cs="Times New Roman" w:eastAsia="Times New Roman" w:hAnsi="Times New Roman"/>
                <w:sz w:val="17"/>
                <w:szCs w:val="17"/>
                <w:color w:val="0000FF"/>
              </w:rPr>
              <w:t>94065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9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05/27/2022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4,441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378,238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 or RSUs.</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Amended Confirmatory Employment Letter dated February 18, 2022 between the reporting person and the Issuer, the reporting person forfeited 1,401 RSUs. The amount of securities beneficially owned in Column 5 of Table I has been reduced by 1,401 to reflect this forfeiture.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678"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2022-06-01T19:12:41Z</dcterms:created>
  <dcterms:modified xsi:type="dcterms:W3CDTF">2022-06-01T19:12:41Z</dcterms:modified>
</cp:coreProperties>
</file>