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228600</wp:posOffset>
            </wp:positionH>
            <wp:positionV relativeFrom="page">
              <wp:posOffset>289560</wp:posOffset>
            </wp:positionV>
            <wp:extent cx="7312660" cy="9403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2660" cy="9403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60"/>
          <w:szCs w:val="60"/>
          <w:b w:val="1"/>
          <w:bCs w:val="1"/>
          <w:color w:val="FFFFFF"/>
        </w:rPr>
        <w:t>202</w:t>
      </w:r>
      <w:r>
        <w:rPr>
          <w:rFonts w:ascii="PMingLiU" w:cs="PMingLiU" w:eastAsia="PMingLiU" w:hAnsi="PMingLiU"/>
          <w:sz w:val="60"/>
          <w:szCs w:val="60"/>
          <w:b w:val="1"/>
          <w:bCs w:val="1"/>
          <w:color w:val="FFFFFF"/>
        </w:rPr>
        <w:t/>
      </w:r>
      <w:r>
        <w:rPr>
          <w:rFonts w:ascii="Times New Roman" w:cs="Times New Roman" w:eastAsia="Times New Roman" w:hAnsi="Times New Roman"/>
          <w:sz w:val="60"/>
          <w:szCs w:val="60"/>
          <w:b w:val="1"/>
          <w:bCs w:val="1"/>
          <w:color w:val="FFFFFF"/>
        </w:rPr>
        <w:t xml:space="preserve"> ANNUAL REPORT</w:t>
      </w:r>
    </w:p>
    <w:p>
      <w:pPr>
        <w:sectPr>
          <w:pgSz w:w="12240" w:h="15840" w:orient="portrait"/>
          <w:cols w:equalWidth="0" w:num="1">
            <w:col w:w="9920"/>
          </w:cols>
          <w:pgMar w:left="880" w:top="1440" w:right="1440" w:bottom="1440" w:gutter="0" w:footer="0" w:header="0"/>
        </w:sectPr>
      </w:pPr>
    </w:p>
    <w:bookmarkStart w:id="1" w:name="page2"/>
    <w:bookmarkEnd w:id="1"/>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426720</wp:posOffset>
            </wp:positionV>
            <wp:extent cx="7344410" cy="9250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44410" cy="9250680"/>
                    </a:xfrm>
                    <a:prstGeom prst="rect">
                      <a:avLst/>
                    </a:prstGeom>
                    <a:noFill/>
                  </pic:spPr>
                </pic:pic>
              </a:graphicData>
            </a:graphic>
          </wp:anchor>
        </w:drawing>
      </w:r>
    </w:p>
    <w:p>
      <w:pPr>
        <w:jc w:val="center"/>
        <w:ind w:right="20"/>
        <w:spacing w:after="0" w:line="720" w:lineRule="exact"/>
        <w:rPr>
          <w:sz w:val="20"/>
          <w:szCs w:val="20"/>
          <w:color w:val="auto"/>
        </w:rPr>
      </w:pPr>
      <w:r>
        <w:rPr>
          <w:rFonts w:ascii="PMingLiU" w:cs="PMingLiU" w:eastAsia="PMingLiU" w:hAnsi="PMingLiU"/>
          <w:sz w:val="60"/>
          <w:szCs w:val="60"/>
          <w:b w:val="1"/>
          <w:bCs w:val="1"/>
          <w:color w:val="FFFFFF"/>
        </w:rPr>
        <w:t>2XU*URZWK6WUDWHJ\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40" w:type="dxa"/>
        <w:tblCellMar>
          <w:top w:w="0" w:type="dxa"/>
          <w:left w:w="0" w:type="dxa"/>
          <w:bottom w:w="0" w:type="dxa"/>
          <w:right w:w="0" w:type="dxa"/>
        </w:tblCellMar>
      </w:tblPr>
      <w:tr>
        <w:trPr>
          <w:trHeight w:val="276"/>
        </w:trPr>
        <w:tc>
          <w:tcPr>
            <w:tcW w:w="3380" w:type="dxa"/>
            <w:vAlign w:val="bottom"/>
          </w:tcPr>
          <w:p>
            <w:pPr>
              <w:jc w:val="center"/>
              <w:ind w:right="640"/>
              <w:spacing w:after="0"/>
              <w:rPr>
                <w:sz w:val="20"/>
                <w:szCs w:val="20"/>
                <w:color w:val="auto"/>
              </w:rPr>
            </w:pPr>
            <w:r>
              <w:rPr>
                <w:rFonts w:ascii="Arial" w:cs="Arial" w:eastAsia="Arial" w:hAnsi="Arial"/>
                <w:sz w:val="24"/>
                <w:szCs w:val="24"/>
                <w:b w:val="1"/>
                <w:bCs w:val="1"/>
                <w:color w:val="FFFFFF"/>
                <w:w w:val="91"/>
              </w:rPr>
              <w:t>Continue building</w:t>
            </w:r>
          </w:p>
        </w:tc>
        <w:tc>
          <w:tcPr>
            <w:tcW w:w="5400" w:type="dxa"/>
            <w:vAlign w:val="bottom"/>
            <w:gridSpan w:val="2"/>
            <w:vMerge w:val="restart"/>
          </w:tcPr>
          <w:p>
            <w:pPr>
              <w:jc w:val="center"/>
              <w:ind w:right="1180"/>
              <w:spacing w:after="0"/>
              <w:rPr>
                <w:sz w:val="20"/>
                <w:szCs w:val="20"/>
                <w:color w:val="auto"/>
              </w:rPr>
            </w:pPr>
            <w:r>
              <w:rPr>
                <w:rFonts w:ascii="Arial" w:cs="Arial" w:eastAsia="Arial" w:hAnsi="Arial"/>
                <w:sz w:val="24"/>
                <w:szCs w:val="24"/>
                <w:b w:val="1"/>
                <w:bCs w:val="1"/>
                <w:color w:val="FFFFFF"/>
                <w:w w:val="90"/>
              </w:rPr>
              <w:t>Enable and deliver large</w:t>
            </w:r>
          </w:p>
        </w:tc>
        <w:tc>
          <w:tcPr>
            <w:tcW w:w="0" w:type="dxa"/>
            <w:vAlign w:val="bottom"/>
          </w:tcPr>
          <w:p>
            <w:pPr>
              <w:spacing w:after="0"/>
              <w:rPr>
                <w:sz w:val="1"/>
                <w:szCs w:val="1"/>
                <w:color w:val="auto"/>
              </w:rPr>
            </w:pPr>
          </w:p>
        </w:tc>
      </w:tr>
      <w:tr>
        <w:trPr>
          <w:trHeight w:val="247"/>
        </w:trPr>
        <w:tc>
          <w:tcPr>
            <w:tcW w:w="3380" w:type="dxa"/>
            <w:vAlign w:val="bottom"/>
          </w:tcPr>
          <w:p>
            <w:pPr>
              <w:jc w:val="center"/>
              <w:ind w:right="640"/>
              <w:spacing w:after="0" w:line="247" w:lineRule="exact"/>
              <w:rPr>
                <w:sz w:val="20"/>
                <w:szCs w:val="20"/>
                <w:color w:val="auto"/>
              </w:rPr>
            </w:pPr>
            <w:r>
              <w:rPr>
                <w:rFonts w:ascii="Arial" w:cs="Arial" w:eastAsia="Arial" w:hAnsi="Arial"/>
                <w:sz w:val="24"/>
                <w:szCs w:val="24"/>
                <w:b w:val="1"/>
                <w:bCs w:val="1"/>
                <w:color w:val="FFFFFF"/>
                <w:w w:val="89"/>
              </w:rPr>
              <w:t>evidence in the market to</w:t>
            </w:r>
          </w:p>
        </w:tc>
        <w:tc>
          <w:tcPr>
            <w:tcW w:w="54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380" w:type="dxa"/>
            <w:vAlign w:val="bottom"/>
          </w:tcPr>
          <w:p>
            <w:pPr>
              <w:jc w:val="center"/>
              <w:ind w:right="640"/>
              <w:spacing w:after="0" w:line="249" w:lineRule="exact"/>
              <w:rPr>
                <w:sz w:val="20"/>
                <w:szCs w:val="20"/>
                <w:color w:val="auto"/>
              </w:rPr>
            </w:pPr>
            <w:r>
              <w:rPr>
                <w:rFonts w:ascii="Arial" w:cs="Arial" w:eastAsia="Arial" w:hAnsi="Arial"/>
                <w:sz w:val="24"/>
                <w:szCs w:val="24"/>
                <w:b w:val="1"/>
                <w:bCs w:val="1"/>
                <w:color w:val="FFFFFF"/>
                <w:w w:val="88"/>
              </w:rPr>
              <w:t>demonstrate the</w:t>
            </w:r>
          </w:p>
        </w:tc>
        <w:tc>
          <w:tcPr>
            <w:tcW w:w="5400" w:type="dxa"/>
            <w:vAlign w:val="bottom"/>
            <w:gridSpan w:val="2"/>
          </w:tcPr>
          <w:p>
            <w:pPr>
              <w:jc w:val="center"/>
              <w:ind w:right="1180"/>
              <w:spacing w:after="0" w:line="249" w:lineRule="exact"/>
              <w:rPr>
                <w:sz w:val="20"/>
                <w:szCs w:val="20"/>
                <w:color w:val="auto"/>
              </w:rPr>
            </w:pPr>
            <w:r>
              <w:rPr>
                <w:rFonts w:ascii="Arial" w:cs="Arial" w:eastAsia="Arial" w:hAnsi="Arial"/>
                <w:sz w:val="24"/>
                <w:szCs w:val="24"/>
                <w:b w:val="1"/>
                <w:bCs w:val="1"/>
                <w:color w:val="FFFFFF"/>
                <w:w w:val="87"/>
              </w:rPr>
              <w:t>cohort studies to</w:t>
            </w:r>
          </w:p>
        </w:tc>
        <w:tc>
          <w:tcPr>
            <w:tcW w:w="0" w:type="dxa"/>
            <w:vAlign w:val="bottom"/>
          </w:tcPr>
          <w:p>
            <w:pPr>
              <w:spacing w:after="0"/>
              <w:rPr>
                <w:sz w:val="1"/>
                <w:szCs w:val="1"/>
                <w:color w:val="auto"/>
              </w:rPr>
            </w:pPr>
          </w:p>
        </w:tc>
      </w:tr>
      <w:tr>
        <w:trPr>
          <w:trHeight w:val="247"/>
        </w:trPr>
        <w:tc>
          <w:tcPr>
            <w:tcW w:w="3380" w:type="dxa"/>
            <w:vAlign w:val="bottom"/>
          </w:tcPr>
          <w:p>
            <w:pPr>
              <w:jc w:val="center"/>
              <w:ind w:right="640"/>
              <w:spacing w:after="0" w:line="248" w:lineRule="exact"/>
              <w:rPr>
                <w:sz w:val="20"/>
                <w:szCs w:val="20"/>
                <w:color w:val="auto"/>
              </w:rPr>
            </w:pPr>
            <w:r>
              <w:rPr>
                <w:rFonts w:ascii="Arial" w:cs="Arial" w:eastAsia="Arial" w:hAnsi="Arial"/>
                <w:sz w:val="24"/>
                <w:szCs w:val="24"/>
                <w:b w:val="1"/>
                <w:bCs w:val="1"/>
                <w:color w:val="FFFFFF"/>
                <w:w w:val="89"/>
              </w:rPr>
              <w:t>Proteograph’s</w:t>
            </w:r>
          </w:p>
        </w:tc>
        <w:tc>
          <w:tcPr>
            <w:tcW w:w="5400" w:type="dxa"/>
            <w:vAlign w:val="bottom"/>
            <w:gridSpan w:val="2"/>
          </w:tcPr>
          <w:p>
            <w:pPr>
              <w:jc w:val="center"/>
              <w:ind w:right="1180"/>
              <w:spacing w:after="0" w:line="248" w:lineRule="exact"/>
              <w:rPr>
                <w:sz w:val="20"/>
                <w:szCs w:val="20"/>
                <w:color w:val="auto"/>
              </w:rPr>
            </w:pPr>
            <w:r>
              <w:rPr>
                <w:rFonts w:ascii="Arial" w:cs="Arial" w:eastAsia="Arial" w:hAnsi="Arial"/>
                <w:sz w:val="24"/>
                <w:szCs w:val="24"/>
                <w:b w:val="1"/>
                <w:bCs w:val="1"/>
                <w:color w:val="FFFFFF"/>
                <w:w w:val="90"/>
              </w:rPr>
              <w:t>accelerate the market for</w:t>
            </w:r>
          </w:p>
        </w:tc>
        <w:tc>
          <w:tcPr>
            <w:tcW w:w="0" w:type="dxa"/>
            <w:vAlign w:val="bottom"/>
          </w:tcPr>
          <w:p>
            <w:pPr>
              <w:spacing w:after="0"/>
              <w:rPr>
                <w:sz w:val="1"/>
                <w:szCs w:val="1"/>
                <w:color w:val="auto"/>
              </w:rPr>
            </w:pPr>
          </w:p>
        </w:tc>
      </w:tr>
      <w:tr>
        <w:trPr>
          <w:trHeight w:val="249"/>
        </w:trPr>
        <w:tc>
          <w:tcPr>
            <w:tcW w:w="3380" w:type="dxa"/>
            <w:vAlign w:val="bottom"/>
          </w:tcPr>
          <w:p>
            <w:pPr>
              <w:jc w:val="center"/>
              <w:ind w:right="640"/>
              <w:spacing w:after="0" w:line="249" w:lineRule="exact"/>
              <w:rPr>
                <w:sz w:val="20"/>
                <w:szCs w:val="20"/>
                <w:color w:val="auto"/>
              </w:rPr>
            </w:pPr>
            <w:r>
              <w:rPr>
                <w:rFonts w:ascii="Arial" w:cs="Arial" w:eastAsia="Arial" w:hAnsi="Arial"/>
                <w:sz w:val="24"/>
                <w:szCs w:val="24"/>
                <w:b w:val="1"/>
                <w:bCs w:val="1"/>
                <w:color w:val="FFFFFF"/>
                <w:w w:val="90"/>
              </w:rPr>
              <w:t>differentiated abilities to</w:t>
            </w:r>
          </w:p>
        </w:tc>
        <w:tc>
          <w:tcPr>
            <w:tcW w:w="5400" w:type="dxa"/>
            <w:vAlign w:val="bottom"/>
            <w:gridSpan w:val="2"/>
          </w:tcPr>
          <w:p>
            <w:pPr>
              <w:jc w:val="center"/>
              <w:ind w:right="1180"/>
              <w:spacing w:after="0" w:line="249" w:lineRule="exact"/>
              <w:rPr>
                <w:sz w:val="20"/>
                <w:szCs w:val="20"/>
                <w:color w:val="auto"/>
              </w:rPr>
            </w:pPr>
            <w:r>
              <w:rPr>
                <w:rFonts w:ascii="Arial" w:cs="Arial" w:eastAsia="Arial" w:hAnsi="Arial"/>
                <w:sz w:val="24"/>
                <w:szCs w:val="24"/>
                <w:b w:val="1"/>
                <w:bCs w:val="1"/>
                <w:color w:val="FFFFFF"/>
                <w:w w:val="87"/>
              </w:rPr>
              <w:t>deep, unbiased,</w:t>
            </w:r>
          </w:p>
        </w:tc>
        <w:tc>
          <w:tcPr>
            <w:tcW w:w="0" w:type="dxa"/>
            <w:vAlign w:val="bottom"/>
          </w:tcPr>
          <w:p>
            <w:pPr>
              <w:spacing w:after="0"/>
              <w:rPr>
                <w:sz w:val="1"/>
                <w:szCs w:val="1"/>
                <w:color w:val="auto"/>
              </w:rPr>
            </w:pPr>
          </w:p>
        </w:tc>
      </w:tr>
      <w:tr>
        <w:trPr>
          <w:trHeight w:val="247"/>
        </w:trPr>
        <w:tc>
          <w:tcPr>
            <w:tcW w:w="3380" w:type="dxa"/>
            <w:vAlign w:val="bottom"/>
          </w:tcPr>
          <w:p>
            <w:pPr>
              <w:jc w:val="center"/>
              <w:ind w:right="620"/>
              <w:spacing w:after="0" w:line="247" w:lineRule="exact"/>
              <w:rPr>
                <w:sz w:val="20"/>
                <w:szCs w:val="20"/>
                <w:color w:val="auto"/>
              </w:rPr>
            </w:pPr>
            <w:r>
              <w:rPr>
                <w:rFonts w:ascii="Arial" w:cs="Arial" w:eastAsia="Arial" w:hAnsi="Arial"/>
                <w:sz w:val="24"/>
                <w:szCs w:val="24"/>
                <w:b w:val="1"/>
                <w:bCs w:val="1"/>
                <w:color w:val="FFFFFF"/>
                <w:w w:val="89"/>
              </w:rPr>
              <w:t>deliver unique, actionable</w:t>
            </w:r>
          </w:p>
        </w:tc>
        <w:tc>
          <w:tcPr>
            <w:tcW w:w="5400" w:type="dxa"/>
            <w:vAlign w:val="bottom"/>
            <w:gridSpan w:val="2"/>
          </w:tcPr>
          <w:p>
            <w:pPr>
              <w:jc w:val="center"/>
              <w:ind w:right="1200"/>
              <w:spacing w:after="0" w:line="247" w:lineRule="exact"/>
              <w:rPr>
                <w:sz w:val="20"/>
                <w:szCs w:val="20"/>
                <w:color w:val="auto"/>
              </w:rPr>
            </w:pPr>
            <w:r>
              <w:rPr>
                <w:rFonts w:ascii="Arial" w:cs="Arial" w:eastAsia="Arial" w:hAnsi="Arial"/>
                <w:sz w:val="24"/>
                <w:szCs w:val="24"/>
                <w:b w:val="1"/>
                <w:bCs w:val="1"/>
                <w:color w:val="FFFFFF"/>
                <w:w w:val="86"/>
              </w:rPr>
              <w:t>proteomics at scale.</w:t>
            </w:r>
          </w:p>
        </w:tc>
        <w:tc>
          <w:tcPr>
            <w:tcW w:w="0" w:type="dxa"/>
            <w:vAlign w:val="bottom"/>
          </w:tcPr>
          <w:p>
            <w:pPr>
              <w:spacing w:after="0"/>
              <w:rPr>
                <w:sz w:val="1"/>
                <w:szCs w:val="1"/>
                <w:color w:val="auto"/>
              </w:rPr>
            </w:pPr>
          </w:p>
        </w:tc>
      </w:tr>
      <w:tr>
        <w:trPr>
          <w:trHeight w:val="330"/>
        </w:trPr>
        <w:tc>
          <w:tcPr>
            <w:tcW w:w="3380" w:type="dxa"/>
            <w:vAlign w:val="bottom"/>
          </w:tcPr>
          <w:p>
            <w:pPr>
              <w:jc w:val="center"/>
              <w:ind w:right="640"/>
              <w:spacing w:after="0"/>
              <w:rPr>
                <w:sz w:val="20"/>
                <w:szCs w:val="20"/>
                <w:color w:val="auto"/>
              </w:rPr>
            </w:pPr>
            <w:r>
              <w:rPr>
                <w:rFonts w:ascii="Arial" w:cs="Arial" w:eastAsia="Arial" w:hAnsi="Arial"/>
                <w:sz w:val="24"/>
                <w:szCs w:val="24"/>
                <w:b w:val="1"/>
                <w:bCs w:val="1"/>
                <w:color w:val="FFFFFF"/>
                <w:w w:val="87"/>
              </w:rPr>
              <w:t>biological insights.</w:t>
            </w:r>
          </w:p>
        </w:tc>
        <w:tc>
          <w:tcPr>
            <w:tcW w:w="20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2"/>
        </w:trPr>
        <w:tc>
          <w:tcPr>
            <w:tcW w:w="3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20" w:type="dxa"/>
            <w:vAlign w:val="bottom"/>
          </w:tcPr>
          <w:p>
            <w:pPr>
              <w:jc w:val="center"/>
              <w:ind w:left="620"/>
              <w:spacing w:after="0"/>
              <w:rPr>
                <w:sz w:val="20"/>
                <w:szCs w:val="20"/>
                <w:color w:val="auto"/>
              </w:rPr>
            </w:pPr>
            <w:r>
              <w:rPr>
                <w:rFonts w:ascii="Arial" w:cs="Arial" w:eastAsia="Arial" w:hAnsi="Arial"/>
                <w:sz w:val="24"/>
                <w:szCs w:val="24"/>
                <w:b w:val="1"/>
                <w:bCs w:val="1"/>
                <w:color w:val="FFFFFF"/>
                <w:w w:val="89"/>
              </w:rPr>
              <w:t>Innovate continuously to</w:t>
            </w:r>
          </w:p>
        </w:tc>
        <w:tc>
          <w:tcPr>
            <w:tcW w:w="0" w:type="dxa"/>
            <w:vAlign w:val="bottom"/>
          </w:tcPr>
          <w:p>
            <w:pPr>
              <w:spacing w:after="0"/>
              <w:rPr>
                <w:sz w:val="1"/>
                <w:szCs w:val="1"/>
                <w:color w:val="auto"/>
              </w:rPr>
            </w:pPr>
          </w:p>
        </w:tc>
      </w:tr>
      <w:tr>
        <w:trPr>
          <w:trHeight w:val="247"/>
        </w:trPr>
        <w:tc>
          <w:tcPr>
            <w:tcW w:w="33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320" w:type="dxa"/>
            <w:vAlign w:val="bottom"/>
          </w:tcPr>
          <w:p>
            <w:pPr>
              <w:jc w:val="center"/>
              <w:ind w:left="620"/>
              <w:spacing w:after="0" w:line="247" w:lineRule="exact"/>
              <w:rPr>
                <w:sz w:val="20"/>
                <w:szCs w:val="20"/>
                <w:color w:val="auto"/>
              </w:rPr>
            </w:pPr>
            <w:r>
              <w:rPr>
                <w:rFonts w:ascii="Arial" w:cs="Arial" w:eastAsia="Arial" w:hAnsi="Arial"/>
                <w:sz w:val="24"/>
                <w:szCs w:val="24"/>
                <w:b w:val="1"/>
                <w:bCs w:val="1"/>
                <w:color w:val="FFFFFF"/>
                <w:w w:val="87"/>
              </w:rPr>
              <w:t>develop and</w:t>
            </w:r>
          </w:p>
        </w:tc>
        <w:tc>
          <w:tcPr>
            <w:tcW w:w="0" w:type="dxa"/>
            <w:vAlign w:val="bottom"/>
          </w:tcPr>
          <w:p>
            <w:pPr>
              <w:spacing w:after="0"/>
              <w:rPr>
                <w:sz w:val="1"/>
                <w:szCs w:val="1"/>
                <w:color w:val="auto"/>
              </w:rPr>
            </w:pPr>
          </w:p>
        </w:tc>
      </w:tr>
      <w:tr>
        <w:trPr>
          <w:trHeight w:val="249"/>
        </w:trPr>
        <w:tc>
          <w:tcPr>
            <w:tcW w:w="5460" w:type="dxa"/>
            <w:vAlign w:val="bottom"/>
            <w:gridSpan w:val="2"/>
            <w:vMerge w:val="restart"/>
          </w:tcPr>
          <w:p>
            <w:pPr>
              <w:jc w:val="center"/>
              <w:ind w:left="1160"/>
              <w:spacing w:after="0"/>
              <w:rPr>
                <w:sz w:val="20"/>
                <w:szCs w:val="20"/>
                <w:color w:val="auto"/>
              </w:rPr>
            </w:pPr>
            <w:r>
              <w:rPr>
                <w:rFonts w:ascii="Arial" w:cs="Arial" w:eastAsia="Arial" w:hAnsi="Arial"/>
                <w:sz w:val="24"/>
                <w:szCs w:val="24"/>
                <w:b w:val="1"/>
                <w:bCs w:val="1"/>
                <w:color w:val="FFFFFF"/>
                <w:w w:val="88"/>
              </w:rPr>
              <w:t>Expand our user base by</w:t>
            </w:r>
          </w:p>
        </w:tc>
        <w:tc>
          <w:tcPr>
            <w:tcW w:w="3320" w:type="dxa"/>
            <w:vAlign w:val="bottom"/>
          </w:tcPr>
          <w:p>
            <w:pPr>
              <w:jc w:val="center"/>
              <w:ind w:left="620"/>
              <w:spacing w:after="0" w:line="249" w:lineRule="exact"/>
              <w:rPr>
                <w:sz w:val="20"/>
                <w:szCs w:val="20"/>
                <w:color w:val="auto"/>
              </w:rPr>
            </w:pPr>
            <w:r>
              <w:rPr>
                <w:rFonts w:ascii="Arial" w:cs="Arial" w:eastAsia="Arial" w:hAnsi="Arial"/>
                <w:sz w:val="24"/>
                <w:szCs w:val="24"/>
                <w:b w:val="1"/>
                <w:bCs w:val="1"/>
                <w:color w:val="FFFFFF"/>
                <w:w w:val="90"/>
              </w:rPr>
              <w:t>commercialize additional</w:t>
            </w:r>
          </w:p>
        </w:tc>
        <w:tc>
          <w:tcPr>
            <w:tcW w:w="0" w:type="dxa"/>
            <w:vAlign w:val="bottom"/>
          </w:tcPr>
          <w:p>
            <w:pPr>
              <w:spacing w:after="0"/>
              <w:rPr>
                <w:sz w:val="1"/>
                <w:szCs w:val="1"/>
                <w:color w:val="auto"/>
              </w:rPr>
            </w:pPr>
          </w:p>
        </w:tc>
      </w:tr>
      <w:tr>
        <w:trPr>
          <w:trHeight w:val="247"/>
        </w:trPr>
        <w:tc>
          <w:tcPr>
            <w:tcW w:w="5460" w:type="dxa"/>
            <w:vAlign w:val="bottom"/>
            <w:gridSpan w:val="2"/>
            <w:vMerge w:val="continue"/>
          </w:tcPr>
          <w:p>
            <w:pPr>
              <w:spacing w:after="0"/>
              <w:rPr>
                <w:sz w:val="21"/>
                <w:szCs w:val="21"/>
                <w:color w:val="auto"/>
              </w:rPr>
            </w:pPr>
          </w:p>
        </w:tc>
        <w:tc>
          <w:tcPr>
            <w:tcW w:w="3320" w:type="dxa"/>
            <w:vAlign w:val="bottom"/>
          </w:tcPr>
          <w:p>
            <w:pPr>
              <w:jc w:val="center"/>
              <w:ind w:left="620"/>
              <w:spacing w:after="0" w:line="247" w:lineRule="exact"/>
              <w:rPr>
                <w:sz w:val="20"/>
                <w:szCs w:val="20"/>
                <w:color w:val="auto"/>
              </w:rPr>
            </w:pPr>
            <w:r>
              <w:rPr>
                <w:rFonts w:ascii="Arial" w:cs="Arial" w:eastAsia="Arial" w:hAnsi="Arial"/>
                <w:sz w:val="24"/>
                <w:szCs w:val="24"/>
                <w:b w:val="1"/>
                <w:bCs w:val="1"/>
                <w:color w:val="FFFFFF"/>
                <w:w w:val="90"/>
              </w:rPr>
              <w:t>transformative products</w:t>
            </w:r>
          </w:p>
        </w:tc>
        <w:tc>
          <w:tcPr>
            <w:tcW w:w="0" w:type="dxa"/>
            <w:vAlign w:val="bottom"/>
          </w:tcPr>
          <w:p>
            <w:pPr>
              <w:spacing w:after="0"/>
              <w:rPr>
                <w:sz w:val="1"/>
                <w:szCs w:val="1"/>
                <w:color w:val="auto"/>
              </w:rPr>
            </w:pPr>
          </w:p>
        </w:tc>
      </w:tr>
      <w:tr>
        <w:trPr>
          <w:trHeight w:val="249"/>
        </w:trPr>
        <w:tc>
          <w:tcPr>
            <w:tcW w:w="5460" w:type="dxa"/>
            <w:vAlign w:val="bottom"/>
            <w:gridSpan w:val="2"/>
          </w:tcPr>
          <w:p>
            <w:pPr>
              <w:jc w:val="center"/>
              <w:ind w:left="1160"/>
              <w:spacing w:after="0" w:line="249" w:lineRule="exact"/>
              <w:rPr>
                <w:sz w:val="20"/>
                <w:szCs w:val="20"/>
                <w:color w:val="auto"/>
              </w:rPr>
            </w:pPr>
            <w:r>
              <w:rPr>
                <w:rFonts w:ascii="Arial" w:cs="Arial" w:eastAsia="Arial" w:hAnsi="Arial"/>
                <w:sz w:val="24"/>
                <w:szCs w:val="24"/>
                <w:b w:val="1"/>
                <w:bCs w:val="1"/>
                <w:color w:val="FFFFFF"/>
                <w:w w:val="88"/>
              </w:rPr>
              <w:t>continuing to enhance</w:t>
            </w:r>
          </w:p>
        </w:tc>
        <w:tc>
          <w:tcPr>
            <w:tcW w:w="3320" w:type="dxa"/>
            <w:vAlign w:val="bottom"/>
          </w:tcPr>
          <w:p>
            <w:pPr>
              <w:jc w:val="center"/>
              <w:ind w:left="620"/>
              <w:spacing w:after="0" w:line="249" w:lineRule="exact"/>
              <w:rPr>
                <w:sz w:val="20"/>
                <w:szCs w:val="20"/>
                <w:color w:val="auto"/>
              </w:rPr>
            </w:pPr>
            <w:r>
              <w:rPr>
                <w:rFonts w:ascii="Arial" w:cs="Arial" w:eastAsia="Arial" w:hAnsi="Arial"/>
                <w:sz w:val="24"/>
                <w:szCs w:val="24"/>
                <w:b w:val="1"/>
                <w:bCs w:val="1"/>
                <w:color w:val="FFFFFF"/>
                <w:w w:val="92"/>
              </w:rPr>
              <w:t>to break down MS</w:t>
            </w:r>
          </w:p>
        </w:tc>
        <w:tc>
          <w:tcPr>
            <w:tcW w:w="0" w:type="dxa"/>
            <w:vAlign w:val="bottom"/>
          </w:tcPr>
          <w:p>
            <w:pPr>
              <w:spacing w:after="0"/>
              <w:rPr>
                <w:sz w:val="1"/>
                <w:szCs w:val="1"/>
                <w:color w:val="auto"/>
              </w:rPr>
            </w:pPr>
          </w:p>
        </w:tc>
      </w:tr>
      <w:tr>
        <w:trPr>
          <w:trHeight w:val="283"/>
        </w:trPr>
        <w:tc>
          <w:tcPr>
            <w:tcW w:w="5460" w:type="dxa"/>
            <w:vAlign w:val="bottom"/>
            <w:gridSpan w:val="2"/>
          </w:tcPr>
          <w:p>
            <w:pPr>
              <w:jc w:val="center"/>
              <w:ind w:left="1160"/>
              <w:spacing w:after="0"/>
              <w:rPr>
                <w:sz w:val="20"/>
                <w:szCs w:val="20"/>
                <w:color w:val="auto"/>
              </w:rPr>
            </w:pPr>
            <w:r>
              <w:rPr>
                <w:rFonts w:ascii="Arial" w:cs="Arial" w:eastAsia="Arial" w:hAnsi="Arial"/>
                <w:sz w:val="24"/>
                <w:szCs w:val="24"/>
                <w:b w:val="1"/>
                <w:bCs w:val="1"/>
                <w:color w:val="FFFFFF"/>
                <w:w w:val="86"/>
              </w:rPr>
              <w:t>access to the Proteograph.</w:t>
            </w:r>
          </w:p>
        </w:tc>
        <w:tc>
          <w:tcPr>
            <w:tcW w:w="3320" w:type="dxa"/>
            <w:vAlign w:val="bottom"/>
          </w:tcPr>
          <w:p>
            <w:pPr>
              <w:jc w:val="center"/>
              <w:ind w:left="620"/>
              <w:spacing w:after="0"/>
              <w:rPr>
                <w:sz w:val="20"/>
                <w:szCs w:val="20"/>
                <w:color w:val="auto"/>
              </w:rPr>
            </w:pPr>
            <w:r>
              <w:rPr>
                <w:rFonts w:ascii="Arial" w:cs="Arial" w:eastAsia="Arial" w:hAnsi="Arial"/>
                <w:sz w:val="24"/>
                <w:szCs w:val="24"/>
                <w:b w:val="1"/>
                <w:bCs w:val="1"/>
                <w:color w:val="FFFFFF"/>
                <w:w w:val="90"/>
              </w:rPr>
              <w:t>proteomic workflow</w:t>
            </w:r>
          </w:p>
        </w:tc>
        <w:tc>
          <w:tcPr>
            <w:tcW w:w="0" w:type="dxa"/>
            <w:vAlign w:val="bottom"/>
          </w:tcPr>
          <w:p>
            <w:pPr>
              <w:spacing w:after="0"/>
              <w:rPr>
                <w:sz w:val="1"/>
                <w:szCs w:val="1"/>
                <w:color w:val="auto"/>
              </w:rPr>
            </w:pPr>
          </w:p>
        </w:tc>
      </w:tr>
    </w:tbl>
    <w:p>
      <w:pPr>
        <w:jc w:val="center"/>
        <w:ind w:left="8180" w:right="20"/>
        <w:spacing w:after="0" w:line="267" w:lineRule="auto"/>
        <w:rPr>
          <w:sz w:val="20"/>
          <w:szCs w:val="20"/>
          <w:color w:val="auto"/>
        </w:rPr>
      </w:pPr>
      <w:r>
        <w:rPr>
          <w:rFonts w:ascii="Arial" w:cs="Arial" w:eastAsia="Arial" w:hAnsi="Arial"/>
          <w:sz w:val="21"/>
          <w:szCs w:val="21"/>
          <w:b w:val="1"/>
          <w:bCs w:val="1"/>
          <w:color w:val="FFFFFF"/>
        </w:rPr>
        <w:t>barriers, access the proteome, and accelerate our understanding of biology.</w:t>
      </w:r>
    </w:p>
    <w:p>
      <w:pPr>
        <w:sectPr>
          <w:pgSz w:w="12240" w:h="15840" w:orient="portrait"/>
          <w:cols w:equalWidth="0" w:num="1">
            <w:col w:w="9360"/>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222250</wp:posOffset>
            </wp:positionH>
            <wp:positionV relativeFrom="page">
              <wp:posOffset>420370</wp:posOffset>
            </wp:positionV>
            <wp:extent cx="7330440" cy="7891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0440" cy="789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71"/>
          <w:szCs w:val="71"/>
          <w:b w:val="1"/>
          <w:bCs w:val="1"/>
          <w:color w:val="FFFFFF"/>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4643755</wp:posOffset>
            </wp:positionV>
            <wp:extent cx="7330440" cy="1313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0440" cy="1313815"/>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bookmarkStart w:id="3" w:name="page4"/>
    <w:bookmarkEnd w:id="3"/>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400050</wp:posOffset>
            </wp:positionH>
            <wp:positionV relativeFrom="page">
              <wp:posOffset>971550</wp:posOffset>
            </wp:positionV>
            <wp:extent cx="6971665" cy="52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527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7"/>
          <w:szCs w:val="17"/>
          <w:color w:val="auto"/>
        </w:rPr>
        <w:t>(Mark one)</w:t>
      </w:r>
    </w:p>
    <w:p>
      <w:pPr>
        <w:spacing w:after="0" w:line="41" w:lineRule="exact"/>
        <w:rPr>
          <w:sz w:val="20"/>
          <w:szCs w:val="20"/>
          <w:color w:val="auto"/>
        </w:rPr>
      </w:pPr>
    </w:p>
    <w:p>
      <w:pPr>
        <w:ind w:left="3921" w:right="2300" w:hanging="3921"/>
        <w:spacing w:after="0" w:line="298" w:lineRule="auto"/>
        <w:tabs>
          <w:tab w:leader="none" w:pos="286"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2024</w:t>
      </w:r>
    </w:p>
    <w:p>
      <w:pPr>
        <w:spacing w:after="0" w:line="1" w:lineRule="exact"/>
        <w:rPr>
          <w:sz w:val="20"/>
          <w:szCs w:val="20"/>
          <w:color w:val="auto"/>
        </w:rPr>
      </w:pPr>
    </w:p>
    <w:p>
      <w:pPr>
        <w:ind w:left="5361"/>
        <w:spacing w:after="0"/>
        <w:rPr>
          <w:sz w:val="20"/>
          <w:szCs w:val="20"/>
          <w:color w:val="auto"/>
        </w:rPr>
      </w:pPr>
      <w:r>
        <w:rPr>
          <w:rFonts w:ascii="Arial" w:cs="Arial" w:eastAsia="Arial" w:hAnsi="Arial"/>
          <w:sz w:val="17"/>
          <w:szCs w:val="17"/>
          <w:color w:val="auto"/>
        </w:rPr>
        <w:t>or</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 ] TRANSITION REPORT PURSUANT TO SECTION 13 OR 15(d) OF THE SECURITIES EXCHANGE ACT OF 1934</w:t>
      </w:r>
    </w:p>
    <w:p>
      <w:pPr>
        <w:spacing w:after="0" w:line="60" w:lineRule="exact"/>
        <w:rPr>
          <w:sz w:val="20"/>
          <w:szCs w:val="20"/>
          <w:color w:val="auto"/>
        </w:rPr>
      </w:pPr>
    </w:p>
    <w:p>
      <w:pPr>
        <w:ind w:left="3021"/>
        <w:spacing w:after="0"/>
        <w:rPr>
          <w:sz w:val="20"/>
          <w:szCs w:val="20"/>
          <w:color w:val="auto"/>
        </w:rPr>
      </w:pPr>
      <w:r>
        <w:rPr>
          <w:rFonts w:ascii="Arial" w:cs="Arial" w:eastAsia="Arial" w:hAnsi="Arial"/>
          <w:sz w:val="17"/>
          <w:szCs w:val="17"/>
          <w:color w:val="auto"/>
        </w:rPr>
        <w:t>For the transition period from _______________ to _______________</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Commission file number 001-39747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2572385</wp:posOffset>
                </wp:positionH>
                <wp:positionV relativeFrom="paragraph">
                  <wp:posOffset>64135</wp:posOffset>
                </wp:positionV>
                <wp:extent cx="176466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4665" cy="4763"/>
                        </a:xfrm>
                        <a:prstGeom prst="line">
                          <a:avLst/>
                        </a:prstGeom>
                        <a:solidFill>
                          <a:srgbClr val="FFFFFF"/>
                        </a:solidFill>
                        <a:ln w="10668">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55pt,5.05pt" to="341.5pt,5.05pt" o:allowincell="f" strokecolor="#000000" strokeweight="0.84pt"/>
            </w:pict>
          </mc:Fallback>
        </mc:AlternateConten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SEER,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2572385</wp:posOffset>
                </wp:positionH>
                <wp:positionV relativeFrom="paragraph">
                  <wp:posOffset>49530</wp:posOffset>
                </wp:positionV>
                <wp:extent cx="176466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4665" cy="4763"/>
                        </a:xfrm>
                        <a:prstGeom prst="line">
                          <a:avLst/>
                        </a:prstGeom>
                        <a:solidFill>
                          <a:srgbClr val="FFFFFF"/>
                        </a:solidFill>
                        <a:ln w="10667">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55pt,3.9pt" to="341.5pt,3.9pt" o:allowincell="f" strokecolor="#000000" strokeweight="0.8399pt"/>
            </w:pict>
          </mc:Fallback>
        </mc:AlternateContent>
      </w:r>
    </w:p>
    <w:p>
      <w:pPr>
        <w:sectPr>
          <w:pgSz w:w="12240" w:h="15840" w:orient="portrait"/>
          <w:cols w:equalWidth="0" w:num="1">
            <w:col w:w="10881"/>
          </w:cols>
          <w:pgMar w:left="679" w:top="1440" w:right="680" w:bottom="1148" w:gutter="0" w:footer="0" w:header="0"/>
        </w:sectPr>
      </w:pPr>
    </w:p>
    <w:p>
      <w:pPr>
        <w:spacing w:after="0" w:line="123" w:lineRule="exact"/>
        <w:rPr>
          <w:sz w:val="20"/>
          <w:szCs w:val="20"/>
          <w:color w:val="auto"/>
        </w:rPr>
      </w:pPr>
    </w:p>
    <w:p>
      <w:pPr>
        <w:ind w:left="1861"/>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82-1153150</w:t>
      </w:r>
    </w:p>
    <w:p>
      <w:pPr>
        <w:spacing w:after="0" w:line="71" w:lineRule="exact"/>
        <w:rPr>
          <w:sz w:val="20"/>
          <w:szCs w:val="20"/>
          <w:color w:val="auto"/>
        </w:rPr>
      </w:pPr>
    </w:p>
    <w:p>
      <w:pPr>
        <w:sectPr>
          <w:pgSz w:w="12240" w:h="15840" w:orient="portrait"/>
          <w:cols w:equalWidth="0" w:num="2">
            <w:col w:w="7621" w:space="720"/>
            <w:col w:w="2540"/>
          </w:cols>
          <w:pgMar w:left="679" w:top="1440" w:right="680" w:bottom="1148" w:gutter="0" w:footer="0" w:header="0"/>
          <w:type w:val="continuous"/>
        </w:sectPr>
      </w:pPr>
    </w:p>
    <w:p>
      <w:pPr>
        <w:ind w:left="221"/>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Number)</w:t>
      </w:r>
    </w:p>
    <w:p>
      <w:pPr>
        <w:spacing w:after="0" w:line="58" w:lineRule="exact"/>
        <w:rPr>
          <w:sz w:val="20"/>
          <w:szCs w:val="20"/>
          <w:color w:val="auto"/>
        </w:rPr>
      </w:pPr>
    </w:p>
    <w:p>
      <w:pPr>
        <w:sectPr>
          <w:pgSz w:w="12240" w:h="15840" w:orient="portrait"/>
          <w:cols w:equalWidth="0" w:num="2">
            <w:col w:w="6681" w:space="720"/>
            <w:col w:w="3480"/>
          </w:cols>
          <w:pgMar w:left="679" w:top="1440" w:right="680" w:bottom="1148"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3800 Bridge Parkway, Suite 102</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Redwood City, California 94065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650-453-0000</w:t>
      </w:r>
    </w:p>
    <w:p>
      <w:pPr>
        <w:sectPr>
          <w:pgSz w:w="12240" w:h="15840" w:orient="portrait"/>
          <w:cols w:equalWidth="0" w:num="1">
            <w:col w:w="10881"/>
          </w:cols>
          <w:pgMar w:left="679" w:top="1440" w:right="680" w:bottom="1148"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2572385</wp:posOffset>
                </wp:positionH>
                <wp:positionV relativeFrom="paragraph">
                  <wp:posOffset>104140</wp:posOffset>
                </wp:positionV>
                <wp:extent cx="176466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4665" cy="4763"/>
                        </a:xfrm>
                        <a:prstGeom prst="line">
                          <a:avLst/>
                        </a:prstGeom>
                        <a:solidFill>
                          <a:srgbClr val="FFFFFF"/>
                        </a:solidFill>
                        <a:ln w="10668">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55pt,8.2pt" to="341.5pt,8.2pt" o:allowincell="f" strokecolor="#000000" strokeweight="0.84pt"/>
            </w:pict>
          </mc:Fallback>
        </mc:AlternateContent>
      </w:r>
    </w:p>
    <w:p>
      <w:pPr>
        <w:spacing w:after="0" w:line="242"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4080" w:type="dxa"/>
            <w:vAlign w:val="bottom"/>
            <w:gridSpan w:val="7"/>
          </w:tcPr>
          <w:p>
            <w:pPr>
              <w:jc w:val="center"/>
              <w:ind w:left="24"/>
              <w:spacing w:after="0"/>
              <w:rPr>
                <w:sz w:val="20"/>
                <w:szCs w:val="20"/>
                <w:color w:val="auto"/>
              </w:rPr>
            </w:pPr>
            <w:r>
              <w:rPr>
                <w:rFonts w:ascii="Arial" w:cs="Arial" w:eastAsia="Arial" w:hAnsi="Arial"/>
                <w:sz w:val="15"/>
                <w:szCs w:val="15"/>
                <w:color w:val="auto"/>
                <w:w w:val="91"/>
              </w:rPr>
              <w:t>Securities registered pursuant to section 12(b) of the Act:</w:t>
            </w:r>
          </w:p>
        </w:tc>
        <w:tc>
          <w:tcPr>
            <w:tcW w:w="16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124"/>
        </w:trPr>
        <w:tc>
          <w:tcPr>
            <w:tcW w:w="3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80" w:type="dxa"/>
            <w:vAlign w:val="bottom"/>
          </w:tcPr>
          <w:p>
            <w:pPr>
              <w:spacing w:after="0"/>
              <w:rPr>
                <w:sz w:val="10"/>
                <w:szCs w:val="10"/>
                <w:color w:val="auto"/>
              </w:rPr>
            </w:pPr>
          </w:p>
        </w:tc>
      </w:tr>
      <w:tr>
        <w:trPr>
          <w:trHeight w:val="288"/>
        </w:trPr>
        <w:tc>
          <w:tcPr>
            <w:tcW w:w="3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4"/>
          </w:tcPr>
          <w:p>
            <w:pPr>
              <w:jc w:val="center"/>
              <w:ind w:right="900"/>
              <w:spacing w:after="0"/>
              <w:rPr>
                <w:sz w:val="20"/>
                <w:szCs w:val="20"/>
                <w:color w:val="auto"/>
              </w:rPr>
            </w:pPr>
            <w:r>
              <w:rPr>
                <w:rFonts w:ascii="Arial" w:cs="Arial" w:eastAsia="Arial" w:hAnsi="Arial"/>
                <w:sz w:val="15"/>
                <w:szCs w:val="15"/>
                <w:color w:val="auto"/>
                <w:w w:val="94"/>
              </w:rPr>
              <w:t>Copies to:</w:t>
            </w:r>
          </w:p>
        </w:tc>
        <w:tc>
          <w:tcPr>
            <w:tcW w:w="1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28"/>
        </w:trPr>
        <w:tc>
          <w:tcPr>
            <w:tcW w:w="3360" w:type="dxa"/>
            <w:vAlign w:val="bottom"/>
          </w:tcPr>
          <w:p>
            <w:pPr>
              <w:jc w:val="center"/>
              <w:ind w:left="784"/>
              <w:spacing w:after="0"/>
              <w:rPr>
                <w:sz w:val="20"/>
                <w:szCs w:val="20"/>
                <w:color w:val="auto"/>
              </w:rPr>
            </w:pPr>
            <w:r>
              <w:rPr>
                <w:rFonts w:ascii="Arial" w:cs="Arial" w:eastAsia="Arial" w:hAnsi="Arial"/>
                <w:sz w:val="15"/>
                <w:szCs w:val="15"/>
                <w:b w:val="1"/>
                <w:bCs w:val="1"/>
                <w:color w:val="auto"/>
                <w:w w:val="88"/>
              </w:rPr>
              <w:t>Title of each class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4"/>
          </w:tcPr>
          <w:p>
            <w:pPr>
              <w:jc w:val="center"/>
              <w:ind w:right="920"/>
              <w:spacing w:after="0"/>
              <w:rPr>
                <w:sz w:val="20"/>
                <w:szCs w:val="20"/>
                <w:color w:val="auto"/>
              </w:rPr>
            </w:pPr>
            <w:r>
              <w:rPr>
                <w:rFonts w:ascii="Arial" w:cs="Arial" w:eastAsia="Arial" w:hAnsi="Arial"/>
                <w:sz w:val="15"/>
                <w:szCs w:val="15"/>
                <w:b w:val="1"/>
                <w:bCs w:val="1"/>
                <w:color w:val="auto"/>
                <w:w w:val="92"/>
              </w:rPr>
              <w:t>Trading Symbol(s)</w:t>
            </w:r>
          </w:p>
        </w:tc>
        <w:tc>
          <w:tcPr>
            <w:tcW w:w="3440" w:type="dxa"/>
            <w:vAlign w:val="bottom"/>
            <w:gridSpan w:val="2"/>
          </w:tcPr>
          <w:p>
            <w:pPr>
              <w:jc w:val="center"/>
              <w:ind w:right="744"/>
              <w:spacing w:after="0"/>
              <w:rPr>
                <w:sz w:val="20"/>
                <w:szCs w:val="20"/>
                <w:color w:val="auto"/>
              </w:rPr>
            </w:pPr>
            <w:r>
              <w:rPr>
                <w:rFonts w:ascii="Arial" w:cs="Arial" w:eastAsia="Arial" w:hAnsi="Arial"/>
                <w:sz w:val="15"/>
                <w:szCs w:val="15"/>
                <w:b w:val="1"/>
                <w:bCs w:val="1"/>
                <w:color w:val="auto"/>
                <w:w w:val="89"/>
              </w:rPr>
              <w:t>Name of Exchange on which registered</w:t>
            </w:r>
          </w:p>
        </w:tc>
      </w:tr>
      <w:tr>
        <w:trPr>
          <w:trHeight w:val="193"/>
        </w:trPr>
        <w:tc>
          <w:tcPr>
            <w:tcW w:w="3360" w:type="dxa"/>
            <w:vAlign w:val="bottom"/>
            <w:tcBorders>
              <w:top w:val="single" w:sz="8" w:color="auto"/>
            </w:tcBorders>
          </w:tcPr>
          <w:p>
            <w:pPr>
              <w:jc w:val="center"/>
              <w:ind w:left="784"/>
              <w:spacing w:after="0"/>
              <w:rPr>
                <w:sz w:val="20"/>
                <w:szCs w:val="20"/>
                <w:color w:val="auto"/>
              </w:rPr>
            </w:pPr>
            <w:r>
              <w:rPr>
                <w:rFonts w:ascii="Arial" w:cs="Arial" w:eastAsia="Arial" w:hAnsi="Arial"/>
                <w:sz w:val="15"/>
                <w:szCs w:val="15"/>
                <w:color w:val="auto"/>
                <w:w w:val="91"/>
              </w:rPr>
              <w:t>Common Stock, par value $0.00001</w:t>
            </w: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2"/>
              </w:rPr>
              <w:t>SEER</w:t>
            </w:r>
          </w:p>
        </w:tc>
        <w:tc>
          <w:tcPr>
            <w:tcW w:w="100" w:type="dxa"/>
            <w:vAlign w:val="bottom"/>
          </w:tcPr>
          <w:p>
            <w:pPr>
              <w:spacing w:after="0"/>
              <w:rPr>
                <w:sz w:val="16"/>
                <w:szCs w:val="16"/>
                <w:color w:val="auto"/>
              </w:rPr>
            </w:pPr>
          </w:p>
        </w:tc>
        <w:tc>
          <w:tcPr>
            <w:tcW w:w="820" w:type="dxa"/>
            <w:vAlign w:val="bottom"/>
            <w:tcBorders>
              <w:top w:val="single" w:sz="8" w:color="auto"/>
            </w:tcBorders>
            <w:gridSpan w:val="2"/>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tcPr>
          <w:p>
            <w:pPr>
              <w:jc w:val="center"/>
              <w:ind w:right="904"/>
              <w:spacing w:after="0"/>
              <w:rPr>
                <w:sz w:val="20"/>
                <w:szCs w:val="20"/>
                <w:color w:val="auto"/>
              </w:rPr>
            </w:pPr>
            <w:r>
              <w:rPr>
                <w:rFonts w:ascii="Arial" w:cs="Arial" w:eastAsia="Arial" w:hAnsi="Arial"/>
                <w:sz w:val="15"/>
                <w:szCs w:val="15"/>
                <w:color w:val="auto"/>
                <w:w w:val="91"/>
              </w:rPr>
              <w:t>Nasdaq Global Select Market</w:t>
            </w:r>
          </w:p>
        </w:tc>
      </w:tr>
      <w:tr>
        <w:trPr>
          <w:trHeight w:val="203"/>
        </w:trPr>
        <w:tc>
          <w:tcPr>
            <w:tcW w:w="3360" w:type="dxa"/>
            <w:vAlign w:val="bottom"/>
          </w:tcPr>
          <w:p>
            <w:pPr>
              <w:spacing w:after="0"/>
              <w:rPr>
                <w:sz w:val="17"/>
                <w:szCs w:val="17"/>
                <w:color w:val="auto"/>
              </w:rPr>
            </w:pPr>
          </w:p>
        </w:tc>
        <w:tc>
          <w:tcPr>
            <w:tcW w:w="4080" w:type="dxa"/>
            <w:vAlign w:val="bottom"/>
            <w:gridSpan w:val="7"/>
          </w:tcPr>
          <w:p>
            <w:pPr>
              <w:jc w:val="center"/>
              <w:ind w:left="4"/>
              <w:spacing w:after="0"/>
              <w:rPr>
                <w:sz w:val="20"/>
                <w:szCs w:val="20"/>
                <w:color w:val="auto"/>
              </w:rPr>
            </w:pPr>
            <w:r>
              <w:rPr>
                <w:rFonts w:ascii="Arial" w:cs="Arial" w:eastAsia="Arial" w:hAnsi="Arial"/>
                <w:sz w:val="15"/>
                <w:szCs w:val="15"/>
                <w:color w:val="auto"/>
                <w:w w:val="91"/>
              </w:rPr>
              <w:t>Securities registered pursuant to section 12(g) of the Act: None</w:t>
            </w:r>
          </w:p>
        </w:tc>
        <w:tc>
          <w:tcPr>
            <w:tcW w:w="16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40"/>
        </w:trPr>
        <w:tc>
          <w:tcPr>
            <w:tcW w:w="7440" w:type="dxa"/>
            <w:vAlign w:val="bottom"/>
            <w:gridSpan w:val="8"/>
          </w:tcPr>
          <w:p>
            <w:pPr>
              <w:spacing w:after="0"/>
              <w:rPr>
                <w:sz w:val="20"/>
                <w:szCs w:val="20"/>
                <w:color w:val="auto"/>
              </w:rPr>
            </w:pPr>
            <w:r>
              <w:rPr>
                <w:rFonts w:ascii="Arial" w:cs="Arial" w:eastAsia="Arial" w:hAnsi="Arial"/>
                <w:sz w:val="15"/>
                <w:szCs w:val="15"/>
                <w:color w:val="auto"/>
                <w:w w:val="92"/>
              </w:rPr>
              <w:t>Indicate by check mark if the registrant is a well-known seasoned issuer, as defined in Rule 405 of the Securities Act. Yes</w:t>
            </w:r>
          </w:p>
        </w:tc>
        <w:tc>
          <w:tcPr>
            <w:tcW w:w="160" w:type="dxa"/>
            <w:vAlign w:val="bottom"/>
          </w:tcPr>
          <w:p>
            <w:pPr>
              <w:spacing w:after="0"/>
              <w:rPr>
                <w:sz w:val="20"/>
                <w:szCs w:val="20"/>
                <w:color w:val="auto"/>
              </w:rPr>
            </w:pPr>
          </w:p>
        </w:tc>
        <w:tc>
          <w:tcPr>
            <w:tcW w:w="3280" w:type="dxa"/>
            <w:vAlign w:val="bottom"/>
          </w:tcPr>
          <w:p>
            <w:pPr>
              <w:ind w:left="100"/>
              <w:spacing w:after="0"/>
              <w:rPr>
                <w:sz w:val="20"/>
                <w:szCs w:val="20"/>
                <w:color w:val="auto"/>
              </w:rPr>
            </w:pPr>
            <w:r>
              <w:rPr>
                <w:rFonts w:ascii="Arial" w:cs="Arial" w:eastAsia="Arial" w:hAnsi="Arial"/>
                <w:sz w:val="15"/>
                <w:szCs w:val="15"/>
                <w:color w:val="auto"/>
              </w:rPr>
              <w:t>No</w:t>
            </w:r>
          </w:p>
        </w:tc>
      </w:tr>
      <w:tr>
        <w:trPr>
          <w:trHeight w:val="247"/>
        </w:trPr>
        <w:tc>
          <w:tcPr>
            <w:tcW w:w="7600" w:type="dxa"/>
            <w:vAlign w:val="bottom"/>
            <w:gridSpan w:val="9"/>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 Yes</w:t>
            </w:r>
          </w:p>
        </w:tc>
        <w:tc>
          <w:tcPr>
            <w:tcW w:w="3280" w:type="dxa"/>
            <w:vAlign w:val="bottom"/>
          </w:tcPr>
          <w:p>
            <w:pPr>
              <w:ind w:left="180"/>
              <w:spacing w:after="0"/>
              <w:rPr>
                <w:sz w:val="20"/>
                <w:szCs w:val="20"/>
                <w:color w:val="auto"/>
              </w:rPr>
            </w:pPr>
            <w:r>
              <w:rPr>
                <w:rFonts w:ascii="Arial" w:cs="Arial" w:eastAsia="Arial" w:hAnsi="Arial"/>
                <w:sz w:val="15"/>
                <w:szCs w:val="15"/>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-265430</wp:posOffset>
            </wp:positionV>
            <wp:extent cx="92710" cy="927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extLst>
                    </a:blip>
                    <a:srcRect/>
                    <a:stretch>
                      <a:fillRect/>
                    </a:stretch>
                  </pic:blipFill>
                  <pic:spPr bwMode="auto">
                    <a:xfrm>
                      <a:off x="0" y="0"/>
                      <a:ext cx="92710" cy="9271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-265430</wp:posOffset>
            </wp:positionV>
            <wp:extent cx="92710" cy="92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92710" cy="92710"/>
                    </a:xfrm>
                    <a:prstGeom prst="rect">
                      <a:avLst/>
                    </a:prstGeom>
                    <a:noFill/>
                  </pic:spPr>
                </pic:pic>
              </a:graphicData>
            </a:graphic>
          </wp:anchor>
        </w:drawing>
        <w:drawing>
          <wp:anchor simplePos="0" relativeHeight="251657728" behindDoc="1" locked="0" layoutInCell="0" allowOverlap="1">
            <wp:simplePos x="0" y="0"/>
            <wp:positionH relativeFrom="column">
              <wp:posOffset>4783455</wp:posOffset>
            </wp:positionH>
            <wp:positionV relativeFrom="paragraph">
              <wp:posOffset>-108585</wp:posOffset>
            </wp:positionV>
            <wp:extent cx="92710" cy="92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92710" cy="9271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-108585</wp:posOffset>
            </wp:positionV>
            <wp:extent cx="92710" cy="927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92710" cy="92710"/>
                    </a:xfrm>
                    <a:prstGeom prst="rect">
                      <a:avLst/>
                    </a:prstGeom>
                    <a:noFill/>
                  </pic:spPr>
                </pic:pic>
              </a:graphicData>
            </a:graphic>
          </wp:anchor>
        </w:drawing>
      </w:r>
    </w:p>
    <w:p>
      <w:pPr>
        <w:ind w:left="1" w:right="220"/>
        <w:spacing w:after="0" w:line="310" w:lineRule="auto"/>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sz w:val="1"/>
          <w:szCs w:val="1"/>
          <w:color w:val="auto"/>
        </w:rPr>
        <w:drawing>
          <wp:inline distT="0" distB="0" distL="0" distR="0">
            <wp:extent cx="92710" cy="927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r>
        <w:rPr>
          <w:rFonts w:ascii="Arial" w:cs="Arial" w:eastAsia="Arial" w:hAnsi="Arial"/>
          <w:sz w:val="13"/>
          <w:szCs w:val="13"/>
          <w:color w:val="auto"/>
        </w:rPr>
        <w:t xml:space="preserve"> No </w:t>
      </w:r>
      <w:r>
        <w:rPr>
          <w:sz w:val="1"/>
          <w:szCs w:val="1"/>
          <w:color w:val="auto"/>
        </w:rPr>
        <w:drawing>
          <wp:inline distT="0" distB="0" distL="0" distR="0">
            <wp:extent cx="92710" cy="927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spacing w:after="0" w:line="1" w:lineRule="exact"/>
        <w:rPr>
          <w:sz w:val="20"/>
          <w:szCs w:val="20"/>
          <w:color w:val="auto"/>
        </w:rPr>
      </w:pPr>
    </w:p>
    <w:p>
      <w:pPr>
        <w:ind w:left="1" w:right="100"/>
        <w:spacing w:after="0" w:line="282"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sz w:val="1"/>
          <w:szCs w:val="1"/>
          <w:color w:val="auto"/>
        </w:rPr>
        <w:drawing>
          <wp:inline distT="0" distB="0" distL="0" distR="0">
            <wp:extent cx="92710" cy="927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r>
        <w:rPr>
          <w:rFonts w:ascii="Arial" w:cs="Arial" w:eastAsia="Arial" w:hAnsi="Arial"/>
          <w:sz w:val="15"/>
          <w:szCs w:val="15"/>
          <w:color w:val="auto"/>
        </w:rPr>
        <w:t xml:space="preserve"> No </w:t>
      </w:r>
      <w:r>
        <w:rPr>
          <w:sz w:val="1"/>
          <w:szCs w:val="1"/>
          <w:color w:val="auto"/>
        </w:rPr>
        <w:drawing>
          <wp:inline distT="0" distB="0" distL="0" distR="0">
            <wp:extent cx="92710" cy="927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ind w:left="1" w:right="200"/>
        <w:spacing w:after="0" w:line="34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881"/>
          </w:cols>
          <w:pgMar w:left="679" w:top="1440" w:right="680" w:bottom="1148" w:gutter="0" w:footer="0" w:header="0"/>
          <w:type w:val="continuous"/>
        </w:sectPr>
      </w:pP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Large 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-85090</wp:posOffset>
            </wp:positionV>
            <wp:extent cx="92710" cy="92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extLst>
                    </a:blip>
                    <a:srcRect/>
                    <a:stretch>
                      <a:fillRect/>
                    </a:stretch>
                  </pic:blipFill>
                  <pic:spPr bwMode="auto">
                    <a:xfrm>
                      <a:off x="0" y="0"/>
                      <a:ext cx="92710" cy="92710"/>
                    </a:xfrm>
                    <a:prstGeom prst="rect">
                      <a:avLst/>
                    </a:prstGeom>
                    <a:noFill/>
                  </pic:spPr>
                </pic:pic>
              </a:graphicData>
            </a:graphic>
          </wp:anchor>
        </w:drawing>
      </w:r>
    </w:p>
    <w:p>
      <w:pPr>
        <w:spacing w:after="0" w:line="117" w:lineRule="exact"/>
        <w:rPr>
          <w:sz w:val="20"/>
          <w:szCs w:val="20"/>
          <w:color w:val="auto"/>
        </w:rPr>
      </w:pPr>
    </w:p>
    <w:p>
      <w:pPr>
        <w:sectPr>
          <w:pgSz w:w="12240" w:h="15840" w:orient="portrait"/>
          <w:cols w:equalWidth="0" w:num="2">
            <w:col w:w="7241" w:space="720"/>
            <w:col w:w="2920"/>
          </w:cols>
          <w:pgMar w:left="679" w:top="1440" w:right="680" w:bottom="1148" w:gutter="0" w:footer="0" w:header="0"/>
          <w:type w:val="continuous"/>
        </w:sectPr>
      </w:pPr>
    </w:p>
    <w:p>
      <w:pPr>
        <w:ind w:left="7961"/>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6505575</wp:posOffset>
            </wp:positionH>
            <wp:positionV relativeFrom="paragraph">
              <wp:posOffset>-77470</wp:posOffset>
            </wp:positionV>
            <wp:extent cx="92710" cy="92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extLst>
                    </a:blip>
                    <a:srcRect/>
                    <a:stretch>
                      <a:fillRect/>
                    </a:stretch>
                  </pic:blipFill>
                  <pic:spPr bwMode="auto">
                    <a:xfrm>
                      <a:off x="0" y="0"/>
                      <a:ext cx="92710" cy="92710"/>
                    </a:xfrm>
                    <a:prstGeom prst="rect">
                      <a:avLst/>
                    </a:prstGeom>
                    <a:noFill/>
                  </pic:spPr>
                </pic:pic>
              </a:graphicData>
            </a:graphic>
          </wp:anchor>
        </w:drawing>
      </w:r>
    </w:p>
    <w:p>
      <w:pPr>
        <w:sectPr>
          <w:pgSz w:w="12240" w:h="15840" w:orient="portrait"/>
          <w:cols w:equalWidth="0" w:num="1">
            <w:col w:w="10881"/>
          </w:cols>
          <w:pgMar w:left="679" w:top="1440" w:right="680" w:bottom="1148" w:gutter="0" w:footer="0" w:header="0"/>
          <w:type w:val="continuous"/>
        </w:sectPr>
      </w:pPr>
    </w:p>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color w:val="auto"/>
        </w:rPr>
        <w:t>Non-accelerated filer</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-77470</wp:posOffset>
            </wp:positionV>
            <wp:extent cx="92710" cy="92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extLst>
                    </a:blip>
                    <a:srcRect/>
                    <a:stretch>
                      <a:fillRect/>
                    </a:stretch>
                  </pic:blipFill>
                  <pic:spPr bwMode="auto">
                    <a:xfrm>
                      <a:off x="0" y="0"/>
                      <a:ext cx="92710" cy="92710"/>
                    </a:xfrm>
                    <a:prstGeom prst="rect">
                      <a:avLst/>
                    </a:prstGeom>
                    <a:noFill/>
                  </pic:spPr>
                </pic:pic>
              </a:graphicData>
            </a:graphic>
          </wp:anchor>
        </w:drawing>
      </w:r>
    </w:p>
    <w:p>
      <w:pPr>
        <w:spacing w:after="0" w:line="71" w:lineRule="exact"/>
        <w:rPr>
          <w:sz w:val="20"/>
          <w:szCs w:val="20"/>
          <w:color w:val="auto"/>
        </w:rPr>
      </w:pPr>
    </w:p>
    <w:p>
      <w:pPr>
        <w:sectPr>
          <w:pgSz w:w="12240" w:h="15840" w:orient="portrait"/>
          <w:cols w:equalWidth="0" w:num="2">
            <w:col w:w="7241" w:space="720"/>
            <w:col w:w="2920"/>
          </w:cols>
          <w:pgMar w:left="679" w:top="1440" w:right="680" w:bottom="1148" w:gutter="0" w:footer="0" w:header="0"/>
          <w:type w:val="continuous"/>
        </w:sectPr>
      </w:pPr>
    </w:p>
    <w:p>
      <w:pPr>
        <w:ind w:left="1" w:right="360"/>
        <w:spacing w:after="0" w:line="282"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sz w:val="1"/>
          <w:szCs w:val="1"/>
          <w:color w:val="auto"/>
        </w:rPr>
        <w:drawing>
          <wp:inline distT="0" distB="0" distL="0" distR="0">
            <wp:extent cx="92710" cy="927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ind w:left="1" w:right="600"/>
        <w:spacing w:after="0" w:line="308" w:lineRule="auto"/>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sz w:val="1"/>
          <w:szCs w:val="1"/>
          <w:color w:val="auto"/>
        </w:rPr>
        <w:drawing>
          <wp:inline distT="0" distB="0" distL="0" distR="0">
            <wp:extent cx="92710" cy="927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spacing w:after="0" w:line="1" w:lineRule="exact"/>
        <w:rPr>
          <w:sz w:val="20"/>
          <w:szCs w:val="20"/>
          <w:color w:val="auto"/>
        </w:rPr>
      </w:pPr>
    </w:p>
    <w:p>
      <w:pPr>
        <w:ind w:left="1" w:right="40"/>
        <w:spacing w:after="0" w:line="282" w:lineRule="auto"/>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92710" cy="9271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ind w:left="1" w:right="700"/>
        <w:spacing w:after="0" w:line="291" w:lineRule="auto"/>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sz w:val="1"/>
          <w:szCs w:val="1"/>
          <w:color w:val="auto"/>
        </w:rPr>
        <w:drawing>
          <wp:inline distT="0" distB="0" distL="0" distR="0">
            <wp:extent cx="92710" cy="9271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spacing w:after="0" w:line="6" w:lineRule="exact"/>
        <w:rPr>
          <w:sz w:val="20"/>
          <w:szCs w:val="20"/>
          <w:color w:val="auto"/>
        </w:rPr>
      </w:pPr>
    </w:p>
    <w:p>
      <w:pPr>
        <w:ind w:left="1"/>
        <w:spacing w:after="0"/>
        <w:tabs>
          <w:tab w:leader="none" w:pos="70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2"/>
          <w:szCs w:val="12"/>
          <w:color w:val="auto"/>
        </w:rPr>
        <w:t xml:space="preserve">Yes  </w:t>
      </w:r>
      <w:r>
        <w:rPr>
          <w:sz w:val="1"/>
          <w:szCs w:val="1"/>
          <w:color w:val="auto"/>
        </w:rPr>
        <w:drawing>
          <wp:inline distT="0" distB="0" distL="0" distR="0">
            <wp:extent cx="92710" cy="927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r>
        <w:rPr>
          <w:rFonts w:ascii="Arial" w:cs="Arial" w:eastAsia="Arial" w:hAnsi="Arial"/>
          <w:sz w:val="12"/>
          <w:szCs w:val="12"/>
          <w:color w:val="auto"/>
        </w:rPr>
        <w:t xml:space="preserve">  No </w:t>
      </w:r>
      <w:r>
        <w:rPr>
          <w:sz w:val="1"/>
          <w:szCs w:val="1"/>
          <w:color w:val="auto"/>
        </w:rPr>
        <w:drawing>
          <wp:inline distT="0" distB="0" distL="0" distR="0">
            <wp:extent cx="92710" cy="9271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extLst>
                    </a:blip>
                    <a:srcRect/>
                    <a:stretch>
                      <a:fillRect/>
                    </a:stretch>
                  </pic:blipFill>
                  <pic:spPr bwMode="auto">
                    <a:xfrm>
                      <a:off x="0" y="0"/>
                      <a:ext cx="92710" cy="92710"/>
                    </a:xfrm>
                    <a:prstGeom prst="rect">
                      <a:avLst/>
                    </a:prstGeom>
                    <a:noFill/>
                    <a:ln>
                      <a:noFill/>
                    </a:ln>
                  </pic:spPr>
                </pic:pic>
              </a:graphicData>
            </a:graphic>
          </wp:inline>
        </w:drawing>
      </w:r>
    </w:p>
    <w:p>
      <w:pPr>
        <w:spacing w:after="0" w:line="55" w:lineRule="exact"/>
        <w:rPr>
          <w:sz w:val="20"/>
          <w:szCs w:val="20"/>
          <w:color w:val="auto"/>
        </w:rPr>
      </w:pPr>
    </w:p>
    <w:p>
      <w:pPr>
        <w:ind w:left="1" w:right="80"/>
        <w:spacing w:after="0" w:line="267"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based on the closing price of the shares of common stock on The Nasdaq Stock Market on June 28, 2024, was approximately $95.8 million.</w:t>
      </w:r>
    </w:p>
    <w:p>
      <w:pPr>
        <w:ind w:left="1" w:right="320"/>
        <w:spacing w:after="0" w:line="267" w:lineRule="auto"/>
        <w:rPr>
          <w:sz w:val="20"/>
          <w:szCs w:val="20"/>
          <w:color w:val="auto"/>
        </w:rPr>
      </w:pPr>
      <w:r>
        <w:rPr>
          <w:rFonts w:ascii="Arial" w:cs="Arial" w:eastAsia="Arial" w:hAnsi="Arial"/>
          <w:sz w:val="15"/>
          <w:szCs w:val="15"/>
          <w:color w:val="auto"/>
        </w:rPr>
        <w:t>As of February 26, 2025, the registrant had 55,737,066 shares of Class A common stock, $0.00001 par value per share, and 4,044,969 of Class B common stock, $0.00001 par value per share, outstanding.</w:t>
      </w:r>
    </w:p>
    <w:p>
      <w:pPr>
        <w:jc w:val="center"/>
        <w:spacing w:after="0"/>
        <w:rPr>
          <w:sz w:val="20"/>
          <w:szCs w:val="20"/>
          <w:color w:val="auto"/>
        </w:rPr>
      </w:pPr>
      <w:r>
        <w:rPr>
          <w:rFonts w:ascii="Arial" w:cs="Arial" w:eastAsia="Arial" w:hAnsi="Arial"/>
          <w:sz w:val="15"/>
          <w:szCs w:val="15"/>
          <w:color w:val="auto"/>
        </w:rPr>
        <w:t>DOCUMENTS INCORPORATED BY REFERENCE</w:t>
      </w:r>
    </w:p>
    <w:p>
      <w:pPr>
        <w:spacing w:after="0" w:line="48" w:lineRule="exact"/>
        <w:rPr>
          <w:sz w:val="20"/>
          <w:szCs w:val="20"/>
          <w:color w:val="auto"/>
        </w:rPr>
      </w:pPr>
    </w:p>
    <w:p>
      <w:pPr>
        <w:ind w:left="1" w:right="180"/>
        <w:spacing w:after="0" w:line="248" w:lineRule="auto"/>
        <w:rPr>
          <w:sz w:val="20"/>
          <w:szCs w:val="20"/>
          <w:color w:val="auto"/>
        </w:rPr>
      </w:pPr>
      <w:r>
        <w:rPr>
          <w:rFonts w:ascii="Arial" w:cs="Arial" w:eastAsia="Arial" w:hAnsi="Arial"/>
          <w:sz w:val="15"/>
          <w:szCs w:val="15"/>
          <w:color w:val="auto"/>
        </w:rPr>
        <w:t>Portions of the registrant’s definitive Proxy Statement relating to the 2025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24765</wp:posOffset>
            </wp:positionV>
            <wp:extent cx="6971665" cy="54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extLst>
                    </a:blip>
                    <a:srcRect/>
                    <a:stretch>
                      <a:fillRect/>
                    </a:stretch>
                  </pic:blipFill>
                  <pic:spPr bwMode="auto">
                    <a:xfrm>
                      <a:off x="0" y="0"/>
                      <a:ext cx="6971665" cy="54610"/>
                    </a:xfrm>
                    <a:prstGeom prst="rect">
                      <a:avLst/>
                    </a:prstGeom>
                    <a:noFill/>
                  </pic:spPr>
                </pic:pic>
              </a:graphicData>
            </a:graphic>
          </wp:anchor>
        </w:drawing>
      </w:r>
    </w:p>
    <w:p>
      <w:pPr>
        <w:sectPr>
          <w:pgSz w:w="12240" w:h="15840" w:orient="portrait"/>
          <w:cols w:equalWidth="0" w:num="1">
            <w:col w:w="10881"/>
          </w:cols>
          <w:pgMar w:left="679" w:top="1440" w:right="680" w:bottom="1148" w:gutter="0" w:footer="0" w:header="0"/>
          <w:type w:val="continuous"/>
        </w:sectPr>
      </w:pPr>
    </w:p>
    <w:bookmarkStart w:id="4" w:name="page5"/>
    <w:bookmarkEnd w:id="4"/>
    <w:p>
      <w:pPr>
        <w:spacing w:after="0" w:line="336" w:lineRule="exact"/>
        <w:rPr>
          <w:sz w:val="20"/>
          <w:szCs w:val="20"/>
          <w:color w:val="auto"/>
        </w:rPr>
      </w:pPr>
    </w:p>
    <w:tbl>
      <w:tblPr>
        <w:tblLayout w:type="fixed"/>
        <w:tblInd w:w="360" w:type="dxa"/>
        <w:tblCellMar>
          <w:top w:w="0" w:type="dxa"/>
          <w:left w:w="0" w:type="dxa"/>
          <w:bottom w:w="0" w:type="dxa"/>
          <w:right w:w="0" w:type="dxa"/>
        </w:tblCellMar>
      </w:tblPr>
      <w:tr>
        <w:trPr>
          <w:trHeight w:val="261"/>
        </w:trPr>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20" w:type="dxa"/>
            <w:vAlign w:val="bottom"/>
            <w:gridSpan w:val="18"/>
          </w:tcPr>
          <w:p>
            <w:pPr>
              <w:jc w:val="center"/>
              <w:ind w:right="2460"/>
              <w:spacing w:after="0"/>
              <w:rPr>
                <w:sz w:val="20"/>
                <w:szCs w:val="20"/>
                <w:color w:val="auto"/>
              </w:rPr>
            </w:pPr>
            <w:r>
              <w:rPr>
                <w:rFonts w:ascii="Arial" w:cs="Arial" w:eastAsia="Arial" w:hAnsi="Arial"/>
                <w:sz w:val="19"/>
                <w:szCs w:val="19"/>
                <w:b w:val="1"/>
                <w:bCs w:val="1"/>
                <w:color w:val="auto"/>
                <w:w w:val="99"/>
              </w:rPr>
              <w:t>TABLE OF CONTENTS</w:t>
            </w:r>
          </w:p>
        </w:tc>
      </w:tr>
      <w:tr>
        <w:trPr>
          <w:trHeight w:val="504"/>
        </w:trPr>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001377"/>
            </w:tcBorders>
            <w:gridSpan w:val="3"/>
          </w:tcPr>
          <w:p>
            <w:pPr>
              <w:jc w:val="center"/>
              <w:spacing w:after="0"/>
              <w:rPr>
                <w:sz w:val="20"/>
                <w:szCs w:val="20"/>
                <w:color w:val="auto"/>
              </w:rPr>
            </w:pPr>
            <w:r>
              <w:rPr>
                <w:rFonts w:ascii="Arial" w:cs="Arial" w:eastAsia="Arial" w:hAnsi="Arial"/>
                <w:sz w:val="19"/>
                <w:szCs w:val="19"/>
                <w:color w:val="001377"/>
                <w:w w:val="94"/>
              </w:rPr>
              <w:t>Part I.</w:t>
            </w:r>
          </w:p>
        </w:tc>
        <w:tc>
          <w:tcPr>
            <w:tcW w:w="3400" w:type="dxa"/>
            <w:vAlign w:val="bottom"/>
            <w:gridSpan w:val="11"/>
          </w:tcPr>
          <w:p>
            <w:pPr>
              <w:spacing w:after="0"/>
              <w:rPr>
                <w:sz w:val="24"/>
                <w:szCs w:val="24"/>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1.</w:t>
            </w:r>
          </w:p>
        </w:tc>
        <w:tc>
          <w:tcPr>
            <w:tcW w:w="680" w:type="dxa"/>
            <w:vAlign w:val="bottom"/>
            <w:tcBorders>
              <w:bottom w:val="single" w:sz="8" w:color="001377"/>
            </w:tcBorders>
          </w:tcPr>
          <w:p>
            <w:pPr>
              <w:spacing w:after="0"/>
              <w:rPr>
                <w:sz w:val="20"/>
                <w:szCs w:val="20"/>
                <w:color w:val="auto"/>
              </w:rPr>
            </w:pPr>
            <w:r>
              <w:rPr>
                <w:rFonts w:ascii="Arial" w:cs="Arial" w:eastAsia="Arial" w:hAnsi="Arial"/>
                <w:sz w:val="19"/>
                <w:szCs w:val="19"/>
                <w:color w:val="001377"/>
                <w:w w:val="85"/>
              </w:rPr>
              <w:t>Business</w:t>
            </w:r>
          </w:p>
        </w:tc>
        <w:tc>
          <w:tcPr>
            <w:tcW w:w="6300" w:type="dxa"/>
            <w:vAlign w:val="bottom"/>
            <w:gridSpan w:val="30"/>
          </w:tcPr>
          <w:p>
            <w:pPr>
              <w:spacing w:after="0"/>
              <w:rPr>
                <w:sz w:val="23"/>
                <w:szCs w:val="23"/>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1A.</w:t>
            </w:r>
          </w:p>
        </w:tc>
        <w:tc>
          <w:tcPr>
            <w:tcW w:w="960" w:type="dxa"/>
            <w:vAlign w:val="bottom"/>
            <w:tcBorders>
              <w:bottom w:val="single" w:sz="8" w:color="001377"/>
            </w:tcBorders>
            <w:gridSpan w:val="5"/>
          </w:tcPr>
          <w:p>
            <w:pPr>
              <w:spacing w:after="0"/>
              <w:rPr>
                <w:sz w:val="20"/>
                <w:szCs w:val="20"/>
                <w:color w:val="auto"/>
              </w:rPr>
            </w:pPr>
            <w:r>
              <w:rPr>
                <w:rFonts w:ascii="Arial" w:cs="Arial" w:eastAsia="Arial" w:hAnsi="Arial"/>
                <w:sz w:val="19"/>
                <w:szCs w:val="19"/>
                <w:color w:val="001377"/>
                <w:w w:val="88"/>
              </w:rPr>
              <w:t>Risk Factors</w:t>
            </w:r>
          </w:p>
        </w:tc>
        <w:tc>
          <w:tcPr>
            <w:tcW w:w="6020" w:type="dxa"/>
            <w:vAlign w:val="bottom"/>
            <w:gridSpan w:val="26"/>
          </w:tcPr>
          <w:p>
            <w:pPr>
              <w:spacing w:after="0"/>
              <w:rPr>
                <w:sz w:val="23"/>
                <w:szCs w:val="23"/>
                <w:color w:val="auto"/>
              </w:rPr>
            </w:pPr>
          </w:p>
        </w:tc>
      </w:tr>
      <w:tr>
        <w:trPr>
          <w:trHeight w:val="278"/>
        </w:trPr>
        <w:tc>
          <w:tcPr>
            <w:tcW w:w="980" w:type="dxa"/>
            <w:vAlign w:val="bottom"/>
          </w:tcPr>
          <w:p>
            <w:pPr>
              <w:spacing w:after="0"/>
              <w:rPr>
                <w:sz w:val="20"/>
                <w:szCs w:val="20"/>
                <w:color w:val="auto"/>
              </w:rPr>
            </w:pPr>
            <w:r>
              <w:rPr>
                <w:rFonts w:ascii="Arial" w:cs="Arial" w:eastAsia="Arial" w:hAnsi="Arial"/>
                <w:sz w:val="19"/>
                <w:szCs w:val="19"/>
                <w:color w:val="auto"/>
              </w:rPr>
              <w:t>Item 1B.</w:t>
            </w:r>
          </w:p>
        </w:tc>
        <w:tc>
          <w:tcPr>
            <w:tcW w:w="2160" w:type="dxa"/>
            <w:vAlign w:val="bottom"/>
            <w:tcBorders>
              <w:bottom w:val="single" w:sz="8" w:color="001377"/>
            </w:tcBorders>
            <w:gridSpan w:val="13"/>
          </w:tcPr>
          <w:p>
            <w:pPr>
              <w:spacing w:after="0"/>
              <w:rPr>
                <w:sz w:val="20"/>
                <w:szCs w:val="20"/>
                <w:color w:val="auto"/>
              </w:rPr>
            </w:pPr>
            <w:r>
              <w:rPr>
                <w:rFonts w:ascii="Arial" w:cs="Arial" w:eastAsia="Arial" w:hAnsi="Arial"/>
                <w:sz w:val="19"/>
                <w:szCs w:val="19"/>
                <w:color w:val="001377"/>
                <w:w w:val="90"/>
              </w:rPr>
              <w:t>Unresolved Staff Comments</w:t>
            </w:r>
          </w:p>
        </w:tc>
        <w:tc>
          <w:tcPr>
            <w:tcW w:w="4820" w:type="dxa"/>
            <w:vAlign w:val="bottom"/>
            <w:gridSpan w:val="18"/>
          </w:tcPr>
          <w:p>
            <w:pPr>
              <w:spacing w:after="0"/>
              <w:rPr>
                <w:sz w:val="24"/>
                <w:szCs w:val="24"/>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1C.</w:t>
            </w:r>
          </w:p>
        </w:tc>
        <w:tc>
          <w:tcPr>
            <w:tcW w:w="6980" w:type="dxa"/>
            <w:vAlign w:val="bottom"/>
            <w:gridSpan w:val="31"/>
          </w:tcPr>
          <w:p>
            <w:pPr>
              <w:spacing w:after="0"/>
              <w:rPr>
                <w:sz w:val="20"/>
                <w:szCs w:val="20"/>
                <w:color w:val="auto"/>
              </w:rPr>
            </w:pPr>
            <w:r>
              <w:rPr>
                <w:rFonts w:ascii="Arial" w:cs="Arial" w:eastAsia="Arial" w:hAnsi="Arial"/>
                <w:sz w:val="19"/>
                <w:szCs w:val="19"/>
                <w:color w:val="001377"/>
              </w:rPr>
              <w:t>Cybersecurity</w:t>
            </w: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2.</w:t>
            </w:r>
          </w:p>
        </w:tc>
        <w:tc>
          <w:tcPr>
            <w:tcW w:w="1060" w:type="dxa"/>
            <w:vAlign w:val="bottom"/>
            <w:tcBorders>
              <w:top w:val="single" w:sz="8" w:color="001377"/>
            </w:tcBorders>
            <w:gridSpan w:val="6"/>
          </w:tcPr>
          <w:p>
            <w:pPr>
              <w:spacing w:after="0"/>
              <w:rPr>
                <w:sz w:val="20"/>
                <w:szCs w:val="20"/>
                <w:color w:val="auto"/>
              </w:rPr>
            </w:pPr>
            <w:r>
              <w:rPr>
                <w:rFonts w:ascii="Arial" w:cs="Arial" w:eastAsia="Arial" w:hAnsi="Arial"/>
                <w:sz w:val="19"/>
                <w:szCs w:val="19"/>
                <w:color w:val="001377"/>
              </w:rPr>
              <w:t>Properties</w:t>
            </w:r>
          </w:p>
        </w:tc>
        <w:tc>
          <w:tcPr>
            <w:tcW w:w="5920" w:type="dxa"/>
            <w:vAlign w:val="bottom"/>
            <w:gridSpan w:val="25"/>
          </w:tcPr>
          <w:p>
            <w:pPr>
              <w:spacing w:after="0"/>
              <w:rPr>
                <w:sz w:val="23"/>
                <w:szCs w:val="23"/>
                <w:color w:val="auto"/>
              </w:rPr>
            </w:pPr>
          </w:p>
        </w:tc>
      </w:tr>
      <w:tr>
        <w:trPr>
          <w:trHeight w:val="20"/>
        </w:trPr>
        <w:tc>
          <w:tcPr>
            <w:tcW w:w="980" w:type="dxa"/>
            <w:vAlign w:val="bottom"/>
          </w:tcPr>
          <w:p>
            <w:pPr>
              <w:spacing w:after="0" w:line="20" w:lineRule="exact"/>
              <w:rPr>
                <w:sz w:val="1"/>
                <w:szCs w:val="1"/>
                <w:color w:val="auto"/>
              </w:rPr>
            </w:pPr>
          </w:p>
        </w:tc>
        <w:tc>
          <w:tcPr>
            <w:tcW w:w="760" w:type="dxa"/>
            <w:vAlign w:val="bottom"/>
            <w:gridSpan w:val="2"/>
            <w:shd w:val="clear" w:color="auto" w:fill="00137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3.</w:t>
            </w:r>
          </w:p>
        </w:tc>
        <w:tc>
          <w:tcPr>
            <w:tcW w:w="6980" w:type="dxa"/>
            <w:vAlign w:val="bottom"/>
            <w:gridSpan w:val="31"/>
          </w:tcPr>
          <w:p>
            <w:pPr>
              <w:spacing w:after="0"/>
              <w:rPr>
                <w:sz w:val="20"/>
                <w:szCs w:val="20"/>
                <w:color w:val="auto"/>
              </w:rPr>
            </w:pPr>
            <w:r>
              <w:rPr>
                <w:rFonts w:ascii="Arial" w:cs="Arial" w:eastAsia="Arial" w:hAnsi="Arial"/>
                <w:sz w:val="19"/>
                <w:szCs w:val="19"/>
                <w:color w:val="001377"/>
              </w:rPr>
              <w:t>Legal Proceedings</w:t>
            </w:r>
          </w:p>
        </w:tc>
      </w:tr>
      <w:tr>
        <w:trPr>
          <w:trHeight w:val="20"/>
        </w:trPr>
        <w:tc>
          <w:tcPr>
            <w:tcW w:w="980" w:type="dxa"/>
            <w:vAlign w:val="bottom"/>
          </w:tcPr>
          <w:p>
            <w:pPr>
              <w:spacing w:after="0" w:line="20" w:lineRule="exact"/>
              <w:rPr>
                <w:sz w:val="1"/>
                <w:szCs w:val="1"/>
                <w:color w:val="auto"/>
              </w:rPr>
            </w:pPr>
          </w:p>
        </w:tc>
        <w:tc>
          <w:tcPr>
            <w:tcW w:w="800" w:type="dxa"/>
            <w:vAlign w:val="bottom"/>
            <w:gridSpan w:val="3"/>
            <w:shd w:val="clear" w:color="auto" w:fill="001377"/>
          </w:tcPr>
          <w:p>
            <w:pPr>
              <w:spacing w:after="0" w:line="20" w:lineRule="exact"/>
              <w:rPr>
                <w:sz w:val="1"/>
                <w:szCs w:val="1"/>
                <w:color w:val="auto"/>
              </w:rPr>
            </w:pPr>
          </w:p>
        </w:tc>
        <w:tc>
          <w:tcPr>
            <w:tcW w:w="40" w:type="dxa"/>
            <w:vAlign w:val="bottom"/>
            <w:shd w:val="clear" w:color="auto" w:fill="001377"/>
          </w:tcPr>
          <w:p>
            <w:pPr>
              <w:spacing w:after="0" w:line="20" w:lineRule="exact"/>
              <w:rPr>
                <w:sz w:val="1"/>
                <w:szCs w:val="1"/>
                <w:color w:val="auto"/>
              </w:rPr>
            </w:pPr>
          </w:p>
        </w:tc>
        <w:tc>
          <w:tcPr>
            <w:tcW w:w="540" w:type="dxa"/>
            <w:vAlign w:val="bottom"/>
            <w:gridSpan w:val="3"/>
            <w:shd w:val="clear" w:color="auto" w:fill="001377"/>
          </w:tcPr>
          <w:p>
            <w:pPr>
              <w:spacing w:after="0" w:line="20" w:lineRule="exact"/>
              <w:rPr>
                <w:sz w:val="1"/>
                <w:szCs w:val="1"/>
                <w:color w:val="auto"/>
              </w:rPr>
            </w:pPr>
          </w:p>
        </w:tc>
        <w:tc>
          <w:tcPr>
            <w:tcW w:w="120" w:type="dxa"/>
            <w:vAlign w:val="bottom"/>
            <w:tcBorders>
              <w:left w:val="single" w:sz="8" w:color="00137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4.</w:t>
            </w:r>
          </w:p>
        </w:tc>
        <w:tc>
          <w:tcPr>
            <w:tcW w:w="6980" w:type="dxa"/>
            <w:vAlign w:val="bottom"/>
            <w:gridSpan w:val="31"/>
          </w:tcPr>
          <w:p>
            <w:pPr>
              <w:spacing w:after="0"/>
              <w:rPr>
                <w:sz w:val="20"/>
                <w:szCs w:val="20"/>
                <w:color w:val="auto"/>
              </w:rPr>
            </w:pPr>
            <w:r>
              <w:rPr>
                <w:rFonts w:ascii="Arial" w:cs="Arial" w:eastAsia="Arial" w:hAnsi="Arial"/>
                <w:sz w:val="19"/>
                <w:szCs w:val="19"/>
                <w:color w:val="001377"/>
              </w:rPr>
              <w:t>Mine Safety Disclosures</w:t>
            </w:r>
          </w:p>
        </w:tc>
      </w:tr>
      <w:tr>
        <w:trPr>
          <w:trHeight w:val="275"/>
        </w:trPr>
        <w:tc>
          <w:tcPr>
            <w:tcW w:w="980" w:type="dxa"/>
            <w:vAlign w:val="bottom"/>
          </w:tcPr>
          <w:p>
            <w:pPr>
              <w:spacing w:after="0"/>
              <w:rPr>
                <w:sz w:val="23"/>
                <w:szCs w:val="23"/>
                <w:color w:val="auto"/>
              </w:rPr>
            </w:pPr>
          </w:p>
        </w:tc>
        <w:tc>
          <w:tcPr>
            <w:tcW w:w="680" w:type="dxa"/>
            <w:vAlign w:val="bottom"/>
            <w:tcBorders>
              <w:top w:val="single" w:sz="8" w:color="001377"/>
            </w:tcBorders>
          </w:tcPr>
          <w:p>
            <w:pPr>
              <w:spacing w:after="0"/>
              <w:rPr>
                <w:sz w:val="23"/>
                <w:szCs w:val="23"/>
                <w:color w:val="auto"/>
              </w:rPr>
            </w:pPr>
          </w:p>
        </w:tc>
        <w:tc>
          <w:tcPr>
            <w:tcW w:w="80" w:type="dxa"/>
            <w:vAlign w:val="bottom"/>
            <w:tcBorders>
              <w:top w:val="single" w:sz="8" w:color="001377"/>
            </w:tcBorders>
          </w:tcPr>
          <w:p>
            <w:pPr>
              <w:spacing w:after="0"/>
              <w:rPr>
                <w:sz w:val="23"/>
                <w:szCs w:val="23"/>
                <w:color w:val="auto"/>
              </w:rPr>
            </w:pPr>
          </w:p>
        </w:tc>
        <w:tc>
          <w:tcPr>
            <w:tcW w:w="40" w:type="dxa"/>
            <w:vAlign w:val="bottom"/>
            <w:tcBorders>
              <w:top w:val="single" w:sz="8" w:color="001377"/>
            </w:tcBorders>
          </w:tcPr>
          <w:p>
            <w:pPr>
              <w:spacing w:after="0"/>
              <w:rPr>
                <w:sz w:val="23"/>
                <w:szCs w:val="23"/>
                <w:color w:val="auto"/>
              </w:rPr>
            </w:pPr>
          </w:p>
        </w:tc>
        <w:tc>
          <w:tcPr>
            <w:tcW w:w="40" w:type="dxa"/>
            <w:vAlign w:val="bottom"/>
            <w:tcBorders>
              <w:top w:val="single" w:sz="8" w:color="001377"/>
            </w:tcBorders>
          </w:tcPr>
          <w:p>
            <w:pPr>
              <w:spacing w:after="0"/>
              <w:rPr>
                <w:sz w:val="23"/>
                <w:szCs w:val="23"/>
                <w:color w:val="auto"/>
              </w:rPr>
            </w:pPr>
          </w:p>
        </w:tc>
        <w:tc>
          <w:tcPr>
            <w:tcW w:w="120" w:type="dxa"/>
            <w:vAlign w:val="bottom"/>
            <w:tcBorders>
              <w:top w:val="single" w:sz="8" w:color="001377"/>
            </w:tcBorders>
          </w:tcPr>
          <w:p>
            <w:pPr>
              <w:spacing w:after="0"/>
              <w:rPr>
                <w:sz w:val="23"/>
                <w:szCs w:val="23"/>
                <w:color w:val="auto"/>
              </w:rPr>
            </w:pPr>
          </w:p>
        </w:tc>
        <w:tc>
          <w:tcPr>
            <w:tcW w:w="100" w:type="dxa"/>
            <w:vAlign w:val="bottom"/>
            <w:tcBorders>
              <w:top w:val="single" w:sz="8" w:color="001377"/>
            </w:tcBorders>
          </w:tcPr>
          <w:p>
            <w:pPr>
              <w:spacing w:after="0"/>
              <w:rPr>
                <w:sz w:val="23"/>
                <w:szCs w:val="23"/>
                <w:color w:val="auto"/>
              </w:rPr>
            </w:pPr>
          </w:p>
        </w:tc>
        <w:tc>
          <w:tcPr>
            <w:tcW w:w="320" w:type="dxa"/>
            <w:vAlign w:val="bottom"/>
            <w:tcBorders>
              <w:top w:val="single" w:sz="8" w:color="001377"/>
            </w:tcBorders>
          </w:tcPr>
          <w:p>
            <w:pPr>
              <w:spacing w:after="0"/>
              <w:rPr>
                <w:sz w:val="23"/>
                <w:szCs w:val="23"/>
                <w:color w:val="auto"/>
              </w:rPr>
            </w:pPr>
          </w:p>
        </w:tc>
        <w:tc>
          <w:tcPr>
            <w:tcW w:w="120" w:type="dxa"/>
            <w:vAlign w:val="bottom"/>
            <w:tcBorders>
              <w:top w:val="single" w:sz="8" w:color="001377"/>
            </w:tcBorders>
          </w:tcPr>
          <w:p>
            <w:pPr>
              <w:spacing w:after="0"/>
              <w:rPr>
                <w:sz w:val="23"/>
                <w:szCs w:val="23"/>
                <w:color w:val="auto"/>
              </w:rPr>
            </w:pPr>
          </w:p>
        </w:tc>
        <w:tc>
          <w:tcPr>
            <w:tcW w:w="40" w:type="dxa"/>
            <w:vAlign w:val="bottom"/>
            <w:tcBorders>
              <w:top w:val="single" w:sz="8" w:color="001377"/>
            </w:tcBorders>
          </w:tcPr>
          <w:p>
            <w:pPr>
              <w:spacing w:after="0"/>
              <w:rPr>
                <w:sz w:val="23"/>
                <w:szCs w:val="23"/>
                <w:color w:val="auto"/>
              </w:rPr>
            </w:pPr>
          </w:p>
        </w:tc>
        <w:tc>
          <w:tcPr>
            <w:tcW w:w="120" w:type="dxa"/>
            <w:vAlign w:val="bottom"/>
            <w:tcBorders>
              <w:top w:val="single" w:sz="8" w:color="001377"/>
            </w:tcBorders>
          </w:tcPr>
          <w:p>
            <w:pPr>
              <w:spacing w:after="0"/>
              <w:rPr>
                <w:sz w:val="23"/>
                <w:szCs w:val="23"/>
                <w:color w:val="auto"/>
              </w:rPr>
            </w:pPr>
          </w:p>
        </w:tc>
        <w:tc>
          <w:tcPr>
            <w:tcW w:w="200" w:type="dxa"/>
            <w:vAlign w:val="bottom"/>
            <w:tcBorders>
              <w:top w:val="single" w:sz="8" w:color="001377"/>
            </w:tcBorders>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900" w:type="dxa"/>
            <w:vAlign w:val="bottom"/>
            <w:gridSpan w:val="15"/>
          </w:tcPr>
          <w:p>
            <w:pPr>
              <w:jc w:val="center"/>
              <w:ind w:right="3380"/>
              <w:spacing w:after="0"/>
              <w:rPr>
                <w:sz w:val="20"/>
                <w:szCs w:val="20"/>
                <w:color w:val="auto"/>
              </w:rPr>
            </w:pPr>
            <w:r>
              <w:rPr>
                <w:rFonts w:ascii="Arial" w:cs="Arial" w:eastAsia="Arial" w:hAnsi="Arial"/>
                <w:sz w:val="19"/>
                <w:szCs w:val="19"/>
                <w:color w:val="001377"/>
                <w:w w:val="92"/>
              </w:rPr>
              <w:t>Part II.</w:t>
            </w:r>
          </w:p>
        </w:tc>
      </w:tr>
      <w:tr>
        <w:trPr>
          <w:trHeight w:val="20"/>
        </w:trPr>
        <w:tc>
          <w:tcPr>
            <w:tcW w:w="9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shd w:val="clear" w:color="auto" w:fill="001377"/>
          </w:tcPr>
          <w:p>
            <w:pPr>
              <w:spacing w:after="0" w:line="20" w:lineRule="exact"/>
              <w:rPr>
                <w:sz w:val="1"/>
                <w:szCs w:val="1"/>
                <w:color w:val="auto"/>
              </w:rPr>
            </w:pPr>
          </w:p>
        </w:tc>
        <w:tc>
          <w:tcPr>
            <w:tcW w:w="180" w:type="dxa"/>
            <w:vAlign w:val="bottom"/>
            <w:shd w:val="clear" w:color="auto" w:fill="001377"/>
          </w:tcPr>
          <w:p>
            <w:pPr>
              <w:spacing w:after="0" w:line="20" w:lineRule="exact"/>
              <w:rPr>
                <w:sz w:val="1"/>
                <w:szCs w:val="1"/>
                <w:color w:val="auto"/>
              </w:rPr>
            </w:pPr>
          </w:p>
        </w:tc>
        <w:tc>
          <w:tcPr>
            <w:tcW w:w="100" w:type="dxa"/>
            <w:vAlign w:val="bottom"/>
            <w:gridSpan w:val="2"/>
            <w:shd w:val="clear" w:color="auto" w:fill="00137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980" w:type="dxa"/>
            <w:vAlign w:val="bottom"/>
          </w:tcPr>
          <w:p>
            <w:pPr>
              <w:spacing w:after="0"/>
              <w:rPr>
                <w:sz w:val="20"/>
                <w:szCs w:val="20"/>
                <w:color w:val="auto"/>
              </w:rPr>
            </w:pPr>
            <w:r>
              <w:rPr>
                <w:rFonts w:ascii="Arial" w:cs="Arial" w:eastAsia="Arial" w:hAnsi="Arial"/>
                <w:sz w:val="19"/>
                <w:szCs w:val="19"/>
                <w:color w:val="auto"/>
              </w:rPr>
              <w:t>Item 5.</w:t>
            </w:r>
          </w:p>
        </w:tc>
        <w:tc>
          <w:tcPr>
            <w:tcW w:w="6980" w:type="dxa"/>
            <w:vAlign w:val="bottom"/>
            <w:gridSpan w:val="31"/>
          </w:tcPr>
          <w:p>
            <w:pPr>
              <w:spacing w:after="0"/>
              <w:rPr>
                <w:sz w:val="20"/>
                <w:szCs w:val="20"/>
                <w:color w:val="auto"/>
              </w:rPr>
            </w:pPr>
            <w:r>
              <w:rPr>
                <w:rFonts w:ascii="Arial" w:cs="Arial" w:eastAsia="Arial" w:hAnsi="Arial"/>
                <w:sz w:val="19"/>
                <w:szCs w:val="19"/>
                <w:color w:val="001377"/>
                <w:w w:val="90"/>
              </w:rPr>
              <w:t>Market for Registrant’s Common Equity, Related Stockholder Matters and Issuer Purchases</w:t>
            </w:r>
          </w:p>
        </w:tc>
      </w:tr>
      <w:tr>
        <w:trPr>
          <w:trHeight w:val="196"/>
        </w:trPr>
        <w:tc>
          <w:tcPr>
            <w:tcW w:w="980" w:type="dxa"/>
            <w:vAlign w:val="bottom"/>
          </w:tcPr>
          <w:p>
            <w:pPr>
              <w:spacing w:after="0"/>
              <w:rPr>
                <w:sz w:val="17"/>
                <w:szCs w:val="17"/>
                <w:color w:val="auto"/>
              </w:rPr>
            </w:pPr>
          </w:p>
        </w:tc>
        <w:tc>
          <w:tcPr>
            <w:tcW w:w="6960" w:type="dxa"/>
            <w:vAlign w:val="bottom"/>
            <w:tcBorders>
              <w:top w:val="single" w:sz="8" w:color="001377"/>
            </w:tcBorders>
            <w:gridSpan w:val="30"/>
          </w:tcPr>
          <w:p>
            <w:pPr>
              <w:spacing w:after="0" w:line="196" w:lineRule="exact"/>
              <w:rPr>
                <w:sz w:val="20"/>
                <w:szCs w:val="20"/>
                <w:color w:val="auto"/>
              </w:rPr>
            </w:pPr>
            <w:r>
              <w:rPr>
                <w:rFonts w:ascii="Arial" w:cs="Arial" w:eastAsia="Arial" w:hAnsi="Arial"/>
                <w:sz w:val="19"/>
                <w:szCs w:val="19"/>
                <w:color w:val="001377"/>
              </w:rPr>
              <w:t>of Equity Securities</w:t>
            </w:r>
          </w:p>
        </w:tc>
        <w:tc>
          <w:tcPr>
            <w:tcW w:w="20" w:type="dxa"/>
            <w:vAlign w:val="bottom"/>
          </w:tcPr>
          <w:p>
            <w:pPr>
              <w:spacing w:after="0"/>
              <w:rPr>
                <w:sz w:val="17"/>
                <w:szCs w:val="17"/>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6.</w:t>
            </w:r>
          </w:p>
        </w:tc>
        <w:tc>
          <w:tcPr>
            <w:tcW w:w="840" w:type="dxa"/>
            <w:vAlign w:val="bottom"/>
            <w:tcBorders>
              <w:top w:val="single" w:sz="8" w:color="001377"/>
              <w:bottom w:val="single" w:sz="8" w:color="001377"/>
            </w:tcBorders>
            <w:gridSpan w:val="4"/>
          </w:tcPr>
          <w:p>
            <w:pPr>
              <w:spacing w:after="0"/>
              <w:rPr>
                <w:sz w:val="20"/>
                <w:szCs w:val="20"/>
                <w:color w:val="auto"/>
              </w:rPr>
            </w:pPr>
            <w:r>
              <w:rPr>
                <w:rFonts w:ascii="Arial" w:cs="Arial" w:eastAsia="Arial" w:hAnsi="Arial"/>
                <w:sz w:val="19"/>
                <w:szCs w:val="19"/>
                <w:color w:val="001377"/>
                <w:w w:val="89"/>
              </w:rPr>
              <w:t>[Reserved]</w:t>
            </w:r>
          </w:p>
        </w:tc>
        <w:tc>
          <w:tcPr>
            <w:tcW w:w="660" w:type="dxa"/>
            <w:vAlign w:val="bottom"/>
            <w:tcBorders>
              <w:top w:val="single" w:sz="8" w:color="001377"/>
            </w:tcBorders>
            <w:gridSpan w:val="4"/>
          </w:tcPr>
          <w:p>
            <w:pPr>
              <w:spacing w:after="0"/>
              <w:rPr>
                <w:sz w:val="23"/>
                <w:szCs w:val="23"/>
                <w:color w:val="auto"/>
              </w:rPr>
            </w:pPr>
          </w:p>
        </w:tc>
        <w:tc>
          <w:tcPr>
            <w:tcW w:w="5480" w:type="dxa"/>
            <w:vAlign w:val="bottom"/>
            <w:gridSpan w:val="23"/>
          </w:tcPr>
          <w:p>
            <w:pPr>
              <w:spacing w:after="0"/>
              <w:rPr>
                <w:sz w:val="23"/>
                <w:szCs w:val="23"/>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7.</w:t>
            </w:r>
          </w:p>
        </w:tc>
        <w:tc>
          <w:tcPr>
            <w:tcW w:w="6980" w:type="dxa"/>
            <w:vAlign w:val="bottom"/>
            <w:gridSpan w:val="31"/>
          </w:tcPr>
          <w:p>
            <w:pPr>
              <w:spacing w:after="0"/>
              <w:rPr>
                <w:sz w:val="20"/>
                <w:szCs w:val="20"/>
                <w:color w:val="auto"/>
              </w:rPr>
            </w:pPr>
            <w:r>
              <w:rPr>
                <w:rFonts w:ascii="Arial" w:cs="Arial" w:eastAsia="Arial" w:hAnsi="Arial"/>
                <w:sz w:val="19"/>
                <w:szCs w:val="19"/>
                <w:color w:val="001377"/>
                <w:w w:val="93"/>
              </w:rPr>
              <w:t>Management’s Discussion and Analysis of Financial Condition and Results of Operations</w:t>
            </w:r>
          </w:p>
        </w:tc>
      </w:tr>
      <w:tr>
        <w:trPr>
          <w:trHeight w:val="278"/>
        </w:trPr>
        <w:tc>
          <w:tcPr>
            <w:tcW w:w="980" w:type="dxa"/>
            <w:vAlign w:val="bottom"/>
          </w:tcPr>
          <w:p>
            <w:pPr>
              <w:spacing w:after="0"/>
              <w:rPr>
                <w:sz w:val="20"/>
                <w:szCs w:val="20"/>
                <w:color w:val="auto"/>
              </w:rPr>
            </w:pPr>
            <w:r>
              <w:rPr>
                <w:rFonts w:ascii="Arial" w:cs="Arial" w:eastAsia="Arial" w:hAnsi="Arial"/>
                <w:sz w:val="19"/>
                <w:szCs w:val="19"/>
                <w:color w:val="auto"/>
              </w:rPr>
              <w:t>Item 7A.</w:t>
            </w:r>
          </w:p>
        </w:tc>
        <w:tc>
          <w:tcPr>
            <w:tcW w:w="4580" w:type="dxa"/>
            <w:vAlign w:val="bottom"/>
            <w:tcBorders>
              <w:top w:val="single" w:sz="8" w:color="001377"/>
              <w:bottom w:val="single" w:sz="8" w:color="001377"/>
            </w:tcBorders>
            <w:gridSpan w:val="24"/>
          </w:tcPr>
          <w:p>
            <w:pPr>
              <w:spacing w:after="0"/>
              <w:rPr>
                <w:sz w:val="20"/>
                <w:szCs w:val="20"/>
                <w:color w:val="auto"/>
              </w:rPr>
            </w:pPr>
            <w:r>
              <w:rPr>
                <w:rFonts w:ascii="Arial" w:cs="Arial" w:eastAsia="Arial" w:hAnsi="Arial"/>
                <w:sz w:val="19"/>
                <w:szCs w:val="19"/>
                <w:color w:val="001377"/>
                <w:w w:val="91"/>
              </w:rPr>
              <w:t>Quantitative and Qualitative Disclosures About Market Risk</w:t>
            </w:r>
          </w:p>
        </w:tc>
        <w:tc>
          <w:tcPr>
            <w:tcW w:w="2200" w:type="dxa"/>
            <w:vAlign w:val="bottom"/>
            <w:tcBorders>
              <w:top w:val="single" w:sz="8" w:color="001377"/>
            </w:tcBorders>
            <w:gridSpan w:val="4"/>
          </w:tcPr>
          <w:p>
            <w:pPr>
              <w:spacing w:after="0"/>
              <w:rPr>
                <w:sz w:val="24"/>
                <w:szCs w:val="24"/>
                <w:color w:val="auto"/>
              </w:rPr>
            </w:pPr>
          </w:p>
        </w:tc>
        <w:tc>
          <w:tcPr>
            <w:tcW w:w="200" w:type="dxa"/>
            <w:vAlign w:val="bottom"/>
            <w:gridSpan w:val="3"/>
          </w:tcPr>
          <w:p>
            <w:pPr>
              <w:spacing w:after="0"/>
              <w:rPr>
                <w:sz w:val="24"/>
                <w:szCs w:val="24"/>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8.</w:t>
            </w:r>
          </w:p>
        </w:tc>
        <w:tc>
          <w:tcPr>
            <w:tcW w:w="3500" w:type="dxa"/>
            <w:vAlign w:val="bottom"/>
            <w:tcBorders>
              <w:bottom w:val="single" w:sz="8" w:color="001377"/>
            </w:tcBorders>
            <w:gridSpan w:val="19"/>
          </w:tcPr>
          <w:p>
            <w:pPr>
              <w:spacing w:after="0"/>
              <w:rPr>
                <w:sz w:val="20"/>
                <w:szCs w:val="20"/>
                <w:color w:val="auto"/>
              </w:rPr>
            </w:pPr>
            <w:r>
              <w:rPr>
                <w:rFonts w:ascii="Arial" w:cs="Arial" w:eastAsia="Arial" w:hAnsi="Arial"/>
                <w:sz w:val="19"/>
                <w:szCs w:val="19"/>
                <w:color w:val="001377"/>
                <w:w w:val="88"/>
              </w:rPr>
              <w:t>Financial Statements and Supplementary Data</w:t>
            </w:r>
          </w:p>
        </w:tc>
        <w:tc>
          <w:tcPr>
            <w:tcW w:w="3480" w:type="dxa"/>
            <w:vAlign w:val="bottom"/>
            <w:gridSpan w:val="12"/>
          </w:tcPr>
          <w:p>
            <w:pPr>
              <w:spacing w:after="0"/>
              <w:rPr>
                <w:sz w:val="23"/>
                <w:szCs w:val="23"/>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9.</w:t>
            </w:r>
          </w:p>
        </w:tc>
        <w:tc>
          <w:tcPr>
            <w:tcW w:w="6980" w:type="dxa"/>
            <w:vAlign w:val="bottom"/>
            <w:gridSpan w:val="31"/>
          </w:tcPr>
          <w:p>
            <w:pPr>
              <w:spacing w:after="0"/>
              <w:rPr>
                <w:sz w:val="20"/>
                <w:szCs w:val="20"/>
                <w:color w:val="auto"/>
              </w:rPr>
            </w:pPr>
            <w:r>
              <w:rPr>
                <w:rFonts w:ascii="Arial" w:cs="Arial" w:eastAsia="Arial" w:hAnsi="Arial"/>
                <w:sz w:val="19"/>
                <w:szCs w:val="19"/>
                <w:color w:val="001377"/>
                <w:w w:val="91"/>
              </w:rPr>
              <w:t>Changes in and Disagreements With Accountants on Accounting and Financial Disclosure</w:t>
            </w: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9A.</w:t>
            </w:r>
          </w:p>
        </w:tc>
        <w:tc>
          <w:tcPr>
            <w:tcW w:w="1860" w:type="dxa"/>
            <w:vAlign w:val="bottom"/>
            <w:tcBorders>
              <w:top w:val="single" w:sz="8" w:color="001377"/>
              <w:bottom w:val="single" w:sz="8" w:color="001377"/>
            </w:tcBorders>
            <w:gridSpan w:val="11"/>
          </w:tcPr>
          <w:p>
            <w:pPr>
              <w:spacing w:after="0"/>
              <w:rPr>
                <w:sz w:val="20"/>
                <w:szCs w:val="20"/>
                <w:color w:val="auto"/>
              </w:rPr>
            </w:pPr>
            <w:r>
              <w:rPr>
                <w:rFonts w:ascii="Arial" w:cs="Arial" w:eastAsia="Arial" w:hAnsi="Arial"/>
                <w:sz w:val="19"/>
                <w:szCs w:val="19"/>
                <w:color w:val="001377"/>
                <w:w w:val="87"/>
              </w:rPr>
              <w:t>Controls and Procedures</w:t>
            </w:r>
          </w:p>
        </w:tc>
        <w:tc>
          <w:tcPr>
            <w:tcW w:w="4980" w:type="dxa"/>
            <w:vAlign w:val="bottom"/>
            <w:tcBorders>
              <w:top w:val="single" w:sz="8" w:color="001377"/>
            </w:tcBorders>
            <w:gridSpan w:val="18"/>
          </w:tcPr>
          <w:p>
            <w:pPr>
              <w:spacing w:after="0"/>
              <w:rPr>
                <w:sz w:val="23"/>
                <w:szCs w:val="23"/>
                <w:color w:val="auto"/>
              </w:rPr>
            </w:pPr>
          </w:p>
        </w:tc>
        <w:tc>
          <w:tcPr>
            <w:tcW w:w="140" w:type="dxa"/>
            <w:vAlign w:val="bottom"/>
            <w:gridSpan w:val="2"/>
          </w:tcPr>
          <w:p>
            <w:pPr>
              <w:spacing w:after="0"/>
              <w:rPr>
                <w:sz w:val="23"/>
                <w:szCs w:val="23"/>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9B.</w:t>
            </w:r>
          </w:p>
        </w:tc>
        <w:tc>
          <w:tcPr>
            <w:tcW w:w="6980" w:type="dxa"/>
            <w:vAlign w:val="bottom"/>
            <w:gridSpan w:val="31"/>
          </w:tcPr>
          <w:p>
            <w:pPr>
              <w:spacing w:after="0"/>
              <w:rPr>
                <w:sz w:val="20"/>
                <w:szCs w:val="20"/>
                <w:color w:val="auto"/>
              </w:rPr>
            </w:pPr>
            <w:r>
              <w:rPr>
                <w:rFonts w:ascii="Arial" w:cs="Arial" w:eastAsia="Arial" w:hAnsi="Arial"/>
                <w:sz w:val="19"/>
                <w:szCs w:val="19"/>
                <w:color w:val="001377"/>
              </w:rPr>
              <w:t>Other Information</w:t>
            </w:r>
          </w:p>
        </w:tc>
      </w:tr>
      <w:tr>
        <w:trPr>
          <w:trHeight w:val="20"/>
        </w:trPr>
        <w:tc>
          <w:tcPr>
            <w:tcW w:w="980" w:type="dxa"/>
            <w:vAlign w:val="bottom"/>
          </w:tcPr>
          <w:p>
            <w:pPr>
              <w:spacing w:after="0" w:line="20" w:lineRule="exact"/>
              <w:rPr>
                <w:sz w:val="1"/>
                <w:szCs w:val="1"/>
                <w:color w:val="auto"/>
              </w:rPr>
            </w:pPr>
          </w:p>
        </w:tc>
        <w:tc>
          <w:tcPr>
            <w:tcW w:w="800" w:type="dxa"/>
            <w:vAlign w:val="bottom"/>
            <w:gridSpan w:val="3"/>
            <w:shd w:val="clear" w:color="auto" w:fill="001377"/>
          </w:tcPr>
          <w:p>
            <w:pPr>
              <w:spacing w:after="0" w:line="20" w:lineRule="exact"/>
              <w:rPr>
                <w:sz w:val="1"/>
                <w:szCs w:val="1"/>
                <w:color w:val="auto"/>
              </w:rPr>
            </w:pPr>
          </w:p>
        </w:tc>
        <w:tc>
          <w:tcPr>
            <w:tcW w:w="580" w:type="dxa"/>
            <w:vAlign w:val="bottom"/>
            <w:gridSpan w:val="4"/>
            <w:shd w:val="clear" w:color="auto" w:fill="00137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9C.</w:t>
            </w:r>
          </w:p>
        </w:tc>
        <w:tc>
          <w:tcPr>
            <w:tcW w:w="6980" w:type="dxa"/>
            <w:vAlign w:val="bottom"/>
            <w:gridSpan w:val="31"/>
          </w:tcPr>
          <w:p>
            <w:pPr>
              <w:spacing w:after="0"/>
              <w:rPr>
                <w:sz w:val="20"/>
                <w:szCs w:val="20"/>
                <w:color w:val="auto"/>
              </w:rPr>
            </w:pPr>
            <w:r>
              <w:rPr>
                <w:rFonts w:ascii="Arial" w:cs="Arial" w:eastAsia="Arial" w:hAnsi="Arial"/>
                <w:sz w:val="19"/>
                <w:szCs w:val="19"/>
                <w:color w:val="001377"/>
              </w:rPr>
              <w:t>Disclosure Regarding Foreign Jurisdictions that Prevent Inspections</w:t>
            </w:r>
          </w:p>
        </w:tc>
      </w:tr>
      <w:tr>
        <w:trPr>
          <w:trHeight w:val="278"/>
        </w:trPr>
        <w:tc>
          <w:tcPr>
            <w:tcW w:w="980" w:type="dxa"/>
            <w:vAlign w:val="bottom"/>
          </w:tcPr>
          <w:p>
            <w:pPr>
              <w:spacing w:after="0"/>
              <w:rPr>
                <w:sz w:val="24"/>
                <w:szCs w:val="24"/>
                <w:color w:val="auto"/>
              </w:rPr>
            </w:pPr>
          </w:p>
        </w:tc>
        <w:tc>
          <w:tcPr>
            <w:tcW w:w="680" w:type="dxa"/>
            <w:vAlign w:val="bottom"/>
            <w:tcBorders>
              <w:top w:val="single" w:sz="8" w:color="001377"/>
            </w:tcBorders>
          </w:tcPr>
          <w:p>
            <w:pPr>
              <w:spacing w:after="0"/>
              <w:rPr>
                <w:sz w:val="24"/>
                <w:szCs w:val="24"/>
                <w:color w:val="auto"/>
              </w:rPr>
            </w:pPr>
          </w:p>
        </w:tc>
        <w:tc>
          <w:tcPr>
            <w:tcW w:w="80" w:type="dxa"/>
            <w:vAlign w:val="bottom"/>
            <w:tcBorders>
              <w:top w:val="single" w:sz="8" w:color="001377"/>
            </w:tcBorders>
          </w:tcPr>
          <w:p>
            <w:pPr>
              <w:spacing w:after="0"/>
              <w:rPr>
                <w:sz w:val="24"/>
                <w:szCs w:val="24"/>
                <w:color w:val="auto"/>
              </w:rPr>
            </w:pPr>
          </w:p>
        </w:tc>
        <w:tc>
          <w:tcPr>
            <w:tcW w:w="40" w:type="dxa"/>
            <w:vAlign w:val="bottom"/>
            <w:tcBorders>
              <w:top w:val="single" w:sz="8" w:color="001377"/>
            </w:tcBorders>
          </w:tcPr>
          <w:p>
            <w:pPr>
              <w:spacing w:after="0"/>
              <w:rPr>
                <w:sz w:val="24"/>
                <w:szCs w:val="24"/>
                <w:color w:val="auto"/>
              </w:rPr>
            </w:pPr>
          </w:p>
        </w:tc>
        <w:tc>
          <w:tcPr>
            <w:tcW w:w="40" w:type="dxa"/>
            <w:vAlign w:val="bottom"/>
            <w:tcBorders>
              <w:top w:val="single" w:sz="8" w:color="001377"/>
            </w:tcBorders>
          </w:tcPr>
          <w:p>
            <w:pPr>
              <w:spacing w:after="0"/>
              <w:rPr>
                <w:sz w:val="24"/>
                <w:szCs w:val="24"/>
                <w:color w:val="auto"/>
              </w:rPr>
            </w:pPr>
          </w:p>
        </w:tc>
        <w:tc>
          <w:tcPr>
            <w:tcW w:w="120" w:type="dxa"/>
            <w:vAlign w:val="bottom"/>
            <w:tcBorders>
              <w:top w:val="single" w:sz="8" w:color="001377"/>
            </w:tcBorders>
          </w:tcPr>
          <w:p>
            <w:pPr>
              <w:spacing w:after="0"/>
              <w:rPr>
                <w:sz w:val="24"/>
                <w:szCs w:val="24"/>
                <w:color w:val="auto"/>
              </w:rPr>
            </w:pPr>
          </w:p>
        </w:tc>
        <w:tc>
          <w:tcPr>
            <w:tcW w:w="100" w:type="dxa"/>
            <w:vAlign w:val="bottom"/>
            <w:tcBorders>
              <w:top w:val="single" w:sz="8" w:color="001377"/>
            </w:tcBorders>
          </w:tcPr>
          <w:p>
            <w:pPr>
              <w:spacing w:after="0"/>
              <w:rPr>
                <w:sz w:val="24"/>
                <w:szCs w:val="24"/>
                <w:color w:val="auto"/>
              </w:rPr>
            </w:pPr>
          </w:p>
        </w:tc>
        <w:tc>
          <w:tcPr>
            <w:tcW w:w="320" w:type="dxa"/>
            <w:vAlign w:val="bottom"/>
            <w:tcBorders>
              <w:top w:val="single" w:sz="8" w:color="001377"/>
            </w:tcBorders>
          </w:tcPr>
          <w:p>
            <w:pPr>
              <w:spacing w:after="0"/>
              <w:rPr>
                <w:sz w:val="24"/>
                <w:szCs w:val="24"/>
                <w:color w:val="auto"/>
              </w:rPr>
            </w:pPr>
          </w:p>
        </w:tc>
        <w:tc>
          <w:tcPr>
            <w:tcW w:w="120" w:type="dxa"/>
            <w:vAlign w:val="bottom"/>
            <w:tcBorders>
              <w:top w:val="single" w:sz="8" w:color="001377"/>
            </w:tcBorders>
          </w:tcPr>
          <w:p>
            <w:pPr>
              <w:spacing w:after="0"/>
              <w:rPr>
                <w:sz w:val="24"/>
                <w:szCs w:val="24"/>
                <w:color w:val="auto"/>
              </w:rPr>
            </w:pPr>
          </w:p>
        </w:tc>
        <w:tc>
          <w:tcPr>
            <w:tcW w:w="40" w:type="dxa"/>
            <w:vAlign w:val="bottom"/>
            <w:tcBorders>
              <w:top w:val="single" w:sz="8" w:color="001377"/>
            </w:tcBorders>
          </w:tcPr>
          <w:p>
            <w:pPr>
              <w:spacing w:after="0"/>
              <w:rPr>
                <w:sz w:val="24"/>
                <w:szCs w:val="24"/>
                <w:color w:val="auto"/>
              </w:rPr>
            </w:pPr>
          </w:p>
        </w:tc>
        <w:tc>
          <w:tcPr>
            <w:tcW w:w="120" w:type="dxa"/>
            <w:vAlign w:val="bottom"/>
            <w:tcBorders>
              <w:top w:val="single" w:sz="8" w:color="001377"/>
            </w:tcBorders>
          </w:tcPr>
          <w:p>
            <w:pPr>
              <w:spacing w:after="0"/>
              <w:rPr>
                <w:sz w:val="24"/>
                <w:szCs w:val="24"/>
                <w:color w:val="auto"/>
              </w:rPr>
            </w:pPr>
          </w:p>
        </w:tc>
        <w:tc>
          <w:tcPr>
            <w:tcW w:w="200" w:type="dxa"/>
            <w:vAlign w:val="bottom"/>
            <w:tcBorders>
              <w:top w:val="single" w:sz="8" w:color="001377"/>
            </w:tcBorders>
          </w:tcPr>
          <w:p>
            <w:pPr>
              <w:spacing w:after="0"/>
              <w:rPr>
                <w:sz w:val="24"/>
                <w:szCs w:val="24"/>
                <w:color w:val="auto"/>
              </w:rPr>
            </w:pPr>
          </w:p>
        </w:tc>
        <w:tc>
          <w:tcPr>
            <w:tcW w:w="40" w:type="dxa"/>
            <w:vAlign w:val="bottom"/>
            <w:tcBorders>
              <w:top w:val="single" w:sz="8" w:color="001377"/>
            </w:tcBorders>
          </w:tcPr>
          <w:p>
            <w:pPr>
              <w:spacing w:after="0"/>
              <w:rPr>
                <w:sz w:val="24"/>
                <w:szCs w:val="24"/>
                <w:color w:val="auto"/>
              </w:rPr>
            </w:pPr>
          </w:p>
        </w:tc>
        <w:tc>
          <w:tcPr>
            <w:tcW w:w="260" w:type="dxa"/>
            <w:vAlign w:val="bottom"/>
            <w:tcBorders>
              <w:top w:val="single" w:sz="8" w:color="001377"/>
            </w:tcBorders>
          </w:tcPr>
          <w:p>
            <w:pPr>
              <w:spacing w:after="0"/>
              <w:rPr>
                <w:sz w:val="24"/>
                <w:szCs w:val="24"/>
                <w:color w:val="auto"/>
              </w:rPr>
            </w:pPr>
          </w:p>
        </w:tc>
        <w:tc>
          <w:tcPr>
            <w:tcW w:w="860" w:type="dxa"/>
            <w:vAlign w:val="bottom"/>
            <w:tcBorders>
              <w:top w:val="single" w:sz="8" w:color="001377"/>
            </w:tcBorders>
          </w:tcPr>
          <w:p>
            <w:pPr>
              <w:spacing w:after="0"/>
              <w:rPr>
                <w:sz w:val="24"/>
                <w:szCs w:val="24"/>
                <w:color w:val="auto"/>
              </w:rPr>
            </w:pPr>
          </w:p>
        </w:tc>
        <w:tc>
          <w:tcPr>
            <w:tcW w:w="20" w:type="dxa"/>
            <w:vAlign w:val="bottom"/>
            <w:tcBorders>
              <w:top w:val="single" w:sz="8" w:color="001377"/>
            </w:tcBorders>
          </w:tcPr>
          <w:p>
            <w:pPr>
              <w:spacing w:after="0"/>
              <w:rPr>
                <w:sz w:val="24"/>
                <w:szCs w:val="24"/>
                <w:color w:val="auto"/>
              </w:rPr>
            </w:pPr>
          </w:p>
        </w:tc>
        <w:tc>
          <w:tcPr>
            <w:tcW w:w="600" w:type="dxa"/>
            <w:vAlign w:val="bottom"/>
            <w:tcBorders>
              <w:top w:val="single" w:sz="8" w:color="001377"/>
              <w:bottom w:val="single" w:sz="8" w:color="001377"/>
            </w:tcBorders>
            <w:gridSpan w:val="7"/>
          </w:tcPr>
          <w:p>
            <w:pPr>
              <w:jc w:val="center"/>
              <w:spacing w:after="0"/>
              <w:rPr>
                <w:sz w:val="20"/>
                <w:szCs w:val="20"/>
                <w:color w:val="auto"/>
              </w:rPr>
            </w:pPr>
            <w:r>
              <w:rPr>
                <w:rFonts w:ascii="Arial" w:cs="Arial" w:eastAsia="Arial" w:hAnsi="Arial"/>
                <w:sz w:val="19"/>
                <w:szCs w:val="19"/>
                <w:color w:val="001377"/>
                <w:w w:val="97"/>
              </w:rPr>
              <w:t>Part III.</w:t>
            </w:r>
          </w:p>
        </w:tc>
        <w:tc>
          <w:tcPr>
            <w:tcW w:w="1500" w:type="dxa"/>
            <w:vAlign w:val="bottom"/>
            <w:tcBorders>
              <w:top w:val="single" w:sz="8" w:color="001377"/>
            </w:tcBorders>
            <w:gridSpan w:val="3"/>
          </w:tcPr>
          <w:p>
            <w:pPr>
              <w:spacing w:after="0"/>
              <w:rPr>
                <w:sz w:val="24"/>
                <w:szCs w:val="24"/>
                <w:color w:val="auto"/>
              </w:rPr>
            </w:pPr>
          </w:p>
        </w:tc>
        <w:tc>
          <w:tcPr>
            <w:tcW w:w="1840" w:type="dxa"/>
            <w:vAlign w:val="bottom"/>
            <w:gridSpan w:val="6"/>
          </w:tcPr>
          <w:p>
            <w:pPr>
              <w:spacing w:after="0"/>
              <w:rPr>
                <w:sz w:val="24"/>
                <w:szCs w:val="24"/>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10.</w:t>
            </w:r>
          </w:p>
        </w:tc>
        <w:tc>
          <w:tcPr>
            <w:tcW w:w="6980" w:type="dxa"/>
            <w:vAlign w:val="bottom"/>
            <w:gridSpan w:val="31"/>
          </w:tcPr>
          <w:p>
            <w:pPr>
              <w:spacing w:after="0"/>
              <w:rPr>
                <w:sz w:val="20"/>
                <w:szCs w:val="20"/>
                <w:color w:val="auto"/>
              </w:rPr>
            </w:pPr>
            <w:r>
              <w:rPr>
                <w:rFonts w:ascii="Arial" w:cs="Arial" w:eastAsia="Arial" w:hAnsi="Arial"/>
                <w:sz w:val="19"/>
                <w:szCs w:val="19"/>
                <w:color w:val="001377"/>
              </w:rPr>
              <w:t>Directors, Executive Officers and Corporate Governance</w:t>
            </w: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11.</w:t>
            </w:r>
          </w:p>
        </w:tc>
        <w:tc>
          <w:tcPr>
            <w:tcW w:w="1900" w:type="dxa"/>
            <w:vAlign w:val="bottom"/>
            <w:tcBorders>
              <w:top w:val="single" w:sz="8" w:color="001377"/>
              <w:bottom w:val="single" w:sz="8" w:color="001377"/>
            </w:tcBorders>
            <w:gridSpan w:val="12"/>
          </w:tcPr>
          <w:p>
            <w:pPr>
              <w:spacing w:after="0"/>
              <w:rPr>
                <w:sz w:val="20"/>
                <w:szCs w:val="20"/>
                <w:color w:val="auto"/>
              </w:rPr>
            </w:pPr>
            <w:r>
              <w:rPr>
                <w:rFonts w:ascii="Arial" w:cs="Arial" w:eastAsia="Arial" w:hAnsi="Arial"/>
                <w:sz w:val="19"/>
                <w:szCs w:val="19"/>
                <w:color w:val="001377"/>
                <w:w w:val="89"/>
              </w:rPr>
              <w:t>Executive Compensation</w:t>
            </w:r>
          </w:p>
        </w:tc>
        <w:tc>
          <w:tcPr>
            <w:tcW w:w="2400" w:type="dxa"/>
            <w:vAlign w:val="bottom"/>
            <w:tcBorders>
              <w:top w:val="single" w:sz="8" w:color="001377"/>
            </w:tcBorders>
            <w:gridSpan w:val="11"/>
          </w:tcPr>
          <w:p>
            <w:pPr>
              <w:spacing w:after="0"/>
              <w:rPr>
                <w:sz w:val="23"/>
                <w:szCs w:val="23"/>
                <w:color w:val="auto"/>
              </w:rPr>
            </w:pPr>
          </w:p>
        </w:tc>
        <w:tc>
          <w:tcPr>
            <w:tcW w:w="2680" w:type="dxa"/>
            <w:vAlign w:val="bottom"/>
            <w:gridSpan w:val="8"/>
          </w:tcPr>
          <w:p>
            <w:pPr>
              <w:spacing w:after="0"/>
              <w:rPr>
                <w:sz w:val="23"/>
                <w:szCs w:val="23"/>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12.</w:t>
            </w:r>
          </w:p>
        </w:tc>
        <w:tc>
          <w:tcPr>
            <w:tcW w:w="6980" w:type="dxa"/>
            <w:vAlign w:val="bottom"/>
            <w:gridSpan w:val="31"/>
          </w:tcPr>
          <w:p>
            <w:pPr>
              <w:spacing w:after="0"/>
              <w:rPr>
                <w:sz w:val="20"/>
                <w:szCs w:val="20"/>
                <w:color w:val="auto"/>
              </w:rPr>
            </w:pPr>
            <w:r>
              <w:rPr>
                <w:rFonts w:ascii="Arial" w:cs="Arial" w:eastAsia="Arial" w:hAnsi="Arial"/>
                <w:sz w:val="19"/>
                <w:szCs w:val="19"/>
                <w:color w:val="001377"/>
              </w:rPr>
              <w:t>Security Ownership of Certain Beneficial Owners and Management and Related</w:t>
            </w:r>
          </w:p>
        </w:tc>
      </w:tr>
      <w:tr>
        <w:trPr>
          <w:trHeight w:val="198"/>
        </w:trPr>
        <w:tc>
          <w:tcPr>
            <w:tcW w:w="980" w:type="dxa"/>
            <w:vAlign w:val="bottom"/>
          </w:tcPr>
          <w:p>
            <w:pPr>
              <w:spacing w:after="0"/>
              <w:rPr>
                <w:sz w:val="17"/>
                <w:szCs w:val="17"/>
                <w:color w:val="auto"/>
              </w:rPr>
            </w:pPr>
          </w:p>
        </w:tc>
        <w:tc>
          <w:tcPr>
            <w:tcW w:w="1540" w:type="dxa"/>
            <w:vAlign w:val="bottom"/>
            <w:tcBorders>
              <w:top w:val="single" w:sz="8" w:color="001377"/>
              <w:bottom w:val="single" w:sz="8" w:color="001377"/>
            </w:tcBorders>
            <w:gridSpan w:val="9"/>
          </w:tcPr>
          <w:p>
            <w:pPr>
              <w:spacing w:after="0" w:line="198" w:lineRule="exact"/>
              <w:rPr>
                <w:sz w:val="20"/>
                <w:szCs w:val="20"/>
                <w:color w:val="auto"/>
              </w:rPr>
            </w:pPr>
            <w:r>
              <w:rPr>
                <w:rFonts w:ascii="Arial" w:cs="Arial" w:eastAsia="Arial" w:hAnsi="Arial"/>
                <w:sz w:val="19"/>
                <w:szCs w:val="19"/>
                <w:color w:val="001377"/>
                <w:w w:val="89"/>
              </w:rPr>
              <w:t>Stockholder Matters</w:t>
            </w:r>
          </w:p>
        </w:tc>
        <w:tc>
          <w:tcPr>
            <w:tcW w:w="4520" w:type="dxa"/>
            <w:vAlign w:val="bottom"/>
            <w:tcBorders>
              <w:top w:val="single" w:sz="8" w:color="001377"/>
            </w:tcBorders>
            <w:gridSpan w:val="18"/>
          </w:tcPr>
          <w:p>
            <w:pPr>
              <w:spacing w:after="0"/>
              <w:rPr>
                <w:sz w:val="17"/>
                <w:szCs w:val="17"/>
                <w:color w:val="auto"/>
              </w:rPr>
            </w:pPr>
          </w:p>
        </w:tc>
        <w:tc>
          <w:tcPr>
            <w:tcW w:w="920" w:type="dxa"/>
            <w:vAlign w:val="bottom"/>
            <w:gridSpan w:val="4"/>
          </w:tcPr>
          <w:p>
            <w:pPr>
              <w:spacing w:after="0"/>
              <w:rPr>
                <w:sz w:val="17"/>
                <w:szCs w:val="17"/>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13.</w:t>
            </w:r>
          </w:p>
        </w:tc>
        <w:tc>
          <w:tcPr>
            <w:tcW w:w="6980" w:type="dxa"/>
            <w:vAlign w:val="bottom"/>
            <w:gridSpan w:val="31"/>
          </w:tcPr>
          <w:p>
            <w:pPr>
              <w:spacing w:after="0"/>
              <w:rPr>
                <w:sz w:val="20"/>
                <w:szCs w:val="20"/>
                <w:color w:val="auto"/>
              </w:rPr>
            </w:pPr>
            <w:r>
              <w:rPr>
                <w:rFonts w:ascii="Arial" w:cs="Arial" w:eastAsia="Arial" w:hAnsi="Arial"/>
                <w:sz w:val="19"/>
                <w:szCs w:val="19"/>
                <w:color w:val="001377"/>
              </w:rPr>
              <w:t>Certain Relationships and Related Transactions, and Director Independence</w:t>
            </w: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14.</w:t>
            </w:r>
          </w:p>
        </w:tc>
        <w:tc>
          <w:tcPr>
            <w:tcW w:w="5720" w:type="dxa"/>
            <w:vAlign w:val="bottom"/>
            <w:tcBorders>
              <w:top w:val="single" w:sz="8" w:color="001377"/>
            </w:tcBorders>
            <w:gridSpan w:val="26"/>
          </w:tcPr>
          <w:p>
            <w:pPr>
              <w:spacing w:after="0"/>
              <w:rPr>
                <w:sz w:val="20"/>
                <w:szCs w:val="20"/>
                <w:color w:val="auto"/>
              </w:rPr>
            </w:pPr>
            <w:r>
              <w:rPr>
                <w:rFonts w:ascii="Arial" w:cs="Arial" w:eastAsia="Arial" w:hAnsi="Arial"/>
                <w:sz w:val="19"/>
                <w:szCs w:val="19"/>
                <w:color w:val="001377"/>
              </w:rPr>
              <w:t>Principal Accounting Fees and Services</w:t>
            </w:r>
          </w:p>
        </w:tc>
        <w:tc>
          <w:tcPr>
            <w:tcW w:w="1260" w:type="dxa"/>
            <w:vAlign w:val="bottom"/>
            <w:gridSpan w:val="5"/>
          </w:tcPr>
          <w:p>
            <w:pPr>
              <w:spacing w:after="0"/>
              <w:rPr>
                <w:sz w:val="23"/>
                <w:szCs w:val="23"/>
                <w:color w:val="auto"/>
              </w:rPr>
            </w:pPr>
          </w:p>
        </w:tc>
      </w:tr>
      <w:tr>
        <w:trPr>
          <w:trHeight w:val="275"/>
        </w:trPr>
        <w:tc>
          <w:tcPr>
            <w:tcW w:w="980" w:type="dxa"/>
            <w:vAlign w:val="bottom"/>
          </w:tcPr>
          <w:p>
            <w:pPr>
              <w:spacing w:after="0"/>
              <w:rPr>
                <w:sz w:val="23"/>
                <w:szCs w:val="23"/>
                <w:color w:val="auto"/>
              </w:rPr>
            </w:pPr>
          </w:p>
        </w:tc>
        <w:tc>
          <w:tcPr>
            <w:tcW w:w="680" w:type="dxa"/>
            <w:vAlign w:val="bottom"/>
            <w:tcBorders>
              <w:top w:val="single" w:sz="8" w:color="001377"/>
            </w:tcBorders>
          </w:tcPr>
          <w:p>
            <w:pPr>
              <w:spacing w:after="0"/>
              <w:rPr>
                <w:sz w:val="23"/>
                <w:szCs w:val="23"/>
                <w:color w:val="auto"/>
              </w:rPr>
            </w:pPr>
          </w:p>
        </w:tc>
        <w:tc>
          <w:tcPr>
            <w:tcW w:w="80" w:type="dxa"/>
            <w:vAlign w:val="bottom"/>
            <w:tcBorders>
              <w:top w:val="single" w:sz="8" w:color="001377"/>
            </w:tcBorders>
          </w:tcPr>
          <w:p>
            <w:pPr>
              <w:spacing w:after="0"/>
              <w:rPr>
                <w:sz w:val="23"/>
                <w:szCs w:val="23"/>
                <w:color w:val="auto"/>
              </w:rPr>
            </w:pPr>
          </w:p>
        </w:tc>
        <w:tc>
          <w:tcPr>
            <w:tcW w:w="40" w:type="dxa"/>
            <w:vAlign w:val="bottom"/>
            <w:tcBorders>
              <w:top w:val="single" w:sz="8" w:color="001377"/>
            </w:tcBorders>
          </w:tcPr>
          <w:p>
            <w:pPr>
              <w:spacing w:after="0"/>
              <w:rPr>
                <w:sz w:val="23"/>
                <w:szCs w:val="23"/>
                <w:color w:val="auto"/>
              </w:rPr>
            </w:pPr>
          </w:p>
        </w:tc>
        <w:tc>
          <w:tcPr>
            <w:tcW w:w="40" w:type="dxa"/>
            <w:vAlign w:val="bottom"/>
            <w:tcBorders>
              <w:top w:val="single" w:sz="8" w:color="001377"/>
            </w:tcBorders>
          </w:tcPr>
          <w:p>
            <w:pPr>
              <w:spacing w:after="0"/>
              <w:rPr>
                <w:sz w:val="23"/>
                <w:szCs w:val="23"/>
                <w:color w:val="auto"/>
              </w:rPr>
            </w:pPr>
          </w:p>
        </w:tc>
        <w:tc>
          <w:tcPr>
            <w:tcW w:w="120" w:type="dxa"/>
            <w:vAlign w:val="bottom"/>
            <w:tcBorders>
              <w:top w:val="single" w:sz="8" w:color="001377"/>
            </w:tcBorders>
          </w:tcPr>
          <w:p>
            <w:pPr>
              <w:spacing w:after="0"/>
              <w:rPr>
                <w:sz w:val="23"/>
                <w:szCs w:val="23"/>
                <w:color w:val="auto"/>
              </w:rPr>
            </w:pPr>
          </w:p>
        </w:tc>
        <w:tc>
          <w:tcPr>
            <w:tcW w:w="100" w:type="dxa"/>
            <w:vAlign w:val="bottom"/>
            <w:tcBorders>
              <w:top w:val="single" w:sz="8" w:color="001377"/>
            </w:tcBorders>
          </w:tcPr>
          <w:p>
            <w:pPr>
              <w:spacing w:after="0"/>
              <w:rPr>
                <w:sz w:val="23"/>
                <w:szCs w:val="23"/>
                <w:color w:val="auto"/>
              </w:rPr>
            </w:pPr>
          </w:p>
        </w:tc>
        <w:tc>
          <w:tcPr>
            <w:tcW w:w="320" w:type="dxa"/>
            <w:vAlign w:val="bottom"/>
            <w:tcBorders>
              <w:top w:val="single" w:sz="8" w:color="001377"/>
            </w:tcBorders>
          </w:tcPr>
          <w:p>
            <w:pPr>
              <w:spacing w:after="0"/>
              <w:rPr>
                <w:sz w:val="23"/>
                <w:szCs w:val="23"/>
                <w:color w:val="auto"/>
              </w:rPr>
            </w:pPr>
          </w:p>
        </w:tc>
        <w:tc>
          <w:tcPr>
            <w:tcW w:w="120" w:type="dxa"/>
            <w:vAlign w:val="bottom"/>
            <w:tcBorders>
              <w:top w:val="single" w:sz="8" w:color="001377"/>
            </w:tcBorders>
          </w:tcPr>
          <w:p>
            <w:pPr>
              <w:spacing w:after="0"/>
              <w:rPr>
                <w:sz w:val="23"/>
                <w:szCs w:val="23"/>
                <w:color w:val="auto"/>
              </w:rPr>
            </w:pPr>
          </w:p>
        </w:tc>
        <w:tc>
          <w:tcPr>
            <w:tcW w:w="40" w:type="dxa"/>
            <w:vAlign w:val="bottom"/>
            <w:tcBorders>
              <w:top w:val="single" w:sz="8" w:color="001377"/>
            </w:tcBorders>
          </w:tcPr>
          <w:p>
            <w:pPr>
              <w:spacing w:after="0"/>
              <w:rPr>
                <w:sz w:val="23"/>
                <w:szCs w:val="23"/>
                <w:color w:val="auto"/>
              </w:rPr>
            </w:pPr>
          </w:p>
        </w:tc>
        <w:tc>
          <w:tcPr>
            <w:tcW w:w="120" w:type="dxa"/>
            <w:vAlign w:val="bottom"/>
            <w:tcBorders>
              <w:top w:val="single" w:sz="8" w:color="001377"/>
            </w:tcBorders>
          </w:tcPr>
          <w:p>
            <w:pPr>
              <w:spacing w:after="0"/>
              <w:rPr>
                <w:sz w:val="23"/>
                <w:szCs w:val="23"/>
                <w:color w:val="auto"/>
              </w:rPr>
            </w:pPr>
          </w:p>
        </w:tc>
        <w:tc>
          <w:tcPr>
            <w:tcW w:w="200" w:type="dxa"/>
            <w:vAlign w:val="bottom"/>
            <w:tcBorders>
              <w:top w:val="single" w:sz="8" w:color="001377"/>
            </w:tcBorders>
          </w:tcPr>
          <w:p>
            <w:pPr>
              <w:spacing w:after="0"/>
              <w:rPr>
                <w:sz w:val="23"/>
                <w:szCs w:val="23"/>
                <w:color w:val="auto"/>
              </w:rPr>
            </w:pPr>
          </w:p>
        </w:tc>
        <w:tc>
          <w:tcPr>
            <w:tcW w:w="40" w:type="dxa"/>
            <w:vAlign w:val="bottom"/>
            <w:tcBorders>
              <w:top w:val="single" w:sz="8" w:color="001377"/>
            </w:tcBorders>
          </w:tcPr>
          <w:p>
            <w:pPr>
              <w:spacing w:after="0"/>
              <w:rPr>
                <w:sz w:val="23"/>
                <w:szCs w:val="23"/>
                <w:color w:val="auto"/>
              </w:rPr>
            </w:pPr>
          </w:p>
        </w:tc>
        <w:tc>
          <w:tcPr>
            <w:tcW w:w="260" w:type="dxa"/>
            <w:vAlign w:val="bottom"/>
            <w:tcBorders>
              <w:top w:val="single" w:sz="8" w:color="001377"/>
            </w:tcBorders>
          </w:tcPr>
          <w:p>
            <w:pPr>
              <w:spacing w:after="0"/>
              <w:rPr>
                <w:sz w:val="23"/>
                <w:szCs w:val="23"/>
                <w:color w:val="auto"/>
              </w:rPr>
            </w:pPr>
          </w:p>
        </w:tc>
        <w:tc>
          <w:tcPr>
            <w:tcW w:w="860" w:type="dxa"/>
            <w:vAlign w:val="bottom"/>
            <w:tcBorders>
              <w:top w:val="single" w:sz="8" w:color="001377"/>
            </w:tcBorders>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Borders>
              <w:bottom w:val="single" w:sz="8" w:color="001377"/>
            </w:tcBorders>
            <w:gridSpan w:val="7"/>
          </w:tcPr>
          <w:p>
            <w:pPr>
              <w:jc w:val="center"/>
              <w:spacing w:after="0"/>
              <w:rPr>
                <w:sz w:val="20"/>
                <w:szCs w:val="20"/>
                <w:color w:val="auto"/>
              </w:rPr>
            </w:pPr>
            <w:r>
              <w:rPr>
                <w:rFonts w:ascii="Arial" w:cs="Arial" w:eastAsia="Arial" w:hAnsi="Arial"/>
                <w:sz w:val="19"/>
                <w:szCs w:val="19"/>
                <w:color w:val="001377"/>
                <w:w w:val="94"/>
              </w:rPr>
              <w:t>Part IV.</w:t>
            </w:r>
          </w:p>
        </w:tc>
        <w:tc>
          <w:tcPr>
            <w:tcW w:w="3340" w:type="dxa"/>
            <w:vAlign w:val="bottom"/>
            <w:gridSpan w:val="9"/>
          </w:tcPr>
          <w:p>
            <w:pPr>
              <w:spacing w:after="0"/>
              <w:rPr>
                <w:sz w:val="23"/>
                <w:szCs w:val="23"/>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15.</w:t>
            </w:r>
          </w:p>
        </w:tc>
        <w:tc>
          <w:tcPr>
            <w:tcW w:w="3320" w:type="dxa"/>
            <w:vAlign w:val="bottom"/>
            <w:tcBorders>
              <w:bottom w:val="single" w:sz="8" w:color="001377"/>
            </w:tcBorders>
            <w:gridSpan w:val="18"/>
          </w:tcPr>
          <w:p>
            <w:pPr>
              <w:spacing w:after="0"/>
              <w:rPr>
                <w:sz w:val="20"/>
                <w:szCs w:val="20"/>
                <w:color w:val="auto"/>
              </w:rPr>
            </w:pPr>
            <w:r>
              <w:rPr>
                <w:rFonts w:ascii="Arial" w:cs="Arial" w:eastAsia="Arial" w:hAnsi="Arial"/>
                <w:sz w:val="19"/>
                <w:szCs w:val="19"/>
                <w:color w:val="001377"/>
                <w:w w:val="89"/>
              </w:rPr>
              <w:t>Exhibits and Financial Statement Schedules</w:t>
            </w:r>
          </w:p>
        </w:tc>
        <w:tc>
          <w:tcPr>
            <w:tcW w:w="3660" w:type="dxa"/>
            <w:vAlign w:val="bottom"/>
            <w:gridSpan w:val="13"/>
          </w:tcPr>
          <w:p>
            <w:pPr>
              <w:spacing w:after="0"/>
              <w:rPr>
                <w:sz w:val="23"/>
                <w:szCs w:val="23"/>
                <w:color w:val="auto"/>
              </w:rPr>
            </w:pPr>
          </w:p>
        </w:tc>
      </w:tr>
      <w:tr>
        <w:trPr>
          <w:trHeight w:val="275"/>
        </w:trPr>
        <w:tc>
          <w:tcPr>
            <w:tcW w:w="980" w:type="dxa"/>
            <w:vAlign w:val="bottom"/>
          </w:tcPr>
          <w:p>
            <w:pPr>
              <w:spacing w:after="0"/>
              <w:rPr>
                <w:sz w:val="20"/>
                <w:szCs w:val="20"/>
                <w:color w:val="auto"/>
              </w:rPr>
            </w:pPr>
            <w:r>
              <w:rPr>
                <w:rFonts w:ascii="Arial" w:cs="Arial" w:eastAsia="Arial" w:hAnsi="Arial"/>
                <w:sz w:val="19"/>
                <w:szCs w:val="19"/>
                <w:color w:val="auto"/>
              </w:rPr>
              <w:t>Item 16.</w:t>
            </w:r>
          </w:p>
        </w:tc>
        <w:tc>
          <w:tcPr>
            <w:tcW w:w="6980" w:type="dxa"/>
            <w:vAlign w:val="bottom"/>
            <w:gridSpan w:val="31"/>
          </w:tcPr>
          <w:p>
            <w:pPr>
              <w:spacing w:after="0"/>
              <w:rPr>
                <w:sz w:val="20"/>
                <w:szCs w:val="20"/>
                <w:color w:val="auto"/>
              </w:rPr>
            </w:pPr>
            <w:r>
              <w:rPr>
                <w:rFonts w:ascii="Arial" w:cs="Arial" w:eastAsia="Arial" w:hAnsi="Arial"/>
                <w:sz w:val="19"/>
                <w:szCs w:val="19"/>
                <w:color w:val="001377"/>
              </w:rPr>
              <w:t>Form 10–K Summary</w:t>
            </w:r>
          </w:p>
        </w:tc>
      </w:tr>
      <w:tr>
        <w:trPr>
          <w:trHeight w:val="278"/>
        </w:trPr>
        <w:tc>
          <w:tcPr>
            <w:tcW w:w="980" w:type="dxa"/>
            <w:vAlign w:val="bottom"/>
          </w:tcPr>
          <w:p>
            <w:pPr>
              <w:spacing w:after="0"/>
              <w:rPr>
                <w:sz w:val="24"/>
                <w:szCs w:val="24"/>
                <w:color w:val="auto"/>
              </w:rPr>
            </w:pPr>
          </w:p>
        </w:tc>
        <w:tc>
          <w:tcPr>
            <w:tcW w:w="800" w:type="dxa"/>
            <w:vAlign w:val="bottom"/>
            <w:tcBorders>
              <w:top w:val="single" w:sz="8" w:color="001377"/>
              <w:bottom w:val="single" w:sz="8" w:color="001377"/>
            </w:tcBorders>
            <w:gridSpan w:val="3"/>
          </w:tcPr>
          <w:p>
            <w:pPr>
              <w:spacing w:after="0"/>
              <w:rPr>
                <w:sz w:val="20"/>
                <w:szCs w:val="20"/>
                <w:color w:val="auto"/>
              </w:rPr>
            </w:pPr>
            <w:r>
              <w:rPr>
                <w:rFonts w:ascii="Arial" w:cs="Arial" w:eastAsia="Arial" w:hAnsi="Arial"/>
                <w:sz w:val="19"/>
                <w:szCs w:val="19"/>
                <w:color w:val="001377"/>
                <w:w w:val="85"/>
              </w:rPr>
              <w:t>Signatures</w:t>
            </w:r>
          </w:p>
        </w:tc>
        <w:tc>
          <w:tcPr>
            <w:tcW w:w="860" w:type="dxa"/>
            <w:vAlign w:val="bottom"/>
            <w:tcBorders>
              <w:top w:val="single" w:sz="8" w:color="001377"/>
            </w:tcBorders>
            <w:gridSpan w:val="7"/>
          </w:tcPr>
          <w:p>
            <w:pPr>
              <w:spacing w:after="0"/>
              <w:rPr>
                <w:sz w:val="24"/>
                <w:szCs w:val="24"/>
                <w:color w:val="auto"/>
              </w:rPr>
            </w:pPr>
          </w:p>
        </w:tc>
        <w:tc>
          <w:tcPr>
            <w:tcW w:w="5320" w:type="dxa"/>
            <w:vAlign w:val="bottom"/>
            <w:gridSpan w:val="21"/>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0"/>
        <w:spacing w:after="0"/>
        <w:rPr>
          <w:sz w:val="20"/>
          <w:szCs w:val="20"/>
          <w:color w:val="auto"/>
        </w:rPr>
      </w:pPr>
      <w:r>
        <w:rPr>
          <w:rFonts w:ascii="Arial" w:cs="Arial" w:eastAsia="Arial" w:hAnsi="Arial"/>
          <w:sz w:val="19"/>
          <w:szCs w:val="19"/>
          <w:u w:val="single" w:color="auto"/>
          <w:color w:val="001377"/>
        </w:rPr>
        <w:t>1</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001377"/>
        </w:rPr>
        <w:t>37</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001377"/>
        </w:rPr>
        <w:t>90</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001377"/>
        </w:rPr>
        <w:t>90</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001377"/>
        </w:rPr>
        <w:t>92</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001377"/>
        </w:rPr>
        <w:t>92</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001377"/>
        </w:rPr>
        <w:t>92</w:t>
      </w: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001377"/>
        </w:rPr>
        <w:t>93</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001377"/>
        </w:rPr>
        <w:t>93</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001377"/>
        </w:rPr>
        <w:t>94</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103</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103</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137</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137</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138</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138</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139</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139</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139</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139</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139</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140</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142</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1377"/>
        </w:rPr>
        <w:t>143</w:t>
      </w:r>
    </w:p>
    <w:p>
      <w:pPr>
        <w:sectPr>
          <w:pgSz w:w="12240" w:h="15840" w:orient="portrait"/>
          <w:cols w:equalWidth="0" w:num="2">
            <w:col w:w="8300" w:space="320"/>
            <w:col w:w="740"/>
          </w:cols>
          <w:pgMar w:left="1440" w:top="1440" w:right="1440" w:bottom="1440" w:gutter="0" w:footer="0" w:header="0"/>
        </w:sectPr>
      </w:pPr>
    </w:p>
    <w:bookmarkStart w:id="5" w:name="page6"/>
    <w:bookmarkEnd w:id="5"/>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216" w:lineRule="exact"/>
        <w:rPr>
          <w:sz w:val="20"/>
          <w:szCs w:val="20"/>
          <w:color w:val="auto"/>
        </w:rPr>
      </w:pPr>
    </w:p>
    <w:p>
      <w:pPr>
        <w:ind w:left="260" w:right="380"/>
        <w:spacing w:after="0" w:line="310" w:lineRule="auto"/>
        <w:rPr>
          <w:sz w:val="20"/>
          <w:szCs w:val="20"/>
          <w:color w:val="auto"/>
        </w:rPr>
      </w:pPr>
      <w:r>
        <w:rPr>
          <w:rFonts w:ascii="Arial" w:cs="Arial" w:eastAsia="Arial" w:hAnsi="Arial"/>
          <w:sz w:val="18"/>
          <w:szCs w:val="18"/>
          <w:color w:val="auto"/>
        </w:rPr>
        <w:t>This Annual Report on Form 10-K (Annual Report) contains forward-looking statements. All statements other than statements of historical facts contained in this Annual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17" w:lineRule="exact"/>
        <w:rPr>
          <w:sz w:val="20"/>
          <w:szCs w:val="20"/>
          <w:color w:val="auto"/>
        </w:rPr>
      </w:pPr>
    </w:p>
    <w:p>
      <w:pPr>
        <w:ind w:left="260" w:right="300"/>
        <w:spacing w:after="0" w:line="298" w:lineRule="auto"/>
        <w:rPr>
          <w:sz w:val="20"/>
          <w:szCs w:val="20"/>
          <w:color w:val="auto"/>
        </w:rPr>
      </w:pPr>
      <w:r>
        <w:rPr>
          <w:rFonts w:ascii="Arial" w:cs="Arial" w:eastAsia="Arial" w:hAnsi="Arial"/>
          <w:sz w:val="19"/>
          <w:szCs w:val="19"/>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139" w:lineRule="exact"/>
        <w:rPr>
          <w:sz w:val="20"/>
          <w:szCs w:val="20"/>
          <w:color w:val="auto"/>
        </w:rPr>
      </w:pPr>
    </w:p>
    <w:p>
      <w:pPr>
        <w:ind w:left="940" w:right="400"/>
        <w:spacing w:after="0" w:line="327" w:lineRule="auto"/>
        <w:rPr>
          <w:sz w:val="20"/>
          <w:szCs w:val="20"/>
          <w:color w:val="auto"/>
        </w:rPr>
      </w:pPr>
      <w:r>
        <w:rPr>
          <w:rFonts w:ascii="Arial" w:cs="Arial" w:eastAsia="Arial" w:hAnsi="Arial"/>
          <w:sz w:val="19"/>
          <w:szCs w:val="19"/>
          <w:color w:val="auto"/>
        </w:rPr>
        <w:t>estimates of our addressable market, market growth, key performance indicators, capital requirements and our needs for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-321310</wp:posOffset>
            </wp:positionV>
            <wp:extent cx="67945" cy="67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0" w:lineRule="exact"/>
        <w:rPr>
          <w:sz w:val="20"/>
          <w:szCs w:val="20"/>
          <w:color w:val="auto"/>
        </w:rPr>
      </w:pPr>
    </w:p>
    <w:p>
      <w:pPr>
        <w:ind w:left="940" w:right="520"/>
        <w:spacing w:after="0" w:line="327" w:lineRule="auto"/>
        <w:rPr>
          <w:sz w:val="20"/>
          <w:szCs w:val="20"/>
          <w:color w:val="auto"/>
        </w:rPr>
      </w:pPr>
      <w:r>
        <w:rPr>
          <w:rFonts w:ascii="Arial" w:cs="Arial" w:eastAsia="Arial" w:hAnsi="Arial"/>
          <w:sz w:val="19"/>
          <w:szCs w:val="19"/>
          <w:color w:val="auto"/>
        </w:rPr>
        <w:t>our expectations regarding our financial performance, including among others, revenue, cost of revenue, gross profit, operating expenses, loss from operations and net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-321310</wp:posOffset>
            </wp:positionV>
            <wp:extent cx="67945" cy="67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0" w:lineRule="exact"/>
        <w:rPr>
          <w:sz w:val="20"/>
          <w:szCs w:val="20"/>
          <w:color w:val="auto"/>
        </w:rPr>
      </w:pPr>
    </w:p>
    <w:p>
      <w:pPr>
        <w:ind w:left="940" w:right="480"/>
        <w:spacing w:after="0" w:line="324" w:lineRule="auto"/>
        <w:rPr>
          <w:sz w:val="20"/>
          <w:szCs w:val="20"/>
          <w:color w:val="auto"/>
        </w:rPr>
      </w:pPr>
      <w:r>
        <w:rPr>
          <w:rFonts w:ascii="Arial" w:cs="Arial" w:eastAsia="Arial" w:hAnsi="Arial"/>
          <w:sz w:val="19"/>
          <w:szCs w:val="19"/>
          <w:color w:val="auto"/>
        </w:rPr>
        <w:t>our ability to successfully execute our commercial strategy and attract customers, including our plans for international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-318135</wp:posOffset>
            </wp:positionV>
            <wp:extent cx="67945" cy="67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implementation of our business model, strategic plans and pricing for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-67310</wp:posOffset>
            </wp:positionV>
            <wp:extent cx="67945" cy="679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2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our expectations regarding the rate and degree of market acceptance of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-67310</wp:posOffset>
            </wp:positionV>
            <wp:extent cx="67945" cy="67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31" w:lineRule="exact"/>
        <w:rPr>
          <w:sz w:val="20"/>
          <w:szCs w:val="20"/>
          <w:color w:val="auto"/>
        </w:rPr>
      </w:pPr>
    </w:p>
    <w:p>
      <w:pPr>
        <w:ind w:left="940" w:right="780"/>
        <w:spacing w:after="0" w:line="324" w:lineRule="auto"/>
        <w:rPr>
          <w:sz w:val="20"/>
          <w:szCs w:val="20"/>
          <w:color w:val="auto"/>
        </w:rPr>
      </w:pPr>
      <w:r>
        <w:rPr>
          <w:rFonts w:ascii="Arial" w:cs="Arial" w:eastAsia="Arial" w:hAnsi="Arial"/>
          <w:sz w:val="19"/>
          <w:szCs w:val="19"/>
          <w:color w:val="auto"/>
        </w:rPr>
        <w:t>the impact of the Proteograph Product Suite on the field of proteomics and the size and growth of the addressable proteomics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-318135</wp:posOffset>
            </wp:positionV>
            <wp:extent cx="67945" cy="67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competitive companies and technologies and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-81915</wp:posOffset>
            </wp:positionV>
            <wp:extent cx="67945" cy="67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9"/>
          <w:szCs w:val="19"/>
          <w:color w:val="auto"/>
        </w:rPr>
        <w:t>our ability to manage and grow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-81915</wp:posOffset>
            </wp:positionV>
            <wp:extent cx="67945" cy="67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9"/>
          <w:szCs w:val="19"/>
          <w:color w:val="auto"/>
        </w:rPr>
        <w:t>our ability to develop and commercialize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-81915</wp:posOffset>
            </wp:positionV>
            <wp:extent cx="67945" cy="67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940" w:right="620"/>
        <w:spacing w:after="0" w:line="327" w:lineRule="auto"/>
        <w:rPr>
          <w:sz w:val="20"/>
          <w:szCs w:val="20"/>
          <w:color w:val="auto"/>
        </w:rPr>
      </w:pPr>
      <w:r>
        <w:rPr>
          <w:rFonts w:ascii="Arial" w:cs="Arial" w:eastAsia="Arial" w:hAnsi="Arial"/>
          <w:sz w:val="19"/>
          <w:szCs w:val="19"/>
          <w:color w:val="auto"/>
        </w:rPr>
        <w:t>our ability to establish and maintain intellectual property protection for our products or avoid or defend claims of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-321310</wp:posOffset>
            </wp:positionV>
            <wp:extent cx="67945" cy="67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0" w:lineRule="exact"/>
        <w:rPr>
          <w:sz w:val="20"/>
          <w:szCs w:val="20"/>
          <w:color w:val="auto"/>
        </w:rPr>
      </w:pPr>
    </w:p>
    <w:p>
      <w:pPr>
        <w:ind w:left="940"/>
        <w:spacing w:after="0"/>
        <w:rPr>
          <w:sz w:val="20"/>
          <w:szCs w:val="20"/>
          <w:color w:val="auto"/>
        </w:rPr>
      </w:pPr>
      <w:r>
        <w:rPr>
          <w:rFonts w:ascii="Arial" w:cs="Arial" w:eastAsia="Arial" w:hAnsi="Arial"/>
          <w:sz w:val="19"/>
          <w:szCs w:val="19"/>
          <w:color w:val="auto"/>
        </w:rPr>
        <w:t>the performance of third-party manufacturers and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-81915</wp:posOffset>
            </wp:positionV>
            <wp:extent cx="67945" cy="67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9"/>
          <w:szCs w:val="19"/>
          <w:color w:val="auto"/>
        </w:rPr>
        <w:t>the potential effects of government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-81915</wp:posOffset>
            </wp:positionV>
            <wp:extent cx="67945" cy="67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9"/>
          <w:szCs w:val="19"/>
          <w:color w:val="auto"/>
        </w:rPr>
        <w:t>our ability to hire and retain key personnel and to manage our future growth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-81915</wp:posOffset>
            </wp:positionV>
            <wp:extent cx="67945" cy="67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940"/>
        <w:spacing w:after="0"/>
        <w:rPr>
          <w:sz w:val="20"/>
          <w:szCs w:val="20"/>
          <w:color w:val="auto"/>
        </w:rPr>
      </w:pPr>
      <w:r>
        <w:rPr>
          <w:rFonts w:ascii="Arial" w:cs="Arial" w:eastAsia="Arial" w:hAnsi="Arial"/>
          <w:sz w:val="19"/>
          <w:szCs w:val="19"/>
          <w:color w:val="auto"/>
        </w:rPr>
        <w:t>the volatility of the trading price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-81915</wp:posOffset>
            </wp:positionV>
            <wp:extent cx="67945" cy="67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9"/>
          <w:szCs w:val="19"/>
          <w:color w:val="auto"/>
        </w:rPr>
        <w:t>the benefits and risks of our investment in PrognomiQ,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-81915</wp:posOffset>
            </wp:positionV>
            <wp:extent cx="67945" cy="67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bookmarkStart w:id="6" w:name="page7"/>
    <w:bookmarkEnd w:id="6"/>
    <w:p>
      <w:pPr>
        <w:spacing w:after="0" w:line="35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the impact of local, regional, and national and international economic conditions and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-81915</wp:posOffset>
            </wp:positionV>
            <wp:extent cx="67945" cy="67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940" w:right="400"/>
        <w:spacing w:after="0" w:line="327" w:lineRule="auto"/>
        <w:rPr>
          <w:sz w:val="20"/>
          <w:szCs w:val="20"/>
          <w:color w:val="auto"/>
        </w:rPr>
      </w:pPr>
      <w:r>
        <w:rPr>
          <w:rFonts w:ascii="Arial" w:cs="Arial" w:eastAsia="Arial" w:hAnsi="Arial"/>
          <w:sz w:val="19"/>
          <w:szCs w:val="19"/>
          <w:color w:val="auto"/>
        </w:rPr>
        <w:t>the impact of macroeconomic factors, such as pandemics, inflation, supply chain interruptions and foreign hostilities, on our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-321310</wp:posOffset>
            </wp:positionV>
            <wp:extent cx="67945" cy="67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0" w:lineRule="exact"/>
        <w:rPr>
          <w:sz w:val="20"/>
          <w:szCs w:val="20"/>
          <w:color w:val="auto"/>
        </w:rPr>
      </w:pPr>
    </w:p>
    <w:p>
      <w:pPr>
        <w:ind w:left="940"/>
        <w:spacing w:after="0"/>
        <w:rPr>
          <w:sz w:val="20"/>
          <w:szCs w:val="20"/>
          <w:color w:val="auto"/>
        </w:rPr>
      </w:pPr>
      <w:r>
        <w:rPr>
          <w:rFonts w:ascii="Arial" w:cs="Arial" w:eastAsia="Arial" w:hAnsi="Arial"/>
          <w:sz w:val="19"/>
          <w:szCs w:val="19"/>
          <w:color w:val="auto"/>
        </w:rPr>
        <w:t>our expectations about market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-81915</wp:posOffset>
            </wp:positionV>
            <wp:extent cx="67945" cy="67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1" w:lineRule="exact"/>
        <w:rPr>
          <w:sz w:val="20"/>
          <w:szCs w:val="20"/>
          <w:color w:val="auto"/>
        </w:rPr>
      </w:pPr>
    </w:p>
    <w:p>
      <w:pPr>
        <w:ind w:left="260" w:right="300"/>
        <w:spacing w:after="0" w:line="326"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“Risk Factors” and elsewhere in this Annual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Annual Report, whether as a result of any new information, future events or otherwise.</w:t>
      </w:r>
    </w:p>
    <w:p>
      <w:pPr>
        <w:spacing w:after="0" w:line="111" w:lineRule="exact"/>
        <w:rPr>
          <w:sz w:val="20"/>
          <w:szCs w:val="20"/>
          <w:color w:val="auto"/>
        </w:rPr>
      </w:pPr>
    </w:p>
    <w:p>
      <w:pPr>
        <w:ind w:left="260" w:right="340"/>
        <w:spacing w:after="0" w:line="31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pgSz w:w="12240" w:h="15840" w:orient="portrait"/>
          <w:cols w:equalWidth="0" w:num="1">
            <w:col w:w="9360"/>
          </w:cols>
          <w:pgMar w:left="1440" w:top="1440" w:right="1440" w:bottom="1440" w:gutter="0" w:footer="0" w:header="0"/>
        </w:sectPr>
      </w:pPr>
    </w:p>
    <w:bookmarkStart w:id="7" w:name="page8"/>
    <w:bookmarkEnd w:id="7"/>
    <w:p>
      <w:pPr>
        <w:spacing w:after="0" w:line="350"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PART I.</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1. Business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Overview</w:t>
      </w:r>
    </w:p>
    <w:p>
      <w:pPr>
        <w:spacing w:after="0" w:line="215" w:lineRule="exact"/>
        <w:rPr>
          <w:sz w:val="20"/>
          <w:szCs w:val="20"/>
          <w:color w:val="auto"/>
        </w:rPr>
      </w:pPr>
    </w:p>
    <w:p>
      <w:pPr>
        <w:ind w:left="120" w:right="280" w:firstLine="1"/>
        <w:spacing w:after="0" w:line="312" w:lineRule="auto"/>
        <w:rPr>
          <w:sz w:val="20"/>
          <w:szCs w:val="20"/>
          <w:color w:val="auto"/>
        </w:rPr>
      </w:pPr>
      <w:r>
        <w:rPr>
          <w:rFonts w:ascii="Arial" w:cs="Arial" w:eastAsia="Arial" w:hAnsi="Arial"/>
          <w:sz w:val="17"/>
          <w:szCs w:val="17"/>
          <w:color w:val="auto"/>
        </w:rPr>
        <w:t>Our mission is to imagine and pioneer new ways to decode the biology of the proteome to improve human health. Through our product, the Proteograph</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Product Suite (Proteograph), we provide researchers with unbiased, deep, rapid and large-scale access to the proteome. With our pioneering development of the Proteograph, its unique capabilities and growing body of scientific evidence, we believe researchers view us as their trusted partner in unlocking novel biological insights that were previously beyond reach. Since our commercial launch in 2021, we have served more than 135 customers in over 20 countries to enable them to drive scientific discoveries and innovation.</w:t>
      </w:r>
    </w:p>
    <w:p>
      <w:pPr>
        <w:spacing w:after="0" w:line="120" w:lineRule="exact"/>
        <w:rPr>
          <w:sz w:val="20"/>
          <w:szCs w:val="20"/>
          <w:color w:val="auto"/>
        </w:rPr>
      </w:pPr>
    </w:p>
    <w:p>
      <w:pPr>
        <w:ind w:left="120" w:right="440"/>
        <w:spacing w:after="0" w:line="331" w:lineRule="auto"/>
        <w:rPr>
          <w:sz w:val="20"/>
          <w:szCs w:val="20"/>
          <w:color w:val="auto"/>
        </w:rPr>
      </w:pPr>
      <w:r>
        <w:rPr>
          <w:rFonts w:ascii="Arial" w:cs="Arial" w:eastAsia="Arial" w:hAnsi="Arial"/>
          <w:sz w:val="17"/>
          <w:szCs w:val="17"/>
          <w:color w:val="auto"/>
        </w:rPr>
        <w:t>The Proteograph is a comprehensive solution that includes consumables, an automation instrument and data analysis software. It leverages our proprietary engineered nanoparticle (NP) technology to provide unprecedented unbiased access to the proteome at scale. The Proteograph has detected over 36,000 proteins across multiple species, and its performance and capabilities have been demonstrated in over 33 peer-reviewed publications, preprints and reviews. With this growing body of third-party validation, a broad range of new customers, including biobanks, biopharmaceutical companies, and academic institutions, are adopting the Proteograph for large-scale proteomic studies, advancing breakthrough discoveries and multi-omics driven precision medicine.</w:t>
      </w:r>
    </w:p>
    <w:p>
      <w:pPr>
        <w:spacing w:after="0" w:line="153" w:lineRule="exact"/>
        <w:rPr>
          <w:sz w:val="20"/>
          <w:szCs w:val="20"/>
          <w:color w:val="auto"/>
        </w:rPr>
      </w:pPr>
    </w:p>
    <w:p>
      <w:pPr>
        <w:ind w:left="120" w:right="280"/>
        <w:spacing w:after="0" w:line="251" w:lineRule="auto"/>
        <w:rPr>
          <w:sz w:val="20"/>
          <w:szCs w:val="20"/>
          <w:color w:val="auto"/>
        </w:rPr>
      </w:pPr>
      <w:r>
        <w:rPr>
          <w:rFonts w:ascii="Arial" w:cs="Arial" w:eastAsia="Arial" w:hAnsi="Arial"/>
          <w:sz w:val="19"/>
          <w:szCs w:val="19"/>
          <w:color w:val="auto"/>
        </w:rPr>
        <w:t>Prior to the Proteograph, interrogating the human proteome was historically challenging due to its complexity, as multiple protein variants can arise from each gene. This complexity stems from various biological processes that contribute to the functional proteome, including transcription, translation, post-translational modifications (PTMs) and protein interactions.</w:t>
      </w:r>
    </w:p>
    <w:p>
      <w:pPr>
        <w:spacing w:after="0" w:line="124" w:lineRule="exact"/>
        <w:rPr>
          <w:sz w:val="20"/>
          <w:szCs w:val="20"/>
          <w:color w:val="auto"/>
        </w:rPr>
      </w:pPr>
    </w:p>
    <w:p>
      <w:pPr>
        <w:jc w:val="both"/>
        <w:ind w:left="120" w:right="300"/>
        <w:spacing w:after="0" w:line="305" w:lineRule="auto"/>
        <w:rPr>
          <w:sz w:val="20"/>
          <w:szCs w:val="20"/>
          <w:color w:val="auto"/>
        </w:rPr>
      </w:pPr>
      <w:r>
        <w:rPr>
          <w:rFonts w:ascii="Arial" w:cs="Arial" w:eastAsia="Arial" w:hAnsi="Arial"/>
          <w:sz w:val="19"/>
          <w:szCs w:val="19"/>
          <w:color w:val="auto"/>
        </w:rPr>
        <w:t>To unravel this complexity, researchers require deep, unbiased population-scale studies. Before the introduction of the Proteograph, the largest published deep unbiased plasma proteomics study, which measured at least 600 proteins, was limited to just 48 samples.</w:t>
      </w:r>
    </w:p>
    <w:p>
      <w:pPr>
        <w:spacing w:after="0" w:line="116" w:lineRule="exact"/>
        <w:rPr>
          <w:sz w:val="20"/>
          <w:szCs w:val="20"/>
          <w:color w:val="auto"/>
        </w:rPr>
      </w:pPr>
    </w:p>
    <w:p>
      <w:pPr>
        <w:ind w:left="120" w:right="300"/>
        <w:spacing w:after="0" w:line="311" w:lineRule="auto"/>
        <w:rPr>
          <w:sz w:val="20"/>
          <w:szCs w:val="20"/>
          <w:color w:val="auto"/>
        </w:rPr>
      </w:pPr>
      <w:r>
        <w:rPr>
          <w:rFonts w:ascii="Arial" w:cs="Arial" w:eastAsia="Arial" w:hAnsi="Arial"/>
          <w:sz w:val="18"/>
          <w:szCs w:val="18"/>
          <w:color w:val="auto"/>
        </w:rPr>
        <w:t>Additionally, traditional proteomic approaches have struggled to provide both depth and scale in studying samples with high dynamic range. Traditional methods fall into two broad categories: (i) unbiased but not scalable; or (ii) scalable but targeted. Traditional deep, unbiased approaches require complex, lengthy, labor- and capital-intensive workflows, restricting their application to small, under-powered studies. Targeted methods, while scalable, are limited to predetermined proteins and lack the peptide-level resolution to accurately differentiate between protein variants within the same biological sample. These limitations have historically forced researchers to choose between study scale and protein coverage depth.</w:t>
      </w:r>
    </w:p>
    <w:p>
      <w:pPr>
        <w:spacing w:after="0" w:line="115" w:lineRule="exact"/>
        <w:rPr>
          <w:sz w:val="20"/>
          <w:szCs w:val="20"/>
          <w:color w:val="auto"/>
        </w:rPr>
      </w:pPr>
    </w:p>
    <w:p>
      <w:pPr>
        <w:ind w:left="120" w:right="320"/>
        <w:spacing w:after="0" w:line="312" w:lineRule="auto"/>
        <w:rPr>
          <w:sz w:val="20"/>
          <w:szCs w:val="20"/>
          <w:color w:val="auto"/>
        </w:rPr>
      </w:pPr>
      <w:r>
        <w:rPr>
          <w:rFonts w:ascii="Arial" w:cs="Arial" w:eastAsia="Arial" w:hAnsi="Arial"/>
          <w:sz w:val="18"/>
          <w:szCs w:val="18"/>
          <w:color w:val="auto"/>
        </w:rPr>
        <w:t>Today, the Proteograph eliminates this trade-off, enabling researchers to conduct deep, unbiased, population-scale studies over time, allowing them to catalog the proteome, explore protein variants, and understand the intricate relationships between the proteome and disease. Our customers have successfully completed deep, unbiased plasma proteomics studies at scale, quantifying thousands of proteins and hundreds of thousands of peptides across thousands of samples. This deeper level of analysis is driving novel insights into disease mechanisms, biomarker discovery, and potential therapeutic targets.</w:t>
      </w:r>
    </w:p>
    <w:p>
      <w:pPr>
        <w:sectPr>
          <w:pgSz w:w="12240" w:h="15840" w:orient="portrait"/>
          <w:cols w:equalWidth="0" w:num="1">
            <w:col w:w="9360"/>
          </w:cols>
          <w:pgMar w:left="1440" w:top="1440" w:right="1440" w:bottom="5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1</w:t>
      </w:r>
    </w:p>
    <w:p>
      <w:pPr>
        <w:sectPr>
          <w:pgSz w:w="12240" w:h="15840" w:orient="portrait"/>
          <w:cols w:equalWidth="0" w:num="1">
            <w:col w:w="9360"/>
          </w:cols>
          <w:pgMar w:left="1440" w:top="1440" w:right="1440" w:bottom="598" w:gutter="0" w:footer="0" w:header="0"/>
          <w:type w:val="continuous"/>
        </w:sectPr>
      </w:pPr>
    </w:p>
    <w:bookmarkStart w:id="8" w:name="page9"/>
    <w:bookmarkEnd w:id="8"/>
    <w:p>
      <w:pPr>
        <w:spacing w:after="0" w:line="352" w:lineRule="exact"/>
        <w:rPr>
          <w:sz w:val="20"/>
          <w:szCs w:val="20"/>
          <w:color w:val="auto"/>
        </w:rPr>
      </w:pPr>
    </w:p>
    <w:p>
      <w:pPr>
        <w:ind w:left="120" w:right="280"/>
        <w:spacing w:after="0" w:line="310" w:lineRule="auto"/>
        <w:rPr>
          <w:sz w:val="20"/>
          <w:szCs w:val="20"/>
          <w:color w:val="auto"/>
        </w:rPr>
      </w:pPr>
      <w:r>
        <w:rPr>
          <w:rFonts w:ascii="Arial" w:cs="Arial" w:eastAsia="Arial" w:hAnsi="Arial"/>
          <w:sz w:val="18"/>
          <w:szCs w:val="18"/>
          <w:color w:val="auto"/>
        </w:rPr>
        <w:t>Researchers in both the proteomics and genomics markets are increasingly adopting the Proteograph to bridge the gap between genome, proteome, and disease. The Proteograph facilitates unprecedented unbiased, deep, large-scale studies, complementing genomics research by adding essential functional context to genetic variation. Advances in next-generation sequencing have enabled the sequencing of millions of human genomes and exomes, identifying more than 1.1 billion individual genetic variants, according to the dbSNP database. However, less than 0.3% of these variants have been cataloged in the ClinVar database with a known relationship to phenotype. This lack of functional annotation is partly due to the imbalance between access to genomic and proteomic data. We believe the Proteograph Product Suite is helping to close this gap.</w:t>
      </w:r>
    </w:p>
    <w:p>
      <w:pPr>
        <w:spacing w:after="0" w:line="115" w:lineRule="exact"/>
        <w:rPr>
          <w:sz w:val="20"/>
          <w:szCs w:val="20"/>
          <w:color w:val="auto"/>
        </w:rPr>
      </w:pPr>
    </w:p>
    <w:p>
      <w:pPr>
        <w:ind w:left="120" w:right="300"/>
        <w:spacing w:after="0" w:line="293" w:lineRule="auto"/>
        <w:rPr>
          <w:sz w:val="20"/>
          <w:szCs w:val="20"/>
          <w:color w:val="auto"/>
        </w:rPr>
      </w:pPr>
      <w:r>
        <w:rPr>
          <w:rFonts w:ascii="Arial" w:cs="Arial" w:eastAsia="Arial" w:hAnsi="Arial"/>
          <w:sz w:val="19"/>
          <w:szCs w:val="19"/>
          <w:color w:val="auto"/>
        </w:rPr>
        <w:t>Just as large-scale genomic access has transformed that field, large-scale proteomic access is beginning to do the same—revealing new biological insights, mapping novel protein variants, and advancing disease research, diagnostics, and treatment development. By aligning unbiased genomic data at the nucleotide level with proteomic data at the peptide and amino acid level, researchers can better connect genotype to phenotype. We believe our customers are developing more accurate disease biomarkers for diagnostics and therapeutics, accelerating multi-omics driven precision medicine.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The Importance of Proteomics</w:t>
      </w:r>
    </w:p>
    <w:p>
      <w:pPr>
        <w:spacing w:after="0" w:line="215" w:lineRule="exact"/>
        <w:rPr>
          <w:sz w:val="20"/>
          <w:szCs w:val="20"/>
          <w:color w:val="auto"/>
        </w:rPr>
      </w:pPr>
    </w:p>
    <w:p>
      <w:pPr>
        <w:ind w:left="120" w:right="260"/>
        <w:spacing w:after="0" w:line="337" w:lineRule="auto"/>
        <w:rPr>
          <w:sz w:val="20"/>
          <w:szCs w:val="20"/>
          <w:color w:val="auto"/>
        </w:rPr>
      </w:pPr>
      <w:r>
        <w:rPr>
          <w:rFonts w:ascii="Arial" w:cs="Arial" w:eastAsia="Arial" w:hAnsi="Arial"/>
          <w:sz w:val="17"/>
          <w:szCs w:val="17"/>
          <w:color w:val="auto"/>
        </w:rPr>
        <w:t>Detailed and complex biological information resides within the proteome. Nearly all functions of an organism depend on the interactions between proteins and other biological molecules. Proteins serve as dynamic indicators of health status, disease progression and therapeutic response. As depicted in Figure 1 below, the genome is a static indicator of an individual’s baseline physiology, while the proteome reveals the current physiological state. Despite its importance, the human proteome is relatively unexplored compared to the human genome.</w:t>
      </w:r>
    </w:p>
    <w:p>
      <w:pPr>
        <w:spacing w:after="0" w:line="100" w:lineRule="exact"/>
        <w:rPr>
          <w:sz w:val="20"/>
          <w:szCs w:val="20"/>
          <w:color w:val="auto"/>
        </w:rPr>
      </w:pPr>
    </w:p>
    <w:p>
      <w:pPr>
        <w:ind w:left="120" w:right="280"/>
        <w:spacing w:after="0" w:line="320" w:lineRule="auto"/>
        <w:rPr>
          <w:sz w:val="20"/>
          <w:szCs w:val="20"/>
          <w:color w:val="auto"/>
        </w:rPr>
      </w:pPr>
      <w:r>
        <w:rPr>
          <w:rFonts w:ascii="Arial" w:cs="Arial" w:eastAsia="Arial" w:hAnsi="Arial"/>
          <w:sz w:val="18"/>
          <w:szCs w:val="18"/>
          <w:color w:val="auto"/>
        </w:rPr>
        <w:t>Understanding the functional context of proteins is essential for linking genomic information with phenotypes. However, this connection remains limited, as the vast majority of genetic variants lack functional context at the protein level. We believe that enabling researchers to generate large-scale, integrated proteomic and genomic data will enhance their understanding of the relationship between variation, function and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213360</wp:posOffset>
            </wp:positionV>
            <wp:extent cx="5687695" cy="2054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extLst>
                    </a:blip>
                    <a:srcRect/>
                    <a:stretch>
                      <a:fillRect/>
                    </a:stretch>
                  </pic:blipFill>
                  <pic:spPr bwMode="auto">
                    <a:xfrm>
                      <a:off x="0" y="0"/>
                      <a:ext cx="5687695" cy="205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120" w:right="240"/>
        <w:spacing w:after="0" w:line="310" w:lineRule="auto"/>
        <w:rPr>
          <w:sz w:val="20"/>
          <w:szCs w:val="20"/>
          <w:color w:val="auto"/>
        </w:rPr>
      </w:pPr>
      <w:r>
        <w:rPr>
          <w:rFonts w:ascii="Arial" w:cs="Arial" w:eastAsia="Arial" w:hAnsi="Arial"/>
          <w:sz w:val="15"/>
          <w:szCs w:val="15"/>
          <w:color w:val="auto"/>
        </w:rPr>
        <w:t>Figure 1: Utility of genomic vs. proteomic information. Over one million human genomes have been highly characterized with over 1.1 billion variants, but they have low utility and represent a static indicator of risk. The human proteome is far less characterized, but has a much higher utility as a dynamic indicator of health status.</w:t>
      </w:r>
    </w:p>
    <w:p>
      <w:pPr>
        <w:sectPr>
          <w:pgSz w:w="12240" w:h="15840" w:orient="portrait"/>
          <w:cols w:equalWidth="0" w:num="1">
            <w:col w:w="9360"/>
          </w:cols>
          <w:pgMar w:left="1440" w:top="1440" w:right="1440" w:bottom="5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9360"/>
          </w:cols>
          <w:pgMar w:left="1440" w:top="1440" w:right="1440" w:bottom="598" w:gutter="0" w:footer="0" w:header="0"/>
          <w:type w:val="continuous"/>
        </w:sectPr>
      </w:pPr>
    </w:p>
    <w:bookmarkStart w:id="9" w:name="page10"/>
    <w:bookmarkEnd w:id="9"/>
    <w:p>
      <w:pPr>
        <w:spacing w:after="0" w:line="3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Complexity of the Proteome</w:t>
      </w:r>
    </w:p>
    <w:p>
      <w:pPr>
        <w:spacing w:after="0" w:line="215" w:lineRule="exact"/>
        <w:rPr>
          <w:sz w:val="20"/>
          <w:szCs w:val="20"/>
          <w:color w:val="auto"/>
        </w:rPr>
      </w:pPr>
    </w:p>
    <w:p>
      <w:pPr>
        <w:ind w:left="120" w:right="280"/>
        <w:spacing w:after="0" w:line="326" w:lineRule="auto"/>
        <w:rPr>
          <w:sz w:val="20"/>
          <w:szCs w:val="20"/>
          <w:color w:val="auto"/>
        </w:rPr>
      </w:pPr>
      <w:r>
        <w:rPr>
          <w:rFonts w:ascii="Arial" w:cs="Arial" w:eastAsia="Arial" w:hAnsi="Arial"/>
          <w:sz w:val="17"/>
          <w:szCs w:val="17"/>
          <w:color w:val="auto"/>
        </w:rPr>
        <w:t>The human proteome is dynamic, diverse and complex, with approximately 23,000 genes giving rise to over one million protein variants. As shown in Figure 2 below, these variants arise from various mechanisms, including alternative splicing of RNA transcripts, genetic variations that alter the amino acid sequence of the protein, and post-translational modifications such as phosphorylation and glycosylation. It is estimated that our approximately 23,000 genes give rise to approximately 70,000 protein isoforms through alternative splicing. At a population level, a much larger number of protein isoforms exist because of genetic variants and somatic variants that alter RNA processing. Protein variants can have vastly different biological functions and be expressed in different tissues within the same individual. For example, two isoforms of the protein encoded by CD99L2 have different interacting proteins and those two proteins’ networks are related to distinct diseases (Yang et al.). An example of a protein that has tissue-specific isoform abundance is FOX1, which has differential isoform presence in muscle and brain tissue (Nakahata and Kawamoto). Therefore, it is essential to study and understand proteins at the level of protein variants in the appropriate biosample, and this can be achieved only through large-scale analysis of the proteome at the peptide level.</w:t>
      </w:r>
    </w:p>
    <w:p>
      <w:pPr>
        <w:spacing w:after="0" w:line="108" w:lineRule="exact"/>
        <w:rPr>
          <w:sz w:val="20"/>
          <w:szCs w:val="20"/>
          <w:color w:val="auto"/>
        </w:rPr>
      </w:pPr>
    </w:p>
    <w:p>
      <w:pPr>
        <w:ind w:left="120" w:right="320"/>
        <w:spacing w:after="0" w:line="309" w:lineRule="auto"/>
        <w:rPr>
          <w:sz w:val="20"/>
          <w:szCs w:val="20"/>
          <w:color w:val="auto"/>
        </w:rPr>
      </w:pPr>
      <w:r>
        <w:rPr>
          <w:rFonts w:ascii="Arial" w:cs="Arial" w:eastAsia="Arial" w:hAnsi="Arial"/>
          <w:sz w:val="18"/>
          <w:szCs w:val="18"/>
          <w:color w:val="auto"/>
        </w:rPr>
        <w:t>A study by Backman et al. published in Nature revealed the genomic variation identified in a cohort of approximately 455,000 participants of the UK Biobank exome sequencing study. The study identified a vast amount of protein variation, including almost nine million protein variants, of which more than six million are potentially deleterious and 915,289 are protein loss-of-function variants. On the individual level, each participant had on average 9,506 protein variants, of which 2,945 were potentially deleterious and 214 were loss-of-function variants. However, these variants were only identified at the genomic level and did not account for alternative splicing or post-translational modifications. Considering these additional sources of protein variants, the actual number of protein variants at both individual and population-wide levels is significantly higher.</w:t>
      </w:r>
    </w:p>
    <w:p>
      <w:pPr>
        <w:spacing w:after="0" w:line="119" w:lineRule="exact"/>
        <w:rPr>
          <w:sz w:val="20"/>
          <w:szCs w:val="20"/>
          <w:color w:val="auto"/>
        </w:rPr>
      </w:pPr>
    </w:p>
    <w:p>
      <w:pPr>
        <w:ind w:left="120" w:right="340"/>
        <w:spacing w:after="0" w:line="307" w:lineRule="auto"/>
        <w:rPr>
          <w:sz w:val="20"/>
          <w:szCs w:val="20"/>
          <w:color w:val="auto"/>
        </w:rPr>
      </w:pPr>
      <w:r>
        <w:rPr>
          <w:rFonts w:ascii="Arial" w:cs="Arial" w:eastAsia="Arial" w:hAnsi="Arial"/>
          <w:sz w:val="19"/>
          <w:szCs w:val="19"/>
          <w:color w:val="auto"/>
        </w:rPr>
        <w:t>These findings emphasize the unmet need to understand protein variants at the peptide level and underscore how little is currently known about the complexity of the proteome. We believe understanding protein variation at this level could revolutionize how we diagnose, treat, and monitor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80645</wp:posOffset>
            </wp:positionV>
            <wp:extent cx="5685790" cy="254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0">
                      <a:extLst>
                        <a:ext uri="{28A0092B-C50C-407E-A947-70E740481C1C}"/>
                      </a:extLst>
                    </a:blip>
                    <a:srcRect/>
                    <a:stretch>
                      <a:fillRect/>
                    </a:stretch>
                  </pic:blipFill>
                  <pic:spPr bwMode="auto">
                    <a:xfrm>
                      <a:off x="0" y="0"/>
                      <a:ext cx="5685790" cy="254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580" w:right="240"/>
        <w:spacing w:after="0" w:line="333" w:lineRule="auto"/>
        <w:rPr>
          <w:sz w:val="20"/>
          <w:szCs w:val="20"/>
          <w:color w:val="auto"/>
        </w:rPr>
      </w:pPr>
      <w:r>
        <w:rPr>
          <w:rFonts w:ascii="Arial" w:cs="Arial" w:eastAsia="Arial" w:hAnsi="Arial"/>
          <w:sz w:val="15"/>
          <w:szCs w:val="15"/>
          <w:color w:val="auto"/>
        </w:rPr>
        <w:t>Figure 2: Functional diversity exists through modifications and interactions of different molecules, from static indicators like the genome to increasingly numerous and complex indicators like the proteome and interactome. Modified from Bludau et al.</w:t>
      </w:r>
    </w:p>
    <w:p>
      <w:pPr>
        <w:sectPr>
          <w:pgSz w:w="12240" w:h="15840" w:orient="portrait"/>
          <w:cols w:equalWidth="0" w:num="1">
            <w:col w:w="9360"/>
          </w:cols>
          <w:pgMar w:left="1440" w:top="1440" w:right="1440" w:bottom="5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9360"/>
          </w:cols>
          <w:pgMar w:left="1440" w:top="1440" w:right="1440" w:bottom="598" w:gutter="0" w:footer="0" w:header="0"/>
          <w:type w:val="continuous"/>
        </w:sectPr>
      </w:pPr>
    </w:p>
    <w:bookmarkStart w:id="10" w:name="page11"/>
    <w:bookmarkEnd w:id="10"/>
    <w:p>
      <w:pPr>
        <w:spacing w:after="0" w:line="3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The Importance of Unbiased, Peptide-level Resolution Proteomics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Importance of an Unbiased Approach in the Discovery of Novel Content</w:t>
      </w:r>
    </w:p>
    <w:p>
      <w:pPr>
        <w:spacing w:after="0" w:line="207" w:lineRule="exact"/>
        <w:rPr>
          <w:sz w:val="20"/>
          <w:szCs w:val="20"/>
          <w:color w:val="auto"/>
        </w:rPr>
      </w:pPr>
    </w:p>
    <w:p>
      <w:pPr>
        <w:ind w:left="120" w:right="520"/>
        <w:spacing w:after="0" w:line="299" w:lineRule="auto"/>
        <w:rPr>
          <w:sz w:val="20"/>
          <w:szCs w:val="20"/>
          <w:color w:val="auto"/>
        </w:rPr>
      </w:pPr>
      <w:r>
        <w:rPr>
          <w:rFonts w:ascii="Arial" w:cs="Arial" w:eastAsia="Arial" w:hAnsi="Arial"/>
          <w:sz w:val="19"/>
          <w:szCs w:val="19"/>
          <w:color w:val="auto"/>
        </w:rPr>
        <w:t>The ability to perform unbiased sampling at scale has transformed biological analysis. In genomics, unbiased sequencing of the genome enabled discovery of novel content, creating new end-market opportunities in basic research and discovery, translational research and clinical applications, including early cancer detection, recurrence monitoring and non-invasive prenatal testing.</w:t>
      </w:r>
    </w:p>
    <w:p>
      <w:pPr>
        <w:spacing w:after="0" w:line="124" w:lineRule="exact"/>
        <w:rPr>
          <w:sz w:val="20"/>
          <w:szCs w:val="20"/>
          <w:color w:val="auto"/>
        </w:rPr>
      </w:pPr>
    </w:p>
    <w:p>
      <w:pPr>
        <w:ind w:left="120" w:right="280"/>
        <w:spacing w:after="0" w:line="308" w:lineRule="auto"/>
        <w:rPr>
          <w:sz w:val="20"/>
          <w:szCs w:val="20"/>
          <w:color w:val="auto"/>
        </w:rPr>
      </w:pPr>
      <w:r>
        <w:rPr>
          <w:rFonts w:ascii="Arial" w:cs="Arial" w:eastAsia="Arial" w:hAnsi="Arial"/>
          <w:sz w:val="18"/>
          <w:szCs w:val="18"/>
          <w:color w:val="auto"/>
        </w:rPr>
        <w:t>Similar to genomics, we believe that peptide-level resolution is crucial to the discovery of novel content and new biological insights. One example is alternative protein isoforms arising from the same gene locus. At the transcriptome level, these alternative transcripts are known as spliceforms. Most human genes can produce more than one protein spliceform and, according to the Ensembl genome database project, as many as 70,000 protein spliceforms are generated by more than 23,000 human genes through alternative splicing. If we account for additional spliceforms at the population level, arising from genetic variants and somatic variants including those responsible for cancers (which affect RNA processing), the number is much larger. Affinity-based approaches generally cannot differentiate between spliceforms, whereas unbiased MS-based approaches survey proteins at the peptide level, enabling differentiation between spliceforms.</w:t>
      </w:r>
    </w:p>
    <w:p>
      <w:pPr>
        <w:spacing w:after="0" w:line="122" w:lineRule="exact"/>
        <w:rPr>
          <w:sz w:val="20"/>
          <w:szCs w:val="20"/>
          <w:color w:val="auto"/>
        </w:rPr>
      </w:pPr>
    </w:p>
    <w:p>
      <w:pPr>
        <w:ind w:left="120" w:right="340"/>
        <w:spacing w:after="0" w:line="309" w:lineRule="auto"/>
        <w:rPr>
          <w:sz w:val="20"/>
          <w:szCs w:val="20"/>
          <w:color w:val="auto"/>
        </w:rPr>
      </w:pPr>
      <w:r>
        <w:rPr>
          <w:rFonts w:ascii="Arial" w:cs="Arial" w:eastAsia="Arial" w:hAnsi="Arial"/>
          <w:sz w:val="18"/>
          <w:szCs w:val="18"/>
          <w:color w:val="auto"/>
        </w:rPr>
        <w:t>Peptide-level resolution is critical for identifying biologically important novel cancer biomarkers, as we demonstrated in our Nature Communications paper (Blume et al.). Using data from that paper, we identified several biomarkers at the peptide level that would have been missed if we had only focused on overall protein expression, including bone morphogenic protein 1 (BMP1). In PLOS One, Donovan et al. find that the known spliceforms of BMP1 exhibit differential abundance in cases and controls; the single short form is more abundant in cancer cases, while the long forms are more abundant in controls. In that paper, we propose a mechanism to explain the differential abundance based on lack of domains in the short form. This highlights the importance of generating data at the peptide level, which is made possible by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222885</wp:posOffset>
            </wp:positionV>
            <wp:extent cx="4896485" cy="24853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1">
                      <a:extLst>
                        <a:ext uri="{28A0092B-C50C-407E-A947-70E740481C1C}"/>
                      </a:extLst>
                    </a:blip>
                    <a:srcRect/>
                    <a:stretch>
                      <a:fillRect/>
                    </a:stretch>
                  </pic:blipFill>
                  <pic:spPr bwMode="auto">
                    <a:xfrm>
                      <a:off x="0" y="0"/>
                      <a:ext cx="4896485" cy="248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1580" w:right="60"/>
        <w:spacing w:after="0" w:line="312" w:lineRule="auto"/>
        <w:rPr>
          <w:sz w:val="20"/>
          <w:szCs w:val="20"/>
          <w:color w:val="auto"/>
        </w:rPr>
      </w:pPr>
      <w:r>
        <w:rPr>
          <w:rFonts w:ascii="Arial" w:cs="Arial" w:eastAsia="Arial" w:hAnsi="Arial"/>
          <w:sz w:val="15"/>
          <w:szCs w:val="15"/>
          <w:color w:val="auto"/>
        </w:rPr>
        <w:t>Figure 3: Identification of peptide-level variants of BMP1 enabled by an unbiased approach. Peptide-level identification reveals individual BMP1 variants, showing an opposite pattern of differential expression in the short vs. long variants of BMP1 in individuals with non-small-cell lung cancer (NSCLC) compared to normal controls.</w:t>
      </w:r>
    </w:p>
    <w:p>
      <w:pPr>
        <w:sectPr>
          <w:pgSz w:w="12240" w:h="15840" w:orient="portrait"/>
          <w:cols w:equalWidth="0" w:num="1">
            <w:col w:w="9360"/>
          </w:cols>
          <w:pgMar w:left="1440" w:top="1440" w:right="1440" w:bottom="5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9360"/>
          </w:cols>
          <w:pgMar w:left="1440" w:top="1440" w:right="1440" w:bottom="598" w:gutter="0" w:footer="0" w:header="0"/>
          <w:type w:val="continuous"/>
        </w:sectPr>
      </w:pPr>
    </w:p>
    <w:bookmarkStart w:id="11" w:name="page12"/>
    <w:bookmarkEnd w:id="11"/>
    <w:p>
      <w:pPr>
        <w:spacing w:after="0" w:line="352" w:lineRule="exact"/>
        <w:rPr>
          <w:sz w:val="20"/>
          <w:szCs w:val="20"/>
          <w:color w:val="auto"/>
        </w:rPr>
      </w:pPr>
    </w:p>
    <w:p>
      <w:pPr>
        <w:ind w:left="120" w:right="320"/>
        <w:spacing w:after="0" w:line="325" w:lineRule="auto"/>
        <w:rPr>
          <w:sz w:val="20"/>
          <w:szCs w:val="20"/>
          <w:color w:val="auto"/>
        </w:rPr>
      </w:pPr>
      <w:r>
        <w:rPr>
          <w:rFonts w:ascii="Arial" w:cs="Arial" w:eastAsia="Arial" w:hAnsi="Arial"/>
          <w:sz w:val="17"/>
          <w:szCs w:val="17"/>
          <w:color w:val="auto"/>
        </w:rPr>
        <w:t>Peptide-level resolution is especially important in proteogenomic analyses, where the presence of allelic variants within proteins confounds affinity-based proteomics methods. In recent work, Karsten Suhre and colleagues in collaboration with our team conducted the first deep, large-scale mass spectrometry (MS)-based genome-wide association search (GWAS) for protein quantitative trait loci (pQTLs) (Suhre et al.). In addition to discovering 252 pQTLs across a discovery cohort of 1,260 American participants and a replication in 325 individuals from Asia with diverse ethnic backgrounds, Suhre et al. investigated 200 of the strongest cis-pQTLs previously identified using two separate leading affinity-based technologies, which were applied to a cohort of 36,000 Icelandic participants and a cohort of 55,000 UK participants, respectively. Suhre et al. found that up to one third of the affinity proteomics pQTLs may be affected by epitope effects and, therefore, be false positive identifications due to the presence of protein allelic variants that disrupt or alter the binding of the affinity reagent to the protein surface. Another third of the 200 analyzed pQTLs were confirmed by Seer-based MS proteomics. These findings are consistent with the hypothesis that genetic variants induce changes in protein expression. This study demonstrated the ability of peptide-level resolution in distinguishing between true pQTLs and putatively false identifications of affinity-based proteomics technologies, suggesting that many more pQTLs remain to be discovered using MS-based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76835</wp:posOffset>
            </wp:positionV>
            <wp:extent cx="3696970" cy="3415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2">
                      <a:extLst>
                        <a:ext uri="{28A0092B-C50C-407E-A947-70E740481C1C}"/>
                      </a:extLst>
                    </a:blip>
                    <a:srcRect/>
                    <a:stretch>
                      <a:fillRect/>
                    </a:stretch>
                  </pic:blipFill>
                  <pic:spPr bwMode="auto">
                    <a:xfrm>
                      <a:off x="0" y="0"/>
                      <a:ext cx="3696970" cy="341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1600"/>
        <w:spacing w:after="0" w:line="320" w:lineRule="auto"/>
        <w:rPr>
          <w:sz w:val="20"/>
          <w:szCs w:val="20"/>
          <w:color w:val="auto"/>
        </w:rPr>
      </w:pPr>
      <w:r>
        <w:rPr>
          <w:rFonts w:ascii="Arial" w:cs="Arial" w:eastAsia="Arial" w:hAnsi="Arial"/>
          <w:sz w:val="14"/>
          <w:szCs w:val="14"/>
          <w:color w:val="auto"/>
        </w:rPr>
        <w:t>Figure 4: The ability of peptide-level resolution to validate affinity-based pQTL identifications. The 100 strongest pQTLs identified in a cohort of 55,000 participants in UK Biobank are scored by Seer MS data obtained in a discovery cohort of 1,260 American participants and a replication cohort of 325 Asian participants. In the x-axis, each of the 100 pQTLs is sorted by statistical significance in UK Biobank, left being the most significant; in the y-axis, each pQTL is scored according to peptide-level evidence in Seer data, with 1.0 being the highest level of evidence. The pQTLs marked green were found by another affinity-based platform performed in a cohort of 36,000 Icelandic participants; such pQTLs are highly reliable, being independently discovered in two cohorts by two technologies. Almost all highly reliable pQTLs are scored highly by Seer data; conversely, pQTLs that are scored low are likely to be false discoveries, potentially due to epitope effects induced by the presence of protein allelic variants that alter the binding of the affinity reagent to the protein surface.</w:t>
      </w:r>
    </w:p>
    <w:p>
      <w:pPr>
        <w:sectPr>
          <w:pgSz w:w="12240" w:h="15840" w:orient="portrait"/>
          <w:cols w:equalWidth="0" w:num="1">
            <w:col w:w="9360"/>
          </w:cols>
          <w:pgMar w:left="1440" w:top="1440" w:right="1440" w:bottom="5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9360"/>
          </w:cols>
          <w:pgMar w:left="1440" w:top="1440" w:right="1440" w:bottom="598" w:gutter="0" w:footer="0" w:header="0"/>
          <w:type w:val="continuous"/>
        </w:sectPr>
      </w:pPr>
    </w:p>
    <w:bookmarkStart w:id="12" w:name="page13"/>
    <w:bookmarkEnd w:id="12"/>
    <w:p>
      <w:pPr>
        <w:spacing w:after="0" w:line="3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Our Proprietary Engineered Nanoparticle Technology</w:t>
      </w:r>
    </w:p>
    <w:p>
      <w:pPr>
        <w:spacing w:after="0" w:line="215" w:lineRule="exact"/>
        <w:rPr>
          <w:sz w:val="20"/>
          <w:szCs w:val="20"/>
          <w:color w:val="auto"/>
        </w:rPr>
      </w:pPr>
    </w:p>
    <w:p>
      <w:pPr>
        <w:ind w:left="120" w:right="380"/>
        <w:spacing w:after="0" w:line="293" w:lineRule="auto"/>
        <w:rPr>
          <w:sz w:val="20"/>
          <w:szCs w:val="20"/>
          <w:color w:val="auto"/>
        </w:rPr>
      </w:pPr>
      <w:r>
        <w:rPr>
          <w:rFonts w:ascii="Arial" w:cs="Arial" w:eastAsia="Arial" w:hAnsi="Arial"/>
          <w:sz w:val="19"/>
          <w:szCs w:val="19"/>
          <w:color w:val="auto"/>
        </w:rPr>
        <w:t>The Proteograph Product Suite leverages our proprietary engineered NP technology to overcome the limitations of existing methods, and enable an easy-to-use workflow for unbiased, deep, rapid and scalable proteomic analysis. Our proprietary engineered NPs provide unbiased sampling of intact proteins across the dynamic range of the proteome, capturing molecular information at the peptide-level, including protein variants. The NPs eliminate the need for complex workflows required by other unbiased approaches, which we believe will make proteomics more accessible to the broader scientific community.</w:t>
      </w:r>
    </w:p>
    <w:p>
      <w:pPr>
        <w:spacing w:after="0" w:line="131" w:lineRule="exact"/>
        <w:rPr>
          <w:sz w:val="20"/>
          <w:szCs w:val="20"/>
          <w:color w:val="auto"/>
        </w:rPr>
      </w:pPr>
    </w:p>
    <w:p>
      <w:pPr>
        <w:ind w:left="120" w:right="400"/>
        <w:spacing w:after="0" w:line="308" w:lineRule="auto"/>
        <w:rPr>
          <w:sz w:val="20"/>
          <w:szCs w:val="20"/>
          <w:color w:val="auto"/>
        </w:rPr>
      </w:pPr>
      <w:r>
        <w:rPr>
          <w:rFonts w:ascii="Arial" w:cs="Arial" w:eastAsia="Arial" w:hAnsi="Arial"/>
          <w:sz w:val="18"/>
          <w:szCs w:val="18"/>
          <w:color w:val="auto"/>
        </w:rPr>
        <w:t>Typically, nanoparticles have a diameter in the tens to hundreds of nanometers, much smaller than a human hair, which has a diameter of 80,000 nanometers. When nanoparticles come into contact with a biological sample, a thin layer of intact proteins rapidly, selectively and reproducibly adsorbs onto their surface, forming what is called a protein “corona.” Additional intact proteins can also bind directly to proteins already attached to the nanoparticle through protein-protein interactions (PPIs), and intact protein complexes may also attach to the nanoparticle directly. Our engineered NPs capture intact proteins across the dynamic range without requiring prior knowledge of proteome composition or designing the assay for specific protein targets. In combination with an unbiased MS readout, they reveal molecular information at the peptide level revealing protein variants. At binding equilibrium, which occurs within minutes after our NPs encounter a biosample, the selective sampling of proteins by our NPs is robust and highly reproducible.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122555</wp:posOffset>
            </wp:positionV>
            <wp:extent cx="5687695" cy="1703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a:extLst>
                        <a:ext uri="{28A0092B-C50C-407E-A947-70E740481C1C}"/>
                      </a:extLst>
                    </a:blip>
                    <a:srcRect/>
                    <a:stretch>
                      <a:fillRect/>
                    </a:stretch>
                  </pic:blipFill>
                  <pic:spPr bwMode="auto">
                    <a:xfrm>
                      <a:off x="0" y="0"/>
                      <a:ext cx="5687695" cy="170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1640"/>
        <w:spacing w:after="0" w:line="333" w:lineRule="auto"/>
        <w:rPr>
          <w:sz w:val="20"/>
          <w:szCs w:val="20"/>
          <w:color w:val="auto"/>
        </w:rPr>
      </w:pPr>
      <w:r>
        <w:rPr>
          <w:rFonts w:ascii="Arial" w:cs="Arial" w:eastAsia="Arial" w:hAnsi="Arial"/>
          <w:sz w:val="15"/>
          <w:szCs w:val="15"/>
          <w:color w:val="auto"/>
        </w:rPr>
        <w:t>Figure 5: Nanoparticles allow unbiased interrogation of proteoform diversity. Our nanoparticle technology leverages engineered physicochemical properties to reproducibly bind to proteins without prior knowledge, forming a protein corona.</w:t>
      </w:r>
    </w:p>
    <w:p>
      <w:pPr>
        <w:spacing w:after="0" w:line="103" w:lineRule="exact"/>
        <w:rPr>
          <w:sz w:val="20"/>
          <w:szCs w:val="20"/>
          <w:color w:val="auto"/>
        </w:rPr>
      </w:pPr>
    </w:p>
    <w:p>
      <w:pPr>
        <w:ind w:left="120" w:right="360"/>
        <w:spacing w:after="0" w:line="292" w:lineRule="auto"/>
        <w:rPr>
          <w:sz w:val="20"/>
          <w:szCs w:val="20"/>
          <w:color w:val="auto"/>
        </w:rPr>
      </w:pPr>
      <w:r>
        <w:rPr>
          <w:rFonts w:ascii="Arial" w:cs="Arial" w:eastAsia="Arial" w:hAnsi="Arial"/>
          <w:sz w:val="19"/>
          <w:szCs w:val="19"/>
          <w:color w:val="auto"/>
        </w:rPr>
        <w:t>The binding of proteins to the nanoparticle surface and protein sampling are primarily driven by three factors: (i) the affinity of a particular protein for the physicochemical surface of a specific nanoparticle; (ii) the concentration of a specific protein in a biological sample; and (iii) the affinity of the proteins for other proteins on the surface of the nanoparticle, forming PPIs. A variety of materials and methods are used to create different nanoparticles with distinct physicochemical properties, which generate a unique protein corona pattern and a unique proteomic fingerprint. As the amount of proteomic data increases, we will continue to refine the unique physicochemical properties of our NPs with advanced machine learning.</w:t>
      </w:r>
    </w:p>
    <w:p>
      <w:pPr>
        <w:sectPr>
          <w:pgSz w:w="12240" w:h="15840" w:orient="portrait"/>
          <w:cols w:equalWidth="0" w:num="1">
            <w:col w:w="9360"/>
          </w:cols>
          <w:pgMar w:left="1440" w:top="1440" w:right="1440" w:bottom="5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6</w:t>
      </w:r>
    </w:p>
    <w:p>
      <w:pPr>
        <w:sectPr>
          <w:pgSz w:w="12240" w:h="15840" w:orient="portrait"/>
          <w:cols w:equalWidth="0" w:num="1">
            <w:col w:w="9360"/>
          </w:cols>
          <w:pgMar w:left="1440" w:top="1440" w:right="1440" w:bottom="598" w:gutter="0" w:footer="0" w:header="0"/>
          <w:type w:val="continuous"/>
        </w:sectPr>
      </w:pPr>
    </w:p>
    <w:bookmarkStart w:id="13" w:name="page14"/>
    <w:bookmarkEnd w:id="13"/>
    <w:p>
      <w:pPr>
        <w:spacing w:after="0" w:line="352" w:lineRule="exact"/>
        <w:rPr>
          <w:sz w:val="20"/>
          <w:szCs w:val="20"/>
          <w:color w:val="auto"/>
        </w:rPr>
      </w:pPr>
    </w:p>
    <w:p>
      <w:pPr>
        <w:ind w:left="120" w:right="260"/>
        <w:spacing w:after="0" w:line="330" w:lineRule="auto"/>
        <w:rPr>
          <w:sz w:val="20"/>
          <w:szCs w:val="20"/>
          <w:color w:val="auto"/>
        </w:rPr>
      </w:pPr>
      <w:r>
        <w:rPr>
          <w:rFonts w:ascii="Arial" w:cs="Arial" w:eastAsia="Arial" w:hAnsi="Arial"/>
          <w:sz w:val="17"/>
          <w:szCs w:val="17"/>
          <w:color w:val="auto"/>
        </w:rPr>
        <w:t>By incorporating our nanoparticles in an assay, we achieve a representative and thorough sampling across the dynamic range of the proteome, from high- to low-abundance proteins. In this way, we have successfully replaced complex laboratory workflows for the enrichment of samples for deep, unbiased MS, enabling the capture of thousands of proteins from biofluids for large-scale proteomics studies. Nanoparticles can interrogate almost any solubilized biological sample, including cell or tissue homogenates, blood or blood components (such as plasma or serum), urine, saliva, cerebrospinal fluid and synovial fluid. This versatility, we believe, strongly suggests that a vast universe of different nanoparticles with different physicochemical properties could be employed across a broad range of sample types, to selectively, reproducibly and deeply sample the proteome in an unbiased way.</w:t>
      </w:r>
    </w:p>
    <w:p>
      <w:pPr>
        <w:spacing w:after="0" w:line="103" w:lineRule="exact"/>
        <w:rPr>
          <w:sz w:val="20"/>
          <w:szCs w:val="20"/>
          <w:color w:val="auto"/>
        </w:rPr>
      </w:pPr>
    </w:p>
    <w:p>
      <w:pPr>
        <w:ind w:left="120" w:right="540"/>
        <w:spacing w:after="0" w:line="299" w:lineRule="auto"/>
        <w:rPr>
          <w:sz w:val="20"/>
          <w:szCs w:val="20"/>
          <w:color w:val="auto"/>
        </w:rPr>
      </w:pPr>
      <w:r>
        <w:rPr>
          <w:rFonts w:ascii="Arial" w:cs="Arial" w:eastAsia="Arial" w:hAnsi="Arial"/>
          <w:sz w:val="19"/>
          <w:szCs w:val="19"/>
          <w:color w:val="auto"/>
        </w:rPr>
        <w:t>We have validated our NP technology and the principle of protein corona formation as a robust and reproducible method to deeply and broadly profile the proteome in a high-throughput manner. We have characterized our technology and its performance in three peer-reviewed publications: Nature Communications (Blume et al.), PNAS (Ferdosi et al.), and Advanced Materials (Ferdosi et al.).</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The Proteograph Product Suite</w:t>
      </w:r>
    </w:p>
    <w:p>
      <w:pPr>
        <w:spacing w:after="0" w:line="215" w:lineRule="exact"/>
        <w:rPr>
          <w:sz w:val="20"/>
          <w:szCs w:val="20"/>
          <w:color w:val="auto"/>
        </w:rPr>
      </w:pPr>
    </w:p>
    <w:p>
      <w:pPr>
        <w:ind w:left="120" w:right="460"/>
        <w:spacing w:after="0" w:line="295" w:lineRule="auto"/>
        <w:rPr>
          <w:sz w:val="20"/>
          <w:szCs w:val="20"/>
          <w:color w:val="auto"/>
        </w:rPr>
      </w:pPr>
      <w:r>
        <w:rPr>
          <w:rFonts w:ascii="Arial" w:cs="Arial" w:eastAsia="Arial" w:hAnsi="Arial"/>
          <w:sz w:val="19"/>
          <w:szCs w:val="19"/>
          <w:color w:val="auto"/>
        </w:rPr>
        <w:t>The Proteograph Product Suite is an integrated solution consisting of consumables, an automation instrument, and data analysis software to perform unbiased, deep proteomic analysis at scale in a matter of hours. We designed the Proteograph workflow to be efficient and easy-to-use, and to leverage common laboratory instrumentation to enable adoption in both centralized and decentralized settings, making deep, unbiased proteomics accessible to nearly any lab.</w:t>
      </w:r>
    </w:p>
    <w:p>
      <w:pPr>
        <w:spacing w:after="0" w:line="129" w:lineRule="exact"/>
        <w:rPr>
          <w:sz w:val="20"/>
          <w:szCs w:val="20"/>
          <w:color w:val="auto"/>
        </w:rPr>
      </w:pPr>
    </w:p>
    <w:p>
      <w:pPr>
        <w:ind w:left="120" w:right="260"/>
        <w:spacing w:after="0" w:line="307" w:lineRule="auto"/>
        <w:rPr>
          <w:sz w:val="20"/>
          <w:szCs w:val="20"/>
          <w:color w:val="auto"/>
        </w:rPr>
      </w:pPr>
      <w:r>
        <w:rPr>
          <w:rFonts w:ascii="Arial" w:cs="Arial" w:eastAsia="Arial" w:hAnsi="Arial"/>
          <w:sz w:val="18"/>
          <w:szCs w:val="18"/>
          <w:color w:val="auto"/>
        </w:rPr>
        <w:t>The Proteograph consumables consist of our NPs and all other consumables necessary to assay samples in an automated workflow on our SP100 automation instrument. Our automated workflow is custom configured for researchers to assay samples in approximately eight hours, which includes approximately 30 minutes of hands-on time and seven and a half hours of automated instrument time. The output from the Proteograph workflow consists of peptides ready to be processed and evaluated on an MS instrument. The Proteograph Product Suite is detector agnostic and, we believe, will be adaptable to other protein detection instruments in the future. The MS component of the Proteograph workflow is either provided by the researcher’s laboratory, can be outsourced to a third-party provider, or be run through the Seer Technology Access Center (STAC), which is our in-house service program. The Proteograph Analysis Suite, a data analytics software suite, provides quality control and allows researchers to analyze and interpret the output from the system to gain insights from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87630</wp:posOffset>
            </wp:positionV>
            <wp:extent cx="5687695" cy="1650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4">
                      <a:extLst>
                        <a:ext uri="{28A0092B-C50C-407E-A947-70E740481C1C}"/>
                      </a:extLst>
                    </a:blip>
                    <a:srcRect/>
                    <a:stretch>
                      <a:fillRect/>
                    </a:stretch>
                  </pic:blipFill>
                  <pic:spPr bwMode="auto">
                    <a:xfrm>
                      <a:off x="0" y="0"/>
                      <a:ext cx="5687695" cy="165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Figure 6: Proteograph Product Suite comprises consumables, an automation instrument, and software.</w:t>
      </w:r>
    </w:p>
    <w:p>
      <w:pPr>
        <w:sectPr>
          <w:pgSz w:w="12240" w:h="15840" w:orient="portrait"/>
          <w:cols w:equalWidth="0" w:num="1">
            <w:col w:w="9360"/>
          </w:cols>
          <w:pgMar w:left="1440" w:top="1440" w:right="1440" w:bottom="5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7</w:t>
      </w:r>
    </w:p>
    <w:p>
      <w:pPr>
        <w:sectPr>
          <w:pgSz w:w="12240" w:h="15840" w:orient="portrait"/>
          <w:cols w:equalWidth="0" w:num="1">
            <w:col w:w="9360"/>
          </w:cols>
          <w:pgMar w:left="1440" w:top="1440" w:right="1440" w:bottom="598" w:gutter="0" w:footer="0" w:header="0"/>
          <w:type w:val="continuous"/>
        </w:sectPr>
      </w:pPr>
    </w:p>
    <w:bookmarkStart w:id="14" w:name="page15"/>
    <w:bookmarkEnd w:id="14"/>
    <w:p>
      <w:pPr>
        <w:spacing w:after="0" w:line="352" w:lineRule="exact"/>
        <w:rPr>
          <w:sz w:val="20"/>
          <w:szCs w:val="20"/>
          <w:color w:val="auto"/>
        </w:rPr>
      </w:pPr>
    </w:p>
    <w:p>
      <w:pPr>
        <w:ind w:left="120" w:right="440"/>
        <w:spacing w:after="0" w:line="326" w:lineRule="auto"/>
        <w:rPr>
          <w:sz w:val="20"/>
          <w:szCs w:val="20"/>
          <w:color w:val="auto"/>
        </w:rPr>
      </w:pPr>
      <w:r>
        <w:rPr>
          <w:rFonts w:ascii="Arial" w:cs="Arial" w:eastAsia="Arial" w:hAnsi="Arial"/>
          <w:sz w:val="19"/>
          <w:szCs w:val="19"/>
          <w:color w:val="auto"/>
        </w:rPr>
        <w:t>Prior to the Proteograph, conducting deep, unbiased proteomic studies at scale was not possible due to three primary bottlenecks:</w:t>
      </w:r>
    </w:p>
    <w:p>
      <w:pPr>
        <w:spacing w:after="0" w:line="99" w:lineRule="exact"/>
        <w:rPr>
          <w:sz w:val="20"/>
          <w:szCs w:val="20"/>
          <w:color w:val="auto"/>
        </w:rPr>
      </w:pPr>
    </w:p>
    <w:p>
      <w:pPr>
        <w:ind w:left="1040" w:right="420"/>
        <w:spacing w:after="0" w:line="344" w:lineRule="auto"/>
        <w:rPr>
          <w:sz w:val="20"/>
          <w:szCs w:val="20"/>
          <w:color w:val="auto"/>
        </w:rPr>
      </w:pPr>
      <w:r>
        <w:rPr>
          <w:rFonts w:ascii="Arial" w:cs="Arial" w:eastAsia="Arial" w:hAnsi="Arial"/>
          <w:sz w:val="17"/>
          <w:szCs w:val="17"/>
          <w:color w:val="auto"/>
        </w:rPr>
        <w:t>Workflow: Researchers had to make tradeoffs between depth of coverage and scale of studies. Studies of scale could only sample a few hundred higher abundant proteins and process tens of samples due to the complicated nature of the workflows, which were not standardized across research labs. However, we addressed this bottleneck with the introduction of the Proteograph SP100 instrument and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-655320</wp:posOffset>
            </wp:positionV>
            <wp:extent cx="67945" cy="679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86" w:lineRule="exact"/>
        <w:rPr>
          <w:sz w:val="20"/>
          <w:szCs w:val="20"/>
          <w:color w:val="auto"/>
        </w:rPr>
      </w:pPr>
    </w:p>
    <w:p>
      <w:pPr>
        <w:jc w:val="both"/>
        <w:ind w:left="1040" w:right="460"/>
        <w:spacing w:after="0" w:line="302" w:lineRule="auto"/>
        <w:rPr>
          <w:sz w:val="20"/>
          <w:szCs w:val="20"/>
          <w:color w:val="auto"/>
        </w:rPr>
      </w:pPr>
      <w:r>
        <w:rPr>
          <w:rFonts w:ascii="Arial" w:cs="Arial" w:eastAsia="Arial" w:hAnsi="Arial"/>
          <w:sz w:val="17"/>
          <w:szCs w:val="17"/>
          <w:color w:val="auto"/>
        </w:rPr>
        <w:t>Data Analysis: Processing more than a few hundred samples was challenging due to limitations of data processing and analytical methods. We believe the Proteograph Analysis Suite is the first cloud scalable MS proteomics analysis solution capable of scaling to over tens of thousands of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-412115</wp:posOffset>
            </wp:positionV>
            <wp:extent cx="67945" cy="67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 w:lineRule="exact"/>
        <w:rPr>
          <w:sz w:val="20"/>
          <w:szCs w:val="20"/>
          <w:color w:val="auto"/>
        </w:rPr>
      </w:pPr>
    </w:p>
    <w:p>
      <w:pPr>
        <w:ind w:left="1040" w:right="280"/>
        <w:spacing w:after="0" w:line="279" w:lineRule="auto"/>
        <w:rPr>
          <w:sz w:val="20"/>
          <w:szCs w:val="20"/>
          <w:color w:val="auto"/>
        </w:rPr>
      </w:pPr>
      <w:r>
        <w:rPr>
          <w:rFonts w:ascii="Arial" w:cs="Arial" w:eastAsia="Arial" w:hAnsi="Arial"/>
          <w:sz w:val="18"/>
          <w:szCs w:val="18"/>
          <w:color w:val="auto"/>
        </w:rPr>
        <w:t>Detector: MS manufacturers are continuously improving the performance of their instruments. When paired with our Proteograph Product Suite, performance is significantly amplified, allowing researchers to conduct unbiased, deep population-scale proteomic studies for the first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-401955</wp:posOffset>
            </wp:positionV>
            <wp:extent cx="67945" cy="679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a:extLst>
                        <a:ext uri="{28A0092B-C50C-407E-A947-70E740481C1C}"/>
                      </a:extLst>
                    </a:blip>
                    <a:srcRect/>
                    <a:stretch>
                      <a:fillRect/>
                    </a:stretch>
                  </pic:blipFill>
                  <pic:spPr bwMode="auto">
                    <a:xfrm>
                      <a:off x="0" y="0"/>
                      <a:ext cx="67945" cy="67945"/>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-31115</wp:posOffset>
            </wp:positionV>
            <wp:extent cx="5685790" cy="2214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8">
                      <a:extLst>
                        <a:ext uri="{28A0092B-C50C-407E-A947-70E740481C1C}"/>
                      </a:extLst>
                    </a:blip>
                    <a:srcRect/>
                    <a:stretch>
                      <a:fillRect/>
                    </a:stretch>
                  </pic:blipFill>
                  <pic:spPr bwMode="auto">
                    <a:xfrm>
                      <a:off x="0" y="0"/>
                      <a:ext cx="5685790" cy="2214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1600" w:right="320"/>
        <w:spacing w:after="0" w:line="333" w:lineRule="auto"/>
        <w:rPr>
          <w:sz w:val="20"/>
          <w:szCs w:val="20"/>
          <w:color w:val="auto"/>
        </w:rPr>
      </w:pPr>
      <w:r>
        <w:rPr>
          <w:rFonts w:ascii="Arial" w:cs="Arial" w:eastAsia="Arial" w:hAnsi="Arial"/>
          <w:sz w:val="15"/>
          <w:szCs w:val="15"/>
          <w:color w:val="auto"/>
        </w:rPr>
        <w:t>Figure 7: Seer is continuously innovating to address bottlenecks across the MS proteomics workflow and enhancing products to improve performance.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Consumables</w:t>
      </w:r>
    </w:p>
    <w:p>
      <w:pPr>
        <w:spacing w:after="0" w:line="211" w:lineRule="exact"/>
        <w:rPr>
          <w:sz w:val="20"/>
          <w:szCs w:val="20"/>
          <w:color w:val="auto"/>
        </w:rPr>
      </w:pPr>
    </w:p>
    <w:p>
      <w:pPr>
        <w:ind w:left="120" w:right="300"/>
        <w:spacing w:after="0" w:line="305" w:lineRule="auto"/>
        <w:rPr>
          <w:sz w:val="20"/>
          <w:szCs w:val="20"/>
          <w:color w:val="auto"/>
        </w:rPr>
      </w:pPr>
      <w:r>
        <w:rPr>
          <w:rFonts w:ascii="Arial" w:cs="Arial" w:eastAsia="Arial" w:hAnsi="Arial"/>
          <w:sz w:val="19"/>
          <w:szCs w:val="19"/>
          <w:color w:val="auto"/>
        </w:rPr>
        <w:t>We launched our second assay, Proteograph XT, in June 2023, which significantly enhanced the sample throughput of the Proteograph Product Suite and MS instrument, while also improving performance as measured by protein group identification.</w:t>
      </w:r>
    </w:p>
    <w:p>
      <w:pPr>
        <w:spacing w:after="0" w:line="119" w:lineRule="exact"/>
        <w:rPr>
          <w:sz w:val="20"/>
          <w:szCs w:val="20"/>
          <w:color w:val="auto"/>
        </w:rPr>
      </w:pPr>
    </w:p>
    <w:p>
      <w:pPr>
        <w:ind w:left="120" w:right="340"/>
        <w:spacing w:after="0" w:line="293" w:lineRule="auto"/>
        <w:rPr>
          <w:sz w:val="20"/>
          <w:szCs w:val="20"/>
          <w:color w:val="auto"/>
        </w:rPr>
      </w:pPr>
      <w:r>
        <w:rPr>
          <w:rFonts w:ascii="Arial" w:cs="Arial" w:eastAsia="Arial" w:hAnsi="Arial"/>
          <w:sz w:val="19"/>
          <w:szCs w:val="19"/>
          <w:color w:val="auto"/>
        </w:rPr>
        <w:t>The Proteograph XT assay employs two wells of NPs, assay buffers and reagents for protein lysis and digestion, peptide purification, peptide quantification and the reconstitution of lyophilized materials. The current product allows for the interrogation and processing of up to 40 samples in parallel on a single 96-well plate in approximately eight hours. Each sample incubates separately in two wells, yielding 80 wells of peptides in a 96-well plate. The remaining 16 wells are reserved for integrated quality control samples to ensure consistent process performance and to aid in troubleshooting.</w:t>
      </w:r>
    </w:p>
    <w:p>
      <w:pPr>
        <w:spacing w:after="0" w:line="131" w:lineRule="exact"/>
        <w:rPr>
          <w:sz w:val="20"/>
          <w:szCs w:val="20"/>
          <w:color w:val="auto"/>
        </w:rPr>
      </w:pPr>
    </w:p>
    <w:p>
      <w:pPr>
        <w:ind w:left="120" w:right="380"/>
        <w:spacing w:after="0" w:line="344" w:lineRule="auto"/>
        <w:rPr>
          <w:sz w:val="20"/>
          <w:szCs w:val="20"/>
          <w:color w:val="auto"/>
        </w:rPr>
      </w:pPr>
      <w:r>
        <w:rPr>
          <w:rFonts w:ascii="Arial" w:cs="Arial" w:eastAsia="Arial" w:hAnsi="Arial"/>
          <w:sz w:val="17"/>
          <w:szCs w:val="17"/>
          <w:color w:val="auto"/>
        </w:rPr>
        <w:t>The ready availability of non-particle reagents, combined with our ability to efficiently design and fabricate different NPs with different physicochemical properties, greatly facilitates the development and production of future iterations or additional versions of the Proteograph assays to address potential customer needs, such as expanded protein coverage or specialized assays, including potential assays that can be used with clinical products.</w:t>
      </w:r>
    </w:p>
    <w:p>
      <w:pPr>
        <w:sectPr>
          <w:pgSz w:w="12240" w:h="15840" w:orient="portrait"/>
          <w:cols w:equalWidth="0" w:num="1">
            <w:col w:w="9360"/>
          </w:cols>
          <w:pgMar w:left="1440" w:top="1440" w:right="1440" w:bottom="5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8</w:t>
      </w:r>
    </w:p>
    <w:p>
      <w:pPr>
        <w:sectPr>
          <w:pgSz w:w="12240" w:h="15840" w:orient="portrait"/>
          <w:cols w:equalWidth="0" w:num="1">
            <w:col w:w="9360"/>
          </w:cols>
          <w:pgMar w:left="1440" w:top="1440" w:right="1440" w:bottom="598" w:gutter="0" w:footer="0" w:header="0"/>
          <w:type w:val="continuous"/>
        </w:sectPr>
      </w:pPr>
    </w:p>
    <w:bookmarkStart w:id="15" w:name="page16"/>
    <w:bookmarkEnd w:id="15"/>
    <w:p>
      <w:pPr>
        <w:spacing w:after="0" w:line="352" w:lineRule="exact"/>
        <w:rPr>
          <w:sz w:val="20"/>
          <w:szCs w:val="20"/>
          <w:color w:val="auto"/>
        </w:rPr>
      </w:pPr>
    </w:p>
    <w:p>
      <w:pPr>
        <w:ind w:left="120" w:right="340"/>
        <w:spacing w:after="0" w:line="338" w:lineRule="auto"/>
        <w:rPr>
          <w:sz w:val="20"/>
          <w:szCs w:val="20"/>
          <w:color w:val="auto"/>
        </w:rPr>
      </w:pPr>
      <w:r>
        <w:rPr>
          <w:rFonts w:ascii="Arial" w:cs="Arial" w:eastAsia="Arial" w:hAnsi="Arial"/>
          <w:sz w:val="17"/>
          <w:szCs w:val="17"/>
          <w:color w:val="auto"/>
        </w:rPr>
        <w:t>In the first quarter of 2025, we announced a new supported application on Proteograph XT for cell lysate proteomics, bringing the power of the Proteograph to intracellular proteomics. High-value and difficult-to-characterize protein compartments can now be studied more extensively. With Proteograph XT Cell Lysate, we see substantial increase in protein coverage compared to conventional MS-based cell lysate analysis across a range of protein types including cell membrane proteins, DNA binding proteins, transmembrane proteins, and receptor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65405</wp:posOffset>
            </wp:positionV>
            <wp:extent cx="3983990" cy="3500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a:extLst>
                        <a:ext uri="{28A0092B-C50C-407E-A947-70E740481C1C}"/>
                      </a:extLst>
                    </a:blip>
                    <a:srcRect/>
                    <a:stretch>
                      <a:fillRect/>
                    </a:stretch>
                  </pic:blipFill>
                  <pic:spPr bwMode="auto">
                    <a:xfrm>
                      <a:off x="0" y="0"/>
                      <a:ext cx="3983990" cy="350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Figure 8: Proteograph XT Cell Lysate enables customers to move beyond plasma proteomics and delve deeper into the intracellular proteome.</w:t>
      </w:r>
    </w:p>
    <w:p>
      <w:pPr>
        <w:spacing w:after="0" w:line="48"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Proteograph XT Cell Lysate more deeply interrogates and identifies proteins across several intracellular compartments compared to conventional</w:t>
      </w:r>
    </w:p>
    <w:p>
      <w:pPr>
        <w:spacing w:after="0" w:line="57"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MS-based cell lysate analysis.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Automation Instrument</w:t>
      </w:r>
    </w:p>
    <w:p>
      <w:pPr>
        <w:spacing w:after="0" w:line="209" w:lineRule="exact"/>
        <w:rPr>
          <w:sz w:val="20"/>
          <w:szCs w:val="20"/>
          <w:color w:val="auto"/>
        </w:rPr>
      </w:pPr>
    </w:p>
    <w:p>
      <w:pPr>
        <w:ind w:left="120" w:right="320"/>
        <w:spacing w:after="0" w:line="320" w:lineRule="auto"/>
        <w:rPr>
          <w:sz w:val="20"/>
          <w:szCs w:val="20"/>
          <w:color w:val="auto"/>
        </w:rPr>
      </w:pPr>
      <w:r>
        <w:rPr>
          <w:rFonts w:ascii="Arial" w:cs="Arial" w:eastAsia="Arial" w:hAnsi="Arial"/>
          <w:sz w:val="18"/>
          <w:szCs w:val="18"/>
          <w:color w:val="auto"/>
        </w:rPr>
        <w:t>We designed the Proteograph assay to be run in a robust and automated manner on our SP100 automation instrument, which is a custom-configured, industry-standard, liquid handling workstation. Our SP100 instrument is designed to enable studies of hundreds to thousands of samples, with an automated workflow that allows for rapid, highly-parallel sample processing with approximately 30 minutes of set-up time.</w:t>
      </w:r>
    </w:p>
    <w:p>
      <w:pPr>
        <w:spacing w:after="0" w:line="109" w:lineRule="exact"/>
        <w:rPr>
          <w:sz w:val="20"/>
          <w:szCs w:val="20"/>
          <w:color w:val="auto"/>
        </w:rPr>
      </w:pPr>
    </w:p>
    <w:p>
      <w:pPr>
        <w:ind w:left="120" w:right="280"/>
        <w:spacing w:after="0" w:line="337" w:lineRule="auto"/>
        <w:rPr>
          <w:sz w:val="20"/>
          <w:szCs w:val="20"/>
          <w:color w:val="auto"/>
        </w:rPr>
      </w:pPr>
      <w:r>
        <w:rPr>
          <w:rFonts w:ascii="Arial" w:cs="Arial" w:eastAsia="Arial" w:hAnsi="Arial"/>
          <w:sz w:val="17"/>
          <w:szCs w:val="17"/>
          <w:color w:val="auto"/>
        </w:rPr>
        <w:t>The Proteograph workflow is driven by the Instrument Control Software (ICS) on the SP100 automation instrument. The workflow has been configured to process one full 96-well plate at a time, in just eight hours, processing 40 samples in parallel. The output of the Proteograph workflow consists of peptides that are quantified, dried, and can be reconstituted when ready for injection into a MS. MS provides quantitative unbiased detection, either on an instrument provided by the user, or sent out for MS analysis to a third-party provider.</w:t>
      </w:r>
    </w:p>
    <w:p>
      <w:pPr>
        <w:sectPr>
          <w:pgSz w:w="12240" w:h="15840" w:orient="portrait"/>
          <w:cols w:equalWidth="0" w:num="1">
            <w:col w:w="9360"/>
          </w:cols>
          <w:pgMar w:left="1440" w:top="1440" w:right="1440" w:bottom="5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9</w:t>
      </w:r>
    </w:p>
    <w:p>
      <w:pPr>
        <w:sectPr>
          <w:pgSz w:w="12240" w:h="15840" w:orient="portrait"/>
          <w:cols w:equalWidth="0" w:num="1">
            <w:col w:w="9360"/>
          </w:cols>
          <w:pgMar w:left="1440" w:top="1440" w:right="1440" w:bottom="598" w:gutter="0" w:footer="0" w:header="0"/>
          <w:type w:val="continuous"/>
        </w:sectPr>
      </w:pPr>
    </w:p>
    <w:bookmarkStart w:id="16" w:name="page17"/>
    <w:bookmarkEnd w:id="16"/>
    <w:p>
      <w:pPr>
        <w:spacing w:after="0" w:line="35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Software</w:t>
      </w:r>
    </w:p>
    <w:p>
      <w:pPr>
        <w:spacing w:after="0" w:line="211" w:lineRule="exact"/>
        <w:rPr>
          <w:sz w:val="20"/>
          <w:szCs w:val="20"/>
          <w:color w:val="auto"/>
        </w:rPr>
      </w:pPr>
    </w:p>
    <w:p>
      <w:pPr>
        <w:ind w:left="120" w:right="280"/>
        <w:spacing w:after="0" w:line="329" w:lineRule="auto"/>
        <w:rPr>
          <w:sz w:val="20"/>
          <w:szCs w:val="20"/>
          <w:color w:val="auto"/>
        </w:rPr>
      </w:pPr>
      <w:r>
        <w:rPr>
          <w:rFonts w:ascii="Arial" w:cs="Arial" w:eastAsia="Arial" w:hAnsi="Arial"/>
          <w:sz w:val="17"/>
          <w:szCs w:val="17"/>
          <w:color w:val="auto"/>
        </w:rPr>
        <w:t>The Proteograph Analysis Suite (PAS) is designed for ease-of-use and efficiency to help users arrive at insights quickly. To accommodate varying customer needs and scalability, we have designed the PAS to be cloud-based and, in the future, to be available via more localized solutions that accommodate different customer types and geographies. The PAS offers a predefined workflow for data management and analysis, leveraging publicly available MS data analysis tools as well as our own proprietary analysis tools. Without the PAS, proteomics analysis requires expert knowledge and a scalable high-performance computer infrastructure. We believe that the PAS can accelerate adoption of the Proteograph among non-experts by providing an intuitive user interface that automates data handling, simplifies processing and analysis and provides access to a scalable infrastructure that can be used by any lab.</w:t>
      </w:r>
    </w:p>
    <w:p>
      <w:pPr>
        <w:spacing w:after="0" w:line="110" w:lineRule="exact"/>
        <w:rPr>
          <w:sz w:val="20"/>
          <w:szCs w:val="20"/>
          <w:color w:val="auto"/>
        </w:rPr>
      </w:pPr>
    </w:p>
    <w:p>
      <w:pPr>
        <w:ind w:left="120" w:right="340"/>
        <w:spacing w:after="0" w:line="319" w:lineRule="auto"/>
        <w:rPr>
          <w:sz w:val="20"/>
          <w:szCs w:val="20"/>
          <w:color w:val="auto"/>
        </w:rPr>
      </w:pPr>
      <w:r>
        <w:rPr>
          <w:rFonts w:ascii="Arial" w:cs="Arial" w:eastAsia="Arial" w:hAnsi="Arial"/>
          <w:sz w:val="18"/>
          <w:szCs w:val="18"/>
          <w:color w:val="auto"/>
        </w:rPr>
        <w:t>The PAS also includes a dedicated proteogenomics workflow that maps peptide-level data to genomic data to identify sample-specific variant peptides not captured in canonical reference databases. The workflow provides interactive tables and plots, enables visualization of identified peptides’ relationship to gene structure, protein domain information and functional regions, and creates amino acid-level browsable peptide data maps.</w:t>
      </w:r>
    </w:p>
    <w:p>
      <w:pPr>
        <w:spacing w:after="0" w:line="110" w:lineRule="exact"/>
        <w:rPr>
          <w:sz w:val="20"/>
          <w:szCs w:val="20"/>
          <w:color w:val="auto"/>
        </w:rPr>
      </w:pPr>
    </w:p>
    <w:p>
      <w:pPr>
        <w:ind w:left="120" w:right="440"/>
        <w:spacing w:after="0" w:line="334" w:lineRule="auto"/>
        <w:rPr>
          <w:sz w:val="20"/>
          <w:szCs w:val="20"/>
          <w:color w:val="auto"/>
        </w:rPr>
      </w:pPr>
      <w:r>
        <w:rPr>
          <w:rFonts w:ascii="Arial" w:cs="Arial" w:eastAsia="Arial" w:hAnsi="Arial"/>
          <w:sz w:val="17"/>
          <w:szCs w:val="17"/>
          <w:color w:val="auto"/>
        </w:rPr>
        <w:t>Currently, one potential roadblock for researchers is understanding and evaluating the quality of their results. The Proteograph Assay Kit incorporates a series of controls for monitoring assay performance, and an integrated view of the results of these control runs via the PAS. Customers can evaluate trends over time and implement performance boundaries around the expected values that flag unexpected outcomes in the data. We believe providing a simple, consistent interface to evaluate the control data and generate a quality control (QC) report will help customers understand our approach to QC in the Proteograph workflow, simplifying support.</w:t>
      </w:r>
    </w:p>
    <w:p>
      <w:pPr>
        <w:spacing w:after="0" w:line="99" w:lineRule="exact"/>
        <w:rPr>
          <w:sz w:val="20"/>
          <w:szCs w:val="20"/>
          <w:color w:val="auto"/>
        </w:rPr>
      </w:pPr>
    </w:p>
    <w:p>
      <w:pPr>
        <w:ind w:left="120" w:right="280"/>
        <w:spacing w:after="0" w:line="296" w:lineRule="auto"/>
        <w:rPr>
          <w:sz w:val="20"/>
          <w:szCs w:val="20"/>
          <w:color w:val="auto"/>
        </w:rPr>
      </w:pPr>
      <w:r>
        <w:rPr>
          <w:rFonts w:ascii="Arial" w:cs="Arial" w:eastAsia="Arial" w:hAnsi="Arial"/>
          <w:sz w:val="19"/>
          <w:szCs w:val="19"/>
          <w:color w:val="auto"/>
        </w:rPr>
        <w:t>In 2024, the latest version of the PAS introduced a completely updated user interface, offering a more intuitive and professional experience for users. The update includes a completely revamped interface for the cohort analysis tools that expands functionality and makes it easier for users to generate biologically relevant information from their datasets. As we continue to improve and extend our product portfolio, we expect to continue to expand the capabilities and features in the PAS as well.</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Proteograph Product Suite Performance</w:t>
      </w:r>
    </w:p>
    <w:p>
      <w:pPr>
        <w:spacing w:after="0" w:line="213" w:lineRule="exact"/>
        <w:rPr>
          <w:sz w:val="20"/>
          <w:szCs w:val="20"/>
          <w:color w:val="auto"/>
        </w:rPr>
      </w:pPr>
    </w:p>
    <w:p>
      <w:pPr>
        <w:ind w:left="120" w:right="340"/>
        <w:spacing w:after="0" w:line="296" w:lineRule="auto"/>
        <w:rPr>
          <w:sz w:val="20"/>
          <w:szCs w:val="20"/>
          <w:color w:val="auto"/>
        </w:rPr>
      </w:pPr>
      <w:r>
        <w:rPr>
          <w:rFonts w:ascii="Arial" w:cs="Arial" w:eastAsia="Arial" w:hAnsi="Arial"/>
          <w:sz w:val="19"/>
          <w:szCs w:val="19"/>
          <w:color w:val="auto"/>
        </w:rPr>
        <w:t>The Proteograph Product Suite provides five essential capabilities: (i) broad protein sampling with peptide-level resolution; (ii) deep coverage; (iii) accurate and precise measurement; (iv) reproducibility and (v) scalability for high-throughput studies. We believe that our integrated solution is the only product in the market that combines all these technical and operational capabilities. Furthermore, we rigorously measure and evaluate each of these technical attributes, as we describe below.</w:t>
      </w:r>
    </w:p>
    <w:p>
      <w:pPr>
        <w:spacing w:after="0" w:line="135" w:lineRule="exact"/>
        <w:rPr>
          <w:sz w:val="20"/>
          <w:szCs w:val="20"/>
          <w:color w:val="auto"/>
        </w:rPr>
      </w:pPr>
    </w:p>
    <w:p>
      <w:pPr>
        <w:ind w:left="120" w:right="320"/>
        <w:spacing w:after="0" w:line="295" w:lineRule="auto"/>
        <w:rPr>
          <w:sz w:val="20"/>
          <w:szCs w:val="20"/>
          <w:color w:val="auto"/>
        </w:rPr>
      </w:pPr>
      <w:r>
        <w:rPr>
          <w:rFonts w:ascii="Arial" w:cs="Arial" w:eastAsia="Arial" w:hAnsi="Arial"/>
          <w:sz w:val="19"/>
          <w:szCs w:val="19"/>
          <w:b w:val="1"/>
          <w:bCs w:val="1"/>
          <w:color w:val="auto"/>
        </w:rPr>
        <w:t>Breadth of protein sampling</w:t>
      </w:r>
      <w:r>
        <w:rPr>
          <w:rFonts w:ascii="Arial" w:cs="Arial" w:eastAsia="Arial" w:hAnsi="Arial"/>
          <w:sz w:val="19"/>
          <w:szCs w:val="19"/>
          <w:color w:val="auto"/>
        </w:rPr>
        <w:t>. This capability refers to conducting unbiased, highly parallel sampling of the proteome.</w:t>
      </w:r>
      <w:r>
        <w:rPr>
          <w:rFonts w:ascii="Arial" w:cs="Arial" w:eastAsia="Arial" w:hAnsi="Arial"/>
          <w:sz w:val="19"/>
          <w:szCs w:val="19"/>
          <w:b w:val="1"/>
          <w:bCs w:val="1"/>
          <w:color w:val="auto"/>
        </w:rPr>
        <w:t xml:space="preserve"> </w:t>
      </w:r>
      <w:r>
        <w:rPr>
          <w:rFonts w:ascii="Arial" w:cs="Arial" w:eastAsia="Arial" w:hAnsi="Arial"/>
          <w:sz w:val="19"/>
          <w:szCs w:val="19"/>
          <w:color w:val="auto"/>
        </w:rPr>
        <w:t>Each well of the XT assay contains uniquely engineered NPs that selectively capture thousands of distinct intact proteins from a biosample based on their abundance and affinity for the NP surface. This sampling capability is particularly strong in complex biofluids such as plasma. Our unique NPs capture significantly more proteins than current methods of unbiased proteomic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-796290</wp:posOffset>
            </wp:positionV>
            <wp:extent cx="67945" cy="67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10</w:t>
      </w:r>
    </w:p>
    <w:p>
      <w:pPr>
        <w:sectPr>
          <w:pgSz w:w="12240" w:h="15840" w:orient="portrait"/>
          <w:cols w:equalWidth="0" w:num="1">
            <w:col w:w="9360"/>
          </w:cols>
          <w:pgMar w:left="1440" w:top="1440" w:right="1440" w:bottom="610" w:gutter="0" w:footer="0" w:header="0"/>
          <w:type w:val="continuous"/>
        </w:sectPr>
      </w:pPr>
    </w:p>
    <w:bookmarkStart w:id="17" w:name="page18"/>
    <w:bookmarkEnd w:id="17"/>
    <w:p>
      <w:pPr>
        <w:spacing w:after="0" w:line="338" w:lineRule="exact"/>
        <w:rPr>
          <w:sz w:val="20"/>
          <w:szCs w:val="20"/>
          <w:color w:val="auto"/>
        </w:rPr>
      </w:pPr>
    </w:p>
    <w:p>
      <w:pPr>
        <w:ind w:left="800" w:right="280" w:firstLine="4"/>
        <w:spacing w:after="0" w:line="295" w:lineRule="auto"/>
        <w:rPr>
          <w:sz w:val="20"/>
          <w:szCs w:val="20"/>
          <w:color w:val="auto"/>
        </w:rPr>
      </w:pPr>
      <w:r>
        <w:rPr>
          <w:rFonts w:ascii="Arial" w:cs="Arial" w:eastAsia="Arial" w:hAnsi="Arial"/>
          <w:sz w:val="17"/>
          <w:szCs w:val="17"/>
          <w:color w:val="auto"/>
        </w:rPr>
        <w:t>In a head-to-head experiment, Thermo Scientific</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directly compared the breadth of the Proteograph Product Suite to other unbiased proteomics methods using the same biological sample. Neat plasma, which represents the simplest form of unbiased proteomic analysis requiring minimal processing time using another method, resulted in a depth of coverage of 767 proteins. Using the Proteograph Product Suite, Thermo Scientific</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detected 6,033 proteins in plasma, representing 8.0x expansion in depth of protein coverage.</w:t>
      </w:r>
    </w:p>
    <w:p>
      <w:pPr>
        <w:spacing w:after="0" w:line="131" w:lineRule="exact"/>
        <w:rPr>
          <w:sz w:val="20"/>
          <w:szCs w:val="20"/>
          <w:color w:val="auto"/>
        </w:rPr>
      </w:pPr>
    </w:p>
    <w:p>
      <w:pPr>
        <w:ind w:left="800" w:right="620"/>
        <w:spacing w:after="0" w:line="326" w:lineRule="auto"/>
        <w:rPr>
          <w:sz w:val="20"/>
          <w:szCs w:val="20"/>
          <w:color w:val="auto"/>
        </w:rPr>
      </w:pPr>
      <w:r>
        <w:rPr>
          <w:rFonts w:ascii="Arial" w:cs="Arial" w:eastAsia="Arial" w:hAnsi="Arial"/>
          <w:sz w:val="19"/>
          <w:szCs w:val="19"/>
          <w:color w:val="auto"/>
        </w:rPr>
        <w:t>In another study performed by PrognomiQ, a 2021 spinout of Seer, across a set of 2,840 plasma samples, approximately 13,000 proteins were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350520</wp:posOffset>
            </wp:positionV>
            <wp:extent cx="3971290" cy="3049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1">
                      <a:extLst>
                        <a:ext uri="{28A0092B-C50C-407E-A947-70E740481C1C}"/>
                      </a:extLst>
                    </a:blip>
                    <a:srcRect/>
                    <a:stretch>
                      <a:fillRect/>
                    </a:stretch>
                  </pic:blipFill>
                  <pic:spPr bwMode="auto">
                    <a:xfrm>
                      <a:off x="0" y="0"/>
                      <a:ext cx="3971290" cy="304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2280" w:right="180"/>
        <w:spacing w:after="0" w:line="333" w:lineRule="auto"/>
        <w:rPr>
          <w:sz w:val="20"/>
          <w:szCs w:val="20"/>
          <w:color w:val="auto"/>
        </w:rPr>
      </w:pPr>
      <w:r>
        <w:rPr>
          <w:rFonts w:ascii="Arial" w:cs="Arial" w:eastAsia="Arial" w:hAnsi="Arial"/>
          <w:sz w:val="15"/>
          <w:szCs w:val="15"/>
          <w:color w:val="auto"/>
        </w:rPr>
        <w:t>Figure 9: Proteograph XT demonstrates an 8.0x expansion in depth of coverage compared to neat plasma. In a study performed by PrognomiQ across 2,840 plasma samples, approximately 13,000 proteins were identified.</w:t>
      </w:r>
    </w:p>
    <w:p>
      <w:pPr>
        <w:spacing w:after="0" w:line="105" w:lineRule="exact"/>
        <w:rPr>
          <w:sz w:val="20"/>
          <w:szCs w:val="20"/>
          <w:color w:val="auto"/>
        </w:rPr>
      </w:pPr>
    </w:p>
    <w:p>
      <w:pPr>
        <w:ind w:left="120" w:right="300"/>
        <w:spacing w:after="0" w:line="310" w:lineRule="auto"/>
        <w:rPr>
          <w:sz w:val="20"/>
          <w:szCs w:val="20"/>
          <w:color w:val="auto"/>
        </w:rPr>
      </w:pPr>
      <w:r>
        <w:rPr>
          <w:rFonts w:ascii="Arial" w:cs="Arial" w:eastAsia="Arial" w:hAnsi="Arial"/>
          <w:sz w:val="18"/>
          <w:szCs w:val="18"/>
          <w:color w:val="auto"/>
        </w:rPr>
        <w:t>The Proteograph is not limited to a defined set of proteins, and samples across the dynamic range of proteins and protein variants that may be present in biosamples. We have exemplified the utility of the Proteograph in studying secreted proteins across several different sample types, including cell or tissue homogenates, blood or blood components (such as plasma or serum), urine, saliva, cerebrospinal fluid, synovial fluid and conditioned media. Importantly, the Proteograph protein data is obtained using an MS detector, which is the gold standard for proteomics, and data is conventionally reported with a less than one percent False Discovery Rate (FDR). This means that the reported proteins are identified with over 99% confidence.</w:t>
      </w:r>
    </w:p>
    <w:p>
      <w:pPr>
        <w:spacing w:after="0" w:line="135" w:lineRule="exact"/>
        <w:rPr>
          <w:sz w:val="20"/>
          <w:szCs w:val="20"/>
          <w:color w:val="auto"/>
        </w:rPr>
      </w:pPr>
    </w:p>
    <w:p>
      <w:pPr>
        <w:ind w:left="800" w:right="320"/>
        <w:spacing w:after="0" w:line="296" w:lineRule="auto"/>
        <w:rPr>
          <w:sz w:val="20"/>
          <w:szCs w:val="20"/>
          <w:color w:val="auto"/>
        </w:rPr>
      </w:pPr>
      <w:r>
        <w:rPr>
          <w:rFonts w:ascii="Arial" w:cs="Arial" w:eastAsia="Arial" w:hAnsi="Arial"/>
          <w:sz w:val="19"/>
          <w:szCs w:val="19"/>
          <w:b w:val="1"/>
          <w:bCs w:val="1"/>
          <w:color w:val="auto"/>
        </w:rPr>
        <w:t>Depth of coverage</w:t>
      </w:r>
      <w:r>
        <w:rPr>
          <w:rFonts w:ascii="Arial" w:cs="Arial" w:eastAsia="Arial" w:hAnsi="Arial"/>
          <w:sz w:val="19"/>
          <w:szCs w:val="19"/>
          <w:color w:val="auto"/>
        </w:rPr>
        <w:t>. The Proteograph can quantify the proteome across a wide dynamic range of protein</w:t>
      </w:r>
      <w:r>
        <w:rPr>
          <w:rFonts w:ascii="Arial" w:cs="Arial" w:eastAsia="Arial" w:hAnsi="Arial"/>
          <w:sz w:val="19"/>
          <w:szCs w:val="19"/>
          <w:b w:val="1"/>
          <w:bCs w:val="1"/>
          <w:color w:val="auto"/>
        </w:rPr>
        <w:t xml:space="preserve"> </w:t>
      </w:r>
      <w:r>
        <w:rPr>
          <w:rFonts w:ascii="Arial" w:cs="Arial" w:eastAsia="Arial" w:hAnsi="Arial"/>
          <w:sz w:val="19"/>
          <w:szCs w:val="19"/>
          <w:color w:val="auto"/>
        </w:rPr>
        <w:t>abundance. Figure 10 compares the depth of coverage of our assay with that of plasma. Figure 10 below demonstrates that the Proteograph assay samples proteins across the entire dynamic range of the plasma proteome, as defined in the Human Plasma Proteome Project database (Schwenk et al.), whereas neat plasma samples only the most abundant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-798830</wp:posOffset>
            </wp:positionV>
            <wp:extent cx="67945" cy="67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11</w:t>
      </w:r>
    </w:p>
    <w:p>
      <w:pPr>
        <w:sectPr>
          <w:pgSz w:w="12240" w:h="15840" w:orient="portrait"/>
          <w:cols w:equalWidth="0" w:num="1">
            <w:col w:w="9360"/>
          </w:cols>
          <w:pgMar w:left="1440" w:top="1440" w:right="1440" w:bottom="61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1266190</wp:posOffset>
            </wp:positionV>
            <wp:extent cx="5393690" cy="29959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extLst>
                    </a:blip>
                    <a:srcRect/>
                    <a:stretch>
                      <a:fillRect/>
                    </a:stretch>
                  </pic:blipFill>
                  <pic:spPr bwMode="auto">
                    <a:xfrm>
                      <a:off x="0" y="0"/>
                      <a:ext cx="5393690" cy="299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2260"/>
        <w:spacing w:after="0" w:line="333" w:lineRule="auto"/>
        <w:rPr>
          <w:sz w:val="20"/>
          <w:szCs w:val="20"/>
          <w:color w:val="auto"/>
        </w:rPr>
      </w:pPr>
      <w:r>
        <w:rPr>
          <w:rFonts w:ascii="Arial" w:cs="Arial" w:eastAsia="Arial" w:hAnsi="Arial"/>
          <w:sz w:val="15"/>
          <w:szCs w:val="15"/>
          <w:color w:val="auto"/>
        </w:rPr>
        <w:t>Figure 10: The Proteograph identifies more proteomic content. The Proteograph workflow identifies protein across the dynamic range of the plasma proteome whereas neat plasma is limited to the most abundant proteins.</w:t>
      </w:r>
    </w:p>
    <w:p>
      <w:pPr>
        <w:spacing w:after="0" w:line="117" w:lineRule="exact"/>
        <w:rPr>
          <w:sz w:val="20"/>
          <w:szCs w:val="20"/>
          <w:color w:val="auto"/>
        </w:rPr>
      </w:pPr>
    </w:p>
    <w:p>
      <w:pPr>
        <w:ind w:left="800" w:right="280"/>
        <w:spacing w:after="0" w:line="324" w:lineRule="auto"/>
        <w:rPr>
          <w:sz w:val="20"/>
          <w:szCs w:val="20"/>
          <w:color w:val="auto"/>
        </w:rPr>
      </w:pPr>
      <w:r>
        <w:rPr>
          <w:rFonts w:ascii="Arial" w:cs="Arial" w:eastAsia="Arial" w:hAnsi="Arial"/>
          <w:sz w:val="17"/>
          <w:szCs w:val="17"/>
          <w:b w:val="1"/>
          <w:bCs w:val="1"/>
          <w:color w:val="auto"/>
        </w:rPr>
        <w:t xml:space="preserve">Accuracy of measurement. </w:t>
      </w:r>
      <w:r>
        <w:rPr>
          <w:rFonts w:ascii="Arial" w:cs="Arial" w:eastAsia="Arial" w:hAnsi="Arial"/>
          <w:sz w:val="17"/>
          <w:szCs w:val="17"/>
          <w:color w:val="auto"/>
        </w:rPr>
        <w:t>This capability measures how close the measured abundance of a protein is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true abundance in a sample. The measurement of the true abundance of a large number of proteins at the protein variant level at scale is not possible, so we use the ratio of abundances in two samples to demonstrate the accuracy of protein abundance measurement. We demonstrate the accuracy of protein abundance measurement by mixing two different plasmas in different ratios and measuring the relative MS signal intensity. By spiking human plasma with bovine plasma, the Proteograph can detect and quantify peptides that are unique to the bovine proteome. Peptides differ between the two species because of genetic differences that result in detectable changes at the amino acid level. By mixing the two plasma samples, the Proteograph can make measurements across thousands of peptides, highlighting the real-world accuracy of the Proteograph Product Suite. Panel A of Figure 11 shows how the change in MS intensity or intensity fold change varies when mixing the two plasmas at different ratios. Panel B of Figure 11 shows the results of this experiment, looking at threefold changes: 2X, 5.5X, and 11X. At each level, the dashed line is the expected fold change. The gray bars represent the distribution of bovine unique peptides for a neat plasma workflow, the dark blue bars represent the unique bovine peptides detected by both the Proteograph and the neat workflow and the teal bars represent all unique bovine peptides detected by Proteograph. In all cases, the median of each distribution is close to the dashed line, indicating that the median fold change is close to the expected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-2792095</wp:posOffset>
            </wp:positionV>
            <wp:extent cx="67945" cy="67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12</w:t>
      </w:r>
    </w:p>
    <w:p>
      <w:pPr>
        <w:sectPr>
          <w:pgSz w:w="12240" w:h="15840" w:orient="portrait"/>
          <w:cols w:equalWidth="0" w:num="1">
            <w:col w:w="9360"/>
          </w:cols>
          <w:pgMar w:left="1440" w:top="1440" w:right="1440" w:bottom="61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999490</wp:posOffset>
            </wp:positionH>
            <wp:positionV relativeFrom="page">
              <wp:posOffset>1141730</wp:posOffset>
            </wp:positionV>
            <wp:extent cx="5687695" cy="254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5">
                      <a:extLst>
                        <a:ext uri="{28A0092B-C50C-407E-A947-70E740481C1C}"/>
                      </a:extLst>
                    </a:blip>
                    <a:srcRect/>
                    <a:stretch>
                      <a:fillRect/>
                    </a:stretch>
                  </pic:blipFill>
                  <pic:spPr bwMode="auto">
                    <a:xfrm>
                      <a:off x="0" y="0"/>
                      <a:ext cx="5687695" cy="254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2280" w:right="20"/>
        <w:spacing w:after="0" w:line="301" w:lineRule="auto"/>
        <w:rPr>
          <w:sz w:val="20"/>
          <w:szCs w:val="20"/>
          <w:color w:val="auto"/>
        </w:rPr>
      </w:pPr>
      <w:r>
        <w:rPr>
          <w:rFonts w:ascii="Arial" w:cs="Arial" w:eastAsia="Arial" w:hAnsi="Arial"/>
          <w:sz w:val="15"/>
          <w:szCs w:val="15"/>
          <w:color w:val="auto"/>
        </w:rPr>
        <w:t>Figure 11: The Proteograph offers a high-degree of accuracy. (A) Three representative pairs of spiked-in samples and the expected fold changes of bovine proteins concentration in these pairs. (B) Distribution of observed fold changes of bovine proteins for three selected comparisons of spiked-in samples. The color indicates the data source: (i) neat digestion (gray), or (ii) Proteograph workflow constrained to proteins also identified in neat (dark blue) or (iii) Proteograph workflow all proteins (teal). The horizontal dashed lines indicate the expected fold changes.</w:t>
      </w:r>
    </w:p>
    <w:p>
      <w:pPr>
        <w:spacing w:after="0" w:line="141" w:lineRule="exact"/>
        <w:rPr>
          <w:sz w:val="20"/>
          <w:szCs w:val="20"/>
          <w:color w:val="auto"/>
        </w:rPr>
      </w:pPr>
    </w:p>
    <w:p>
      <w:pPr>
        <w:ind w:left="800" w:right="280"/>
        <w:spacing w:after="0" w:line="324" w:lineRule="auto"/>
        <w:rPr>
          <w:sz w:val="20"/>
          <w:szCs w:val="20"/>
          <w:color w:val="auto"/>
        </w:rPr>
      </w:pPr>
      <w:r>
        <w:rPr>
          <w:rFonts w:ascii="Arial" w:cs="Arial" w:eastAsia="Arial" w:hAnsi="Arial"/>
          <w:sz w:val="17"/>
          <w:szCs w:val="17"/>
          <w:b w:val="1"/>
          <w:bCs w:val="1"/>
          <w:color w:val="auto"/>
        </w:rPr>
        <w:t xml:space="preserve">Reproducibility of measurement in large studies. </w:t>
      </w:r>
      <w:r>
        <w:rPr>
          <w:rFonts w:ascii="Arial" w:cs="Arial" w:eastAsia="Arial" w:hAnsi="Arial"/>
          <w:sz w:val="17"/>
          <w:szCs w:val="17"/>
          <w:color w:val="auto"/>
        </w:rPr>
        <w:t>Reproducibility, also referred to as precision, is a measure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consistency of protein abundance measurements (i.e., MS measured intensity) between repeated measurements of the same sample. A higher reproducibility indicates lower noise, which reduces the number of samples required to observe a true fold change in the study. Reproducibility is usually measured as the coefficient of variation (CV%), which is the standard deviation divided by the mean multiplied by 100. A lower CV% represents a more precise measurement. The CV across individual components of the workflow, including the Proteograph instrument and the MS instrument, aggregate to form the overall CV% of the workflow (Figure 12; left panel). The typical CV% of MS instrumentation, derived by running the same peptide mixture in consecutive MS injections, is approximately 10%. Using the Proteograph assay to make protein measurements within a single plate adds approximately 7%, for a total CV of about 17%. Running a study across multiple plates and days adds further MS and Proteograph variability for a total system CV% of approximately 20%. Using data acquired over a long-running study, the Proteograph can derive power curves illustrating the power to detect fold changes of different sizes (Figure 12; right panel). For example, 1.5-fold and two-fold changes in protein abundance can be detected with 90% power in sample sizes of 192 and 66, respectively. Typical biological cohorts are much larger than this to capture biological variability and so we believe that the reproducibility of the Proteograph is well-calibrated for biomarker discovery and clinical proteomics.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-2792095</wp:posOffset>
            </wp:positionV>
            <wp:extent cx="67945" cy="679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13</w:t>
      </w:r>
    </w:p>
    <w:p>
      <w:pPr>
        <w:sectPr>
          <w:pgSz w:w="12240" w:h="15840" w:orient="portrait"/>
          <w:cols w:equalWidth="0" w:num="1">
            <w:col w:w="9360"/>
          </w:cols>
          <w:pgMar w:left="1440" w:top="1440" w:right="1440" w:bottom="61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999490</wp:posOffset>
            </wp:positionH>
            <wp:positionV relativeFrom="page">
              <wp:posOffset>1280160</wp:posOffset>
            </wp:positionV>
            <wp:extent cx="5685790" cy="1757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a:extLst>
                        <a:ext uri="{28A0092B-C50C-407E-A947-70E740481C1C}"/>
                      </a:extLst>
                    </a:blip>
                    <a:srcRect/>
                    <a:stretch>
                      <a:fillRect/>
                    </a:stretch>
                  </pic:blipFill>
                  <pic:spPr bwMode="auto">
                    <a:xfrm>
                      <a:off x="0" y="0"/>
                      <a:ext cx="5685790"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40"/>
        <w:spacing w:after="0"/>
        <w:rPr>
          <w:sz w:val="20"/>
          <w:szCs w:val="20"/>
          <w:color w:val="auto"/>
        </w:rPr>
      </w:pPr>
      <w:r>
        <w:rPr>
          <w:rFonts w:ascii="Arial" w:cs="Arial" w:eastAsia="Arial" w:hAnsi="Arial"/>
          <w:sz w:val="15"/>
          <w:szCs w:val="15"/>
          <w:color w:val="auto"/>
        </w:rPr>
        <w:t>Figure 12: (A) contributors to CV; (B) smaller fold changes can be detected with increased power with larger study sizes.</w:t>
      </w:r>
    </w:p>
    <w:p>
      <w:pPr>
        <w:spacing w:after="0" w:line="215" w:lineRule="exact"/>
        <w:rPr>
          <w:sz w:val="20"/>
          <w:szCs w:val="20"/>
          <w:color w:val="auto"/>
        </w:rPr>
      </w:pPr>
    </w:p>
    <w:p>
      <w:pPr>
        <w:ind w:left="800" w:right="260"/>
        <w:spacing w:after="0" w:line="348" w:lineRule="auto"/>
        <w:rPr>
          <w:sz w:val="20"/>
          <w:szCs w:val="20"/>
          <w:color w:val="auto"/>
        </w:rPr>
      </w:pPr>
      <w:r>
        <w:rPr>
          <w:rFonts w:ascii="Arial" w:cs="Arial" w:eastAsia="Arial" w:hAnsi="Arial"/>
          <w:sz w:val="16"/>
          <w:szCs w:val="16"/>
          <w:b w:val="1"/>
          <w:bCs w:val="1"/>
          <w:color w:val="auto"/>
        </w:rPr>
        <w:t>Scalability</w:t>
      </w:r>
      <w:r>
        <w:rPr>
          <w:rFonts w:ascii="Arial" w:cs="Arial" w:eastAsia="Arial" w:hAnsi="Arial"/>
          <w:sz w:val="16"/>
          <w:szCs w:val="16"/>
          <w:color w:val="auto"/>
        </w:rPr>
        <w:t>. The Proteograph Product Suite enables rapid and large-scale proteomic sample processing in an</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eight-hour workflow, compared to other unbiased solutions that can take days to weeks. With our current assay, we can process 40 samples in a single run of the Proteograph SP100 instrument. Therefore, a single Proteograph Product Suite coupled with one MS instrument can process hundreds of samples per week and approximately 10,000 samples annually, for unbiased and deep proteomic analysis. In comparison, the unbiased workflows developed by leading proteomics labs can take weeks for sample preparation and MS measurement to reach an equivalent depth of proteomic coverage. We believe that the Proteograph will be attractive to researchers who are looking for an easy-to-use, scalable approach with a unique combination of attributes spanning breadth, depth, accuracy, reproducibility and precision of measurement, and the speed and throughput necessary for large-scale proteomics studies. Furthermore, the peptide-level data that the Proteograph Product Suite provides at scale are crucial for gaining novel biological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-1807210</wp:posOffset>
            </wp:positionV>
            <wp:extent cx="67945" cy="679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6" w:lineRule="exact"/>
        <w:rPr>
          <w:sz w:val="20"/>
          <w:szCs w:val="20"/>
          <w:color w:val="auto"/>
        </w:rPr>
      </w:pPr>
    </w:p>
    <w:p>
      <w:pPr>
        <w:ind w:left="800" w:right="380"/>
        <w:spacing w:after="0" w:line="330" w:lineRule="auto"/>
        <w:rPr>
          <w:sz w:val="20"/>
          <w:szCs w:val="20"/>
          <w:color w:val="auto"/>
        </w:rPr>
      </w:pPr>
      <w:r>
        <w:rPr>
          <w:rFonts w:ascii="Arial" w:cs="Arial" w:eastAsia="Arial" w:hAnsi="Arial"/>
          <w:sz w:val="17"/>
          <w:szCs w:val="17"/>
          <w:b w:val="1"/>
          <w:bCs w:val="1"/>
          <w:color w:val="auto"/>
        </w:rPr>
        <w:t xml:space="preserve">Performance relative to other plasma proteomics technologies. </w:t>
      </w:r>
      <w:r>
        <w:rPr>
          <w:rFonts w:ascii="Arial" w:cs="Arial" w:eastAsia="Arial" w:hAnsi="Arial"/>
          <w:sz w:val="17"/>
          <w:szCs w:val="17"/>
          <w:color w:val="auto"/>
        </w:rPr>
        <w:t>A 2024 head-to-head comparative study</w:t>
      </w:r>
      <w:r>
        <w:rPr>
          <w:rFonts w:ascii="Arial" w:cs="Arial" w:eastAsia="Arial" w:hAnsi="Arial"/>
          <w:sz w:val="17"/>
          <w:szCs w:val="17"/>
          <w:b w:val="1"/>
          <w:bCs w:val="1"/>
          <w:color w:val="auto"/>
        </w:rPr>
        <w:t xml:space="preserve"> </w:t>
      </w:r>
      <w:r>
        <w:rPr>
          <w:rFonts w:ascii="Arial" w:cs="Arial" w:eastAsia="Arial" w:hAnsi="Arial"/>
          <w:sz w:val="17"/>
          <w:szCs w:val="17"/>
          <w:color w:val="auto"/>
        </w:rPr>
        <w:t>conducted by Dr. Joshua Coon, a professor at University of Wisconsin, demonstrates the performance of the Proteograph Product Suite against five other plasma proteomic technologies and methods (Beimers et al.). Using five technical replicates of the same plasma sample (BioIVT) on each method, the study shows the Proteograph assay provides the greatest proteomic depth across the six technologies and methods tested. While providing much higher numbers of proteins, the Proteograph assay also provides the greatest reproducibility of all methods except neat. Against neat, the Proteograph has slightly worse reproducibility, but does so while quantifying almost 8-fold greater number of proteins including low abundance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-1308735</wp:posOffset>
            </wp:positionV>
            <wp:extent cx="67945" cy="679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14</w:t>
      </w:r>
    </w:p>
    <w:p>
      <w:pPr>
        <w:sectPr>
          <w:pgSz w:w="12240" w:h="15840" w:orient="portrait"/>
          <w:cols w:equalWidth="0" w:num="1">
            <w:col w:w="9360"/>
          </w:cols>
          <w:pgMar w:left="1440" w:top="1440" w:right="1440" w:bottom="61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1423670</wp:posOffset>
            </wp:positionH>
            <wp:positionV relativeFrom="page">
              <wp:posOffset>1143000</wp:posOffset>
            </wp:positionV>
            <wp:extent cx="5687695" cy="2610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
                      <a:extLst>
                        <a:ext uri="{28A0092B-C50C-407E-A947-70E740481C1C}"/>
                      </a:extLst>
                    </a:blip>
                    <a:srcRect/>
                    <a:stretch>
                      <a:fillRect/>
                    </a:stretch>
                  </pic:blipFill>
                  <pic:spPr bwMode="auto">
                    <a:xfrm>
                      <a:off x="0" y="0"/>
                      <a:ext cx="5687695" cy="261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580" w:right="120"/>
        <w:spacing w:after="0" w:line="341" w:lineRule="auto"/>
        <w:rPr>
          <w:sz w:val="20"/>
          <w:szCs w:val="20"/>
          <w:color w:val="auto"/>
        </w:rPr>
      </w:pPr>
      <w:r>
        <w:rPr>
          <w:rFonts w:ascii="Arial" w:cs="Arial" w:eastAsia="Arial" w:hAnsi="Arial"/>
          <w:sz w:val="14"/>
          <w:szCs w:val="14"/>
          <w:color w:val="auto"/>
        </w:rPr>
        <w:t>Figure 13: (A) Across six technologies and methods tested, the Proteograph provides the highest performance in protein identification across all replicates and within each replicate. (B) Demonstrates the reproducibility performance of each method by evaluating the median coefficient of variation (CV) values for proteins detected across all methods. A lower CV value indicates a higher degree of reproducibility.</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The Advantages of the Proteograph Product Suite</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We believe the Proteograph Product Suite and its underlying NP technology have unique advantages:</w:t>
      </w:r>
    </w:p>
    <w:p>
      <w:pPr>
        <w:spacing w:after="0" w:line="226" w:lineRule="exact"/>
        <w:rPr>
          <w:sz w:val="20"/>
          <w:szCs w:val="20"/>
          <w:color w:val="auto"/>
        </w:rPr>
      </w:pPr>
    </w:p>
    <w:p>
      <w:pPr>
        <w:ind w:left="800" w:right="260"/>
        <w:spacing w:after="0" w:line="296" w:lineRule="auto"/>
        <w:rPr>
          <w:sz w:val="20"/>
          <w:szCs w:val="20"/>
          <w:color w:val="auto"/>
        </w:rPr>
      </w:pPr>
      <w:r>
        <w:rPr>
          <w:rFonts w:ascii="Arial" w:cs="Arial" w:eastAsia="Arial" w:hAnsi="Arial"/>
          <w:sz w:val="19"/>
          <w:szCs w:val="19"/>
          <w:b w:val="1"/>
          <w:bCs w:val="1"/>
          <w:color w:val="auto"/>
        </w:rPr>
        <w:t xml:space="preserve">Leading automated solution to enable unbiased, deep, rapid and large-scale access to the proteome. </w:t>
      </w:r>
      <w:r>
        <w:rPr>
          <w:rFonts w:ascii="Arial" w:cs="Arial" w:eastAsia="Arial" w:hAnsi="Arial"/>
          <w:sz w:val="19"/>
          <w:szCs w:val="19"/>
          <w:color w:val="auto"/>
        </w:rPr>
        <w:t>We</w:t>
      </w:r>
      <w:r>
        <w:rPr>
          <w:rFonts w:ascii="Arial" w:cs="Arial" w:eastAsia="Arial" w:hAnsi="Arial"/>
          <w:sz w:val="19"/>
          <w:szCs w:val="19"/>
          <w:b w:val="1"/>
          <w:bCs w:val="1"/>
          <w:color w:val="auto"/>
        </w:rPr>
        <w:t xml:space="preserve"> </w:t>
      </w:r>
      <w:r>
        <w:rPr>
          <w:rFonts w:ascii="Arial" w:cs="Arial" w:eastAsia="Arial" w:hAnsi="Arial"/>
          <w:sz w:val="19"/>
          <w:szCs w:val="19"/>
          <w:color w:val="auto"/>
        </w:rPr>
        <w:t>pioneered the commercial development of unbiased sample enrichment for MS-based plasma proteomics. We believe we have become the trusted partner to our customers worldwide. While other solutions have been introduced since our commercial launch, we believe none can replicate the performance delivered by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-798830</wp:posOffset>
            </wp:positionV>
            <wp:extent cx="67945" cy="67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23" w:lineRule="exact"/>
        <w:rPr>
          <w:sz w:val="20"/>
          <w:szCs w:val="20"/>
          <w:color w:val="auto"/>
        </w:rPr>
      </w:pPr>
    </w:p>
    <w:p>
      <w:pPr>
        <w:ind w:left="800" w:right="400"/>
        <w:spacing w:after="0" w:line="297" w:lineRule="auto"/>
        <w:rPr>
          <w:sz w:val="20"/>
          <w:szCs w:val="20"/>
          <w:color w:val="auto"/>
        </w:rPr>
      </w:pPr>
      <w:r>
        <w:rPr>
          <w:rFonts w:ascii="Arial" w:cs="Arial" w:eastAsia="Arial" w:hAnsi="Arial"/>
          <w:sz w:val="19"/>
          <w:szCs w:val="19"/>
          <w:b w:val="1"/>
          <w:bCs w:val="1"/>
          <w:color w:val="auto"/>
        </w:rPr>
        <w:t xml:space="preserve">Provides unique insight into protein variation at the peptide level, with a depth and scale that sets a new standard for unbiased and deep proteomics. </w:t>
      </w:r>
      <w:r>
        <w:rPr>
          <w:rFonts w:ascii="Arial" w:cs="Arial" w:eastAsia="Arial" w:hAnsi="Arial"/>
          <w:sz w:val="19"/>
          <w:szCs w:val="19"/>
          <w:color w:val="auto"/>
        </w:rPr>
        <w:t>The Proteograph’s ability to capture protein variations at scale</w:t>
      </w:r>
      <w:r>
        <w:rPr>
          <w:rFonts w:ascii="Arial" w:cs="Arial" w:eastAsia="Arial" w:hAnsi="Arial"/>
          <w:sz w:val="19"/>
          <w:szCs w:val="19"/>
          <w:b w:val="1"/>
          <w:bCs w:val="1"/>
          <w:color w:val="auto"/>
        </w:rPr>
        <w:t xml:space="preserve"> </w:t>
      </w:r>
      <w:r>
        <w:rPr>
          <w:rFonts w:ascii="Arial" w:cs="Arial" w:eastAsia="Arial" w:hAnsi="Arial"/>
          <w:sz w:val="19"/>
          <w:szCs w:val="19"/>
          <w:color w:val="auto"/>
        </w:rPr>
        <w:t>enables synergistic insights when combined with genomic variations, yielding informative individualized models of biology at population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-631825</wp:posOffset>
            </wp:positionV>
            <wp:extent cx="67945" cy="679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20" w:lineRule="exact"/>
        <w:rPr>
          <w:sz w:val="20"/>
          <w:szCs w:val="20"/>
          <w:color w:val="auto"/>
        </w:rPr>
      </w:pPr>
    </w:p>
    <w:p>
      <w:pPr>
        <w:ind w:left="800" w:right="300"/>
        <w:spacing w:after="0" w:line="332" w:lineRule="auto"/>
        <w:rPr>
          <w:sz w:val="20"/>
          <w:szCs w:val="20"/>
          <w:color w:val="auto"/>
        </w:rPr>
      </w:pPr>
      <w:r>
        <w:rPr>
          <w:rFonts w:ascii="Arial" w:cs="Arial" w:eastAsia="Arial" w:hAnsi="Arial"/>
          <w:sz w:val="17"/>
          <w:szCs w:val="17"/>
          <w:b w:val="1"/>
          <w:bCs w:val="1"/>
          <w:color w:val="auto"/>
        </w:rPr>
        <w:t xml:space="preserve">Allows for wide adoption by customers in both decentralized and centralized settings. </w:t>
      </w:r>
      <w:r>
        <w:rPr>
          <w:rFonts w:ascii="Arial" w:cs="Arial" w:eastAsia="Arial" w:hAnsi="Arial"/>
          <w:sz w:val="17"/>
          <w:szCs w:val="17"/>
          <w:color w:val="auto"/>
        </w:rPr>
        <w:t>The Proteograph</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Suite is an integrated solution that includes consumables, an automation instrument and data analysis software, and was designed to deliver ease-of-use, efficiency, robustness and reproducibility of results and to complement existing laboratory infrastructure. Its simple and integrated workflow enables the customer to use their own MS instrument or leverage a widely available installed base of MS instruments. We believe these features will facilitate broad adoption of the Proteograph solution across a variety of laboratories and institutions in both decentralized and centralized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-1145540</wp:posOffset>
            </wp:positionV>
            <wp:extent cx="67945" cy="679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8" w:lineRule="exact"/>
        <w:rPr>
          <w:sz w:val="20"/>
          <w:szCs w:val="20"/>
          <w:color w:val="auto"/>
        </w:rPr>
      </w:pPr>
    </w:p>
    <w:p>
      <w:pPr>
        <w:ind w:left="800" w:right="280"/>
        <w:spacing w:after="0" w:line="369" w:lineRule="auto"/>
        <w:rPr>
          <w:sz w:val="20"/>
          <w:szCs w:val="20"/>
          <w:color w:val="auto"/>
        </w:rPr>
      </w:pPr>
      <w:r>
        <w:rPr>
          <w:rFonts w:ascii="Arial" w:cs="Arial" w:eastAsia="Arial" w:hAnsi="Arial"/>
          <w:sz w:val="16"/>
          <w:szCs w:val="16"/>
          <w:b w:val="1"/>
          <w:bCs w:val="1"/>
          <w:color w:val="auto"/>
        </w:rPr>
        <w:t xml:space="preserve">Offers a core technology with the potential for development of a range of products, applications and platforms. </w:t>
      </w:r>
      <w:r>
        <w:rPr>
          <w:rFonts w:ascii="Arial" w:cs="Arial" w:eastAsia="Arial" w:hAnsi="Arial"/>
          <w:sz w:val="16"/>
          <w:szCs w:val="16"/>
          <w:color w:val="auto"/>
        </w:rPr>
        <w:t>Our diverse library of NP surfaces can support the development of new products catering to</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applications and customer needs. We are using machine-learning techniques and conducting large-scale analyses to understand relationships between NP surfaces and protein binding to design future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-662940</wp:posOffset>
            </wp:positionV>
            <wp:extent cx="67945" cy="679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15</w:t>
      </w:r>
    </w:p>
    <w:p>
      <w:pPr>
        <w:sectPr>
          <w:pgSz w:w="12240" w:h="15840" w:orient="portrait"/>
          <w:cols w:equalWidth="0" w:num="1">
            <w:col w:w="9360"/>
          </w:cols>
          <w:pgMar w:left="1440" w:top="1440" w:right="1440" w:bottom="610" w:gutter="0" w:footer="0" w:header="0"/>
          <w:type w:val="continuous"/>
        </w:sectPr>
      </w:pPr>
    </w:p>
    <w:bookmarkStart w:id="22" w:name="page23"/>
    <w:bookmarkEnd w:id="22"/>
    <w:p>
      <w:pPr>
        <w:spacing w:after="0" w:line="355" w:lineRule="exact"/>
        <w:rPr>
          <w:sz w:val="20"/>
          <w:szCs w:val="20"/>
          <w:color w:val="auto"/>
        </w:rPr>
      </w:pPr>
    </w:p>
    <w:p>
      <w:pPr>
        <w:ind w:left="800" w:right="300"/>
        <w:spacing w:after="0" w:line="312" w:lineRule="auto"/>
        <w:rPr>
          <w:sz w:val="20"/>
          <w:szCs w:val="20"/>
          <w:color w:val="auto"/>
        </w:rPr>
      </w:pPr>
      <w:r>
        <w:rPr>
          <w:rFonts w:ascii="Arial" w:cs="Arial" w:eastAsia="Arial" w:hAnsi="Arial"/>
          <w:sz w:val="18"/>
          <w:szCs w:val="18"/>
          <w:b w:val="1"/>
          <w:bCs w:val="1"/>
          <w:color w:val="auto"/>
        </w:rPr>
        <w:t xml:space="preserve">Provides core technology with significant operational leverage in research and development, manufacturing and commercialization. </w:t>
      </w:r>
      <w:r>
        <w:rPr>
          <w:rFonts w:ascii="Arial" w:cs="Arial" w:eastAsia="Arial" w:hAnsi="Arial"/>
          <w:sz w:val="18"/>
          <w:szCs w:val="18"/>
          <w:color w:val="auto"/>
        </w:rPr>
        <w:t>NP-based products are efficient to design, develop and manufacture.</w:t>
      </w:r>
      <w:r>
        <w:rPr>
          <w:rFonts w:ascii="Arial" w:cs="Arial" w:eastAsia="Arial" w:hAnsi="Arial"/>
          <w:sz w:val="18"/>
          <w:szCs w:val="18"/>
          <w:b w:val="1"/>
          <w:bCs w:val="1"/>
          <w:color w:val="auto"/>
        </w:rPr>
        <w:t xml:space="preserve"> </w:t>
      </w:r>
      <w:r>
        <w:rPr>
          <w:rFonts w:ascii="Arial" w:cs="Arial" w:eastAsia="Arial" w:hAnsi="Arial"/>
          <w:sz w:val="18"/>
          <w:szCs w:val="18"/>
          <w:color w:val="auto"/>
        </w:rPr>
        <w:t>We believe that by leveraging our understanding of NP surfaces, software and analytics capabilities, we can rapidly develop new products. Our NP manufacturing process uses well-characterized inputs and methods, which require relatively modest investments in capital equipment and space. This capital-efficient and labor-efficient model has high operating leverage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-970280</wp:posOffset>
            </wp:positionV>
            <wp:extent cx="67945" cy="679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1" w:lineRule="exact"/>
        <w:rPr>
          <w:sz w:val="20"/>
          <w:szCs w:val="20"/>
          <w:color w:val="auto"/>
        </w:rPr>
      </w:pPr>
    </w:p>
    <w:p>
      <w:pPr>
        <w:ind w:left="800" w:right="280"/>
        <w:spacing w:after="0" w:line="329" w:lineRule="auto"/>
        <w:rPr>
          <w:sz w:val="20"/>
          <w:szCs w:val="20"/>
          <w:color w:val="auto"/>
        </w:rPr>
      </w:pPr>
      <w:r>
        <w:rPr>
          <w:rFonts w:ascii="Arial" w:cs="Arial" w:eastAsia="Arial" w:hAnsi="Arial"/>
          <w:sz w:val="17"/>
          <w:szCs w:val="17"/>
          <w:b w:val="1"/>
          <w:bCs w:val="1"/>
          <w:color w:val="auto"/>
        </w:rPr>
        <w:t xml:space="preserve">Presents a solution with sustainable differentiation. </w:t>
      </w:r>
      <w:r>
        <w:rPr>
          <w:rFonts w:ascii="Arial" w:cs="Arial" w:eastAsia="Arial" w:hAnsi="Arial"/>
          <w:sz w:val="17"/>
          <w:szCs w:val="17"/>
          <w:color w:val="auto"/>
        </w:rPr>
        <w:t>The Proteograph is uniquely capable of generating</w:t>
      </w:r>
      <w:r>
        <w:rPr>
          <w:rFonts w:ascii="Arial" w:cs="Arial" w:eastAsia="Arial" w:hAnsi="Arial"/>
          <w:sz w:val="17"/>
          <w:szCs w:val="17"/>
          <w:b w:val="1"/>
          <w:bCs w:val="1"/>
          <w:color w:val="auto"/>
        </w:rPr>
        <w:t xml:space="preserve"> </w:t>
      </w:r>
      <w:r>
        <w:rPr>
          <w:rFonts w:ascii="Arial" w:cs="Arial" w:eastAsia="Arial" w:hAnsi="Arial"/>
          <w:sz w:val="17"/>
          <w:szCs w:val="17"/>
          <w:color w:val="auto"/>
        </w:rPr>
        <w:t>robust, reproducible, deep and unbiased proteomic data. As this data is used by more customers to generate insights, we believe this cycle will fuel further adoption of the Proteograph Product Suite. The Proteograph workflow is fully integrable with customer workflows and provides a unique user experience with the support of our software packages, making it a sustainable solution within customer organizations. Our NP technology, SP100 automation instrument, and software are protected by numerous issued patents and pending patent applications worldwide, covering improvements in NPs, assay methods and ways to leverage proteomic data and information for life sciences research, clinical diagnostic and drug discovery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-1304925</wp:posOffset>
            </wp:positionV>
            <wp:extent cx="67945" cy="679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The Applications of the Proteograph Product Suite</w:t>
      </w:r>
    </w:p>
    <w:p>
      <w:pPr>
        <w:spacing w:after="0" w:line="213" w:lineRule="exact"/>
        <w:rPr>
          <w:sz w:val="20"/>
          <w:szCs w:val="20"/>
          <w:color w:val="auto"/>
        </w:rPr>
      </w:pPr>
    </w:p>
    <w:p>
      <w:pPr>
        <w:ind w:left="120" w:right="400"/>
        <w:spacing w:after="0" w:line="296" w:lineRule="auto"/>
        <w:rPr>
          <w:sz w:val="20"/>
          <w:szCs w:val="20"/>
          <w:color w:val="auto"/>
        </w:rPr>
      </w:pPr>
      <w:r>
        <w:rPr>
          <w:rFonts w:ascii="Arial" w:cs="Arial" w:eastAsia="Arial" w:hAnsi="Arial"/>
          <w:sz w:val="19"/>
          <w:szCs w:val="19"/>
          <w:color w:val="auto"/>
        </w:rPr>
        <w:t>We believe the ability to generate unbiased, deep, proteomic data at scale, with rich content at the protein variant level, has a wide range of applications in proteomics, including basic research and discovery, translational research, diagnostics and applied markets. This data can be used in many of the same application areas as genomics data, as well as proteomics applications that are uniquely possible with unbiased proteomic data, and in new applications that the field will develop in the future.</w:t>
      </w:r>
    </w:p>
    <w:p>
      <w:pPr>
        <w:spacing w:after="0" w:line="125" w:lineRule="exact"/>
        <w:rPr>
          <w:sz w:val="20"/>
          <w:szCs w:val="20"/>
          <w:color w:val="auto"/>
        </w:rPr>
      </w:pPr>
    </w:p>
    <w:p>
      <w:pPr>
        <w:ind w:left="120" w:right="360"/>
        <w:spacing w:after="0" w:line="311" w:lineRule="auto"/>
        <w:rPr>
          <w:sz w:val="20"/>
          <w:szCs w:val="20"/>
          <w:color w:val="auto"/>
        </w:rPr>
      </w:pPr>
      <w:r>
        <w:rPr>
          <w:rFonts w:ascii="Arial" w:cs="Arial" w:eastAsia="Arial" w:hAnsi="Arial"/>
          <w:sz w:val="18"/>
          <w:szCs w:val="18"/>
          <w:color w:val="auto"/>
        </w:rPr>
        <w:t>In addition, the Proteograph Product Suite’s versatility allows it to analyze not only plasma and serum, but also other biofluids across humans and model organisms. For example, when we compared the performance of the Proteograph Product Suite workflow with that of neat biological samples across model organism plasma, urine, cerebral spinal fluid, and conditioned media, we noted superior protein group identification by the Proteograph of 4x, 1.5x, 1.5x, and 8.6x, respectively. Importantly, in each sample, we measured tens of thousands of data points at the peptide level, providing information on thousands of proteins. We believe this extensibility offers researchers a powerful and flexible tool to utilize across a variety of applications and sample types.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Basic Research and Discovery Applications</w:t>
      </w:r>
    </w:p>
    <w:p>
      <w:pPr>
        <w:spacing w:after="0" w:line="209" w:lineRule="exact"/>
        <w:rPr>
          <w:sz w:val="20"/>
          <w:szCs w:val="20"/>
          <w:color w:val="auto"/>
        </w:rPr>
      </w:pPr>
    </w:p>
    <w:p>
      <w:pPr>
        <w:ind w:left="120" w:right="320"/>
        <w:spacing w:after="0" w:line="338" w:lineRule="auto"/>
        <w:rPr>
          <w:sz w:val="20"/>
          <w:szCs w:val="20"/>
          <w:color w:val="auto"/>
        </w:rPr>
      </w:pPr>
      <w:r>
        <w:rPr>
          <w:rFonts w:ascii="Arial" w:cs="Arial" w:eastAsia="Arial" w:hAnsi="Arial"/>
          <w:sz w:val="17"/>
          <w:szCs w:val="17"/>
          <w:color w:val="auto"/>
        </w:rPr>
        <w:t>We believe that the Proteograph is a valuable tool for researchers across a wide range of basic research and discovery applications, including cataloging protein diversity, proteogenomics and exploring the interactome. Studies in these areas are currently limited in scale by the complexity of unbiased methods or the limited set of affinity-based reagents available for biased methods. The Proteograph Product Suite is designed to enable the use of unbiased proteomic data at scale, which we believe will greatly accelerate these areas of basic research and discovery.</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16</w:t>
      </w:r>
    </w:p>
    <w:p>
      <w:pPr>
        <w:sectPr>
          <w:pgSz w:w="12240" w:h="15840" w:orient="portrait"/>
          <w:cols w:equalWidth="0" w:num="1">
            <w:col w:w="9360"/>
          </w:cols>
          <w:pgMar w:left="1440" w:top="1440" w:right="1440" w:bottom="610" w:gutter="0" w:footer="0" w:header="0"/>
          <w:type w:val="continuous"/>
        </w:sectPr>
      </w:pPr>
    </w:p>
    <w:bookmarkStart w:id="23" w:name="page24"/>
    <w:bookmarkEnd w:id="23"/>
    <w:p>
      <w:pPr>
        <w:spacing w:after="0" w:line="35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Cataloging protein diversity</w:t>
      </w:r>
    </w:p>
    <w:p>
      <w:pPr>
        <w:spacing w:after="0" w:line="211" w:lineRule="exact"/>
        <w:rPr>
          <w:sz w:val="20"/>
          <w:szCs w:val="20"/>
          <w:color w:val="auto"/>
        </w:rPr>
      </w:pPr>
    </w:p>
    <w:p>
      <w:pPr>
        <w:ind w:left="120" w:right="360"/>
        <w:spacing w:after="0" w:line="293" w:lineRule="auto"/>
        <w:rPr>
          <w:sz w:val="20"/>
          <w:szCs w:val="20"/>
          <w:color w:val="auto"/>
        </w:rPr>
      </w:pPr>
      <w:r>
        <w:rPr>
          <w:rFonts w:ascii="Arial" w:cs="Arial" w:eastAsia="Arial" w:hAnsi="Arial"/>
          <w:sz w:val="19"/>
          <w:szCs w:val="19"/>
          <w:color w:val="auto"/>
        </w:rPr>
        <w:t>The Proteograph Product Suite is designed to enable researchers to explore the complexity and diversity of the proteome with peptide level resolution. We anticipate that researchers will use the Proteograph solution to catalog protein variants in a manner similar to the cataloging of genetic variants over the past 15 years, providing functional context at a scale that is not currently accessible with other proteomics methods. We believe that identifying protein variants, including those resulting from PTMs such as glycosylation and phosphorylation, can significantly transform the life sciences field.</w:t>
      </w:r>
    </w:p>
    <w:p>
      <w:pPr>
        <w:spacing w:after="0" w:line="131" w:lineRule="exact"/>
        <w:rPr>
          <w:sz w:val="20"/>
          <w:szCs w:val="20"/>
          <w:color w:val="auto"/>
        </w:rPr>
      </w:pPr>
    </w:p>
    <w:p>
      <w:pPr>
        <w:ind w:left="120" w:right="400"/>
        <w:spacing w:after="0" w:line="296" w:lineRule="auto"/>
        <w:rPr>
          <w:sz w:val="20"/>
          <w:szCs w:val="20"/>
          <w:color w:val="auto"/>
        </w:rPr>
      </w:pPr>
      <w:r>
        <w:rPr>
          <w:rFonts w:ascii="Arial" w:cs="Arial" w:eastAsia="Arial" w:hAnsi="Arial"/>
          <w:sz w:val="19"/>
          <w:szCs w:val="19"/>
          <w:color w:val="auto"/>
        </w:rPr>
        <w:t>In 2024, we launched the Protein Discovery Catalog on our website with the goals to remove barriers to access, empower researchers, and drive new lead generation. The Protein Discovery Catalog is a fully-accessible, searchable catalog with over 36,000 proteins across multiple species and over 10,000 human proteins across 1,900 Reactome biological pathways. This catalog is our first published index of the unprecedented depth of empirically observed proteins captured by the Proteograph to date.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Proteogenomics</w:t>
      </w:r>
    </w:p>
    <w:p>
      <w:pPr>
        <w:spacing w:after="0" w:line="209" w:lineRule="exact"/>
        <w:rPr>
          <w:sz w:val="20"/>
          <w:szCs w:val="20"/>
          <w:color w:val="auto"/>
        </w:rPr>
      </w:pPr>
    </w:p>
    <w:p>
      <w:pPr>
        <w:ind w:left="120" w:right="300"/>
        <w:spacing w:after="0" w:line="363" w:lineRule="auto"/>
        <w:rPr>
          <w:sz w:val="20"/>
          <w:szCs w:val="20"/>
          <w:color w:val="auto"/>
        </w:rPr>
      </w:pPr>
      <w:r>
        <w:rPr>
          <w:rFonts w:ascii="Arial" w:cs="Arial" w:eastAsia="Arial" w:hAnsi="Arial"/>
          <w:sz w:val="16"/>
          <w:szCs w:val="16"/>
          <w:color w:val="auto"/>
        </w:rPr>
        <w:t>Proteogenomics is a rapidly growing field of research that integrates genomic and transcriptomic information with proteomic information, using personalized protein sequence databases to identify novel peptides. The Proteograph generates large-scale unbiased proteomic data at peptide-level resolution, enabling researchers to map protein variants to genomic variants, advancing the field of proteogenomics. Researchers are conducting large-scale proteogenomic studies with the Proteograph to provide functional information to existing genomics and gene expression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Translational Research Applications</w:t>
      </w:r>
    </w:p>
    <w:p>
      <w:pPr>
        <w:spacing w:after="0" w:line="211" w:lineRule="exact"/>
        <w:rPr>
          <w:sz w:val="20"/>
          <w:szCs w:val="20"/>
          <w:color w:val="auto"/>
        </w:rPr>
      </w:pPr>
    </w:p>
    <w:p>
      <w:pPr>
        <w:ind w:left="120" w:right="380"/>
        <w:spacing w:after="0" w:line="295" w:lineRule="auto"/>
        <w:rPr>
          <w:sz w:val="20"/>
          <w:szCs w:val="20"/>
          <w:color w:val="auto"/>
        </w:rPr>
      </w:pPr>
      <w:r>
        <w:rPr>
          <w:rFonts w:ascii="Arial" w:cs="Arial" w:eastAsia="Arial" w:hAnsi="Arial"/>
          <w:sz w:val="19"/>
          <w:szCs w:val="19"/>
          <w:color w:val="auto"/>
        </w:rPr>
        <w:t>Researchers can use the Proteograph for translational research applications aimed at shortening the time from early discovery research to clinical application. The Proteograph Product Suite allows clinical and translational researchers an opportunity to perform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Biomarker Discovery</w:t>
      </w:r>
    </w:p>
    <w:p>
      <w:pPr>
        <w:spacing w:after="0" w:line="209" w:lineRule="exact"/>
        <w:rPr>
          <w:sz w:val="20"/>
          <w:szCs w:val="20"/>
          <w:color w:val="auto"/>
        </w:rPr>
      </w:pPr>
    </w:p>
    <w:p>
      <w:pPr>
        <w:ind w:left="120" w:right="260"/>
        <w:spacing w:after="0" w:line="299" w:lineRule="auto"/>
        <w:rPr>
          <w:sz w:val="20"/>
          <w:szCs w:val="20"/>
          <w:color w:val="auto"/>
        </w:rPr>
      </w:pPr>
      <w:r>
        <w:rPr>
          <w:rFonts w:ascii="Arial" w:cs="Arial" w:eastAsia="Arial" w:hAnsi="Arial"/>
          <w:sz w:val="19"/>
          <w:szCs w:val="19"/>
          <w:color w:val="auto"/>
        </w:rPr>
        <w:t>Currently, de novo biomarker discovery research is limited by the size of unbiased studies or is targeted in nature. These approaches have yet to uncover the large number of potential single biomarkers or combinations of markers for a range of clinical applications. The Proteograph is enabling the discovery of biomarkers through large-scale, unbiased and deep proteomics studies.</w:t>
      </w:r>
    </w:p>
    <w:p>
      <w:pPr>
        <w:spacing w:after="0" w:line="122" w:lineRule="exact"/>
        <w:rPr>
          <w:sz w:val="20"/>
          <w:szCs w:val="20"/>
          <w:color w:val="auto"/>
        </w:rPr>
      </w:pPr>
    </w:p>
    <w:p>
      <w:pPr>
        <w:ind w:left="120" w:right="320"/>
        <w:spacing w:after="0" w:line="329" w:lineRule="auto"/>
        <w:rPr>
          <w:sz w:val="20"/>
          <w:szCs w:val="20"/>
          <w:color w:val="auto"/>
        </w:rPr>
      </w:pPr>
      <w:r>
        <w:rPr>
          <w:rFonts w:ascii="Arial" w:cs="Arial" w:eastAsia="Arial" w:hAnsi="Arial"/>
          <w:sz w:val="17"/>
          <w:szCs w:val="17"/>
          <w:color w:val="auto"/>
        </w:rPr>
        <w:t>Utilizing a $2 million Small Business Innovation Research grant to the Company and Massachusetts General Hospital (MGH) from the National Institute on Aging (NIA), researchers from the Company and MGH conducted a study that analyzed 1,800 plasma samples comprising both controls and individuals diagnosed with cognitive decline, including Alzheimer’s Disease (AD) (Lacar et al.). The samples were collected over a 10-year period, allowing the researchers to investigate proteins associated with the progression of, or protection against, cognitive decline. When comparing the AD affected individuals with controls, researchers identified 138 proteins that were up or down regulated in AD individuals. Of these 138 proteins, only 44 have been previously associated with AD. The remaining 94 represent putative biomarkers of AD, potentially highlighting new biological insight.</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17</w:t>
      </w:r>
    </w:p>
    <w:p>
      <w:pPr>
        <w:sectPr>
          <w:pgSz w:w="12240" w:h="15840" w:orient="portrait"/>
          <w:cols w:equalWidth="0" w:num="1">
            <w:col w:w="9360"/>
          </w:cols>
          <w:pgMar w:left="1440" w:top="1440" w:right="1440" w:bottom="610" w:gutter="0" w:footer="0" w:header="0"/>
          <w:type w:val="continuous"/>
        </w:sectPr>
      </w:pPr>
    </w:p>
    <w:bookmarkStart w:id="24" w:name="page25"/>
    <w:bookmarkEnd w:id="24"/>
    <w:p>
      <w:pPr>
        <w:spacing w:after="0" w:line="352" w:lineRule="exact"/>
        <w:rPr>
          <w:sz w:val="20"/>
          <w:szCs w:val="20"/>
          <w:color w:val="auto"/>
        </w:rPr>
      </w:pPr>
    </w:p>
    <w:p>
      <w:pPr>
        <w:ind w:left="120" w:right="340"/>
        <w:spacing w:after="0" w:line="316" w:lineRule="auto"/>
        <w:rPr>
          <w:sz w:val="20"/>
          <w:szCs w:val="20"/>
          <w:color w:val="auto"/>
        </w:rPr>
      </w:pPr>
      <w:r>
        <w:rPr>
          <w:rFonts w:ascii="Arial" w:cs="Arial" w:eastAsia="Arial" w:hAnsi="Arial"/>
          <w:sz w:val="18"/>
          <w:szCs w:val="18"/>
          <w:color w:val="auto"/>
        </w:rPr>
        <w:t>Researchers used clinical information to identify the point of significant cognitive decline and determined proteins that separated the population into fast and slow decliners. Researchers identified eight such significant proteins and are now investigating how these results may be advanced to develop a score indicating the likelihood of cognitive decline in a particular timeframe. One such example is shown in Figure 14 below. Higher abundance of this protein is associated with greater probability of cognitive decline.</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We believe such studies are uniquely made possible using deep, unbiased proteomics at scale using</w:t>
      </w:r>
    </w:p>
    <w:p>
      <w:pPr>
        <w:spacing w:after="0" w:line="43" w:lineRule="exact"/>
        <w:rPr>
          <w:sz w:val="20"/>
          <w:szCs w:val="20"/>
          <w:color w:val="auto"/>
        </w:rPr>
      </w:pPr>
    </w:p>
    <w:p>
      <w:pPr>
        <w:ind w:left="120" w:right="400"/>
        <w:spacing w:after="0" w:line="305" w:lineRule="auto"/>
        <w:rPr>
          <w:sz w:val="20"/>
          <w:szCs w:val="20"/>
          <w:color w:val="auto"/>
        </w:rPr>
      </w:pPr>
      <w:r>
        <w:rPr>
          <w:rFonts w:ascii="Arial" w:cs="Arial" w:eastAsia="Arial" w:hAnsi="Arial"/>
          <w:sz w:val="19"/>
          <w:szCs w:val="19"/>
          <w:color w:val="auto"/>
        </w:rPr>
        <w:t>the Proteograph Product Suite because 55% of these 138 proteins are not present on a commercially available high-plex affinity based panel and there is no other practical way to do a deep unbiased proteomics study on 1,800 plasma samples other than leveraging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-26670</wp:posOffset>
            </wp:positionV>
            <wp:extent cx="3013075" cy="2795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
                      <a:extLst>
                        <a:ext uri="{28A0092B-C50C-407E-A947-70E740481C1C}"/>
                      </a:extLst>
                    </a:blip>
                    <a:srcRect/>
                    <a:stretch>
                      <a:fillRect/>
                    </a:stretch>
                  </pic:blipFill>
                  <pic:spPr bwMode="auto">
                    <a:xfrm>
                      <a:off x="0" y="0"/>
                      <a:ext cx="3013075" cy="279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1580"/>
        <w:spacing w:after="0" w:line="333" w:lineRule="auto"/>
        <w:rPr>
          <w:sz w:val="20"/>
          <w:szCs w:val="20"/>
          <w:color w:val="auto"/>
        </w:rPr>
      </w:pPr>
      <w:r>
        <w:rPr>
          <w:rFonts w:ascii="Arial" w:cs="Arial" w:eastAsia="Arial" w:hAnsi="Arial"/>
          <w:sz w:val="15"/>
          <w:szCs w:val="15"/>
          <w:color w:val="auto"/>
        </w:rPr>
        <w:t>Figure 14: Shows the probability of no decline as a function of follow up time. Higher levels of the protein are associated with higher probability of decline.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Diagnostic Applications</w:t>
      </w:r>
    </w:p>
    <w:p>
      <w:pPr>
        <w:spacing w:after="0" w:line="209" w:lineRule="exact"/>
        <w:rPr>
          <w:sz w:val="20"/>
          <w:szCs w:val="20"/>
          <w:color w:val="auto"/>
        </w:rPr>
      </w:pPr>
    </w:p>
    <w:p>
      <w:pPr>
        <w:ind w:left="120" w:right="380"/>
        <w:spacing w:after="0" w:line="334" w:lineRule="auto"/>
        <w:rPr>
          <w:sz w:val="20"/>
          <w:szCs w:val="20"/>
          <w:color w:val="auto"/>
        </w:rPr>
      </w:pPr>
      <w:r>
        <w:rPr>
          <w:rFonts w:ascii="Arial" w:cs="Arial" w:eastAsia="Arial" w:hAnsi="Arial"/>
          <w:sz w:val="17"/>
          <w:szCs w:val="17"/>
          <w:color w:val="auto"/>
        </w:rPr>
        <w:t>We believe that the Proteograph Product Suite also holds significant diagnostic potential. The unbiased, deep and scalable proteomic data generated by the Proteograph has the potential to create ecosystems, similar to the way in which next-generation sequencing (NGS) enabled genomics-based diagnostics for cancer and rare genetic diseases. We expect that companies in the healthcare testing space, including our spin-out PrognomiQ, will utilize the Proteograph solution, and we are committed to supporting all of our customers as the ecosystem grows, not only in their basic research and translational research applications but also as they develop their own diagnostic applications.</w:t>
      </w:r>
    </w:p>
    <w:p>
      <w:pPr>
        <w:spacing w:after="0" w:line="101" w:lineRule="exact"/>
        <w:rPr>
          <w:sz w:val="20"/>
          <w:szCs w:val="20"/>
          <w:color w:val="auto"/>
        </w:rPr>
      </w:pPr>
    </w:p>
    <w:p>
      <w:pPr>
        <w:jc w:val="both"/>
        <w:ind w:left="120" w:right="320"/>
        <w:spacing w:after="0" w:line="305" w:lineRule="auto"/>
        <w:rPr>
          <w:sz w:val="20"/>
          <w:szCs w:val="20"/>
          <w:color w:val="auto"/>
        </w:rPr>
      </w:pPr>
      <w:r>
        <w:rPr>
          <w:rFonts w:ascii="Arial" w:cs="Arial" w:eastAsia="Arial" w:hAnsi="Arial"/>
          <w:sz w:val="19"/>
          <w:szCs w:val="19"/>
          <w:color w:val="auto"/>
        </w:rPr>
        <w:t>As an example, scientists at PrognomiQ conducted a large case/control study that included those at high risk for lung cancer, using deep, unbiased proteomics as part of their development work for multi-omics-based blood test for early-stage lung cancer detection.</w:t>
      </w:r>
    </w:p>
    <w:p>
      <w:pPr>
        <w:spacing w:after="0" w:line="116" w:lineRule="exact"/>
        <w:rPr>
          <w:sz w:val="20"/>
          <w:szCs w:val="20"/>
          <w:color w:val="auto"/>
        </w:rPr>
      </w:pPr>
    </w:p>
    <w:p>
      <w:pPr>
        <w:jc w:val="both"/>
        <w:ind w:left="120" w:right="400"/>
        <w:spacing w:after="0" w:line="330" w:lineRule="auto"/>
        <w:rPr>
          <w:sz w:val="20"/>
          <w:szCs w:val="20"/>
          <w:color w:val="auto"/>
        </w:rPr>
      </w:pPr>
      <w:r>
        <w:rPr>
          <w:rFonts w:ascii="Arial" w:cs="Arial" w:eastAsia="Arial" w:hAnsi="Arial"/>
          <w:sz w:val="18"/>
          <w:szCs w:val="18"/>
          <w:color w:val="auto"/>
        </w:rPr>
        <w:t>The current recommendation for patients at high risk for lung cancer is an annual low dose CT scan. The compliance rate for current low dose CT cancer screening is only 5-10%. PrognomiQ is developing a blood test to help close this compliance gap to identify patients at risk for lung cancer and subsequent evaluation.</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18</w:t>
      </w:r>
    </w:p>
    <w:p>
      <w:pPr>
        <w:sectPr>
          <w:pgSz w:w="12240" w:h="15840" w:orient="portrait"/>
          <w:cols w:equalWidth="0" w:num="1">
            <w:col w:w="9360"/>
          </w:cols>
          <w:pgMar w:left="1440" w:top="1440" w:right="1440" w:bottom="610" w:gutter="0" w:footer="0" w:header="0"/>
          <w:type w:val="continuous"/>
        </w:sectPr>
      </w:pPr>
    </w:p>
    <w:bookmarkStart w:id="25" w:name="page26"/>
    <w:bookmarkEnd w:id="25"/>
    <w:p>
      <w:pPr>
        <w:spacing w:after="0" w:line="352" w:lineRule="exact"/>
        <w:rPr>
          <w:sz w:val="20"/>
          <w:szCs w:val="20"/>
          <w:color w:val="auto"/>
        </w:rPr>
      </w:pPr>
    </w:p>
    <w:p>
      <w:pPr>
        <w:ind w:left="120" w:right="680"/>
        <w:spacing w:after="0" w:line="307" w:lineRule="auto"/>
        <w:rPr>
          <w:sz w:val="20"/>
          <w:szCs w:val="20"/>
          <w:color w:val="auto"/>
        </w:rPr>
      </w:pPr>
      <w:r>
        <w:rPr>
          <w:rFonts w:ascii="Arial" w:cs="Arial" w:eastAsia="Arial" w:hAnsi="Arial"/>
          <w:sz w:val="19"/>
          <w:szCs w:val="19"/>
          <w:color w:val="auto"/>
        </w:rPr>
        <w:t>Researchers from PrognomiQ used the Proteograph to measure over 8,300 proteins from samples from 2,513 individuals, which was then combined with over 200,000 RNA transcripts and 1,000 metabolite measurements to drive a multi-omics classifier.</w:t>
      </w:r>
    </w:p>
    <w:p>
      <w:pPr>
        <w:spacing w:after="0" w:line="113" w:lineRule="exact"/>
        <w:rPr>
          <w:sz w:val="20"/>
          <w:szCs w:val="20"/>
          <w:color w:val="auto"/>
        </w:rPr>
      </w:pPr>
    </w:p>
    <w:p>
      <w:pPr>
        <w:ind w:left="120" w:right="260"/>
        <w:spacing w:after="0" w:line="355" w:lineRule="auto"/>
        <w:rPr>
          <w:sz w:val="20"/>
          <w:szCs w:val="20"/>
          <w:color w:val="auto"/>
        </w:rPr>
      </w:pPr>
      <w:r>
        <w:rPr>
          <w:rFonts w:ascii="Arial" w:cs="Arial" w:eastAsia="Arial" w:hAnsi="Arial"/>
          <w:sz w:val="17"/>
          <w:szCs w:val="17"/>
          <w:color w:val="auto"/>
        </w:rPr>
        <w:t>As illustrated in Figure 15 below, the proteomics data performs extremely well with an AUC of 0.91. Adding the other multi-omics data increased AUC to 0.96. PrognomiQ believes this classifier represents a potentially best-in-class performance by achieving a sensitivity of 80% for stage 1 and 89% for all stages of lung cancer at 89% specificity.</w:t>
      </w:r>
    </w:p>
    <w:p>
      <w:pPr>
        <w:spacing w:after="0" w:line="84" w:lineRule="exact"/>
        <w:rPr>
          <w:sz w:val="20"/>
          <w:szCs w:val="20"/>
          <w:color w:val="auto"/>
        </w:rPr>
      </w:pPr>
    </w:p>
    <w:p>
      <w:pPr>
        <w:ind w:left="120" w:right="400"/>
        <w:spacing w:after="0" w:line="315" w:lineRule="auto"/>
        <w:rPr>
          <w:sz w:val="20"/>
          <w:szCs w:val="20"/>
          <w:color w:val="auto"/>
        </w:rPr>
      </w:pPr>
      <w:r>
        <w:rPr>
          <w:rFonts w:ascii="Arial" w:cs="Arial" w:eastAsia="Arial" w:hAnsi="Arial"/>
          <w:sz w:val="18"/>
          <w:szCs w:val="18"/>
          <w:color w:val="auto"/>
        </w:rPr>
        <w:t>Figure 15 below shows the top features contributing to the classifier ranked by their importance. The top features are heavily enriched for those derived from unbiased proteomics utilizing the Proteograph assay. Figure 15 indicates where these proteins fall in the standard plasma concentration curve, and indicates that they are across the entire dynamic range. Therefore, we believe that the capabilities of the Photograph platform to provide deep, unbiased, proteomics at scale could be used to develop this classifier.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78105</wp:posOffset>
            </wp:positionV>
            <wp:extent cx="5685790" cy="1700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extLst>
                    </a:blip>
                    <a:srcRect/>
                    <a:stretch>
                      <a:fillRect/>
                    </a:stretch>
                  </pic:blipFill>
                  <pic:spPr bwMode="auto">
                    <a:xfrm>
                      <a:off x="0" y="0"/>
                      <a:ext cx="5685790" cy="170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1580" w:right="20"/>
        <w:spacing w:after="0" w:line="333" w:lineRule="auto"/>
        <w:rPr>
          <w:sz w:val="20"/>
          <w:szCs w:val="20"/>
          <w:color w:val="auto"/>
        </w:rPr>
      </w:pPr>
      <w:r>
        <w:rPr>
          <w:rFonts w:ascii="Arial" w:cs="Arial" w:eastAsia="Arial" w:hAnsi="Arial"/>
          <w:sz w:val="15"/>
          <w:szCs w:val="15"/>
          <w:color w:val="auto"/>
        </w:rPr>
        <w:t>Figure 15. Shows results from a study performed by scientists at PrognomiQ, using deep, unbiased proteomics as part of a multi-omics based blood test for early-stage lunch cancer detection.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Target Identification and Exploration</w:t>
      </w:r>
    </w:p>
    <w:p>
      <w:pPr>
        <w:spacing w:after="0" w:line="209" w:lineRule="exact"/>
        <w:rPr>
          <w:sz w:val="20"/>
          <w:szCs w:val="20"/>
          <w:color w:val="auto"/>
        </w:rPr>
      </w:pPr>
    </w:p>
    <w:p>
      <w:pPr>
        <w:ind w:left="120" w:right="420"/>
        <w:spacing w:after="0" w:line="309" w:lineRule="auto"/>
        <w:rPr>
          <w:sz w:val="20"/>
          <w:szCs w:val="20"/>
          <w:color w:val="auto"/>
        </w:rPr>
      </w:pPr>
      <w:r>
        <w:rPr>
          <w:rFonts w:ascii="Arial" w:cs="Arial" w:eastAsia="Arial" w:hAnsi="Arial"/>
          <w:sz w:val="18"/>
          <w:szCs w:val="18"/>
          <w:color w:val="auto"/>
        </w:rPr>
        <w:t>We believe that large-scale access to protein variant information that map to different states of health and disease, as enabled by the Proteograph and concurrent advances in proteogenomics, could lead to the discovery of personalized drug targets that could number in the hundreds of thousands. We believe that the translational application of the Proteograph for potential biomarker development may also be applied to the identification of novel targets for therapeutic development. Components of classifiers may themselves become targets for drug development, or they may point to new knowledge with respect to disease mechanisms, which could then aid in the exploration of additional targets and/or help to elucidate the function of potential targets, particularly if these targets are discovered with genomics approaches, but lack protein functional context.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Clinical Trial Applications</w:t>
      </w:r>
    </w:p>
    <w:p>
      <w:pPr>
        <w:spacing w:after="0" w:line="209" w:lineRule="exact"/>
        <w:rPr>
          <w:sz w:val="20"/>
          <w:szCs w:val="20"/>
          <w:color w:val="auto"/>
        </w:rPr>
      </w:pPr>
    </w:p>
    <w:p>
      <w:pPr>
        <w:ind w:left="120" w:right="360"/>
        <w:spacing w:after="0" w:line="293" w:lineRule="auto"/>
        <w:rPr>
          <w:sz w:val="20"/>
          <w:szCs w:val="20"/>
          <w:color w:val="auto"/>
        </w:rPr>
      </w:pPr>
      <w:r>
        <w:rPr>
          <w:rFonts w:ascii="Arial" w:cs="Arial" w:eastAsia="Arial" w:hAnsi="Arial"/>
          <w:sz w:val="19"/>
          <w:szCs w:val="19"/>
          <w:color w:val="auto"/>
        </w:rPr>
        <w:t>The Proteograph Product Suite provides clinical researchers with the opportunity to perform deep and broad proteomic profiling of subjects in therapeutic clinical trials, enabling the real-time monitoring of protein-related drug effects, distribution and metabolism. These attributes are essential in virtually all clinical drug trials. Current methods use biased or targeted panels of proteins. It is currently impractical to do this type of monitoring with unbiased proteomic methods, given the inability of these methods to scale to the hundreds or thousands of samples that are evaluated in clinical trials.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19</w:t>
      </w:r>
    </w:p>
    <w:p>
      <w:pPr>
        <w:sectPr>
          <w:pgSz w:w="12240" w:h="15840" w:orient="portrait"/>
          <w:cols w:equalWidth="0" w:num="1">
            <w:col w:w="9360"/>
          </w:cols>
          <w:pgMar w:left="1440" w:top="1440" w:right="1440" w:bottom="610" w:gutter="0" w:footer="0" w:header="0"/>
          <w:type w:val="continuous"/>
        </w:sectPr>
      </w:pPr>
    </w:p>
    <w:bookmarkStart w:id="26" w:name="page27"/>
    <w:bookmarkEnd w:id="26"/>
    <w:p>
      <w:pPr>
        <w:spacing w:after="0" w:line="352" w:lineRule="exact"/>
        <w:rPr>
          <w:sz w:val="20"/>
          <w:szCs w:val="20"/>
          <w:color w:val="auto"/>
        </w:rPr>
      </w:pPr>
    </w:p>
    <w:p>
      <w:pPr>
        <w:ind w:left="120" w:right="300"/>
        <w:spacing w:after="0" w:line="311" w:lineRule="auto"/>
        <w:rPr>
          <w:sz w:val="20"/>
          <w:szCs w:val="20"/>
          <w:color w:val="auto"/>
        </w:rPr>
      </w:pPr>
      <w:r>
        <w:rPr>
          <w:rFonts w:ascii="Arial" w:cs="Arial" w:eastAsia="Arial" w:hAnsi="Arial"/>
          <w:sz w:val="18"/>
          <w:szCs w:val="18"/>
          <w:color w:val="auto"/>
        </w:rPr>
        <w:t>The Proteograph Product Suite may also enable patient selection and grouping based on patients’ proteomics profiles, leading to improved ability to confirm efficacy for novel therapies in complex diseases that involve multiple physiological systems. While genomic approaches are widely used to select patients in cancer and rare genetic disease clinical trials, their use in other indications has been limited by a lack of genetic understanding of these diseases. We believe that the Proteograph has the potential to generate useful proteomic signatures that can complement genomic and other patient selection criteria, improving patient selection and segmentation for clinical trials, particularly for indications outside of cancer and rare genetic diseases.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Applied Applications in Agriculture, Animal Health, and Bioprocessing</w:t>
      </w:r>
    </w:p>
    <w:p>
      <w:pPr>
        <w:spacing w:after="0" w:line="211" w:lineRule="exact"/>
        <w:rPr>
          <w:sz w:val="20"/>
          <w:szCs w:val="20"/>
          <w:color w:val="auto"/>
        </w:rPr>
      </w:pPr>
    </w:p>
    <w:p>
      <w:pPr>
        <w:ind w:left="120" w:right="340"/>
        <w:spacing w:after="0" w:line="315" w:lineRule="auto"/>
        <w:rPr>
          <w:sz w:val="20"/>
          <w:szCs w:val="20"/>
          <w:color w:val="auto"/>
        </w:rPr>
      </w:pPr>
      <w:r>
        <w:rPr>
          <w:rFonts w:ascii="Arial" w:cs="Arial" w:eastAsia="Arial" w:hAnsi="Arial"/>
          <w:sz w:val="18"/>
          <w:szCs w:val="18"/>
          <w:color w:val="auto"/>
        </w:rPr>
        <w:t>We see significant opportunities for the Proteograph solution to be applied in areas beyond human health, including areas where broad-scale genomics is being widely applied today, and applications where proteomics can uniquely enable the creation of end-markets. We believe that unbiased, deep and large-scale proteomic information, which can be enabled by the Proteograph, can complement and extend the value of genomics, transcriptomics and metabolomics information in fields such as agriculture, animal health and bioprocessing.</w:t>
      </w:r>
    </w:p>
    <w:p>
      <w:pPr>
        <w:spacing w:after="0" w:line="114" w:lineRule="exact"/>
        <w:rPr>
          <w:sz w:val="20"/>
          <w:szCs w:val="20"/>
          <w:color w:val="auto"/>
        </w:rPr>
      </w:pPr>
    </w:p>
    <w:p>
      <w:pPr>
        <w:ind w:left="120" w:right="360"/>
        <w:spacing w:after="0" w:line="315" w:lineRule="auto"/>
        <w:rPr>
          <w:sz w:val="20"/>
          <w:szCs w:val="20"/>
          <w:color w:val="auto"/>
        </w:rPr>
      </w:pPr>
      <w:r>
        <w:rPr>
          <w:rFonts w:ascii="Arial" w:cs="Arial" w:eastAsia="Arial" w:hAnsi="Arial"/>
          <w:sz w:val="18"/>
          <w:szCs w:val="18"/>
          <w:color w:val="auto"/>
        </w:rPr>
        <w:t>Given the robustness of the Proteograph Product Suite and its ability to work across species, we have seen significant interest and customer adoption of the Proteograph Product Suite for use in model organisms for research and the animal health markets to pursue opportunities in diagnostic and therapeutic development. We have already demonstrated the application of the Proteograph Product Suite in projects and studies that include mouse, monkey, pig, feline, chicken, canine, baboon and bovine plasmas.</w:t>
      </w:r>
    </w:p>
    <w:p>
      <w:pPr>
        <w:spacing w:after="0" w:line="114" w:lineRule="exact"/>
        <w:rPr>
          <w:sz w:val="20"/>
          <w:szCs w:val="20"/>
          <w:color w:val="auto"/>
        </w:rPr>
      </w:pPr>
    </w:p>
    <w:p>
      <w:pPr>
        <w:ind w:left="120" w:right="360"/>
        <w:spacing w:after="0" w:line="331" w:lineRule="auto"/>
        <w:rPr>
          <w:sz w:val="20"/>
          <w:szCs w:val="20"/>
          <w:color w:val="auto"/>
        </w:rPr>
      </w:pPr>
      <w:r>
        <w:rPr>
          <w:rFonts w:ascii="Arial" w:cs="Arial" w:eastAsia="Arial" w:hAnsi="Arial"/>
          <w:sz w:val="17"/>
          <w:szCs w:val="17"/>
          <w:color w:val="auto"/>
        </w:rPr>
        <w:t>In addition, we have seen increasing interest in utilizing the Proteograph in bioprocessing applications. We have certain customers who have run pilot studies with the Proteograph to enhance their liquid chromatography-mass spectrometry (LC-MS) techniques for comprehensive host cell protein (HCP) analysis. While conventional LC-MS is emerging as a versatile technique to identify and quantify HCPs, it is challenged by the inherently large dynamic range of HCPs compared to biologics. By coupling LC-MS with the standard Proteograph XT workflow, researchers identified 4-6x more HCPs for NIST monoclonal antibody (NIST 8671) without the need for additional sample pre-processing steps, providing consistent reproducibility and enhanced sensitivity without sacrificing precision.</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Limitations of Other Approaches to Proteomics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9"/>
          <w:szCs w:val="19"/>
          <w:color w:val="auto"/>
        </w:rPr>
        <w:t>Limitations of Transcriptomics to Infer Proteomics</w:t>
      </w:r>
    </w:p>
    <w:p>
      <w:pPr>
        <w:spacing w:after="0" w:line="207" w:lineRule="exact"/>
        <w:rPr>
          <w:sz w:val="20"/>
          <w:szCs w:val="20"/>
          <w:color w:val="auto"/>
        </w:rPr>
      </w:pPr>
    </w:p>
    <w:p>
      <w:pPr>
        <w:ind w:left="120" w:right="460"/>
        <w:spacing w:after="0" w:line="328" w:lineRule="auto"/>
        <w:rPr>
          <w:sz w:val="20"/>
          <w:szCs w:val="20"/>
          <w:color w:val="auto"/>
        </w:rPr>
      </w:pPr>
      <w:r>
        <w:rPr>
          <w:rFonts w:ascii="Arial" w:cs="Arial" w:eastAsia="Arial" w:hAnsi="Arial"/>
          <w:sz w:val="17"/>
          <w:szCs w:val="17"/>
          <w:color w:val="auto"/>
        </w:rPr>
        <w:t>RNA sequencing (RNAseq) has been the established method for studying transcriptomics over the last decade. It is often assumed that transcript and protein abundance levels are highly correlated because of the central dogma of molecular biology describing how transcripts are translated into proteins. However, several studies have repeatedly demonstrated a poor correlation between transcript and protein levels (Buccitelli and Selbach). This discrepancy can arise from technical factors, such as noise and bias in methods for assessing both transcripts and proteins, and biological mechanisms such as mRNA translation and degradation. Although both transcriptomics and proteomics measurements have their uses, proteins are more closely linked to phenotype, making them more useful than transcripts for understanding function. Therefore, we believe that direct analysis of the proteome via at-scale proteomics studies will provide unique biological insights for research, discovery and clinical applications.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20</w:t>
      </w:r>
    </w:p>
    <w:p>
      <w:pPr>
        <w:sectPr>
          <w:pgSz w:w="12240" w:h="15840" w:orient="portrait"/>
          <w:cols w:equalWidth="0" w:num="1">
            <w:col w:w="9360"/>
          </w:cols>
          <w:pgMar w:left="1440" w:top="1440" w:right="1440" w:bottom="610" w:gutter="0" w:footer="0" w:header="0"/>
          <w:type w:val="continuous"/>
        </w:sectPr>
      </w:pPr>
    </w:p>
    <w:bookmarkStart w:id="27" w:name="page28"/>
    <w:bookmarkEnd w:id="27"/>
    <w:p>
      <w:pPr>
        <w:spacing w:after="0" w:line="356" w:lineRule="exact"/>
        <w:rPr>
          <w:sz w:val="20"/>
          <w:szCs w:val="20"/>
          <w:color w:val="auto"/>
        </w:rPr>
      </w:pPr>
    </w:p>
    <w:p>
      <w:pPr>
        <w:ind w:left="460"/>
        <w:spacing w:after="0"/>
        <w:rPr>
          <w:sz w:val="20"/>
          <w:szCs w:val="20"/>
          <w:color w:val="auto"/>
        </w:rPr>
      </w:pPr>
      <w:r>
        <w:rPr>
          <w:rFonts w:ascii="Arial" w:cs="Arial" w:eastAsia="Arial" w:hAnsi="Arial"/>
          <w:sz w:val="19"/>
          <w:szCs w:val="19"/>
          <w:color w:val="auto"/>
        </w:rPr>
        <w:t>Limitations of Affinity-Based Approaches to Proteomics</w:t>
      </w:r>
    </w:p>
    <w:p>
      <w:pPr>
        <w:spacing w:after="0" w:line="209" w:lineRule="exact"/>
        <w:rPr>
          <w:sz w:val="20"/>
          <w:szCs w:val="20"/>
          <w:color w:val="auto"/>
        </w:rPr>
      </w:pPr>
    </w:p>
    <w:p>
      <w:pPr>
        <w:ind w:left="120" w:right="300"/>
        <w:spacing w:after="0" w:line="307" w:lineRule="auto"/>
        <w:rPr>
          <w:sz w:val="20"/>
          <w:szCs w:val="20"/>
          <w:color w:val="auto"/>
        </w:rPr>
      </w:pPr>
      <w:r>
        <w:rPr>
          <w:rFonts w:ascii="Arial" w:cs="Arial" w:eastAsia="Arial" w:hAnsi="Arial"/>
          <w:sz w:val="18"/>
          <w:szCs w:val="18"/>
          <w:color w:val="auto"/>
        </w:rPr>
        <w:t>Proteins are highly variable in structure, chemistry, and concentration, presenting technological challenges for their identification at low concentration levels. Because of the lack of a common amplification mechanism, researchers often use ligands to measure proteins. However, because ligands such as antibodies or aptamers were designed to bind to specific areas of proteins, approaches utilizing them are considered targeted, or biased. The average length of a human protein is approximately 470 amino acids, whereas the average binding site of a ligand is an epitope five to eight amino acids long. Panels of ligands used for protein interrogation have several shortcomings, including: (i) they do not recognize differences in protein structure outside of the epitope binding site, so that all variants appear the same and cannot be differentiated from one another, (ii) conformational changes of the protein can affect epitope and ligand binding; for example, those induced by protein-protein interactions or post-translational modifications, and (iii) certain protein isoforms may exclude entire protein domains and remove the epitope binding site, yielding false negative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83820</wp:posOffset>
            </wp:positionV>
            <wp:extent cx="5614670" cy="31349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9">
                      <a:extLst>
                        <a:ext uri="{28A0092B-C50C-407E-A947-70E740481C1C}"/>
                      </a:extLst>
                    </a:blip>
                    <a:srcRect/>
                    <a:stretch>
                      <a:fillRect/>
                    </a:stretch>
                  </pic:blipFill>
                  <pic:spPr bwMode="auto">
                    <a:xfrm>
                      <a:off x="0" y="0"/>
                      <a:ext cx="5614670" cy="313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1620"/>
        <w:spacing w:after="0" w:line="310" w:lineRule="auto"/>
        <w:rPr>
          <w:sz w:val="20"/>
          <w:szCs w:val="20"/>
          <w:color w:val="auto"/>
        </w:rPr>
      </w:pPr>
      <w:r>
        <w:rPr>
          <w:rFonts w:ascii="Arial" w:cs="Arial" w:eastAsia="Arial" w:hAnsi="Arial"/>
          <w:sz w:val="15"/>
          <w:szCs w:val="15"/>
          <w:color w:val="auto"/>
        </w:rPr>
        <w:t>Figure 16: Sources of variation. Left panel is a graphical summary of factors contributing to variation in the affinity-based discovery of the plasma proteome. Right panel schematically describes reasons for differences in binding profile of aptamer and antibody-based proteomic profiling (PAV protein altering variant; SNV single-nucleotide variant). Adapted from Pietzner et al.</w:t>
      </w:r>
    </w:p>
    <w:p>
      <w:pPr>
        <w:spacing w:after="0" w:line="122" w:lineRule="exact"/>
        <w:rPr>
          <w:sz w:val="20"/>
          <w:szCs w:val="20"/>
          <w:color w:val="auto"/>
        </w:rPr>
      </w:pPr>
    </w:p>
    <w:p>
      <w:pPr>
        <w:ind w:left="120" w:right="360"/>
        <w:spacing w:after="0" w:line="307" w:lineRule="auto"/>
        <w:rPr>
          <w:sz w:val="20"/>
          <w:szCs w:val="20"/>
          <w:color w:val="auto"/>
        </w:rPr>
      </w:pPr>
      <w:r>
        <w:rPr>
          <w:rFonts w:ascii="Arial" w:cs="Arial" w:eastAsia="Arial" w:hAnsi="Arial"/>
          <w:sz w:val="18"/>
          <w:szCs w:val="18"/>
          <w:color w:val="auto"/>
        </w:rPr>
        <w:t>In a paper published in Nature Communications, Pietzner et al. from the University of Cambridge experimentally demonstrated the limitations of two distinct commercially-available affinity-based approaches. Specifically, the authors show that protein-altering variants can affect ligand binding, that is, each affinity-based platform interacts differently with the same protein, depending on the epitopes to which its ligands are binding. On average, the correlation between the two commercially-available affinity-based methods was 0.38. The distribution of correlations across all proteins is bimodal, with some proteins having a very good correlation, and others have a correlation close to zero (as shown in Figure 17 below). The authors attribute this poor correlation to differences in epitope binding between platforms and interference from protein-altering variants. These limitations underscore the importance of studying proteins with peptide-level resolution using a technology that is quantitatively robust in identifying protein variants.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21</w:t>
      </w:r>
    </w:p>
    <w:p>
      <w:pPr>
        <w:sectPr>
          <w:pgSz w:w="12240" w:h="15840" w:orient="portrait"/>
          <w:cols w:equalWidth="0" w:num="1">
            <w:col w:w="9360"/>
          </w:cols>
          <w:pgMar w:left="1440" w:top="1440" w:right="1440" w:bottom="61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2330450</wp:posOffset>
            </wp:positionH>
            <wp:positionV relativeFrom="page">
              <wp:posOffset>1280160</wp:posOffset>
            </wp:positionV>
            <wp:extent cx="3026410" cy="2683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0">
                      <a:extLst>
                        <a:ext uri="{28A0092B-C50C-407E-A947-70E740481C1C}"/>
                      </a:extLst>
                    </a:blip>
                    <a:srcRect/>
                    <a:stretch>
                      <a:fillRect/>
                    </a:stretch>
                  </pic:blipFill>
                  <pic:spPr bwMode="auto">
                    <a:xfrm>
                      <a:off x="0" y="0"/>
                      <a:ext cx="3026410"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Figure 17: Distribution of correlation coefficients across 937 mapping aptamer–antibody pairs</w:t>
      </w:r>
      <w:r>
        <w:rPr>
          <w:sz w:val="1"/>
          <w:szCs w:val="1"/>
          <w:color w:val="auto"/>
        </w:rPr>
        <w:drawing>
          <wp:inline distT="0" distB="0" distL="0" distR="0">
            <wp:extent cx="101600" cy="11239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1">
                      <a:extLst>
                        <a:ext uri="{28A0092B-C50C-407E-A947-70E740481C1C}"/>
                      </a:extLst>
                    </a:blip>
                    <a:srcRect/>
                    <a:stretch>
                      <a:fillRect/>
                    </a:stretch>
                  </pic:blipFill>
                  <pic:spPr bwMode="auto">
                    <a:xfrm>
                      <a:off x="0" y="0"/>
                      <a:ext cx="101600" cy="112395"/>
                    </a:xfrm>
                    <a:prstGeom prst="rect">
                      <a:avLst/>
                    </a:prstGeom>
                    <a:noFill/>
                    <a:ln>
                      <a:noFill/>
                    </a:ln>
                  </pic:spPr>
                </pic:pic>
              </a:graphicData>
            </a:graphic>
          </wp:inline>
        </w:drawing>
        <w:drawing>
          <wp:inline distT="0" distB="0" distL="0" distR="0">
            <wp:extent cx="77470" cy="4699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2">
                      <a:extLst>
                        <a:ext uri="{28A0092B-C50C-407E-A947-70E740481C1C}"/>
                      </a:extLst>
                    </a:blip>
                    <a:srcRect/>
                    <a:stretch>
                      <a:fillRect/>
                    </a:stretch>
                  </pic:blipFill>
                  <pic:spPr bwMode="auto">
                    <a:xfrm>
                      <a:off x="0" y="0"/>
                      <a:ext cx="77470" cy="46990"/>
                    </a:xfrm>
                    <a:prstGeom prst="rect">
                      <a:avLst/>
                    </a:prstGeom>
                    <a:noFill/>
                    <a:ln>
                      <a:noFill/>
                    </a:ln>
                  </pic:spPr>
                </pic:pic>
              </a:graphicData>
            </a:graphic>
          </wp:inline>
        </w:drawing>
        <w:drawing>
          <wp:inline distT="0" distB="0" distL="0" distR="0">
            <wp:extent cx="110490" cy="908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3">
                      <a:extLst>
                        <a:ext uri="{28A0092B-C50C-407E-A947-70E740481C1C}"/>
                      </a:extLst>
                    </a:blip>
                    <a:srcRect/>
                    <a:stretch>
                      <a:fillRect/>
                    </a:stretch>
                  </pic:blipFill>
                  <pic:spPr bwMode="auto">
                    <a:xfrm>
                      <a:off x="0" y="0"/>
                      <a:ext cx="110490" cy="90805"/>
                    </a:xfrm>
                    <a:prstGeom prst="rect">
                      <a:avLst/>
                    </a:prstGeom>
                    <a:noFill/>
                    <a:ln>
                      <a:noFill/>
                    </a:ln>
                  </pic:spPr>
                </pic:pic>
              </a:graphicData>
            </a:graphic>
          </wp:inline>
        </w:drawing>
        <w:drawing>
          <wp:inline distT="0" distB="0" distL="0" distR="0">
            <wp:extent cx="49530" cy="908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4">
                      <a:extLst>
                        <a:ext uri="{28A0092B-C50C-407E-A947-70E740481C1C}"/>
                      </a:extLst>
                    </a:blip>
                    <a:srcRect/>
                    <a:stretch>
                      <a:fillRect/>
                    </a:stretch>
                  </pic:blipFill>
                  <pic:spPr bwMode="auto">
                    <a:xfrm>
                      <a:off x="0" y="0"/>
                      <a:ext cx="49530" cy="90805"/>
                    </a:xfrm>
                    <a:prstGeom prst="rect">
                      <a:avLst/>
                    </a:prstGeom>
                    <a:noFill/>
                    <a:ln>
                      <a:noFill/>
                    </a:ln>
                  </pic:spPr>
                </pic:pic>
              </a:graphicData>
            </a:graphic>
          </wp:inline>
        </w:drawing>
      </w:r>
      <w:r>
        <w:rPr>
          <w:rFonts w:ascii="Arial" w:cs="Arial" w:eastAsia="Arial" w:hAnsi="Arial"/>
          <w:sz w:val="13"/>
          <w:szCs w:val="13"/>
          <w:color w:val="auto"/>
        </w:rPr>
        <w:t xml:space="preserve"> unique protein targets). Adapted from</w:t>
      </w:r>
    </w:p>
    <w:p>
      <w:pPr>
        <w:spacing w:after="0" w:line="5"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Pietzner et al.</w:t>
      </w:r>
    </w:p>
    <w:p>
      <w:pPr>
        <w:spacing w:after="0" w:line="200" w:lineRule="exact"/>
        <w:rPr>
          <w:sz w:val="20"/>
          <w:szCs w:val="20"/>
          <w:color w:val="auto"/>
        </w:rPr>
      </w:pPr>
    </w:p>
    <w:p>
      <w:pPr>
        <w:ind w:left="120" w:right="280"/>
        <w:spacing w:after="0" w:line="316" w:lineRule="auto"/>
        <w:rPr>
          <w:sz w:val="20"/>
          <w:szCs w:val="20"/>
          <w:color w:val="auto"/>
        </w:rPr>
      </w:pPr>
      <w:r>
        <w:rPr>
          <w:rFonts w:ascii="Arial" w:cs="Arial" w:eastAsia="Arial" w:hAnsi="Arial"/>
          <w:sz w:val="18"/>
          <w:szCs w:val="18"/>
          <w:color w:val="auto"/>
        </w:rPr>
        <w:t>Affinity-based approaches are effective when a known target and a specific epitope measurement is desired but cannot cover the vast complexity of the proteome. We believe they are analogous to microarrays in genomics, where a specific DNA fragment is used in a targeted or biased manner to confirm the presence of a specific mutation or a single nucleotide polymorphism (SNP). The fundamental limitation of affinity-based approaches is their inability to differentiate between protein variants and accurately survey the complexity of the proteome.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9"/>
          <w:szCs w:val="19"/>
          <w:color w:val="auto"/>
        </w:rPr>
        <w:t>Limitations of Traditional Unbiased Approaches to Proteomics</w:t>
      </w:r>
    </w:p>
    <w:p>
      <w:pPr>
        <w:spacing w:after="0" w:line="209" w:lineRule="exact"/>
        <w:rPr>
          <w:sz w:val="20"/>
          <w:szCs w:val="20"/>
          <w:color w:val="auto"/>
        </w:rPr>
      </w:pPr>
    </w:p>
    <w:p>
      <w:pPr>
        <w:ind w:left="120" w:right="280"/>
        <w:spacing w:after="0" w:line="310" w:lineRule="auto"/>
        <w:rPr>
          <w:sz w:val="20"/>
          <w:szCs w:val="20"/>
          <w:color w:val="auto"/>
        </w:rPr>
      </w:pPr>
      <w:r>
        <w:rPr>
          <w:rFonts w:ascii="Arial" w:cs="Arial" w:eastAsia="Arial" w:hAnsi="Arial"/>
          <w:sz w:val="18"/>
          <w:szCs w:val="18"/>
          <w:color w:val="auto"/>
        </w:rPr>
        <w:t>Rather than relying on predefined epitopes, unbiased approaches can interrogate proteins at the peptide level, providing amino-acid level resolution to protein variants. However, traditional, deep, unbiased proteomic approaches rely on complex workflows that do not scale because of the wide range of protein concentrations in biological samples with high dynamic range. In human plasma, for example, the 22 most abundant plasma proteins account for 99% of the total protein mass, while many thousands of less abundant proteins comprise the remaining one percent. Given the important biological role of both high- and low-abundance proteins, it is critical to detect proteins accurately, precisely, and reproducibly across the dynamic range.</w:t>
      </w:r>
    </w:p>
    <w:p>
      <w:pPr>
        <w:spacing w:after="0" w:line="121" w:lineRule="exact"/>
        <w:rPr>
          <w:sz w:val="20"/>
          <w:szCs w:val="20"/>
          <w:color w:val="auto"/>
        </w:rPr>
      </w:pPr>
    </w:p>
    <w:p>
      <w:pPr>
        <w:ind w:left="120" w:right="280"/>
        <w:spacing w:after="0" w:line="307" w:lineRule="auto"/>
        <w:rPr>
          <w:sz w:val="20"/>
          <w:szCs w:val="20"/>
          <w:color w:val="auto"/>
        </w:rPr>
      </w:pPr>
      <w:r>
        <w:rPr>
          <w:rFonts w:ascii="Arial" w:cs="Arial" w:eastAsia="Arial" w:hAnsi="Arial"/>
          <w:sz w:val="18"/>
          <w:szCs w:val="18"/>
          <w:color w:val="auto"/>
        </w:rPr>
        <w:t>MS is a widely used technique for unbiased discovery, basic research and clinical applications, and is considered the gold standard for protein identification. However, the wide dynamic range of protein concentrations in plasma and other biological samples has previously required complex, upfront sample preparation workflows prior to MS analysis, involving depletion of abundant proteins and fractionation of the remaining proteins and peptides. Deep unbiased proteomics analysis of complex biosamples at scale has not been feasible for wide adoption by researchers due to the high complexity, cost and time requirements. For example, in a state-of-the-art deep unbiased plasma proteomics study in 2017 prior to commercial availability of the Proteograph Product Suite, Keshishian et al.depleted the most abundant proteins with immuno-affinity columns and then separated remaining peptides by multiple and complex chromatographic steps and MS injections. The study identified 4,500 different proteins across 16 samples but took months to complete.</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22</w:t>
      </w:r>
    </w:p>
    <w:p>
      <w:pPr>
        <w:sectPr>
          <w:pgSz w:w="12240" w:h="15840" w:orient="portrait"/>
          <w:cols w:equalWidth="0" w:num="1">
            <w:col w:w="9360"/>
          </w:cols>
          <w:pgMar w:left="1440" w:top="1440" w:right="1440" w:bottom="610" w:gutter="0" w:footer="0" w:header="0"/>
          <w:type w:val="continuous"/>
        </w:sectPr>
      </w:pPr>
    </w:p>
    <w:bookmarkStart w:id="29" w:name="page30"/>
    <w:bookmarkEnd w:id="29"/>
    <w:p>
      <w:pPr>
        <w:spacing w:after="0" w:line="352" w:lineRule="exact"/>
        <w:rPr>
          <w:sz w:val="20"/>
          <w:szCs w:val="20"/>
          <w:color w:val="auto"/>
        </w:rPr>
      </w:pPr>
    </w:p>
    <w:p>
      <w:pPr>
        <w:ind w:left="120" w:right="340"/>
        <w:spacing w:after="0" w:line="296" w:lineRule="auto"/>
        <w:rPr>
          <w:sz w:val="20"/>
          <w:szCs w:val="20"/>
          <w:color w:val="auto"/>
        </w:rPr>
      </w:pPr>
      <w:r>
        <w:rPr>
          <w:rFonts w:ascii="Arial" w:cs="Arial" w:eastAsia="Arial" w:hAnsi="Arial"/>
          <w:sz w:val="19"/>
          <w:szCs w:val="19"/>
          <w:color w:val="auto"/>
        </w:rPr>
        <w:t>Prior to the commercial availability of the Proteograph Product Suite, we believe the critical unmet need in proteomic analysis was how to collect unbiased proteomic data on thousands of proteins in a sample spanning more than ten orders of magnitude in concentration (dynamic range) and to repeat this across thousands of samples in a reasonable amount of time and cost. Genomics faced a similar unmet need before the advent of NGS, which allowed for massively parallel sampling.</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Markets</w:t>
      </w:r>
    </w:p>
    <w:p>
      <w:pPr>
        <w:spacing w:after="0" w:line="215" w:lineRule="exact"/>
        <w:rPr>
          <w:sz w:val="20"/>
          <w:szCs w:val="20"/>
          <w:color w:val="auto"/>
        </w:rPr>
      </w:pPr>
    </w:p>
    <w:p>
      <w:pPr>
        <w:ind w:left="120" w:right="380"/>
        <w:spacing w:after="0" w:line="291" w:lineRule="auto"/>
        <w:rPr>
          <w:sz w:val="20"/>
          <w:szCs w:val="20"/>
          <w:color w:val="auto"/>
        </w:rPr>
      </w:pPr>
      <w:r>
        <w:rPr>
          <w:rFonts w:ascii="Arial" w:cs="Arial" w:eastAsia="Arial" w:hAnsi="Arial"/>
          <w:sz w:val="19"/>
          <w:szCs w:val="19"/>
          <w:color w:val="auto"/>
        </w:rPr>
        <w:t>We believe that the Proteograph Product Suite has two primary near-term markets: the approximately $27 billion global proteomics market, and the $28 billion global genomics market, as reported by Allied Market Research and Technavio, respectively. The proteomics market is estimated by Allied Market Research to have spent approximately $21 billion on reagents, $4.5 billion on instruments, and $1.5 billion on services in 2022. We are competing in the proteomics reagent and instrument markets, while our STAC and Centers of Excellence (COEs) service providers address the services opportunity. Similarly in the genomics market, we are attracting spend on both products and services as genomic customers link genotype to phenotype by supplementing existing genomic data with proteomics data.</w:t>
      </w:r>
    </w:p>
    <w:p>
      <w:pPr>
        <w:spacing w:after="0" w:line="132" w:lineRule="exact"/>
        <w:rPr>
          <w:sz w:val="20"/>
          <w:szCs w:val="20"/>
          <w:color w:val="auto"/>
        </w:rPr>
      </w:pPr>
    </w:p>
    <w:p>
      <w:pPr>
        <w:ind w:left="120" w:right="500"/>
        <w:spacing w:after="0" w:line="331" w:lineRule="auto"/>
        <w:rPr>
          <w:sz w:val="20"/>
          <w:szCs w:val="20"/>
          <w:color w:val="auto"/>
        </w:rPr>
      </w:pPr>
      <w:r>
        <w:rPr>
          <w:rFonts w:ascii="Arial" w:cs="Arial" w:eastAsia="Arial" w:hAnsi="Arial"/>
          <w:sz w:val="17"/>
          <w:szCs w:val="17"/>
          <w:color w:val="auto"/>
        </w:rPr>
        <w:t>We currently sell and market the Proteograph Product Suite for research use only (RUO). However, we believe that the capabilities of the Proteograph Product Suite may enable other applications in the future, including clinical and applied applications. Like the commercial impact of broadened access to genomics products, we believe the Proteograph will enable novel applications and insights, leading to new end-markets. For example, non-invasive prenatal testing and precision oncology currently make up a significant part of the current genomics market, which would have been difficult to predict a decade ago. We anticipate that the same dynamic of new market creation will occur in proteomics, with one such application for proteomics being early disease detection.</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Our Growth Strategy</w:t>
      </w:r>
    </w:p>
    <w:p>
      <w:pPr>
        <w:spacing w:after="0" w:line="215" w:lineRule="exact"/>
        <w:rPr>
          <w:sz w:val="20"/>
          <w:szCs w:val="20"/>
          <w:color w:val="auto"/>
        </w:rPr>
      </w:pPr>
    </w:p>
    <w:p>
      <w:pPr>
        <w:ind w:left="120" w:right="300"/>
        <w:spacing w:after="0" w:line="324" w:lineRule="auto"/>
        <w:rPr>
          <w:sz w:val="20"/>
          <w:szCs w:val="20"/>
          <w:color w:val="auto"/>
        </w:rPr>
      </w:pPr>
      <w:r>
        <w:rPr>
          <w:rFonts w:ascii="Arial" w:cs="Arial" w:eastAsia="Arial" w:hAnsi="Arial"/>
          <w:sz w:val="19"/>
          <w:szCs w:val="19"/>
          <w:color w:val="auto"/>
        </w:rPr>
        <w:t>Our mission is to imagine and pioneer new ways to decode the biology of the proteome to improve human health. Our growth strategy is to:</w:t>
      </w:r>
    </w:p>
    <w:p>
      <w:pPr>
        <w:spacing w:after="0" w:line="109" w:lineRule="exact"/>
        <w:rPr>
          <w:sz w:val="20"/>
          <w:szCs w:val="20"/>
          <w:color w:val="auto"/>
        </w:rPr>
      </w:pPr>
    </w:p>
    <w:p>
      <w:pPr>
        <w:ind w:left="800" w:right="300"/>
        <w:spacing w:after="0" w:line="309" w:lineRule="auto"/>
        <w:rPr>
          <w:sz w:val="20"/>
          <w:szCs w:val="20"/>
          <w:color w:val="auto"/>
        </w:rPr>
      </w:pPr>
      <w:r>
        <w:rPr>
          <w:rFonts w:ascii="Arial" w:cs="Arial" w:eastAsia="Arial" w:hAnsi="Arial"/>
          <w:sz w:val="18"/>
          <w:szCs w:val="18"/>
          <w:b w:val="1"/>
          <w:bCs w:val="1"/>
          <w:color w:val="auto"/>
        </w:rPr>
        <w:t xml:space="preserve">Continue building evidence in the market to demonstrate the Proteograph’s differentiated abilities to deliver unique, actionable biological insights. </w:t>
      </w:r>
      <w:r>
        <w:rPr>
          <w:rFonts w:ascii="Arial" w:cs="Arial" w:eastAsia="Arial" w:hAnsi="Arial"/>
          <w:sz w:val="18"/>
          <w:szCs w:val="18"/>
          <w:color w:val="auto"/>
        </w:rPr>
        <w:t>Since our commercial launch in 2021, our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efforts have been focused on creating a body of evidence to support unbiased, deep proteomics at scale by establishing relationships with key thought leaders. Since our launch of the Proteograph, these efforts have translated into a strong foundation of evidence, with 33 publications, preprints and reviews demonstrating the performance of the Proteograph to date. As evidence continues to increase as Proteograph adoption grows, we are also transitioning from being a pioneer in unbiased, deep proteomics at scale to being a trusted partner for discovery and translational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-1298575</wp:posOffset>
            </wp:positionV>
            <wp:extent cx="67945" cy="679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00" w:lineRule="exact"/>
        <w:rPr>
          <w:sz w:val="20"/>
          <w:szCs w:val="20"/>
          <w:color w:val="auto"/>
        </w:rPr>
      </w:pPr>
    </w:p>
    <w:p>
      <w:pPr>
        <w:ind w:left="800" w:right="320"/>
        <w:spacing w:after="0" w:line="292" w:lineRule="auto"/>
        <w:rPr>
          <w:sz w:val="20"/>
          <w:szCs w:val="20"/>
          <w:color w:val="auto"/>
        </w:rPr>
      </w:pPr>
      <w:r>
        <w:rPr>
          <w:rFonts w:ascii="Arial" w:cs="Arial" w:eastAsia="Arial" w:hAnsi="Arial"/>
          <w:sz w:val="19"/>
          <w:szCs w:val="19"/>
          <w:color w:val="auto"/>
        </w:rPr>
        <w:t>Moving forward, in order to expand and accelerate demand for our products, we are investing in market development activities to educate prospective customers, funding bodies, commercial entities, government-sponsored multi-omics programs, and other stakeholders of the importance of large-scale unbiased and deep proteomic data. This effort includes collaborations with key opinion leaders (KOL) to generate scientific data, presentations, and peer-reviewed publications. Additionally, we are strategically investing in market development activities such as sponsorship of targeted projects, joint publications and seminars, and industry partnerships.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23</w:t>
      </w:r>
    </w:p>
    <w:p>
      <w:pPr>
        <w:sectPr>
          <w:pgSz w:w="12240" w:h="15840" w:orient="portrait"/>
          <w:cols w:equalWidth="0" w:num="1">
            <w:col w:w="9360"/>
          </w:cols>
          <w:pgMar w:left="1440" w:top="1440" w:right="1440" w:bottom="610" w:gutter="0" w:footer="0" w:header="0"/>
          <w:type w:val="continuous"/>
        </w:sectPr>
      </w:pPr>
    </w:p>
    <w:bookmarkStart w:id="30" w:name="page31"/>
    <w:bookmarkEnd w:id="30"/>
    <w:p>
      <w:pPr>
        <w:spacing w:after="0" w:line="353" w:lineRule="exact"/>
        <w:rPr>
          <w:sz w:val="20"/>
          <w:szCs w:val="20"/>
          <w:color w:val="auto"/>
        </w:rPr>
      </w:pPr>
    </w:p>
    <w:p>
      <w:pPr>
        <w:ind w:left="800" w:right="280"/>
        <w:spacing w:after="0" w:line="338" w:lineRule="auto"/>
        <w:rPr>
          <w:sz w:val="20"/>
          <w:szCs w:val="20"/>
          <w:color w:val="auto"/>
        </w:rPr>
      </w:pPr>
      <w:r>
        <w:rPr>
          <w:rFonts w:ascii="Arial" w:cs="Arial" w:eastAsia="Arial" w:hAnsi="Arial"/>
          <w:sz w:val="17"/>
          <w:szCs w:val="17"/>
          <w:b w:val="1"/>
          <w:bCs w:val="1"/>
          <w:color w:val="auto"/>
        </w:rPr>
        <w:t>Expand our user base by continuing to enhance access to the Proteograph</w:t>
      </w:r>
      <w:r>
        <w:rPr>
          <w:rFonts w:ascii="Arial" w:cs="Arial" w:eastAsia="Arial" w:hAnsi="Arial"/>
          <w:sz w:val="17"/>
          <w:szCs w:val="17"/>
          <w:color w:val="auto"/>
        </w:rPr>
        <w:t>. As our body of evidence grows,</w:t>
      </w:r>
      <w:r>
        <w:rPr>
          <w:rFonts w:ascii="Arial" w:cs="Arial" w:eastAsia="Arial" w:hAnsi="Arial"/>
          <w:sz w:val="17"/>
          <w:szCs w:val="17"/>
          <w:b w:val="1"/>
          <w:bCs w:val="1"/>
          <w:color w:val="auto"/>
        </w:rPr>
        <w:t xml:space="preserve"> </w:t>
      </w:r>
      <w:r>
        <w:rPr>
          <w:rFonts w:ascii="Arial" w:cs="Arial" w:eastAsia="Arial" w:hAnsi="Arial"/>
          <w:sz w:val="17"/>
          <w:szCs w:val="17"/>
          <w:color w:val="auto"/>
        </w:rPr>
        <w:t>we expect customer adoption to accelerate. We are intensely focused on removing barriers for customers to access Proteograph data to support their research activities. We have established several channels for customers to access the Proteograph either through our direct sales team, STAC services, COEs service provides, international channel partners, and strategic commercial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-817245</wp:posOffset>
            </wp:positionV>
            <wp:extent cx="67945" cy="679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0" w:lineRule="exact"/>
        <w:rPr>
          <w:sz w:val="20"/>
          <w:szCs w:val="20"/>
          <w:color w:val="auto"/>
        </w:rPr>
      </w:pPr>
    </w:p>
    <w:p>
      <w:pPr>
        <w:ind w:left="1940" w:right="380"/>
        <w:spacing w:after="0" w:line="338" w:lineRule="auto"/>
        <w:rPr>
          <w:sz w:val="20"/>
          <w:szCs w:val="20"/>
          <w:color w:val="auto"/>
        </w:rPr>
      </w:pPr>
      <w:r>
        <w:rPr>
          <w:rFonts w:ascii="Arial" w:cs="Arial" w:eastAsia="Arial" w:hAnsi="Arial"/>
          <w:sz w:val="17"/>
          <w:szCs w:val="17"/>
          <w:b w:val="1"/>
          <w:bCs w:val="1"/>
          <w:color w:val="auto"/>
        </w:rPr>
        <w:t xml:space="preserve">Direct Sales: </w:t>
      </w:r>
      <w:r>
        <w:rPr>
          <w:rFonts w:ascii="Arial" w:cs="Arial" w:eastAsia="Arial" w:hAnsi="Arial"/>
          <w:sz w:val="17"/>
          <w:szCs w:val="17"/>
          <w:color w:val="auto"/>
        </w:rPr>
        <w:t>In North America, the United Kingdom and select countries of the European</w:t>
      </w:r>
      <w:r>
        <w:rPr>
          <w:rFonts w:ascii="Arial" w:cs="Arial" w:eastAsia="Arial" w:hAnsi="Arial"/>
          <w:sz w:val="17"/>
          <w:szCs w:val="17"/>
          <w:b w:val="1"/>
          <w:bCs w:val="1"/>
          <w:color w:val="auto"/>
        </w:rPr>
        <w:t xml:space="preserve"> </w:t>
      </w:r>
      <w:r>
        <w:rPr>
          <w:rFonts w:ascii="Arial" w:cs="Arial" w:eastAsia="Arial" w:hAnsi="Arial"/>
          <w:sz w:val="17"/>
          <w:szCs w:val="17"/>
          <w:color w:val="auto"/>
        </w:rPr>
        <w:t>Union, we have direct sales and customer experience personnel, including Regional Business Managers (RBM), Field Application Scientists and Field Service Engineers. In addition to these direct personnel, we have marketing, customer experience and technical support personnel located in our offices in Redwood City and San Diego,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-815975</wp:posOffset>
            </wp:positionV>
            <wp:extent cx="67945" cy="679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75" w:lineRule="exact"/>
        <w:rPr>
          <w:sz w:val="20"/>
          <w:szCs w:val="20"/>
          <w:color w:val="auto"/>
        </w:rPr>
      </w:pPr>
    </w:p>
    <w:p>
      <w:pPr>
        <w:ind w:left="1940" w:right="260"/>
        <w:spacing w:after="0" w:line="292" w:lineRule="auto"/>
        <w:rPr>
          <w:sz w:val="20"/>
          <w:szCs w:val="20"/>
          <w:color w:val="auto"/>
        </w:rPr>
      </w:pPr>
      <w:r>
        <w:rPr>
          <w:rFonts w:ascii="Arial" w:cs="Arial" w:eastAsia="Arial" w:hAnsi="Arial"/>
          <w:sz w:val="19"/>
          <w:szCs w:val="19"/>
          <w:color w:val="auto"/>
        </w:rPr>
        <w:t>In 2024, we doubled the size of our commercial team across Marketing, Sales, and Customer Experience to support growing demand, with the goal of expanding our direct sales efforts and delivering an exceptional customer experience. We believe these efforts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32" w:lineRule="exact"/>
        <w:rPr>
          <w:sz w:val="20"/>
          <w:szCs w:val="20"/>
          <w:color w:val="auto"/>
        </w:rPr>
      </w:pPr>
    </w:p>
    <w:p>
      <w:pPr>
        <w:ind w:left="1940" w:right="360"/>
        <w:spacing w:after="0" w:line="312" w:lineRule="auto"/>
        <w:rPr>
          <w:sz w:val="20"/>
          <w:szCs w:val="20"/>
          <w:color w:val="auto"/>
        </w:rPr>
      </w:pPr>
      <w:r>
        <w:rPr>
          <w:rFonts w:ascii="Arial" w:cs="Arial" w:eastAsia="Arial" w:hAnsi="Arial"/>
          <w:sz w:val="18"/>
          <w:szCs w:val="18"/>
          <w:color w:val="auto"/>
        </w:rPr>
        <w:t>Additionally, to reduce customer capital investment barriers, we launched the Strategic Instrument Placement Program (SIPP) in 2023 to enable customer access to our Proteograph without the need for an upfront capital investment. With an upfront purchase of consumable kits, we loan the instrument for a defined period of time with an option to purchase at the end of the loan term. This is allowing customers to utilize available operating budget without the need to access capital budget in the short term.</w:t>
      </w:r>
    </w:p>
    <w:p>
      <w:pPr>
        <w:spacing w:after="0" w:line="134" w:lineRule="exact"/>
        <w:rPr>
          <w:sz w:val="20"/>
          <w:szCs w:val="20"/>
          <w:color w:val="auto"/>
        </w:rPr>
      </w:pPr>
    </w:p>
    <w:p>
      <w:pPr>
        <w:ind w:left="1940" w:right="360"/>
        <w:spacing w:after="0" w:line="326" w:lineRule="auto"/>
        <w:rPr>
          <w:sz w:val="20"/>
          <w:szCs w:val="20"/>
          <w:color w:val="auto"/>
        </w:rPr>
      </w:pPr>
      <w:r>
        <w:rPr>
          <w:rFonts w:ascii="Arial" w:cs="Arial" w:eastAsia="Arial" w:hAnsi="Arial"/>
          <w:sz w:val="16"/>
          <w:szCs w:val="16"/>
          <w:b w:val="1"/>
          <w:bCs w:val="1"/>
          <w:color w:val="auto"/>
        </w:rPr>
        <w:t>Seer Technology Access Center (STAC)</w:t>
      </w:r>
      <w:r>
        <w:rPr>
          <w:rFonts w:ascii="Arial" w:cs="Arial" w:eastAsia="Arial" w:hAnsi="Arial"/>
          <w:sz w:val="16"/>
          <w:szCs w:val="16"/>
          <w:color w:val="auto"/>
        </w:rPr>
        <w:t>: In June 2023, we announced the formation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STAC to provide access to our Proteograph workflow, coupled with Thermo Scientific</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Orbitrap</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Astral</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MS, on a fee-for-service basis. The STAC’s primary purpose is to lower the barriers to access for customers who want access to data produced by these technologies. Given the success of and strong demand for STAC, in May 2024, we announced the opening of our second STAC location in Bonn, Germany, in partnership with LIFE &amp; BRAIN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-973455</wp:posOffset>
            </wp:positionV>
            <wp:extent cx="67945" cy="679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05" w:lineRule="exact"/>
        <w:rPr>
          <w:sz w:val="20"/>
          <w:szCs w:val="20"/>
          <w:color w:val="auto"/>
        </w:rPr>
      </w:pPr>
    </w:p>
    <w:p>
      <w:pPr>
        <w:ind w:left="1940" w:right="320"/>
        <w:spacing w:after="0" w:line="334" w:lineRule="auto"/>
        <w:rPr>
          <w:sz w:val="20"/>
          <w:szCs w:val="20"/>
          <w:color w:val="auto"/>
        </w:rPr>
      </w:pPr>
      <w:r>
        <w:rPr>
          <w:rFonts w:ascii="Arial" w:cs="Arial" w:eastAsia="Arial" w:hAnsi="Arial"/>
          <w:sz w:val="17"/>
          <w:szCs w:val="17"/>
          <w:b w:val="1"/>
          <w:bCs w:val="1"/>
          <w:color w:val="auto"/>
        </w:rPr>
        <w:t xml:space="preserve">Centers of Excellence (COE): </w:t>
      </w:r>
      <w:r>
        <w:rPr>
          <w:rFonts w:ascii="Arial" w:cs="Arial" w:eastAsia="Arial" w:hAnsi="Arial"/>
          <w:sz w:val="17"/>
          <w:szCs w:val="17"/>
          <w:color w:val="auto"/>
        </w:rPr>
        <w:t>We have partnered with eight select service facilities and core</w:t>
      </w:r>
      <w:r>
        <w:rPr>
          <w:rFonts w:ascii="Arial" w:cs="Arial" w:eastAsia="Arial" w:hAnsi="Arial"/>
          <w:sz w:val="17"/>
          <w:szCs w:val="17"/>
          <w:b w:val="1"/>
          <w:bCs w:val="1"/>
          <w:color w:val="auto"/>
        </w:rPr>
        <w:t xml:space="preserve"> </w:t>
      </w:r>
      <w:r>
        <w:rPr>
          <w:rFonts w:ascii="Arial" w:cs="Arial" w:eastAsia="Arial" w:hAnsi="Arial"/>
          <w:sz w:val="17"/>
          <w:szCs w:val="17"/>
          <w:color w:val="auto"/>
        </w:rPr>
        <w:t>labs globally to be COEs for the Proteograph. These customers provide fee-for-service capabilities that allow third-party customers to access proteomic data from the Proteograph Product Suite using their own samples. We expect that these COEs will actively promote the Proteograph solution and its capabilities, help us further raise awareness, and increase the accessibility of the Proteograph to a wider range of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-978535</wp:posOffset>
            </wp:positionV>
            <wp:extent cx="67945" cy="679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5" w:lineRule="exact"/>
        <w:rPr>
          <w:sz w:val="20"/>
          <w:szCs w:val="20"/>
          <w:color w:val="auto"/>
        </w:rPr>
      </w:pPr>
    </w:p>
    <w:p>
      <w:pPr>
        <w:ind w:left="1940" w:right="300"/>
        <w:spacing w:after="0" w:line="296" w:lineRule="auto"/>
        <w:rPr>
          <w:sz w:val="20"/>
          <w:szCs w:val="20"/>
          <w:color w:val="auto"/>
        </w:rPr>
      </w:pPr>
      <w:r>
        <w:rPr>
          <w:rFonts w:ascii="Arial" w:cs="Arial" w:eastAsia="Arial" w:hAnsi="Arial"/>
          <w:sz w:val="19"/>
          <w:szCs w:val="19"/>
          <w:b w:val="1"/>
          <w:bCs w:val="1"/>
          <w:color w:val="auto"/>
        </w:rPr>
        <w:t xml:space="preserve">Channel Partners: </w:t>
      </w:r>
      <w:r>
        <w:rPr>
          <w:rFonts w:ascii="Arial" w:cs="Arial" w:eastAsia="Arial" w:hAnsi="Arial"/>
          <w:sz w:val="19"/>
          <w:szCs w:val="19"/>
          <w:color w:val="auto"/>
        </w:rPr>
        <w:t>We continue to expand geographically to enable access in key</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markets. In addition to our existing distributor in China, we added new distributors and channel partners in Australia, Eastern Europe, Israel, Japan, and South Africa. These partners will help educate, develop and expand the market for the Proteograph Product Suite in their respective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-797560</wp:posOffset>
            </wp:positionV>
            <wp:extent cx="67945" cy="679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24</w:t>
      </w:r>
    </w:p>
    <w:p>
      <w:pPr>
        <w:sectPr>
          <w:pgSz w:w="12240" w:h="15840" w:orient="portrait"/>
          <w:cols w:equalWidth="0" w:num="1">
            <w:col w:w="9360"/>
          </w:cols>
          <w:pgMar w:left="1440" w:top="1440" w:right="1440" w:bottom="610" w:gutter="0" w:footer="0" w:header="0"/>
          <w:type w:val="continuous"/>
        </w:sectPr>
      </w:pPr>
    </w:p>
    <w:bookmarkStart w:id="31" w:name="page32"/>
    <w:bookmarkEnd w:id="31"/>
    <w:p>
      <w:pPr>
        <w:spacing w:after="0" w:line="351" w:lineRule="exact"/>
        <w:rPr>
          <w:sz w:val="20"/>
          <w:szCs w:val="20"/>
          <w:color w:val="auto"/>
        </w:rPr>
      </w:pPr>
    </w:p>
    <w:p>
      <w:pPr>
        <w:ind w:left="1940" w:right="320"/>
        <w:spacing w:after="0" w:line="271" w:lineRule="auto"/>
        <w:rPr>
          <w:sz w:val="20"/>
          <w:szCs w:val="20"/>
          <w:color w:val="auto"/>
        </w:rPr>
      </w:pPr>
      <w:r>
        <w:rPr>
          <w:rFonts w:ascii="Arial" w:cs="Arial" w:eastAsia="Arial" w:hAnsi="Arial"/>
          <w:sz w:val="19"/>
          <w:szCs w:val="19"/>
          <w:b w:val="1"/>
          <w:bCs w:val="1"/>
          <w:color w:val="auto"/>
        </w:rPr>
        <w:t xml:space="preserve">Commercial Partnerships: </w:t>
      </w:r>
      <w:r>
        <w:rPr>
          <w:rFonts w:ascii="Arial" w:cs="Arial" w:eastAsia="Arial" w:hAnsi="Arial"/>
          <w:sz w:val="19"/>
          <w:szCs w:val="19"/>
          <w:color w:val="auto"/>
        </w:rPr>
        <w:t>In November 2024, we announced a co-marketing and sales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with Thermo Fisher Scientific, who will now be able to directly quote and sell the Proteograph Product Suite along with the Orbitrap</w:t>
      </w:r>
      <w:r>
        <w:rPr>
          <w:rFonts w:ascii="Arial" w:cs="Arial" w:eastAsia="Arial" w:hAnsi="Arial"/>
          <w:sz w:val="24"/>
          <w:szCs w:val="24"/>
          <w:color w:val="auto"/>
          <w:vertAlign w:val="superscript"/>
        </w:rPr>
        <w:t>TM</w:t>
      </w:r>
      <w:r>
        <w:rPr>
          <w:rFonts w:ascii="Arial" w:cs="Arial" w:eastAsia="Arial" w:hAnsi="Arial"/>
          <w:sz w:val="19"/>
          <w:szCs w:val="19"/>
          <w:color w:val="auto"/>
        </w:rPr>
        <w:t xml:space="preserve"> and Astral</w:t>
      </w:r>
      <w:r>
        <w:rPr>
          <w:rFonts w:ascii="Arial" w:cs="Arial" w:eastAsia="Arial" w:hAnsi="Arial"/>
          <w:sz w:val="24"/>
          <w:szCs w:val="24"/>
          <w:color w:val="auto"/>
          <w:vertAlign w:val="superscript"/>
        </w:rPr>
        <w:t>TM</w:t>
      </w:r>
      <w:r>
        <w:rPr>
          <w:rFonts w:ascii="Arial" w:cs="Arial" w:eastAsia="Arial" w:hAnsi="Arial"/>
          <w:sz w:val="19"/>
          <w:szCs w:val="19"/>
          <w:color w:val="auto"/>
        </w:rPr>
        <w:t>. This partnership, expected to operationalize in early 2025, will expand and accelerate accessibility to the best-in-class deep, unbiased proteomic workflow to life science researchers worldwide and create a seamless sample-to-data experience for customers. Additionally, we will collaborate with Thermo Fisher Scientific on marketing activities and joint research and population-scale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-1278255</wp:posOffset>
            </wp:positionV>
            <wp:extent cx="67945" cy="679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46" w:lineRule="exact"/>
        <w:rPr>
          <w:sz w:val="20"/>
          <w:szCs w:val="20"/>
          <w:color w:val="auto"/>
        </w:rPr>
      </w:pPr>
    </w:p>
    <w:p>
      <w:pPr>
        <w:ind w:left="800" w:right="300"/>
        <w:spacing w:after="0" w:line="332" w:lineRule="auto"/>
        <w:rPr>
          <w:sz w:val="20"/>
          <w:szCs w:val="20"/>
          <w:color w:val="auto"/>
        </w:rPr>
      </w:pPr>
      <w:r>
        <w:rPr>
          <w:rFonts w:ascii="Arial" w:cs="Arial" w:eastAsia="Arial" w:hAnsi="Arial"/>
          <w:sz w:val="17"/>
          <w:szCs w:val="17"/>
          <w:b w:val="1"/>
          <w:bCs w:val="1"/>
          <w:color w:val="auto"/>
        </w:rPr>
        <w:t xml:space="preserve">Enable and deliver large cohort studies to accelerate the market for deep, unbiased, proteomics at scale. </w:t>
      </w:r>
      <w:r>
        <w:rPr>
          <w:rFonts w:ascii="Arial" w:cs="Arial" w:eastAsia="Arial" w:hAnsi="Arial"/>
          <w:sz w:val="17"/>
          <w:szCs w:val="17"/>
          <w:color w:val="auto"/>
        </w:rPr>
        <w:t>In</w:t>
      </w:r>
      <w:r>
        <w:rPr>
          <w:rFonts w:ascii="Arial" w:cs="Arial" w:eastAsia="Arial" w:hAnsi="Arial"/>
          <w:sz w:val="17"/>
          <w:szCs w:val="17"/>
          <w:b w:val="1"/>
          <w:bCs w:val="1"/>
          <w:color w:val="auto"/>
        </w:rPr>
        <w:t xml:space="preserve"> </w:t>
      </w:r>
      <w:r>
        <w:rPr>
          <w:rFonts w:ascii="Arial" w:cs="Arial" w:eastAsia="Arial" w:hAnsi="Arial"/>
          <w:sz w:val="17"/>
          <w:szCs w:val="17"/>
          <w:color w:val="auto"/>
        </w:rPr>
        <w:t>2024, our customers and KOLs delivered high-impact publications that demonstrate the Proteograph’s performance, differentiation, and ability to deliver novel insights through at-scale studies. We are in discussions with key biobanks and precision medicine-focused customers to power population-scale, unbiased, deep proteomic studies through our Proteograph platform and STAC. For the first time, scientists will be able to generate peptide-level molecular data from large cohorts, which we believe will unlock new biological insights and help usher in the next era of multi-omics driven precision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-1145540</wp:posOffset>
            </wp:positionV>
            <wp:extent cx="67945" cy="679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8" w:lineRule="exact"/>
        <w:rPr>
          <w:sz w:val="20"/>
          <w:szCs w:val="20"/>
          <w:color w:val="auto"/>
        </w:rPr>
      </w:pPr>
    </w:p>
    <w:p>
      <w:pPr>
        <w:ind w:left="800" w:right="340"/>
        <w:spacing w:after="0" w:line="329" w:lineRule="auto"/>
        <w:rPr>
          <w:sz w:val="20"/>
          <w:szCs w:val="20"/>
          <w:color w:val="auto"/>
        </w:rPr>
      </w:pPr>
      <w:r>
        <w:rPr>
          <w:rFonts w:ascii="Arial" w:cs="Arial" w:eastAsia="Arial" w:hAnsi="Arial"/>
          <w:sz w:val="17"/>
          <w:szCs w:val="17"/>
          <w:b w:val="1"/>
          <w:bCs w:val="1"/>
          <w:color w:val="auto"/>
        </w:rPr>
        <w:t xml:space="preserve">Innovate continuously to develop and commercialize additional transformative products to break down MS proteomic workflow barriers, access the proteome, and accelerate our understanding of biology. </w:t>
      </w:r>
      <w:r>
        <w:rPr>
          <w:rFonts w:ascii="Arial" w:cs="Arial" w:eastAsia="Arial" w:hAnsi="Arial"/>
          <w:sz w:val="17"/>
          <w:szCs w:val="17"/>
          <w:color w:val="auto"/>
        </w:rPr>
        <w:t>We</w:t>
      </w:r>
      <w:r>
        <w:rPr>
          <w:rFonts w:ascii="Arial" w:cs="Arial" w:eastAsia="Arial" w:hAnsi="Arial"/>
          <w:sz w:val="17"/>
          <w:szCs w:val="17"/>
          <w:b w:val="1"/>
          <w:bCs w:val="1"/>
          <w:color w:val="auto"/>
        </w:rPr>
        <w:t xml:space="preserve"> </w:t>
      </w:r>
      <w:r>
        <w:rPr>
          <w:rFonts w:ascii="Arial" w:cs="Arial" w:eastAsia="Arial" w:hAnsi="Arial"/>
          <w:sz w:val="17"/>
          <w:szCs w:val="17"/>
          <w:color w:val="auto"/>
        </w:rPr>
        <w:t>aim to continuously innovate and develop new products, applications, workflows and analysis tools that simplify and accelerate researchers 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We will drive innovation through both internal R&amp;D projects and from collaborations with customers 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-1306195</wp:posOffset>
            </wp:positionV>
            <wp:extent cx="67945" cy="679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Suppliers and Manufacturing</w:t>
      </w:r>
    </w:p>
    <w:p>
      <w:pPr>
        <w:spacing w:after="0" w:line="213" w:lineRule="exact"/>
        <w:rPr>
          <w:sz w:val="20"/>
          <w:szCs w:val="20"/>
          <w:color w:val="auto"/>
        </w:rPr>
      </w:pPr>
    </w:p>
    <w:p>
      <w:pPr>
        <w:ind w:left="120" w:right="520"/>
        <w:spacing w:after="0" w:line="299" w:lineRule="auto"/>
        <w:rPr>
          <w:sz w:val="20"/>
          <w:szCs w:val="20"/>
          <w:color w:val="auto"/>
        </w:rPr>
      </w:pPr>
      <w:r>
        <w:rPr>
          <w:rFonts w:ascii="Arial" w:cs="Arial" w:eastAsia="Arial" w:hAnsi="Arial"/>
          <w:sz w:val="19"/>
          <w:szCs w:val="19"/>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Consumables</w:t>
      </w:r>
    </w:p>
    <w:p>
      <w:pPr>
        <w:spacing w:after="0" w:line="211" w:lineRule="exact"/>
        <w:rPr>
          <w:sz w:val="20"/>
          <w:szCs w:val="20"/>
          <w:color w:val="auto"/>
        </w:rPr>
      </w:pPr>
    </w:p>
    <w:p>
      <w:pPr>
        <w:ind w:left="120" w:right="280"/>
        <w:spacing w:after="0" w:line="327" w:lineRule="auto"/>
        <w:rPr>
          <w:sz w:val="20"/>
          <w:szCs w:val="20"/>
          <w:color w:val="auto"/>
        </w:rPr>
      </w:pPr>
      <w:r>
        <w:rPr>
          <w:rFonts w:ascii="Arial" w:cs="Arial" w:eastAsia="Arial" w:hAnsi="Arial"/>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the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25</w:t>
      </w:r>
    </w:p>
    <w:p>
      <w:pPr>
        <w:sectPr>
          <w:pgSz w:w="12240" w:h="15840" w:orient="portrait"/>
          <w:cols w:equalWidth="0" w:num="1">
            <w:col w:w="9360"/>
          </w:cols>
          <w:pgMar w:left="1440" w:top="1440" w:right="1440" w:bottom="610" w:gutter="0" w:footer="0" w:header="0"/>
          <w:type w:val="continuous"/>
        </w:sectPr>
      </w:pPr>
    </w:p>
    <w:bookmarkStart w:id="32" w:name="page33"/>
    <w:bookmarkEnd w:id="32"/>
    <w:p>
      <w:pPr>
        <w:spacing w:after="0" w:line="35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Automation Instrument</w:t>
      </w:r>
    </w:p>
    <w:p>
      <w:pPr>
        <w:spacing w:after="0" w:line="211" w:lineRule="exact"/>
        <w:rPr>
          <w:sz w:val="20"/>
          <w:szCs w:val="20"/>
          <w:color w:val="auto"/>
        </w:rPr>
      </w:pPr>
    </w:p>
    <w:p>
      <w:pPr>
        <w:ind w:left="120" w:right="480"/>
        <w:spacing w:after="0" w:line="334" w:lineRule="auto"/>
        <w:rPr>
          <w:sz w:val="20"/>
          <w:szCs w:val="20"/>
          <w:color w:val="auto"/>
        </w:rPr>
      </w:pPr>
      <w:r>
        <w:rPr>
          <w:rFonts w:ascii="Arial" w:cs="Arial" w:eastAsia="Arial" w:hAnsi="Arial"/>
          <w:sz w:val="17"/>
          <w:szCs w:val="17"/>
          <w:color w:val="auto"/>
        </w:rPr>
        <w:t>We designed the SP100 automation instrument and have outsourced its manufacturing to Hamilton Company, a leading manufacturer of automated liquid handling workstations. We entered a non-exclusive agreement with Hamilton that covers the manufacturing of the SP100 automation instrument and its continued supply on a purchase order basis. Starting in January 2025, we renewed the agreement under an extended term through December 2027. Following this extended term, the agreement will automatically renew annually for a maximum of two one-year renewal periods. Hamilton has represented to us that it maintains ISO 9001 and ISO 13485 certification.</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Competition</w:t>
      </w:r>
    </w:p>
    <w:p>
      <w:pPr>
        <w:spacing w:after="0" w:line="215" w:lineRule="exact"/>
        <w:rPr>
          <w:sz w:val="20"/>
          <w:szCs w:val="20"/>
          <w:color w:val="auto"/>
        </w:rPr>
      </w:pPr>
    </w:p>
    <w:p>
      <w:pPr>
        <w:ind w:left="120" w:right="280"/>
        <w:spacing w:after="0" w:line="307" w:lineRule="auto"/>
        <w:rPr>
          <w:sz w:val="20"/>
          <w:szCs w:val="20"/>
          <w:color w:val="auto"/>
        </w:rPr>
      </w:pPr>
      <w:r>
        <w:rPr>
          <w:rFonts w:ascii="Arial" w:cs="Arial" w:eastAsia="Arial" w:hAnsi="Arial"/>
          <w:sz w:val="18"/>
          <w:szCs w:val="18"/>
          <w:color w:val="auto"/>
        </w:rPr>
        <w:t>The life sciences technology industry is highly dynamic, marked by rapidly advancing technologies, intense competition and a strong focus on intellectual property. In the proteomics market, companies offer a range of analytical instruments, such as chromatography and MS instruments, and associated reagents. Competition in the proteomics market is based on proprietary technologies, rapid product development capabilities, applications and intellectual property. We believe that no currently commercially available products offer the capability to conduct unbiased, deep proteomics studies of high dynamic range samples at the same scale and throughput as the Proteograph Product Suite. However, given the potential market opportunity and scientific promise of proteomics, we expect the competition to increase and, as a result, one or more competing products to emerge.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20" w:lineRule="exact"/>
        <w:rPr>
          <w:sz w:val="20"/>
          <w:szCs w:val="20"/>
          <w:color w:val="auto"/>
        </w:rPr>
      </w:pPr>
    </w:p>
    <w:p>
      <w:pPr>
        <w:ind w:left="120" w:right="460"/>
        <w:spacing w:after="0" w:line="296" w:lineRule="auto"/>
        <w:rPr>
          <w:sz w:val="20"/>
          <w:szCs w:val="20"/>
          <w:color w:val="auto"/>
        </w:rPr>
      </w:pPr>
      <w:r>
        <w:rPr>
          <w:rFonts w:ascii="Arial" w:cs="Arial" w:eastAsia="Arial" w:hAnsi="Arial"/>
          <w:sz w:val="19"/>
          <w:szCs w:val="19"/>
          <w:color w:val="auto"/>
        </w:rPr>
        <w:t>Current companies that provide proteomics products include Agilent Technologies, Bio-Techne, Bruker, Danaher, DiaSorin and Thermo Fisher Scientific. There are also a number of companies that provide proteomic analysis services. In addition, multiple emerging growth companies have developed, or are developing, proteomics products, services and solutions, such as Alamar Biosciences, Nautilus Biotechnology, Quanterix, Quantum-Si and Standard BioTools.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Government Regulation</w:t>
      </w:r>
    </w:p>
    <w:p>
      <w:pPr>
        <w:spacing w:after="0" w:line="213" w:lineRule="exact"/>
        <w:rPr>
          <w:sz w:val="20"/>
          <w:szCs w:val="20"/>
          <w:color w:val="auto"/>
        </w:rPr>
      </w:pPr>
    </w:p>
    <w:p>
      <w:pPr>
        <w:ind w:left="120" w:right="260"/>
        <w:spacing w:after="0" w:line="326" w:lineRule="auto"/>
        <w:rPr>
          <w:sz w:val="20"/>
          <w:szCs w:val="20"/>
          <w:color w:val="auto"/>
        </w:rPr>
      </w:pPr>
      <w:r>
        <w:rPr>
          <w:rFonts w:ascii="Arial" w:cs="Arial" w:eastAsia="Arial" w:hAnsi="Arial"/>
          <w:sz w:val="17"/>
          <w:szCs w:val="17"/>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26</w:t>
      </w:r>
    </w:p>
    <w:p>
      <w:pPr>
        <w:sectPr>
          <w:pgSz w:w="12240" w:h="15840" w:orient="portrait"/>
          <w:cols w:equalWidth="0" w:num="1">
            <w:col w:w="9360"/>
          </w:cols>
          <w:pgMar w:left="1440" w:top="1440" w:right="1440" w:bottom="610" w:gutter="0" w:footer="0" w:header="0"/>
          <w:type w:val="continuous"/>
        </w:sectPr>
      </w:pPr>
    </w:p>
    <w:bookmarkStart w:id="33" w:name="page34"/>
    <w:bookmarkEnd w:id="33"/>
    <w:p>
      <w:pPr>
        <w:spacing w:after="0" w:line="352" w:lineRule="exact"/>
        <w:rPr>
          <w:sz w:val="20"/>
          <w:szCs w:val="20"/>
          <w:color w:val="auto"/>
        </w:rPr>
      </w:pPr>
    </w:p>
    <w:p>
      <w:pPr>
        <w:ind w:left="120" w:right="400"/>
        <w:spacing w:after="0" w:line="310" w:lineRule="auto"/>
        <w:rPr>
          <w:sz w:val="20"/>
          <w:szCs w:val="20"/>
          <w:color w:val="auto"/>
        </w:rPr>
      </w:pPr>
      <w:r>
        <w:rPr>
          <w:rFonts w:ascii="Arial" w:cs="Arial" w:eastAsia="Arial" w:hAnsi="Arial"/>
          <w:sz w:val="18"/>
          <w:szCs w:val="18"/>
          <w:color w:val="auto"/>
        </w:rPr>
        <w:t>We label and sell our products for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pre-and post-market controls for medical devices.</w:t>
      </w:r>
    </w:p>
    <w:p>
      <w:pPr>
        <w:spacing w:after="0" w:line="115" w:lineRule="exact"/>
        <w:rPr>
          <w:sz w:val="20"/>
          <w:szCs w:val="20"/>
          <w:color w:val="auto"/>
        </w:rPr>
      </w:pPr>
    </w:p>
    <w:p>
      <w:pPr>
        <w:ind w:left="120" w:right="280"/>
        <w:spacing w:after="0" w:line="326" w:lineRule="auto"/>
        <w:rPr>
          <w:sz w:val="20"/>
          <w:szCs w:val="20"/>
          <w:color w:val="auto"/>
        </w:rPr>
      </w:pPr>
      <w:r>
        <w:rPr>
          <w:rFonts w:ascii="Arial" w:cs="Arial" w:eastAsia="Arial" w:hAnsi="Arial"/>
          <w:sz w:val="17"/>
          <w:szCs w:val="17"/>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08" w:lineRule="exact"/>
        <w:rPr>
          <w:sz w:val="20"/>
          <w:szCs w:val="20"/>
          <w:color w:val="auto"/>
        </w:rPr>
      </w:pPr>
    </w:p>
    <w:p>
      <w:pPr>
        <w:ind w:left="120" w:right="320"/>
        <w:spacing w:after="0" w:line="328"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08" w:lineRule="exact"/>
        <w:rPr>
          <w:sz w:val="20"/>
          <w:szCs w:val="20"/>
          <w:color w:val="auto"/>
        </w:rPr>
      </w:pPr>
    </w:p>
    <w:p>
      <w:pPr>
        <w:ind w:left="120" w:right="260"/>
        <w:spacing w:after="0" w:line="325"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27</w:t>
      </w:r>
    </w:p>
    <w:p>
      <w:pPr>
        <w:sectPr>
          <w:pgSz w:w="12240" w:h="15840" w:orient="portrait"/>
          <w:cols w:equalWidth="0" w:num="1">
            <w:col w:w="9360"/>
          </w:cols>
          <w:pgMar w:left="1440" w:top="1440" w:right="1440" w:bottom="610" w:gutter="0" w:footer="0" w:header="0"/>
          <w:type w:val="continuous"/>
        </w:sectPr>
      </w:pPr>
    </w:p>
    <w:bookmarkStart w:id="34" w:name="page35"/>
    <w:bookmarkEnd w:id="34"/>
    <w:p>
      <w:pPr>
        <w:spacing w:after="0" w:line="352" w:lineRule="exact"/>
        <w:rPr>
          <w:sz w:val="20"/>
          <w:szCs w:val="20"/>
          <w:color w:val="auto"/>
        </w:rPr>
      </w:pPr>
    </w:p>
    <w:p>
      <w:pPr>
        <w:ind w:left="120" w:right="340"/>
        <w:spacing w:after="0" w:line="325"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 In January 2024, FDA announced its plans to reclassify certain high-risk in vitro diagnostics, including companion diagnostics, as Class II devices.</w:t>
      </w:r>
    </w:p>
    <w:p>
      <w:pPr>
        <w:spacing w:after="0" w:line="114" w:lineRule="exact"/>
        <w:rPr>
          <w:sz w:val="20"/>
          <w:szCs w:val="20"/>
          <w:color w:val="auto"/>
        </w:rPr>
      </w:pPr>
    </w:p>
    <w:p>
      <w:pPr>
        <w:ind w:left="120" w:right="260"/>
        <w:spacing w:after="0" w:line="325" w:lineRule="auto"/>
        <w:rPr>
          <w:sz w:val="20"/>
          <w:szCs w:val="20"/>
          <w:color w:val="auto"/>
        </w:rPr>
      </w:pPr>
      <w:r>
        <w:rPr>
          <w:rFonts w:ascii="Arial" w:cs="Arial" w:eastAsia="Arial" w:hAnsi="Arial"/>
          <w:sz w:val="17"/>
          <w:szCs w:val="17"/>
          <w:color w:val="auto"/>
        </w:rPr>
        <w:t>All medical devices, including IVDs, that are regulated by the FDA are also subject to the quality system regulation.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The FDA will begin to enforce the QMSR requirements upon the effective date, February 2, 2026.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09" w:lineRule="exact"/>
        <w:rPr>
          <w:sz w:val="20"/>
          <w:szCs w:val="20"/>
          <w:color w:val="auto"/>
        </w:rPr>
      </w:pPr>
    </w:p>
    <w:p>
      <w:pPr>
        <w:ind w:left="120" w:right="320"/>
        <w:spacing w:after="0" w:line="316" w:lineRule="auto"/>
        <w:rPr>
          <w:sz w:val="20"/>
          <w:szCs w:val="20"/>
          <w:color w:val="auto"/>
        </w:rPr>
      </w:pPr>
      <w:r>
        <w:rPr>
          <w:rFonts w:ascii="Arial" w:cs="Arial" w:eastAsia="Arial" w:hAnsi="Arial"/>
          <w:sz w:val="18"/>
          <w:szCs w:val="18"/>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28</w:t>
      </w:r>
    </w:p>
    <w:p>
      <w:pPr>
        <w:sectPr>
          <w:pgSz w:w="12240" w:h="15840" w:orient="portrait"/>
          <w:cols w:equalWidth="0" w:num="1">
            <w:col w:w="9360"/>
          </w:cols>
          <w:pgMar w:left="1440" w:top="1440" w:right="1440" w:bottom="610" w:gutter="0" w:footer="0" w:header="0"/>
          <w:type w:val="continuous"/>
        </w:sectPr>
      </w:pPr>
    </w:p>
    <w:bookmarkStart w:id="35" w:name="page36"/>
    <w:bookmarkEnd w:id="35"/>
    <w:p>
      <w:pPr>
        <w:spacing w:after="0" w:line="352" w:lineRule="exact"/>
        <w:rPr>
          <w:sz w:val="20"/>
          <w:szCs w:val="20"/>
          <w:color w:val="auto"/>
        </w:rPr>
      </w:pPr>
    </w:p>
    <w:p>
      <w:pPr>
        <w:ind w:left="120" w:right="260"/>
        <w:spacing w:after="0" w:line="323"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In November 2021, HHS under the Biden administration issued a statement that withdrew the August 2020 policy announcement stating that HHS does not have a policy on LDTs that is separate from FDA’s longstanding approach. In May 2024, the FDA issued a final rule that phases out its enforcement discretion for most laboratory-developed tests (LDTs) and amends the FDA’s regulations to make explicit that in vitro diagnostics are medical devices under the Federal Food, Drug, and Cosmetic Act, including when the manufacturer of the diagnostic product is a laboratory. This final rule is being challenged in federal courts. In June 2024, the U.S. Supreme Court overruled the Chevron 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of the FDA, including this LDT final rule. Further, the new presidential administration, including new leadership at the FDA, may issue new policies and regulations that can impact the compliance status of our products or that of our customers.</w:t>
      </w:r>
    </w:p>
    <w:p>
      <w:pPr>
        <w:spacing w:after="0" w:line="120" w:lineRule="exact"/>
        <w:rPr>
          <w:sz w:val="20"/>
          <w:szCs w:val="20"/>
          <w:color w:val="auto"/>
        </w:rPr>
      </w:pPr>
    </w:p>
    <w:p>
      <w:pPr>
        <w:ind w:left="120" w:right="280"/>
        <w:spacing w:after="0" w:line="331" w:lineRule="auto"/>
        <w:rPr>
          <w:sz w:val="20"/>
          <w:szCs w:val="20"/>
          <w:color w:val="auto"/>
        </w:rPr>
      </w:pPr>
      <w:r>
        <w:rPr>
          <w:rFonts w:ascii="Arial" w:cs="Arial" w:eastAsia="Arial" w:hAnsi="Arial"/>
          <w:sz w:val="17"/>
          <w:szCs w:val="17"/>
          <w:color w:val="auto"/>
        </w:rPr>
        <w:t>If our products become subject to FDA regulation as medical devices, we would need to invest significant time and resources to ensure ongoing compliance with FDA quality system regulations and other post-market regulatory requirements. It is unclear how future legislation by federal and state governments and FDA regulation will impact the industry, including our business and that of our customers.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05" w:lineRule="exact"/>
        <w:rPr>
          <w:sz w:val="20"/>
          <w:szCs w:val="20"/>
          <w:color w:val="auto"/>
        </w:rPr>
      </w:pPr>
    </w:p>
    <w:p>
      <w:pPr>
        <w:ind w:left="120" w:right="300"/>
        <w:spacing w:after="0" w:line="308"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which replaced the IVD Directive, is significantly more extensive than the IVD Directive, including requirements on performance data and quality system, and went into application in May 2022. Recently, the European Parliament voted to extend the transition timelines for IVDR.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29</w:t>
      </w:r>
    </w:p>
    <w:p>
      <w:pPr>
        <w:sectPr>
          <w:pgSz w:w="12240" w:h="15840" w:orient="portrait"/>
          <w:cols w:equalWidth="0" w:num="1">
            <w:col w:w="9360"/>
          </w:cols>
          <w:pgMar w:left="1440" w:top="1440" w:right="1440" w:bottom="610" w:gutter="0" w:footer="0" w:header="0"/>
          <w:type w:val="continuous"/>
        </w:sectPr>
      </w:pPr>
    </w:p>
    <w:bookmarkStart w:id="36" w:name="page37"/>
    <w:bookmarkEnd w:id="36"/>
    <w:p>
      <w:pPr>
        <w:spacing w:after="0" w:line="352" w:lineRule="exact"/>
        <w:rPr>
          <w:sz w:val="20"/>
          <w:szCs w:val="20"/>
          <w:color w:val="auto"/>
        </w:rPr>
      </w:pPr>
    </w:p>
    <w:p>
      <w:pPr>
        <w:ind w:left="120" w:right="260"/>
        <w:spacing w:after="0" w:line="324" w:lineRule="auto"/>
        <w:rPr>
          <w:sz w:val="20"/>
          <w:szCs w:val="20"/>
          <w:color w:val="auto"/>
        </w:rPr>
      </w:pPr>
      <w:r>
        <w:rPr>
          <w:rFonts w:ascii="Arial" w:cs="Arial" w:eastAsia="Arial" w:hAnsi="Arial"/>
          <w:sz w:val="17"/>
          <w:szCs w:val="17"/>
          <w:color w:val="auto"/>
        </w:rPr>
        <w:t>In the future, to the extent we or our partners develop any medical devices subject to FDA regulation, failure to comply with applicable regulatory requirements can result in enforcement action by FDA, which may include warning letters, untitled letters, fines, injunctions, consent decrees, and civil penalties; withdrawal, administrative detention, refunds, recall or seizure of products; operating restrictions, partial suspension or total shutdown of production; refusing or delaying requests for 510(k) clearance, de novo authorization, or PMA approval of new products or modified products; withdrawing 510(k) clearance, de novo authorization, or PMA approvals already granted; refusal to grant export approvals; or criminal prosecution. Further, manufacturing, sales, promotion and other activities following medical device clearance or approval are subject to regulation by numerous regulatory authorities in the United States in addition to the FDA, including the CMS, other divisions of the Department of Health and Human Services, the Department of Justice, the Consumer Product Safety Commission, the Federal Trade Commission, the Occupational Safety &amp; Health Administration, the Environmental Protection Agency, and state and local governments. A medical device may be marketed only for the indications for use for which it was approved or cleared. In addition to FDA restrictions on marketing of devices, several other types of state and federal laws have been applied to restrict certain marketing practices in the device industry. These laws include the federal Anti-Kickback Statute, False Claims Act, Civil Monetary Penalties, and CMS Open Payments, among others.</w:t>
      </w:r>
    </w:p>
    <w:p>
      <w:pPr>
        <w:spacing w:after="0" w:line="117" w:lineRule="exact"/>
        <w:rPr>
          <w:sz w:val="20"/>
          <w:szCs w:val="20"/>
          <w:color w:val="auto"/>
        </w:rPr>
      </w:pPr>
    </w:p>
    <w:p>
      <w:pPr>
        <w:ind w:left="120" w:right="360"/>
        <w:spacing w:after="0" w:line="308" w:lineRule="auto"/>
        <w:rPr>
          <w:sz w:val="20"/>
          <w:szCs w:val="20"/>
          <w:color w:val="auto"/>
        </w:rPr>
      </w:pPr>
      <w:r>
        <w:rPr>
          <w:rFonts w:ascii="Arial" w:cs="Arial" w:eastAsia="Arial" w:hAnsi="Arial"/>
          <w:sz w:val="18"/>
          <w:szCs w:val="18"/>
          <w:color w:val="auto"/>
        </w:rPr>
        <w:t>In the future, if we or our partners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18" w:lineRule="exact"/>
        <w:rPr>
          <w:sz w:val="20"/>
          <w:szCs w:val="20"/>
          <w:color w:val="auto"/>
        </w:rPr>
      </w:pPr>
    </w:p>
    <w:p>
      <w:pPr>
        <w:ind w:left="120" w:right="400"/>
        <w:spacing w:after="0" w:line="308" w:lineRule="auto"/>
        <w:rPr>
          <w:sz w:val="20"/>
          <w:szCs w:val="20"/>
          <w:color w:val="auto"/>
        </w:rPr>
      </w:pPr>
      <w:r>
        <w:rPr>
          <w:rFonts w:ascii="Arial" w:cs="Arial" w:eastAsia="Arial" w:hAnsi="Arial"/>
          <w:sz w:val="18"/>
          <w:szCs w:val="18"/>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22" w:lineRule="exact"/>
        <w:rPr>
          <w:sz w:val="20"/>
          <w:szCs w:val="20"/>
          <w:color w:val="auto"/>
        </w:rPr>
      </w:pPr>
    </w:p>
    <w:p>
      <w:pPr>
        <w:ind w:left="120" w:right="300"/>
        <w:spacing w:after="0" w:line="329" w:lineRule="auto"/>
        <w:rPr>
          <w:sz w:val="20"/>
          <w:szCs w:val="20"/>
          <w:color w:val="auto"/>
        </w:rPr>
      </w:pPr>
      <w:r>
        <w:rPr>
          <w:rFonts w:ascii="Arial" w:cs="Arial" w:eastAsia="Arial" w:hAnsi="Arial"/>
          <w:sz w:val="17"/>
          <w:szCs w:val="17"/>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30</w:t>
      </w:r>
    </w:p>
    <w:p>
      <w:pPr>
        <w:sectPr>
          <w:pgSz w:w="12240" w:h="15840" w:orient="portrait"/>
          <w:cols w:equalWidth="0" w:num="1">
            <w:col w:w="9360"/>
          </w:cols>
          <w:pgMar w:left="1440" w:top="1440" w:right="1440" w:bottom="610" w:gutter="0" w:footer="0" w:header="0"/>
          <w:type w:val="continuous"/>
        </w:sectPr>
      </w:pPr>
    </w:p>
    <w:bookmarkStart w:id="37" w:name="page38"/>
    <w:bookmarkEnd w:id="37"/>
    <w:p>
      <w:pPr>
        <w:spacing w:after="0" w:line="352" w:lineRule="exact"/>
        <w:rPr>
          <w:sz w:val="20"/>
          <w:szCs w:val="20"/>
          <w:color w:val="auto"/>
        </w:rPr>
      </w:pPr>
    </w:p>
    <w:p>
      <w:pPr>
        <w:ind w:left="120" w:right="260"/>
        <w:spacing w:after="0" w:line="322" w:lineRule="auto"/>
        <w:rPr>
          <w:sz w:val="20"/>
          <w:szCs w:val="20"/>
          <w:color w:val="auto"/>
        </w:rPr>
      </w:pPr>
      <w:r>
        <w:rPr>
          <w:rFonts w:ascii="Arial" w:cs="Arial" w:eastAsia="Arial" w:hAnsi="Arial"/>
          <w:sz w:val="17"/>
          <w:szCs w:val="17"/>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increasing scope for divergence in application, interpretation and enforcement of the data protection law as between the United Kingdom and EEA.</w:t>
      </w:r>
    </w:p>
    <w:p>
      <w:pPr>
        <w:spacing w:after="0" w:line="117" w:lineRule="exact"/>
        <w:rPr>
          <w:sz w:val="20"/>
          <w:szCs w:val="20"/>
          <w:color w:val="auto"/>
        </w:rPr>
      </w:pPr>
    </w:p>
    <w:p>
      <w:pPr>
        <w:ind w:left="120" w:right="400"/>
        <w:spacing w:after="0" w:line="324" w:lineRule="auto"/>
        <w:rPr>
          <w:sz w:val="20"/>
          <w:szCs w:val="20"/>
          <w:color w:val="auto"/>
        </w:rPr>
      </w:pPr>
      <w:r>
        <w:rPr>
          <w:rFonts w:ascii="Arial" w:cs="Arial" w:eastAsia="Arial" w:hAnsi="Arial"/>
          <w:sz w:val="19"/>
          <w:szCs w:val="19"/>
          <w:color w:val="auto"/>
        </w:rPr>
        <w:t>For further discussion of the risks we face relating to regulation, see the section titled “Risk factors—Risks related to our business and industry.”</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Intellectual Property</w:t>
      </w:r>
    </w:p>
    <w:p>
      <w:pPr>
        <w:spacing w:after="0" w:line="213" w:lineRule="exact"/>
        <w:rPr>
          <w:sz w:val="20"/>
          <w:szCs w:val="20"/>
          <w:color w:val="auto"/>
        </w:rPr>
      </w:pPr>
    </w:p>
    <w:p>
      <w:pPr>
        <w:jc w:val="both"/>
        <w:ind w:left="120" w:right="340"/>
        <w:spacing w:after="0" w:line="305" w:lineRule="auto"/>
        <w:rPr>
          <w:sz w:val="20"/>
          <w:szCs w:val="20"/>
          <w:color w:val="auto"/>
        </w:rPr>
      </w:pPr>
      <w:r>
        <w:rPr>
          <w:rFonts w:ascii="Arial" w:cs="Arial" w:eastAsia="Arial" w:hAnsi="Arial"/>
          <w:sz w:val="19"/>
          <w:szCs w:val="19"/>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119" w:lineRule="exact"/>
        <w:rPr>
          <w:sz w:val="20"/>
          <w:szCs w:val="20"/>
          <w:color w:val="auto"/>
        </w:rPr>
      </w:pPr>
    </w:p>
    <w:p>
      <w:pPr>
        <w:ind w:left="120" w:right="360"/>
        <w:spacing w:after="0" w:line="312" w:lineRule="auto"/>
        <w:rPr>
          <w:sz w:val="20"/>
          <w:szCs w:val="20"/>
          <w:color w:val="auto"/>
        </w:rPr>
      </w:pPr>
      <w:r>
        <w:rPr>
          <w:rFonts w:ascii="Arial" w:cs="Arial" w:eastAsia="Arial" w:hAnsi="Arial"/>
          <w:sz w:val="18"/>
          <w:szCs w:val="18"/>
          <w:color w:val="auto"/>
        </w:rPr>
        <w:t>As of December 31, 2024, we owned or exclusively licensed over 200 issued patents and patent applications worldwide. Our intellectual property portfolio includes patents and patent applications directed to proteomic assays, nanoparticle chemistry, data analysis and automation instruments. Our owned or exclusively licensed patents and patent applications, if issued, are expected to expire between 2023 and 2045, in each case without taking into account any possible patent term adjustments or extensions and assuming payment of all appropriate maintenance, renewal, annuity or other governmental fees.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31</w:t>
      </w:r>
    </w:p>
    <w:p>
      <w:pPr>
        <w:sectPr>
          <w:pgSz w:w="12240" w:h="15840" w:orient="portrait"/>
          <w:cols w:equalWidth="0" w:num="1">
            <w:col w:w="9360"/>
          </w:cols>
          <w:pgMar w:left="1440" w:top="1440" w:right="1440" w:bottom="610" w:gutter="0" w:footer="0" w:header="0"/>
          <w:type w:val="continuous"/>
        </w:sectPr>
      </w:pPr>
    </w:p>
    <w:bookmarkStart w:id="38" w:name="page39"/>
    <w:bookmarkEnd w:id="38"/>
    <w:p>
      <w:pPr>
        <w:spacing w:after="0" w:line="352" w:lineRule="exact"/>
        <w:rPr>
          <w:sz w:val="20"/>
          <w:szCs w:val="20"/>
          <w:color w:val="auto"/>
        </w:rPr>
      </w:pPr>
    </w:p>
    <w:p>
      <w:pPr>
        <w:ind w:left="120" w:right="260"/>
        <w:spacing w:after="0" w:line="311" w:lineRule="auto"/>
        <w:rPr>
          <w:sz w:val="20"/>
          <w:szCs w:val="20"/>
          <w:color w:val="auto"/>
        </w:rPr>
      </w:pPr>
      <w:r>
        <w:rPr>
          <w:rFonts w:ascii="Arial" w:cs="Arial" w:eastAsia="Arial" w:hAnsi="Arial"/>
          <w:sz w:val="18"/>
          <w:szCs w:val="18"/>
          <w:color w:val="auto"/>
        </w:rPr>
        <w:t>We exclusively license U.S. patents and patent applications, as well as ex-U.S. patents and pending patent applications from The Brigham and Women’s Hospital (BWH).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2034 and 2037, in each case without taking into account any possible patent term adjustments or extensions and assuming payment of all appropriate maintenance, renewal, annuity, or other governmental fees.</w:t>
      </w:r>
    </w:p>
    <w:p>
      <w:pPr>
        <w:spacing w:after="0" w:line="115" w:lineRule="exact"/>
        <w:rPr>
          <w:sz w:val="20"/>
          <w:szCs w:val="20"/>
          <w:color w:val="auto"/>
        </w:rPr>
      </w:pPr>
    </w:p>
    <w:p>
      <w:pPr>
        <w:ind w:left="120" w:right="320"/>
        <w:spacing w:after="0" w:line="291" w:lineRule="auto"/>
        <w:rPr>
          <w:sz w:val="20"/>
          <w:szCs w:val="20"/>
          <w:color w:val="auto"/>
        </w:rPr>
      </w:pPr>
      <w:r>
        <w:rPr>
          <w:rFonts w:ascii="Arial" w:cs="Arial" w:eastAsia="Arial" w:hAnsi="Arial"/>
          <w:sz w:val="19"/>
          <w:szCs w:val="19"/>
          <w:color w:val="auto"/>
        </w:rPr>
        <w:t>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“Business —Collaboration and License Agreements.”</w:t>
      </w:r>
    </w:p>
    <w:p>
      <w:pPr>
        <w:spacing w:after="0" w:line="134" w:lineRule="exact"/>
        <w:rPr>
          <w:sz w:val="20"/>
          <w:szCs w:val="20"/>
          <w:color w:val="auto"/>
        </w:rPr>
      </w:pPr>
    </w:p>
    <w:p>
      <w:pPr>
        <w:ind w:left="120" w:right="480"/>
        <w:spacing w:after="0" w:line="327"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11" w:lineRule="exact"/>
        <w:rPr>
          <w:sz w:val="20"/>
          <w:szCs w:val="20"/>
          <w:color w:val="auto"/>
        </w:rPr>
      </w:pPr>
    </w:p>
    <w:p>
      <w:pPr>
        <w:ind w:left="120" w:right="280"/>
        <w:spacing w:after="0" w:line="307" w:lineRule="auto"/>
        <w:rPr>
          <w:sz w:val="20"/>
          <w:szCs w:val="20"/>
          <w:color w:val="auto"/>
        </w:rPr>
      </w:pPr>
      <w:r>
        <w:rPr>
          <w:rFonts w:ascii="Arial" w:cs="Arial" w:eastAsia="Arial" w:hAnsi="Arial"/>
          <w:sz w:val="18"/>
          <w:szCs w:val="18"/>
          <w:color w:val="auto"/>
        </w:rPr>
        <w:t>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or may be unenforceable and we may not have adequate remedies. In addition, 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“Risk factors—Risks Related to our Intellectual Property.”</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32</w:t>
      </w:r>
    </w:p>
    <w:p>
      <w:pPr>
        <w:sectPr>
          <w:pgSz w:w="12240" w:h="15840" w:orient="portrait"/>
          <w:cols w:equalWidth="0" w:num="1">
            <w:col w:w="9360"/>
          </w:cols>
          <w:pgMar w:left="1440" w:top="1440" w:right="1440" w:bottom="610" w:gutter="0" w:footer="0" w:header="0"/>
          <w:type w:val="continuous"/>
        </w:sectPr>
      </w:pPr>
    </w:p>
    <w:bookmarkStart w:id="39" w:name="page40"/>
    <w:bookmarkEnd w:id="39"/>
    <w:p>
      <w:pPr>
        <w:spacing w:after="0" w:line="3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Collaboration and License Agreements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The Brigham and Women’s Hospital</w:t>
      </w:r>
    </w:p>
    <w:p>
      <w:pPr>
        <w:spacing w:after="0" w:line="209" w:lineRule="exact"/>
        <w:rPr>
          <w:sz w:val="20"/>
          <w:szCs w:val="20"/>
          <w:color w:val="auto"/>
        </w:rPr>
      </w:pPr>
    </w:p>
    <w:p>
      <w:pPr>
        <w:ind w:left="120" w:right="260"/>
        <w:spacing w:after="0" w:line="326" w:lineRule="auto"/>
        <w:rPr>
          <w:sz w:val="20"/>
          <w:szCs w:val="20"/>
          <w:color w:val="auto"/>
        </w:rPr>
      </w:pPr>
      <w:r>
        <w:rPr>
          <w:rFonts w:ascii="Arial" w:cs="Arial" w:eastAsia="Arial" w:hAnsi="Arial"/>
          <w:sz w:val="17"/>
          <w:szCs w:val="17"/>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08" w:lineRule="exact"/>
        <w:rPr>
          <w:sz w:val="20"/>
          <w:szCs w:val="20"/>
          <w:color w:val="auto"/>
        </w:rPr>
      </w:pPr>
    </w:p>
    <w:p>
      <w:pPr>
        <w:ind w:left="120" w:right="320"/>
        <w:spacing w:after="0" w:line="311" w:lineRule="auto"/>
        <w:rPr>
          <w:sz w:val="20"/>
          <w:szCs w:val="20"/>
          <w:color w:val="auto"/>
        </w:rPr>
      </w:pPr>
      <w:r>
        <w:rPr>
          <w:rFonts w:ascii="Arial" w:cs="Arial" w:eastAsia="Arial" w:hAnsi="Arial"/>
          <w:sz w:val="18"/>
          <w:szCs w:val="18"/>
          <w:color w:val="auto"/>
        </w:rPr>
        <w:t>In consideration for the licenses granted under the agreement, we must pay BWH annual license fees and a low single digit royalty on net sales of licensed products in any country during the term of the agreement, which is credited against the annual license fees. In the event we commercialize a product in the therapeutic space, we are also required to make certain drug-approval regulatory and commercialization milestone payments to BWH of up to a mid-seven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15" w:lineRule="exact"/>
        <w:rPr>
          <w:sz w:val="20"/>
          <w:szCs w:val="20"/>
          <w:color w:val="auto"/>
        </w:rPr>
      </w:pPr>
    </w:p>
    <w:p>
      <w:pPr>
        <w:ind w:left="120" w:right="520"/>
        <w:spacing w:after="0" w:line="299" w:lineRule="auto"/>
        <w:rPr>
          <w:sz w:val="20"/>
          <w:szCs w:val="20"/>
          <w:color w:val="auto"/>
        </w:rPr>
      </w:pPr>
      <w:r>
        <w:rPr>
          <w:rFonts w:ascii="Arial" w:cs="Arial" w:eastAsia="Arial" w:hAnsi="Arial"/>
          <w:sz w:val="19"/>
          <w:szCs w:val="19"/>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24" w:lineRule="exact"/>
        <w:rPr>
          <w:sz w:val="20"/>
          <w:szCs w:val="20"/>
          <w:color w:val="auto"/>
        </w:rPr>
      </w:pPr>
    </w:p>
    <w:p>
      <w:pPr>
        <w:ind w:left="120" w:right="360"/>
        <w:spacing w:after="0" w:line="298" w:lineRule="auto"/>
        <w:rPr>
          <w:sz w:val="20"/>
          <w:szCs w:val="20"/>
          <w:color w:val="auto"/>
        </w:rPr>
      </w:pPr>
      <w:r>
        <w:rPr>
          <w:rFonts w:ascii="Arial" w:cs="Arial" w:eastAsia="Arial" w:hAnsi="Arial"/>
          <w:sz w:val="19"/>
          <w:szCs w:val="19"/>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33</w:t>
      </w:r>
    </w:p>
    <w:p>
      <w:pPr>
        <w:sectPr>
          <w:pgSz w:w="12240" w:h="15840" w:orient="portrait"/>
          <w:cols w:equalWidth="0" w:num="1">
            <w:col w:w="9360"/>
          </w:cols>
          <w:pgMar w:left="1440" w:top="1440" w:right="1440" w:bottom="610" w:gutter="0" w:footer="0" w:header="0"/>
          <w:type w:val="continuous"/>
        </w:sectPr>
      </w:pPr>
    </w:p>
    <w:bookmarkStart w:id="40" w:name="page41"/>
    <w:bookmarkEnd w:id="40"/>
    <w:p>
      <w:pPr>
        <w:spacing w:after="0" w:line="35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PrognomiQ</w:t>
      </w:r>
    </w:p>
    <w:p>
      <w:pPr>
        <w:spacing w:after="0" w:line="211" w:lineRule="exact"/>
        <w:rPr>
          <w:sz w:val="20"/>
          <w:szCs w:val="20"/>
          <w:color w:val="auto"/>
        </w:rPr>
      </w:pPr>
    </w:p>
    <w:p>
      <w:pPr>
        <w:ind w:left="120" w:right="280"/>
        <w:spacing w:after="0" w:line="305" w:lineRule="auto"/>
        <w:rPr>
          <w:sz w:val="20"/>
          <w:szCs w:val="20"/>
          <w:color w:val="auto"/>
        </w:rPr>
      </w:pPr>
      <w:r>
        <w:rPr>
          <w:rFonts w:ascii="Arial" w:cs="Arial" w:eastAsia="Arial" w:hAnsi="Arial"/>
          <w:sz w:val="18"/>
          <w:szCs w:val="18"/>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intellectual property sublicense agreement.</w:t>
      </w:r>
    </w:p>
    <w:p>
      <w:pPr>
        <w:spacing w:after="0" w:line="130" w:lineRule="exact"/>
        <w:rPr>
          <w:sz w:val="20"/>
          <w:szCs w:val="20"/>
          <w:color w:val="auto"/>
        </w:rPr>
      </w:pPr>
    </w:p>
    <w:p>
      <w:pPr>
        <w:ind w:left="120" w:right="340"/>
        <w:spacing w:after="0" w:line="331" w:lineRule="auto"/>
        <w:rPr>
          <w:sz w:val="20"/>
          <w:szCs w:val="20"/>
          <w:color w:val="auto"/>
        </w:rPr>
      </w:pPr>
      <w:r>
        <w:rPr>
          <w:rFonts w:ascii="Arial" w:cs="Arial" w:eastAsia="Arial" w:hAnsi="Arial"/>
          <w:sz w:val="17"/>
          <w:szCs w:val="17"/>
          <w:color w:val="auto"/>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105" w:lineRule="exact"/>
        <w:rPr>
          <w:sz w:val="20"/>
          <w:szCs w:val="20"/>
          <w:color w:val="auto"/>
        </w:rPr>
      </w:pPr>
    </w:p>
    <w:p>
      <w:pPr>
        <w:ind w:left="120" w:right="360"/>
        <w:spacing w:after="0" w:line="328" w:lineRule="auto"/>
        <w:rPr>
          <w:sz w:val="20"/>
          <w:szCs w:val="20"/>
          <w:color w:val="auto"/>
        </w:rPr>
      </w:pPr>
      <w:r>
        <w:rPr>
          <w:rFonts w:ascii="Arial" w:cs="Arial" w:eastAsia="Arial" w:hAnsi="Arial"/>
          <w:sz w:val="17"/>
          <w:szCs w:val="17"/>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Scientific Advisory Board</w:t>
      </w:r>
    </w:p>
    <w:p>
      <w:pPr>
        <w:spacing w:after="0" w:line="213" w:lineRule="exact"/>
        <w:rPr>
          <w:sz w:val="20"/>
          <w:szCs w:val="20"/>
          <w:color w:val="auto"/>
        </w:rPr>
      </w:pPr>
    </w:p>
    <w:p>
      <w:pPr>
        <w:ind w:left="120" w:right="360"/>
        <w:spacing w:after="0" w:line="296" w:lineRule="auto"/>
        <w:rPr>
          <w:sz w:val="20"/>
          <w:szCs w:val="20"/>
          <w:color w:val="auto"/>
        </w:rPr>
      </w:pPr>
      <w:r>
        <w:rPr>
          <w:rFonts w:ascii="Arial" w:cs="Arial" w:eastAsia="Arial" w:hAnsi="Arial"/>
          <w:sz w:val="19"/>
          <w:szCs w:val="19"/>
          <w:color w:val="auto"/>
        </w:rPr>
        <w:t>We have assembled a highly-qualified scientific advisory board composed of advisors who have deep expertise in the fields of nanotechnology, proteomics, genomics, medicine, regulatory compliance and data science. Our scientific advisory board is composed of Robert Langer, Sc.D., Charles Cantor, Ph.D., Steven Carr, Ph.D., Joshua Coon, Ph.D., Luis Diaz, M.D., Vivek Farias, Ph.D., Chris Mason, Ph.D., Mark McClellan, Ph.D., Gary Patti, Ph.D., Jennifer Van Eyk, Ph.D., M.D., and Bruce Wilcox, Ph.D.</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34</w:t>
      </w:r>
    </w:p>
    <w:p>
      <w:pPr>
        <w:sectPr>
          <w:pgSz w:w="12240" w:h="15840" w:orient="portrait"/>
          <w:cols w:equalWidth="0" w:num="1">
            <w:col w:w="9360"/>
          </w:cols>
          <w:pgMar w:left="1440" w:top="1440" w:right="1440" w:bottom="610" w:gutter="0" w:footer="0" w:header="0"/>
          <w:type w:val="continuous"/>
        </w:sectPr>
      </w:pPr>
    </w:p>
    <w:bookmarkStart w:id="41" w:name="page42"/>
    <w:bookmarkEnd w:id="41"/>
    <w:p>
      <w:pPr>
        <w:spacing w:after="0" w:line="3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Employees</w:t>
      </w:r>
    </w:p>
    <w:p>
      <w:pPr>
        <w:spacing w:after="0" w:line="215" w:lineRule="exact"/>
        <w:rPr>
          <w:sz w:val="20"/>
          <w:szCs w:val="20"/>
          <w:color w:val="auto"/>
        </w:rPr>
      </w:pPr>
    </w:p>
    <w:p>
      <w:pPr>
        <w:ind w:left="120" w:right="300"/>
        <w:spacing w:after="0" w:line="320" w:lineRule="auto"/>
        <w:rPr>
          <w:sz w:val="20"/>
          <w:szCs w:val="20"/>
          <w:color w:val="auto"/>
        </w:rPr>
      </w:pPr>
      <w:r>
        <w:rPr>
          <w:rFonts w:ascii="Arial" w:cs="Arial" w:eastAsia="Arial" w:hAnsi="Arial"/>
          <w:sz w:val="18"/>
          <w:szCs w:val="18"/>
          <w:color w:val="auto"/>
        </w:rPr>
        <w:t>Our employees are guided by our mission to imagine and pioneer news ways to decode the biology of the proteome to improve human health. Our core values Better Together, Customer Centric, Difference Makers, People First and Trailblazers guide us toward achieving our mission. Our core values set the foundation for how we conduct business, interact with each other and our customers and evaluate employee performance.</w:t>
      </w:r>
    </w:p>
    <w:p>
      <w:pPr>
        <w:spacing w:after="0" w:line="107" w:lineRule="exact"/>
        <w:rPr>
          <w:sz w:val="20"/>
          <w:szCs w:val="20"/>
          <w:color w:val="auto"/>
        </w:rPr>
      </w:pPr>
    </w:p>
    <w:p>
      <w:pPr>
        <w:ind w:left="120" w:right="840"/>
        <w:spacing w:after="0" w:line="355" w:lineRule="auto"/>
        <w:rPr>
          <w:sz w:val="20"/>
          <w:szCs w:val="20"/>
          <w:color w:val="auto"/>
        </w:rPr>
      </w:pPr>
      <w:r>
        <w:rPr>
          <w:rFonts w:ascii="Arial" w:cs="Arial" w:eastAsia="Arial" w:hAnsi="Arial"/>
          <w:sz w:val="17"/>
          <w:szCs w:val="17"/>
          <w:color w:val="auto"/>
        </w:rPr>
        <w:t>As of December 31, 2024, we had 134 employees based in North America, the European Union and the United Kingdom. Many of our employees are highly educated, holding masters and doctorate degrees. None of our employees is represented by a labor union or covered under a collective bargaining agreement.</w:t>
      </w:r>
    </w:p>
    <w:p>
      <w:pPr>
        <w:spacing w:after="0" w:line="84" w:lineRule="exact"/>
        <w:rPr>
          <w:sz w:val="20"/>
          <w:szCs w:val="20"/>
          <w:color w:val="auto"/>
        </w:rPr>
      </w:pPr>
    </w:p>
    <w:p>
      <w:pPr>
        <w:ind w:left="120" w:right="280"/>
        <w:spacing w:after="0" w:line="324" w:lineRule="auto"/>
        <w:rPr>
          <w:sz w:val="20"/>
          <w:szCs w:val="20"/>
          <w:color w:val="auto"/>
        </w:rPr>
      </w:pPr>
      <w:r>
        <w:rPr>
          <w:rFonts w:ascii="Arial" w:cs="Arial" w:eastAsia="Arial" w:hAnsi="Arial"/>
          <w:sz w:val="19"/>
          <w:szCs w:val="19"/>
          <w:color w:val="auto"/>
        </w:rPr>
        <w:t>Diversity, equality and inclusion awareness were a part of our 2024 human capital strategy. As of December 31, 2024, 57% of our employees were women and/or people of color.</w:t>
      </w:r>
    </w:p>
    <w:p>
      <w:pPr>
        <w:spacing w:after="0" w:line="101" w:lineRule="exact"/>
        <w:rPr>
          <w:sz w:val="20"/>
          <w:szCs w:val="20"/>
          <w:color w:val="auto"/>
        </w:rPr>
      </w:pPr>
    </w:p>
    <w:p>
      <w:pPr>
        <w:ind w:left="120" w:right="300"/>
        <w:spacing w:after="0" w:line="295" w:lineRule="auto"/>
        <w:rPr>
          <w:sz w:val="20"/>
          <w:szCs w:val="20"/>
          <w:color w:val="auto"/>
        </w:rPr>
      </w:pPr>
      <w:r>
        <w:rPr>
          <w:rFonts w:ascii="Arial" w:cs="Arial" w:eastAsia="Arial" w:hAnsi="Arial"/>
          <w:sz w:val="19"/>
          <w:szCs w:val="19"/>
          <w:color w:val="auto"/>
        </w:rPr>
        <w:t>Our human capital resources objectives include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to increase stockholder value and the success of our company by motivating such individuals to perform to the best of their abilities and achieve our objectives.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Corporate Information and History</w:t>
      </w:r>
    </w:p>
    <w:p>
      <w:pPr>
        <w:spacing w:after="0" w:line="213" w:lineRule="exact"/>
        <w:rPr>
          <w:sz w:val="20"/>
          <w:szCs w:val="20"/>
          <w:color w:val="auto"/>
        </w:rPr>
      </w:pPr>
    </w:p>
    <w:p>
      <w:pPr>
        <w:ind w:left="120" w:right="340"/>
        <w:spacing w:after="0" w:line="295" w:lineRule="auto"/>
        <w:rPr>
          <w:sz w:val="20"/>
          <w:szCs w:val="20"/>
          <w:color w:val="auto"/>
        </w:rPr>
      </w:pPr>
      <w:r>
        <w:rPr>
          <w:rFonts w:ascii="Arial" w:cs="Arial" w:eastAsia="Arial" w:hAnsi="Arial"/>
          <w:sz w:val="19"/>
          <w:szCs w:val="19"/>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should not be considered to be part of this Annual Report.</w:t>
      </w:r>
    </w:p>
    <w:p>
      <w:pPr>
        <w:spacing w:after="0" w:line="129" w:lineRule="exact"/>
        <w:rPr>
          <w:sz w:val="20"/>
          <w:szCs w:val="20"/>
          <w:color w:val="auto"/>
        </w:rPr>
      </w:pPr>
    </w:p>
    <w:p>
      <w:pPr>
        <w:ind w:left="120" w:right="320"/>
        <w:spacing w:after="0" w:line="331" w:lineRule="auto"/>
        <w:rPr>
          <w:sz w:val="20"/>
          <w:szCs w:val="20"/>
          <w:color w:val="auto"/>
        </w:rPr>
      </w:pPr>
      <w:r>
        <w:rPr>
          <w:rFonts w:ascii="Arial" w:cs="Arial" w:eastAsia="Arial" w:hAnsi="Arial"/>
          <w:sz w:val="17"/>
          <w:szCs w:val="17"/>
          <w:color w:val="auto"/>
        </w:rPr>
        <w:t>We use Seer and Proteograph as trademarks in the United States and other countries. This Annual Report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References</w:t>
      </w:r>
    </w:p>
    <w:p>
      <w:pPr>
        <w:spacing w:after="0" w:line="213" w:lineRule="exact"/>
        <w:rPr>
          <w:sz w:val="20"/>
          <w:szCs w:val="20"/>
          <w:color w:val="auto"/>
        </w:rPr>
      </w:pPr>
    </w:p>
    <w:p>
      <w:pPr>
        <w:ind w:left="120" w:right="840"/>
        <w:spacing w:after="0" w:line="326" w:lineRule="auto"/>
        <w:rPr>
          <w:sz w:val="20"/>
          <w:szCs w:val="20"/>
          <w:color w:val="auto"/>
        </w:rPr>
      </w:pPr>
      <w:r>
        <w:rPr>
          <w:rFonts w:ascii="Arial" w:cs="Arial" w:eastAsia="Arial" w:hAnsi="Arial"/>
          <w:sz w:val="19"/>
          <w:szCs w:val="19"/>
          <w:color w:val="auto"/>
        </w:rPr>
        <w:t>Published studies referenced throughout this Annual Report are cited below. These studies are not a part of this prospectus and are not incorporated by reference in this Annual Report.</w:t>
      </w:r>
    </w:p>
    <w:p>
      <w:pPr>
        <w:spacing w:after="0" w:line="97" w:lineRule="exact"/>
        <w:rPr>
          <w:sz w:val="20"/>
          <w:szCs w:val="20"/>
          <w:color w:val="auto"/>
        </w:rPr>
      </w:pPr>
    </w:p>
    <w:p>
      <w:pPr>
        <w:ind w:left="120" w:right="740"/>
        <w:spacing w:after="0" w:line="326" w:lineRule="auto"/>
        <w:rPr>
          <w:sz w:val="20"/>
          <w:szCs w:val="20"/>
          <w:color w:val="auto"/>
        </w:rPr>
      </w:pPr>
      <w:r>
        <w:rPr>
          <w:rFonts w:ascii="Arial" w:cs="Arial" w:eastAsia="Arial" w:hAnsi="Arial"/>
          <w:sz w:val="19"/>
          <w:szCs w:val="19"/>
          <w:color w:val="auto"/>
        </w:rPr>
        <w:t>Backman, J.D. et al. Exome sequencing and analysis of 454,787 UK Biobank participants. Nature 599, 628–634 (2021).</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9"/>
          <w:szCs w:val="19"/>
          <w:color w:val="auto"/>
        </w:rPr>
        <w:t>Beimers W, Overmyer K, et al. A Technical Evaluation of Plasma Proteomics Technologies. (bioRxiv).</w:t>
      </w:r>
    </w:p>
    <w:p>
      <w:pPr>
        <w:spacing w:after="0" w:line="213" w:lineRule="exact"/>
        <w:rPr>
          <w:sz w:val="20"/>
          <w:szCs w:val="20"/>
          <w:color w:val="auto"/>
        </w:rPr>
      </w:pPr>
    </w:p>
    <w:p>
      <w:pPr>
        <w:ind w:left="120" w:right="700"/>
        <w:spacing w:after="0" w:line="324" w:lineRule="auto"/>
        <w:rPr>
          <w:sz w:val="20"/>
          <w:szCs w:val="20"/>
          <w:color w:val="auto"/>
        </w:rPr>
      </w:pPr>
      <w:r>
        <w:rPr>
          <w:rFonts w:ascii="Arial" w:cs="Arial" w:eastAsia="Arial" w:hAnsi="Arial"/>
          <w:sz w:val="19"/>
          <w:szCs w:val="19"/>
          <w:color w:val="auto"/>
        </w:rPr>
        <w:t>Bludau, I. et al. Proteomic and interactomic insights into the molecular basis of cell functional diversity. Nat Rev Molec Cell Biol 21, 327–340 (2020).</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Blume, J.E. et al. Rapid, deep and precise profiling of the plasma proteome with multi-nanoparticle protein corona.</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Nat. Commun. 11 (2020).</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35</w:t>
      </w:r>
    </w:p>
    <w:p>
      <w:pPr>
        <w:sectPr>
          <w:pgSz w:w="12240" w:h="15840" w:orient="portrait"/>
          <w:cols w:equalWidth="0" w:num="1">
            <w:col w:w="9360"/>
          </w:cols>
          <w:pgMar w:left="1440" w:top="1440" w:right="1440" w:bottom="610" w:gutter="0" w:footer="0" w:header="0"/>
          <w:type w:val="continuous"/>
        </w:sectPr>
      </w:pPr>
    </w:p>
    <w:bookmarkStart w:id="42" w:name="page43"/>
    <w:bookmarkEnd w:id="42"/>
    <w:p>
      <w:pPr>
        <w:spacing w:after="0" w:line="352" w:lineRule="exact"/>
        <w:rPr>
          <w:sz w:val="20"/>
          <w:szCs w:val="20"/>
          <w:color w:val="auto"/>
        </w:rPr>
      </w:pPr>
    </w:p>
    <w:p>
      <w:pPr>
        <w:ind w:left="120" w:right="800"/>
        <w:spacing w:after="0" w:line="326" w:lineRule="auto"/>
        <w:rPr>
          <w:sz w:val="20"/>
          <w:szCs w:val="20"/>
          <w:color w:val="auto"/>
        </w:rPr>
      </w:pPr>
      <w:r>
        <w:rPr>
          <w:rFonts w:ascii="Arial" w:cs="Arial" w:eastAsia="Arial" w:hAnsi="Arial"/>
          <w:sz w:val="19"/>
          <w:szCs w:val="19"/>
          <w:color w:val="auto"/>
        </w:rPr>
        <w:t>Buccitelli C. and Selbach M. mRNAs, proteins and the emerging principles of gene expression control. Nat Rev Genet. 21(10):630-644 (2020).</w:t>
      </w:r>
    </w:p>
    <w:p>
      <w:pPr>
        <w:spacing w:after="0" w:line="99" w:lineRule="exact"/>
        <w:rPr>
          <w:sz w:val="20"/>
          <w:szCs w:val="20"/>
          <w:color w:val="auto"/>
        </w:rPr>
      </w:pPr>
    </w:p>
    <w:p>
      <w:pPr>
        <w:ind w:left="120" w:right="420"/>
        <w:spacing w:after="0" w:line="324" w:lineRule="auto"/>
        <w:rPr>
          <w:sz w:val="20"/>
          <w:szCs w:val="20"/>
          <w:color w:val="auto"/>
        </w:rPr>
      </w:pPr>
      <w:r>
        <w:rPr>
          <w:rFonts w:ascii="Arial" w:cs="Arial" w:eastAsia="Arial" w:hAnsi="Arial"/>
          <w:sz w:val="19"/>
          <w:szCs w:val="19"/>
          <w:color w:val="auto"/>
        </w:rPr>
        <w:t>Donovan M. et al. Functionally distinct BMP1 isoforms show an opposite pattern of abundance in plasma from non-small cell lung cancer subjects and controls. PLOS One. 18(3): e0282821 (2023).</w:t>
      </w:r>
    </w:p>
    <w:p>
      <w:pPr>
        <w:spacing w:after="0" w:line="101" w:lineRule="exact"/>
        <w:rPr>
          <w:sz w:val="20"/>
          <w:szCs w:val="20"/>
          <w:color w:val="auto"/>
        </w:rPr>
      </w:pPr>
    </w:p>
    <w:p>
      <w:pPr>
        <w:ind w:left="120" w:right="700"/>
        <w:spacing w:after="0" w:line="324" w:lineRule="auto"/>
        <w:rPr>
          <w:sz w:val="20"/>
          <w:szCs w:val="20"/>
          <w:color w:val="auto"/>
        </w:rPr>
      </w:pPr>
      <w:r>
        <w:rPr>
          <w:rFonts w:ascii="Arial" w:cs="Arial" w:eastAsia="Arial" w:hAnsi="Arial"/>
          <w:sz w:val="19"/>
          <w:szCs w:val="19"/>
          <w:color w:val="auto"/>
        </w:rPr>
        <w:t>Ferdosi, S. et al. Engineered nanoparticles enable deep proteomic studies at scale by leveraging tunable nano-bio interactions. PNAS. 119(11) (2022).</w:t>
      </w:r>
    </w:p>
    <w:p>
      <w:pPr>
        <w:spacing w:after="0" w:line="101" w:lineRule="exact"/>
        <w:rPr>
          <w:sz w:val="20"/>
          <w:szCs w:val="20"/>
          <w:color w:val="auto"/>
        </w:rPr>
      </w:pPr>
    </w:p>
    <w:p>
      <w:pPr>
        <w:ind w:left="120" w:right="520"/>
        <w:spacing w:after="0" w:line="355" w:lineRule="auto"/>
        <w:rPr>
          <w:sz w:val="20"/>
          <w:szCs w:val="20"/>
          <w:color w:val="auto"/>
        </w:rPr>
      </w:pPr>
      <w:r>
        <w:rPr>
          <w:rFonts w:ascii="Arial" w:cs="Arial" w:eastAsia="Arial" w:hAnsi="Arial"/>
          <w:sz w:val="18"/>
          <w:szCs w:val="18"/>
          <w:color w:val="auto"/>
        </w:rPr>
        <w:t>Ferdosi, S. et al. Enhanced competition at the nano-bio interface enables comprehensive characterization of protein corona dynamics and deep coverage of proteomes. Advanced Materials. 34, 2206008 (2022).</w:t>
      </w:r>
    </w:p>
    <w:p>
      <w:pPr>
        <w:spacing w:after="0" w:line="78" w:lineRule="exact"/>
        <w:rPr>
          <w:sz w:val="20"/>
          <w:szCs w:val="20"/>
          <w:color w:val="auto"/>
        </w:rPr>
      </w:pPr>
    </w:p>
    <w:p>
      <w:pPr>
        <w:ind w:left="120" w:right="640"/>
        <w:spacing w:after="0" w:line="324" w:lineRule="auto"/>
        <w:rPr>
          <w:sz w:val="20"/>
          <w:szCs w:val="20"/>
          <w:color w:val="auto"/>
        </w:rPr>
      </w:pPr>
      <w:r>
        <w:rPr>
          <w:rFonts w:ascii="Arial" w:cs="Arial" w:eastAsia="Arial" w:hAnsi="Arial"/>
          <w:sz w:val="19"/>
          <w:szCs w:val="19"/>
          <w:color w:val="auto"/>
        </w:rPr>
        <w:t>Keshishian, H. et al. Quantitative, multiplexed workflow for deep analysis of human blood plasma and biomarker discovery by mass spectrometry. Nat. Proc. 12 1683-1701 (2017).</w:t>
      </w:r>
    </w:p>
    <w:p>
      <w:pPr>
        <w:spacing w:after="0" w:line="101" w:lineRule="exact"/>
        <w:rPr>
          <w:sz w:val="20"/>
          <w:szCs w:val="20"/>
          <w:color w:val="auto"/>
        </w:rPr>
      </w:pPr>
    </w:p>
    <w:p>
      <w:pPr>
        <w:ind w:left="120" w:right="520"/>
        <w:spacing w:after="0" w:line="324" w:lineRule="auto"/>
        <w:rPr>
          <w:sz w:val="20"/>
          <w:szCs w:val="20"/>
          <w:color w:val="auto"/>
        </w:rPr>
      </w:pPr>
      <w:r>
        <w:rPr>
          <w:rFonts w:ascii="Arial" w:cs="Arial" w:eastAsia="Arial" w:hAnsi="Arial"/>
          <w:sz w:val="19"/>
          <w:szCs w:val="19"/>
          <w:color w:val="auto"/>
        </w:rPr>
        <w:t>Lacar, B et al. Identification of Novel Biomarkers for Alzheimer’s Disease and Related Dementias Using Unbiased Plasma Proteomics (bioRxiv).</w:t>
      </w:r>
    </w:p>
    <w:p>
      <w:pPr>
        <w:spacing w:after="0" w:line="101" w:lineRule="exact"/>
        <w:rPr>
          <w:sz w:val="20"/>
          <w:szCs w:val="20"/>
          <w:color w:val="auto"/>
        </w:rPr>
      </w:pPr>
    </w:p>
    <w:p>
      <w:pPr>
        <w:ind w:left="120" w:right="740"/>
        <w:spacing w:after="0" w:line="324" w:lineRule="auto"/>
        <w:rPr>
          <w:sz w:val="20"/>
          <w:szCs w:val="20"/>
          <w:color w:val="auto"/>
        </w:rPr>
      </w:pPr>
      <w:r>
        <w:rPr>
          <w:rFonts w:ascii="Arial" w:cs="Arial" w:eastAsia="Arial" w:hAnsi="Arial"/>
          <w:sz w:val="19"/>
          <w:szCs w:val="19"/>
          <w:color w:val="auto"/>
        </w:rPr>
        <w:t>Nakahata and Kawamoto. Tissue-dependent isoforms of mammalian Fox-1 homologs are associated with tissue-specific splicing activities. Nucleic Acid Research 33(7) 2078-2089 (2005).</w:t>
      </w:r>
    </w:p>
    <w:p>
      <w:pPr>
        <w:spacing w:after="0" w:line="101" w:lineRule="exact"/>
        <w:rPr>
          <w:sz w:val="20"/>
          <w:szCs w:val="20"/>
          <w:color w:val="auto"/>
        </w:rPr>
      </w:pPr>
    </w:p>
    <w:p>
      <w:pPr>
        <w:ind w:left="120" w:right="400"/>
        <w:spacing w:after="0" w:line="324" w:lineRule="auto"/>
        <w:rPr>
          <w:sz w:val="20"/>
          <w:szCs w:val="20"/>
          <w:color w:val="auto"/>
        </w:rPr>
      </w:pPr>
      <w:r>
        <w:rPr>
          <w:rFonts w:ascii="Arial" w:cs="Arial" w:eastAsia="Arial" w:hAnsi="Arial"/>
          <w:sz w:val="19"/>
          <w:szCs w:val="19"/>
          <w:color w:val="auto"/>
        </w:rPr>
        <w:t>Pietzner, M. et al. Synergistic insights into human health from aptamer- and antibody-based proteomic profiling. Nat Commun. 12, 6822 (2021).</w:t>
      </w:r>
    </w:p>
    <w:p>
      <w:pPr>
        <w:spacing w:after="0" w:line="101" w:lineRule="exact"/>
        <w:rPr>
          <w:sz w:val="20"/>
          <w:szCs w:val="20"/>
          <w:color w:val="auto"/>
        </w:rPr>
      </w:pPr>
    </w:p>
    <w:p>
      <w:pPr>
        <w:ind w:left="120" w:right="360"/>
        <w:spacing w:after="0" w:line="324" w:lineRule="auto"/>
        <w:rPr>
          <w:sz w:val="20"/>
          <w:szCs w:val="20"/>
          <w:color w:val="auto"/>
        </w:rPr>
      </w:pPr>
      <w:r>
        <w:rPr>
          <w:rFonts w:ascii="Arial" w:cs="Arial" w:eastAsia="Arial" w:hAnsi="Arial"/>
          <w:sz w:val="19"/>
          <w:szCs w:val="19"/>
          <w:color w:val="auto"/>
        </w:rPr>
        <w:t>Schwenk, J.M. et al. The Human Plasma Proteome Draft of 2017: Building on the Human Plasma Peptide Atlas from Mass Spectrometry and Complementary Assays. J. Proteome Res. 16, 4299-4310 (2017).</w:t>
      </w:r>
    </w:p>
    <w:p>
      <w:pPr>
        <w:spacing w:after="0" w:line="101" w:lineRule="exact"/>
        <w:rPr>
          <w:sz w:val="20"/>
          <w:szCs w:val="20"/>
          <w:color w:val="auto"/>
        </w:rPr>
      </w:pPr>
    </w:p>
    <w:p>
      <w:pPr>
        <w:ind w:left="120" w:right="340"/>
        <w:spacing w:after="0" w:line="324" w:lineRule="auto"/>
        <w:rPr>
          <w:sz w:val="20"/>
          <w:szCs w:val="20"/>
          <w:color w:val="auto"/>
        </w:rPr>
      </w:pPr>
      <w:r>
        <w:rPr>
          <w:rFonts w:ascii="Arial" w:cs="Arial" w:eastAsia="Arial" w:hAnsi="Arial"/>
          <w:sz w:val="19"/>
          <w:szCs w:val="19"/>
          <w:color w:val="auto"/>
        </w:rPr>
        <w:t>Suhre, K. et al. Nanoparticle enrichment mass-spectrometry proteomics identifies protein-altering variants for precise pQTL mapping. Nat Commun, 15, 989 (2024).</w:t>
      </w:r>
    </w:p>
    <w:p>
      <w:pPr>
        <w:spacing w:after="0" w:line="101" w:lineRule="exact"/>
        <w:rPr>
          <w:sz w:val="20"/>
          <w:szCs w:val="20"/>
          <w:color w:val="auto"/>
        </w:rPr>
      </w:pPr>
    </w:p>
    <w:p>
      <w:pPr>
        <w:ind w:left="120" w:right="860"/>
        <w:spacing w:after="0" w:line="324" w:lineRule="auto"/>
        <w:rPr>
          <w:sz w:val="20"/>
          <w:szCs w:val="20"/>
          <w:color w:val="auto"/>
        </w:rPr>
      </w:pPr>
      <w:r>
        <w:rPr>
          <w:rFonts w:ascii="Arial" w:cs="Arial" w:eastAsia="Arial" w:hAnsi="Arial"/>
          <w:sz w:val="19"/>
          <w:szCs w:val="19"/>
          <w:color w:val="auto"/>
        </w:rPr>
        <w:t>Suhre, K. et al. A genome-wide association study of mass spectrometry proteomics using the Seer Proteograph platform (bioRxiv).</w:t>
      </w:r>
    </w:p>
    <w:p>
      <w:pPr>
        <w:spacing w:after="0" w:line="101" w:lineRule="exact"/>
        <w:rPr>
          <w:sz w:val="20"/>
          <w:szCs w:val="20"/>
          <w:color w:val="auto"/>
        </w:rPr>
      </w:pPr>
    </w:p>
    <w:p>
      <w:pPr>
        <w:ind w:left="120" w:right="360"/>
        <w:spacing w:after="0" w:line="324" w:lineRule="auto"/>
        <w:rPr>
          <w:sz w:val="20"/>
          <w:szCs w:val="20"/>
          <w:color w:val="auto"/>
        </w:rPr>
      </w:pPr>
      <w:r>
        <w:rPr>
          <w:rFonts w:ascii="Arial" w:cs="Arial" w:eastAsia="Arial" w:hAnsi="Arial"/>
          <w:sz w:val="19"/>
          <w:szCs w:val="19"/>
          <w:color w:val="auto"/>
        </w:rPr>
        <w:t>Yang X. et al. Widespread Expansion of Protein Interaction Capabilities by Alternative Splicing. Cell. 164(4):805-17 (2016).</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Available Information</w:t>
      </w:r>
    </w:p>
    <w:p>
      <w:pPr>
        <w:spacing w:after="0" w:line="213" w:lineRule="exact"/>
        <w:rPr>
          <w:sz w:val="20"/>
          <w:szCs w:val="20"/>
          <w:color w:val="auto"/>
        </w:rPr>
      </w:pPr>
    </w:p>
    <w:p>
      <w:pPr>
        <w:ind w:left="120" w:right="360"/>
        <w:spacing w:after="0" w:line="344" w:lineRule="auto"/>
        <w:rPr>
          <w:sz w:val="20"/>
          <w:szCs w:val="20"/>
          <w:color w:val="auto"/>
        </w:rPr>
      </w:pPr>
      <w:r>
        <w:rPr>
          <w:rFonts w:ascii="Arial" w:cs="Arial" w:eastAsia="Arial" w:hAnsi="Arial"/>
          <w:sz w:val="17"/>
          <w:szCs w:val="17"/>
          <w:color w:val="auto"/>
        </w:rPr>
        <w:t>We make our Annual Reports on Form 10-K, Quarterly Reports on Form 10-Q, Current Reports on Form 8-K, and amendments to those reports, available free of charge at our website as soon as reasonably practicable after they have been filed with the SEC. Our website address is http://seer.bio. Information on our website is not part of this report. The SEC maintains a website that contains the materials we file with the SEC at www.sec.gov.</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36</w:t>
      </w:r>
    </w:p>
    <w:p>
      <w:pPr>
        <w:sectPr>
          <w:pgSz w:w="12240" w:h="15840" w:orient="portrait"/>
          <w:cols w:equalWidth="0" w:num="1">
            <w:col w:w="9360"/>
          </w:cols>
          <w:pgMar w:left="1440" w:top="1440" w:right="1440" w:bottom="610" w:gutter="0" w:footer="0" w:header="0"/>
          <w:type w:val="continuous"/>
        </w:sectPr>
      </w:pPr>
    </w:p>
    <w:bookmarkStart w:id="43" w:name="page44"/>
    <w:bookmarkEnd w:id="43"/>
    <w:p>
      <w:pPr>
        <w:spacing w:after="0" w:line="3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1A. Risk Factors</w:t>
      </w:r>
    </w:p>
    <w:p>
      <w:pPr>
        <w:spacing w:after="0" w:line="219" w:lineRule="exact"/>
        <w:rPr>
          <w:sz w:val="20"/>
          <w:szCs w:val="20"/>
          <w:color w:val="auto"/>
        </w:rPr>
      </w:pPr>
    </w:p>
    <w:p>
      <w:pPr>
        <w:ind w:left="120" w:right="420"/>
        <w:spacing w:after="0" w:line="290" w:lineRule="auto"/>
        <w:rPr>
          <w:sz w:val="20"/>
          <w:szCs w:val="20"/>
          <w:color w:val="auto"/>
        </w:rPr>
      </w:pPr>
      <w:r>
        <w:rPr>
          <w:rFonts w:ascii="Arial" w:cs="Arial" w:eastAsia="Arial" w:hAnsi="Arial"/>
          <w:sz w:val="19"/>
          <w:szCs w:val="19"/>
          <w:color w:val="auto"/>
        </w:rPr>
        <w:t>Investing in our Class A common stock involves a high degree of risk. You should carefully consider the risks described below, as well as the other information in this Annual Report, including our consolidated financial statements and the related notes and the section titled “Management’s Discussion and Analysis of Financial Condition and Results of Operations” in this Annual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Summary Risk Factor</w:t>
      </w:r>
    </w:p>
    <w:p>
      <w:pPr>
        <w:spacing w:after="0" w:line="217" w:lineRule="exact"/>
        <w:rPr>
          <w:sz w:val="20"/>
          <w:szCs w:val="20"/>
          <w:color w:val="auto"/>
        </w:rPr>
      </w:pPr>
    </w:p>
    <w:p>
      <w:pPr>
        <w:jc w:val="both"/>
        <w:ind w:left="120" w:right="820"/>
        <w:spacing w:after="0" w:line="304" w:lineRule="auto"/>
        <w:rPr>
          <w:sz w:val="20"/>
          <w:szCs w:val="20"/>
          <w:color w:val="auto"/>
        </w:rPr>
      </w:pPr>
      <w:r>
        <w:rPr>
          <w:rFonts w:ascii="Arial" w:cs="Arial" w:eastAsia="Arial" w:hAnsi="Arial"/>
          <w:sz w:val="19"/>
          <w:szCs w:val="19"/>
          <w:b w:val="1"/>
          <w:bCs w:val="1"/>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23" w:lineRule="exact"/>
        <w:rPr>
          <w:sz w:val="20"/>
          <w:szCs w:val="20"/>
          <w:color w:val="auto"/>
        </w:rPr>
      </w:pPr>
    </w:p>
    <w:p>
      <w:pPr>
        <w:ind w:left="800" w:right="380"/>
        <w:spacing w:after="0" w:line="305" w:lineRule="auto"/>
        <w:rPr>
          <w:sz w:val="20"/>
          <w:szCs w:val="20"/>
          <w:color w:val="auto"/>
        </w:rPr>
      </w:pPr>
      <w:r>
        <w:rPr>
          <w:rFonts w:ascii="Arial" w:cs="Arial" w:eastAsia="Arial" w:hAnsi="Arial"/>
          <w:sz w:val="19"/>
          <w:szCs w:val="19"/>
          <w:color w:val="auto"/>
        </w:rPr>
        <w:t>we are an early-stage life sciences technology company with a history of net losses, which we expect to continue, and we may not be able to generate meaningful revenues or achieve and sustain profitability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-472440</wp:posOffset>
            </wp:positionV>
            <wp:extent cx="67945" cy="679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2" w:lineRule="exact"/>
        <w:rPr>
          <w:sz w:val="20"/>
          <w:szCs w:val="20"/>
          <w:color w:val="auto"/>
        </w:rPr>
      </w:pPr>
    </w:p>
    <w:p>
      <w:pPr>
        <w:ind w:left="800" w:right="660"/>
        <w:spacing w:after="0" w:line="326" w:lineRule="auto"/>
        <w:rPr>
          <w:sz w:val="20"/>
          <w:szCs w:val="20"/>
          <w:color w:val="auto"/>
        </w:rPr>
      </w:pPr>
      <w:r>
        <w:rPr>
          <w:rFonts w:ascii="Arial" w:cs="Arial" w:eastAsia="Arial" w:hAnsi="Arial"/>
          <w:sz w:val="19"/>
          <w:szCs w:val="19"/>
          <w:color w:val="auto"/>
        </w:rPr>
        <w:t>we have a limited operating history, which may make it difficult to evaluate our current business and the prospects for our future viability, and to predict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-320040</wp:posOffset>
            </wp:positionV>
            <wp:extent cx="67945" cy="679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440"/>
        <w:spacing w:after="0" w:line="305" w:lineRule="auto"/>
        <w:rPr>
          <w:sz w:val="20"/>
          <w:szCs w:val="20"/>
          <w:color w:val="auto"/>
        </w:rPr>
      </w:pPr>
      <w:r>
        <w:rPr>
          <w:rFonts w:ascii="Arial" w:cs="Arial" w:eastAsia="Arial" w:hAnsi="Arial"/>
          <w:sz w:val="19"/>
          <w:szCs w:val="19"/>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-472440</wp:posOffset>
            </wp:positionV>
            <wp:extent cx="67945" cy="679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2" w:lineRule="exact"/>
        <w:rPr>
          <w:sz w:val="20"/>
          <w:szCs w:val="20"/>
          <w:color w:val="auto"/>
        </w:rPr>
      </w:pPr>
    </w:p>
    <w:p>
      <w:pPr>
        <w:ind w:left="800" w:right="460"/>
        <w:spacing w:after="0" w:line="305" w:lineRule="auto"/>
        <w:rPr>
          <w:sz w:val="20"/>
          <w:szCs w:val="20"/>
          <w:color w:val="auto"/>
        </w:rPr>
      </w:pPr>
      <w:r>
        <w:rPr>
          <w:rFonts w:ascii="Arial" w:cs="Arial" w:eastAsia="Arial" w:hAnsi="Arial"/>
          <w:sz w:val="19"/>
          <w:szCs w:val="19"/>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-472440</wp:posOffset>
            </wp:positionV>
            <wp:extent cx="67945" cy="679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2" w:lineRule="exact"/>
        <w:rPr>
          <w:sz w:val="20"/>
          <w:szCs w:val="20"/>
          <w:color w:val="auto"/>
        </w:rPr>
      </w:pPr>
    </w:p>
    <w:p>
      <w:pPr>
        <w:ind w:left="800" w:right="800"/>
        <w:spacing w:after="0" w:line="326" w:lineRule="auto"/>
        <w:rPr>
          <w:sz w:val="20"/>
          <w:szCs w:val="20"/>
          <w:color w:val="auto"/>
        </w:rPr>
      </w:pPr>
      <w:r>
        <w:rPr>
          <w:rFonts w:ascii="Arial" w:cs="Arial" w:eastAsia="Arial" w:hAnsi="Arial"/>
          <w:sz w:val="19"/>
          <w:szCs w:val="19"/>
          <w:color w:val="auto"/>
        </w:rPr>
        <w:t>we are in the early stages of our commercialization plan, and we may not be able to commercialize the Proteograph Product Suite as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340"/>
        <w:spacing w:after="0" w:line="326" w:lineRule="auto"/>
        <w:rPr>
          <w:sz w:val="20"/>
          <w:szCs w:val="20"/>
          <w:color w:val="auto"/>
        </w:rPr>
      </w:pPr>
      <w:r>
        <w:rPr>
          <w:rFonts w:ascii="Arial" w:cs="Arial" w:eastAsia="Arial" w:hAnsi="Arial"/>
          <w:sz w:val="19"/>
          <w:szCs w:val="19"/>
          <w:color w:val="auto"/>
        </w:rPr>
        <w:t>our commercialization success depends on broad scientific and market acceptance of the Proteograph, which we may fail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520"/>
        <w:spacing w:after="0" w:line="305" w:lineRule="auto"/>
        <w:rPr>
          <w:sz w:val="20"/>
          <w:szCs w:val="20"/>
          <w:color w:val="auto"/>
        </w:rPr>
      </w:pPr>
      <w:r>
        <w:rPr>
          <w:rFonts w:ascii="Arial" w:cs="Arial" w:eastAsia="Arial" w:hAnsi="Arial"/>
          <w:sz w:val="19"/>
          <w:szCs w:val="19"/>
          <w:color w:val="auto"/>
        </w:rPr>
        <w:t>even if the Proteograph Product Suite is successfully commercialized and achieves broad scientific and market acceptance, if we fail to improve it or introduce compelling new products or services, our revenues and our prospects could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-472440</wp:posOffset>
            </wp:positionV>
            <wp:extent cx="67945" cy="679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health epidemics could adversely impact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800"/>
        <w:spacing w:after="0" w:line="320" w:lineRule="auto"/>
        <w:rPr>
          <w:sz w:val="20"/>
          <w:szCs w:val="20"/>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-644525</wp:posOffset>
            </wp:positionV>
            <wp:extent cx="67945" cy="679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37</w:t>
      </w:r>
    </w:p>
    <w:p>
      <w:pPr>
        <w:sectPr>
          <w:pgSz w:w="12240" w:h="15840" w:orient="portrait"/>
          <w:cols w:equalWidth="0" w:num="1">
            <w:col w:w="9360"/>
          </w:cols>
          <w:pgMar w:left="1440" w:top="1440" w:right="1440" w:bottom="610" w:gutter="0" w:footer="0" w:header="0"/>
          <w:type w:val="continuous"/>
        </w:sectPr>
      </w:pPr>
    </w:p>
    <w:bookmarkStart w:id="44" w:name="page45"/>
    <w:bookmarkEnd w:id="44"/>
    <w:p>
      <w:pPr>
        <w:spacing w:after="0" w:line="353" w:lineRule="exact"/>
        <w:rPr>
          <w:sz w:val="20"/>
          <w:szCs w:val="20"/>
          <w:color w:val="auto"/>
        </w:rPr>
      </w:pPr>
    </w:p>
    <w:p>
      <w:pPr>
        <w:ind w:left="800" w:right="300"/>
        <w:spacing w:after="0" w:line="326" w:lineRule="auto"/>
        <w:rPr>
          <w:sz w:val="20"/>
          <w:szCs w:val="20"/>
          <w:color w:val="auto"/>
        </w:rPr>
      </w:pPr>
      <w:r>
        <w:rPr>
          <w:rFonts w:ascii="Arial" w:cs="Arial" w:eastAsia="Arial" w:hAnsi="Arial"/>
          <w:sz w:val="19"/>
          <w:szCs w:val="19"/>
          <w:color w:val="auto"/>
        </w:rPr>
        <w:t>if we are unable to identify and recruit qualified employees, and retain or maintain our employee base, it may adversely impact our business and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300"/>
        <w:spacing w:after="0" w:line="299" w:lineRule="auto"/>
        <w:rPr>
          <w:sz w:val="20"/>
          <w:szCs w:val="20"/>
          <w:color w:val="auto"/>
        </w:rPr>
      </w:pPr>
      <w:r>
        <w:rPr>
          <w:rFonts w:ascii="Arial" w:cs="Arial" w:eastAsia="Arial" w:hAnsi="Arial"/>
          <w:sz w:val="19"/>
          <w:szCs w:val="19"/>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-635000</wp:posOffset>
            </wp:positionV>
            <wp:extent cx="67945" cy="679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Risks Related to Our Business and Industry</w:t>
      </w:r>
    </w:p>
    <w:p>
      <w:pPr>
        <w:spacing w:after="0" w:line="215" w:lineRule="exact"/>
        <w:rPr>
          <w:sz w:val="20"/>
          <w:szCs w:val="20"/>
          <w:color w:val="auto"/>
        </w:rPr>
      </w:pPr>
    </w:p>
    <w:p>
      <w:pPr>
        <w:ind w:left="120" w:right="480"/>
        <w:spacing w:after="0" w:line="430" w:lineRule="auto"/>
        <w:rPr>
          <w:sz w:val="20"/>
          <w:szCs w:val="20"/>
          <w:color w:val="auto"/>
        </w:rPr>
      </w:pPr>
      <w:r>
        <w:rPr>
          <w:rFonts w:ascii="Arial" w:cs="Arial" w:eastAsia="Arial" w:hAnsi="Arial"/>
          <w:sz w:val="16"/>
          <w:szCs w:val="16"/>
          <w:b w:val="1"/>
          <w:b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29" w:lineRule="exact"/>
        <w:rPr>
          <w:sz w:val="20"/>
          <w:szCs w:val="20"/>
          <w:color w:val="auto"/>
        </w:rPr>
      </w:pPr>
    </w:p>
    <w:p>
      <w:pPr>
        <w:ind w:left="120" w:right="300"/>
        <w:spacing w:after="0" w:line="326" w:lineRule="auto"/>
        <w:rPr>
          <w:sz w:val="20"/>
          <w:szCs w:val="20"/>
          <w:color w:val="auto"/>
        </w:rPr>
      </w:pPr>
      <w:r>
        <w:rPr>
          <w:rFonts w:ascii="Arial" w:cs="Arial" w:eastAsia="Arial" w:hAnsi="Arial"/>
          <w:sz w:val="17"/>
          <w:szCs w:val="17"/>
          <w:color w:val="auto"/>
        </w:rPr>
        <w:t>We are an early-stage life sciences technology company, and we have incurred significant losses since we were formed in 2017, and expect to continue to incur losses in the future. We incurred net losses of $86.6 million and $86.3 million in 2024 and 2023, respectively. As of December 31, 2024, we had an accumulated deficit of $392.4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and related products and services,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10" w:lineRule="exact"/>
        <w:rPr>
          <w:sz w:val="20"/>
          <w:szCs w:val="20"/>
          <w:color w:val="auto"/>
        </w:rPr>
      </w:pPr>
    </w:p>
    <w:p>
      <w:pPr>
        <w:ind w:left="120" w:right="300"/>
        <w:spacing w:after="0" w:line="324" w:lineRule="auto"/>
        <w:rPr>
          <w:sz w:val="20"/>
          <w:szCs w:val="20"/>
          <w:color w:val="auto"/>
        </w:rPr>
      </w:pPr>
      <w:r>
        <w:rPr>
          <w:rFonts w:ascii="Arial" w:cs="Arial" w:eastAsia="Arial" w:hAnsi="Arial"/>
          <w:sz w:val="19"/>
          <w:szCs w:val="19"/>
          <w:b w:val="1"/>
          <w:bCs w:val="1"/>
          <w:color w:val="auto"/>
        </w:rPr>
        <w:t>We have a limited operating history, which may make it difficult to evaluate our current business and the prospects for our future viability, and to predict our future performance.</w:t>
      </w:r>
    </w:p>
    <w:p>
      <w:pPr>
        <w:spacing w:after="0" w:line="99" w:lineRule="exact"/>
        <w:rPr>
          <w:sz w:val="20"/>
          <w:szCs w:val="20"/>
          <w:color w:val="auto"/>
        </w:rPr>
      </w:pPr>
    </w:p>
    <w:p>
      <w:pPr>
        <w:ind w:left="120" w:right="460"/>
        <w:spacing w:after="0" w:line="312" w:lineRule="auto"/>
        <w:rPr>
          <w:sz w:val="20"/>
          <w:szCs w:val="20"/>
          <w:color w:val="auto"/>
        </w:rPr>
      </w:pPr>
      <w:r>
        <w:rPr>
          <w:rFonts w:ascii="Arial" w:cs="Arial" w:eastAsia="Arial" w:hAnsi="Arial"/>
          <w:sz w:val="18"/>
          <w:szCs w:val="18"/>
          <w:color w:val="auto"/>
        </w:rPr>
        <w:t>We are in the early stages of commercialization of the Proteograph Product Suite and related products and services. Our operations to date have been primarily focused on developing our technology, products and services.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spacing w:after="0" w:line="119" w:lineRule="exact"/>
        <w:rPr>
          <w:sz w:val="20"/>
          <w:szCs w:val="20"/>
          <w:color w:val="auto"/>
        </w:rPr>
      </w:pPr>
    </w:p>
    <w:p>
      <w:pPr>
        <w:ind w:left="120" w:right="280"/>
        <w:spacing w:after="0" w:line="308"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38</w:t>
      </w:r>
    </w:p>
    <w:p>
      <w:pPr>
        <w:sectPr>
          <w:pgSz w:w="12240" w:h="15840" w:orient="portrait"/>
          <w:cols w:equalWidth="0" w:num="1">
            <w:col w:w="9360"/>
          </w:cols>
          <w:pgMar w:left="1440" w:top="1440" w:right="1440" w:bottom="610" w:gutter="0" w:footer="0" w:header="0"/>
          <w:type w:val="continuous"/>
        </w:sectPr>
      </w:pPr>
    </w:p>
    <w:bookmarkStart w:id="45" w:name="page46"/>
    <w:bookmarkEnd w:id="45"/>
    <w:p>
      <w:pPr>
        <w:spacing w:after="0" w:line="354" w:lineRule="exact"/>
        <w:rPr>
          <w:sz w:val="20"/>
          <w:szCs w:val="20"/>
          <w:color w:val="auto"/>
        </w:rPr>
      </w:pPr>
    </w:p>
    <w:p>
      <w:pPr>
        <w:ind w:left="120" w:right="440"/>
        <w:spacing w:after="0" w:line="298" w:lineRule="auto"/>
        <w:rPr>
          <w:sz w:val="20"/>
          <w:szCs w:val="20"/>
          <w:color w:val="auto"/>
        </w:rPr>
      </w:pPr>
      <w:r>
        <w:rPr>
          <w:rFonts w:ascii="Arial" w:cs="Arial" w:eastAsia="Arial" w:hAnsi="Arial"/>
          <w:sz w:val="19"/>
          <w:szCs w:val="19"/>
          <w:b w:val="1"/>
          <w:bCs w:val="1"/>
          <w:color w:val="auto"/>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spacing w:after="0" w:line="126" w:lineRule="exact"/>
        <w:rPr>
          <w:sz w:val="20"/>
          <w:szCs w:val="20"/>
          <w:color w:val="auto"/>
        </w:rPr>
      </w:pPr>
    </w:p>
    <w:p>
      <w:pPr>
        <w:jc w:val="both"/>
        <w:ind w:left="120" w:right="520"/>
        <w:spacing w:after="0" w:line="305" w:lineRule="auto"/>
        <w:rPr>
          <w:sz w:val="20"/>
          <w:szCs w:val="20"/>
          <w:color w:val="auto"/>
        </w:rPr>
      </w:pPr>
      <w:r>
        <w:rPr>
          <w:rFonts w:ascii="Arial" w:cs="Arial" w:eastAsia="Arial" w:hAnsi="Arial"/>
          <w:sz w:val="19"/>
          <w:szCs w:val="19"/>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ability to successfully commercialize the Proteograph Product Suite on our anticipated 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-74930</wp:posOffset>
            </wp:positionV>
            <wp:extent cx="67945" cy="679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7" w:lineRule="exact"/>
        <w:rPr>
          <w:sz w:val="20"/>
          <w:szCs w:val="20"/>
          <w:color w:val="auto"/>
        </w:rPr>
      </w:pPr>
    </w:p>
    <w:p>
      <w:pPr>
        <w:ind w:left="800"/>
        <w:spacing w:after="0"/>
        <w:rPr>
          <w:sz w:val="20"/>
          <w:szCs w:val="20"/>
          <w:color w:val="auto"/>
        </w:rPr>
      </w:pPr>
      <w:r>
        <w:rPr>
          <w:rFonts w:ascii="Arial" w:cs="Arial" w:eastAsia="Arial" w:hAnsi="Arial"/>
          <w:sz w:val="19"/>
          <w:szCs w:val="19"/>
          <w:color w:val="auto"/>
        </w:rPr>
        <w:t>our ability to offer high-quality services, including customer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300"/>
        <w:spacing w:after="0" w:line="299" w:lineRule="auto"/>
        <w:rPr>
          <w:sz w:val="20"/>
          <w:szCs w:val="20"/>
          <w:color w:val="auto"/>
        </w:rPr>
      </w:pPr>
      <w:r>
        <w:rPr>
          <w:rFonts w:ascii="Arial" w:cs="Arial" w:eastAsia="Arial" w:hAnsi="Arial"/>
          <w:sz w:val="19"/>
          <w:szCs w:val="19"/>
          <w:color w:val="auto"/>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-635000</wp:posOffset>
            </wp:positionV>
            <wp:extent cx="67945" cy="679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8" w:lineRule="exact"/>
        <w:rPr>
          <w:sz w:val="20"/>
          <w:szCs w:val="20"/>
          <w:color w:val="auto"/>
        </w:rPr>
      </w:pPr>
    </w:p>
    <w:p>
      <w:pPr>
        <w:ind w:left="800" w:right="680"/>
        <w:spacing w:after="0" w:line="326" w:lineRule="auto"/>
        <w:rPr>
          <w:sz w:val="20"/>
          <w:szCs w:val="20"/>
          <w:color w:val="auto"/>
        </w:rPr>
      </w:pPr>
      <w:r>
        <w:rPr>
          <w:rFonts w:ascii="Arial" w:cs="Arial" w:eastAsia="Arial" w:hAnsi="Arial"/>
          <w:sz w:val="19"/>
          <w:szCs w:val="19"/>
          <w:color w:val="auto"/>
        </w:rPr>
        <w:t>the level of demand for any products we are able to commercialize, particularly the Proteograph Product Suite, which may vary significantly from period to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280"/>
        <w:spacing w:after="0" w:line="324" w:lineRule="auto"/>
        <w:rPr>
          <w:sz w:val="20"/>
          <w:szCs w:val="20"/>
          <w:color w:val="auto"/>
        </w:rPr>
      </w:pPr>
      <w:r>
        <w:rPr>
          <w:rFonts w:ascii="Arial" w:cs="Arial" w:eastAsia="Arial" w:hAnsi="Arial"/>
          <w:sz w:val="19"/>
          <w:szCs w:val="19"/>
          <w:color w:val="auto"/>
        </w:rPr>
        <w:t>our ability to drive adoption of the Proteograph in our target markets and our ability to expand into any future target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800" w:right="360"/>
        <w:spacing w:after="0" w:line="326" w:lineRule="auto"/>
        <w:rPr>
          <w:sz w:val="20"/>
          <w:szCs w:val="20"/>
          <w:color w:val="auto"/>
        </w:rPr>
      </w:pPr>
      <w:r>
        <w:rPr>
          <w:rFonts w:ascii="Arial" w:cs="Arial" w:eastAsia="Arial" w:hAnsi="Arial"/>
          <w:sz w:val="19"/>
          <w:szCs w:val="19"/>
          <w:color w:val="auto"/>
        </w:rPr>
        <w:t>our relationship with third-party distributorships, the quantity of our products they elect to hold in inventory, and their ability to promote and sell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prices at which we will be able to sell the Proteograph Product Suite and related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right="720"/>
        <w:spacing w:after="0" w:line="326" w:lineRule="auto"/>
        <w:rPr>
          <w:sz w:val="20"/>
          <w:szCs w:val="20"/>
          <w:color w:val="auto"/>
        </w:rPr>
      </w:pPr>
      <w:r>
        <w:rPr>
          <w:rFonts w:ascii="Arial" w:cs="Arial" w:eastAsia="Arial" w:hAnsi="Arial"/>
          <w:sz w:val="19"/>
          <w:szCs w:val="19"/>
          <w:color w:val="auto"/>
        </w:rPr>
        <w:t>the volume and mix of our sales between the Proteograph Product Suite and associated consumables, or changes in the manufacturing or sales costs related to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length of time and unpredictable nature of the sales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lead time needed to procure SP100 automation instruments from our third-party contract manufacturer;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-67310</wp:posOffset>
            </wp:positionV>
            <wp:extent cx="67945" cy="679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28" w:lineRule="exact"/>
        <w:rPr>
          <w:sz w:val="20"/>
          <w:szCs w:val="20"/>
          <w:color w:val="auto"/>
        </w:rPr>
      </w:pPr>
    </w:p>
    <w:p>
      <w:pPr>
        <w:ind w:left="800" w:right="320"/>
        <w:spacing w:after="0" w:line="326" w:lineRule="auto"/>
        <w:rPr>
          <w:sz w:val="20"/>
          <w:szCs w:val="20"/>
          <w:color w:val="auto"/>
        </w:rPr>
      </w:pPr>
      <w:r>
        <w:rPr>
          <w:rFonts w:ascii="Arial" w:cs="Arial" w:eastAsia="Arial" w:hAnsi="Arial"/>
          <w:sz w:val="19"/>
          <w:szCs w:val="19"/>
          <w:color w:val="auto"/>
        </w:rPr>
        <w:t>the success of our sales force, which if less than anticipated, could significantly impair our ability to generate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failure of customers to exercise Proteograph purchase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320"/>
        <w:spacing w:after="0" w:line="305" w:lineRule="auto"/>
        <w:rPr>
          <w:sz w:val="20"/>
          <w:szCs w:val="20"/>
          <w:color w:val="auto"/>
        </w:rPr>
      </w:pPr>
      <w:r>
        <w:rPr>
          <w:rFonts w:ascii="Arial" w:cs="Arial" w:eastAsia="Arial" w:hAnsi="Arial"/>
          <w:sz w:val="19"/>
          <w:szCs w:val="19"/>
          <w:color w:val="auto"/>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-472440</wp:posOffset>
            </wp:positionV>
            <wp:extent cx="67945" cy="679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2" w:lineRule="exact"/>
        <w:rPr>
          <w:sz w:val="20"/>
          <w:szCs w:val="20"/>
          <w:color w:val="auto"/>
        </w:rPr>
      </w:pPr>
    </w:p>
    <w:p>
      <w:pPr>
        <w:ind w:left="800" w:right="460"/>
        <w:spacing w:after="0" w:line="326" w:lineRule="auto"/>
        <w:rPr>
          <w:sz w:val="20"/>
          <w:szCs w:val="20"/>
          <w:color w:val="auto"/>
        </w:rPr>
      </w:pPr>
      <w:r>
        <w:rPr>
          <w:rFonts w:ascii="Arial" w:cs="Arial" w:eastAsia="Arial" w:hAnsi="Arial"/>
          <w:sz w:val="19"/>
          <w:szCs w:val="19"/>
          <w:color w:val="auto"/>
        </w:rPr>
        <w:t>changes in governmental funding of life sciences research and development or changes that impact budgets and budget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seasonal spending patterns and the ability to collect on the accounts receivable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timing of when we recognize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39</w:t>
      </w:r>
    </w:p>
    <w:p>
      <w:pPr>
        <w:sectPr>
          <w:pgSz w:w="12240" w:h="15840" w:orient="portrait"/>
          <w:cols w:equalWidth="0" w:num="1">
            <w:col w:w="9360"/>
          </w:cols>
          <w:pgMar w:left="1440" w:top="1440" w:right="1440" w:bottom="610" w:gutter="0" w:footer="0" w:header="0"/>
          <w:type w:val="continuous"/>
        </w:sectPr>
      </w:pPr>
    </w:p>
    <w:bookmarkStart w:id="46" w:name="page47"/>
    <w:bookmarkEnd w:id="46"/>
    <w:p>
      <w:pPr>
        <w:spacing w:after="0" w:line="353" w:lineRule="exact"/>
        <w:rPr>
          <w:sz w:val="20"/>
          <w:szCs w:val="20"/>
          <w:color w:val="auto"/>
        </w:rPr>
      </w:pPr>
    </w:p>
    <w:p>
      <w:pPr>
        <w:ind w:left="800" w:right="720"/>
        <w:spacing w:after="0" w:line="326" w:lineRule="auto"/>
        <w:rPr>
          <w:sz w:val="20"/>
          <w:szCs w:val="20"/>
          <w:color w:val="auto"/>
        </w:rPr>
      </w:pPr>
      <w:r>
        <w:rPr>
          <w:rFonts w:ascii="Arial" w:cs="Arial" w:eastAsia="Arial" w:hAnsi="Arial"/>
          <w:sz w:val="19"/>
          <w:szCs w:val="19"/>
          <w:color w:val="auto"/>
        </w:rPr>
        <w:t>future accounting pronouncements, changes in accounting rules and regulations, or modifications to our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outcome of any future litigation or governmental investigations involving us, our industry or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-74930</wp:posOffset>
            </wp:positionV>
            <wp:extent cx="67945" cy="679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7" w:lineRule="exact"/>
        <w:rPr>
          <w:sz w:val="20"/>
          <w:szCs w:val="20"/>
          <w:color w:val="auto"/>
        </w:rPr>
      </w:pPr>
    </w:p>
    <w:p>
      <w:pPr>
        <w:ind w:left="800"/>
        <w:spacing w:after="0"/>
        <w:rPr>
          <w:sz w:val="20"/>
          <w:szCs w:val="20"/>
          <w:color w:val="auto"/>
        </w:rPr>
      </w:pPr>
      <w:r>
        <w:rPr>
          <w:rFonts w:ascii="Arial" w:cs="Arial" w:eastAsia="Arial" w:hAnsi="Arial"/>
          <w:sz w:val="19"/>
          <w:szCs w:val="19"/>
          <w:color w:val="auto"/>
        </w:rPr>
        <w:t>higher than anticipated service, replacement and warranty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780"/>
        <w:spacing w:after="0" w:line="393" w:lineRule="auto"/>
        <w:rPr>
          <w:sz w:val="20"/>
          <w:szCs w:val="20"/>
          <w:color w:val="auto"/>
        </w:rPr>
      </w:pPr>
      <w:r>
        <w:rPr>
          <w:rFonts w:ascii="Arial" w:cs="Arial" w:eastAsia="Arial" w:hAnsi="Arial"/>
          <w:sz w:val="17"/>
          <w:szCs w:val="17"/>
          <w:color w:val="auto"/>
        </w:rPr>
        <w:t>the impact of health epidemics on the economy, investment in life sciences and research industries, our business operations, and resources and operations of our customers, suppliers, and distributors;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-349885</wp:posOffset>
            </wp:positionV>
            <wp:extent cx="67945" cy="679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global supply chain interruptions;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620"/>
        <w:spacing w:after="0" w:line="305" w:lineRule="auto"/>
        <w:rPr>
          <w:sz w:val="20"/>
          <w:szCs w:val="20"/>
          <w:color w:val="auto"/>
        </w:rPr>
      </w:pPr>
      <w:r>
        <w:rPr>
          <w:rFonts w:ascii="Arial" w:cs="Arial" w:eastAsia="Arial" w:hAnsi="Arial"/>
          <w:sz w:val="19"/>
          <w:szCs w:val="19"/>
          <w:color w:val="auto"/>
        </w:rPr>
        <w:t>general industry, economic and market conditions such as inflation, interest rates, bank failures and other factors, including factors unrelated to our operating performance or the operating performance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-472440</wp:posOffset>
            </wp:positionV>
            <wp:extent cx="67945" cy="679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6" w:lineRule="exact"/>
        <w:rPr>
          <w:sz w:val="20"/>
          <w:szCs w:val="20"/>
          <w:color w:val="auto"/>
        </w:rPr>
      </w:pPr>
    </w:p>
    <w:p>
      <w:pPr>
        <w:ind w:left="120" w:right="540"/>
        <w:spacing w:after="0" w:line="357" w:lineRule="auto"/>
        <w:rPr>
          <w:sz w:val="20"/>
          <w:szCs w:val="20"/>
          <w:color w:val="auto"/>
        </w:rPr>
      </w:pPr>
      <w:r>
        <w:rPr>
          <w:rFonts w:ascii="Arial" w:cs="Arial" w:eastAsia="Arial" w:hAnsi="Arial"/>
          <w:sz w:val="17"/>
          <w:szCs w:val="17"/>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79" w:lineRule="exact"/>
        <w:rPr>
          <w:sz w:val="20"/>
          <w:szCs w:val="20"/>
          <w:color w:val="auto"/>
        </w:rPr>
      </w:pPr>
    </w:p>
    <w:p>
      <w:pPr>
        <w:ind w:left="120" w:right="280"/>
        <w:spacing w:after="0" w:line="315" w:lineRule="auto"/>
        <w:rPr>
          <w:sz w:val="20"/>
          <w:szCs w:val="20"/>
          <w:color w:val="auto"/>
        </w:rPr>
      </w:pPr>
      <w:r>
        <w:rPr>
          <w:rFonts w:ascii="Arial" w:cs="Arial" w:eastAsia="Arial" w:hAnsi="Arial"/>
          <w:sz w:val="18"/>
          <w:szCs w:val="18"/>
          <w:color w:val="auto"/>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40</w:t>
      </w:r>
    </w:p>
    <w:p>
      <w:pPr>
        <w:sectPr>
          <w:pgSz w:w="12240" w:h="15840" w:orient="portrait"/>
          <w:cols w:equalWidth="0" w:num="1">
            <w:col w:w="9360"/>
          </w:cols>
          <w:pgMar w:left="1440" w:top="1440" w:right="1440" w:bottom="610" w:gutter="0" w:footer="0" w:header="0"/>
          <w:type w:val="continuous"/>
        </w:sectPr>
      </w:pPr>
    </w:p>
    <w:bookmarkStart w:id="47" w:name="page48"/>
    <w:bookmarkEnd w:id="47"/>
    <w:p>
      <w:pPr>
        <w:spacing w:after="0" w:line="354" w:lineRule="exact"/>
        <w:rPr>
          <w:sz w:val="20"/>
          <w:szCs w:val="20"/>
          <w:color w:val="auto"/>
        </w:rPr>
      </w:pPr>
    </w:p>
    <w:p>
      <w:pPr>
        <w:ind w:left="120" w:right="400"/>
        <w:spacing w:after="0" w:line="305" w:lineRule="auto"/>
        <w:rPr>
          <w:sz w:val="20"/>
          <w:szCs w:val="20"/>
          <w:color w:val="auto"/>
        </w:rPr>
      </w:pPr>
      <w:r>
        <w:rPr>
          <w:rFonts w:ascii="Arial" w:cs="Arial" w:eastAsia="Arial" w:hAnsi="Arial"/>
          <w:sz w:val="19"/>
          <w:szCs w:val="19"/>
          <w:b w:val="1"/>
          <w:bCs w:val="1"/>
          <w:color w:val="auto"/>
        </w:rPr>
        <w:t>The size of the markets for the Proteograph Product Suite may be smaller or different from estimated, and new market opportunities may not develop as quickly as we expect, or at all, limiting our ability to successfully sell our products.</w:t>
      </w:r>
    </w:p>
    <w:p>
      <w:pPr>
        <w:spacing w:after="0" w:line="117" w:lineRule="exact"/>
        <w:rPr>
          <w:sz w:val="20"/>
          <w:szCs w:val="20"/>
          <w:color w:val="auto"/>
        </w:rPr>
      </w:pPr>
    </w:p>
    <w:p>
      <w:pPr>
        <w:ind w:left="120" w:right="280"/>
        <w:spacing w:after="0" w:line="322" w:lineRule="auto"/>
        <w:rPr>
          <w:sz w:val="20"/>
          <w:szCs w:val="20"/>
          <w:color w:val="auto"/>
        </w:rPr>
      </w:pPr>
      <w:r>
        <w:rPr>
          <w:rFonts w:ascii="Arial" w:cs="Arial" w:eastAsia="Arial" w:hAnsi="Arial"/>
          <w:sz w:val="17"/>
          <w:szCs w:val="17"/>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385" w:lineRule="exact"/>
        <w:rPr>
          <w:sz w:val="20"/>
          <w:szCs w:val="20"/>
          <w:color w:val="auto"/>
        </w:rPr>
      </w:pPr>
    </w:p>
    <w:p>
      <w:pPr>
        <w:ind w:left="120" w:right="400"/>
        <w:spacing w:after="0" w:line="293" w:lineRule="auto"/>
        <w:rPr>
          <w:sz w:val="20"/>
          <w:szCs w:val="20"/>
          <w:color w:val="auto"/>
        </w:rPr>
      </w:pPr>
      <w:r>
        <w:rPr>
          <w:rFonts w:ascii="Arial" w:cs="Arial" w:eastAsia="Arial" w:hAnsi="Arial"/>
          <w:sz w:val="19"/>
          <w:szCs w:val="19"/>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33" w:lineRule="exact"/>
        <w:rPr>
          <w:sz w:val="20"/>
          <w:szCs w:val="20"/>
          <w:color w:val="auto"/>
        </w:rPr>
      </w:pPr>
    </w:p>
    <w:p>
      <w:pPr>
        <w:ind w:left="120" w:right="300"/>
        <w:spacing w:after="0" w:line="324" w:lineRule="auto"/>
        <w:rPr>
          <w:sz w:val="20"/>
          <w:szCs w:val="20"/>
          <w:color w:val="auto"/>
        </w:rPr>
      </w:pPr>
      <w:r>
        <w:rPr>
          <w:rFonts w:ascii="Arial" w:cs="Arial" w:eastAsia="Arial" w:hAnsi="Arial"/>
          <w:sz w:val="19"/>
          <w:szCs w:val="19"/>
          <w:b w:val="1"/>
          <w:bCs w:val="1"/>
          <w:color w:val="auto"/>
        </w:rPr>
        <w:t>We are in the early stages of commercialization, and we may not be able to commercialize the Proteograph Product Suite as planned.</w:t>
      </w:r>
    </w:p>
    <w:p>
      <w:pPr>
        <w:spacing w:after="0" w:line="99" w:lineRule="exact"/>
        <w:rPr>
          <w:sz w:val="20"/>
          <w:szCs w:val="20"/>
          <w:color w:val="auto"/>
        </w:rPr>
      </w:pPr>
    </w:p>
    <w:p>
      <w:pPr>
        <w:ind w:left="120" w:right="560"/>
        <w:spacing w:after="0" w:line="358" w:lineRule="auto"/>
        <w:rPr>
          <w:sz w:val="20"/>
          <w:szCs w:val="20"/>
          <w:color w:val="auto"/>
        </w:rPr>
      </w:pPr>
      <w:r>
        <w:rPr>
          <w:rFonts w:ascii="Arial" w:cs="Arial" w:eastAsia="Arial" w:hAnsi="Arial"/>
          <w:sz w:val="18"/>
          <w:szCs w:val="18"/>
          <w:color w:val="auto"/>
        </w:rPr>
        <w:t>We have only recently initiated the broad commercialization of the Proteograph Product Suite and related products and services, and we may not be able to successfully execute on this phase as planned due to:</w:t>
      </w:r>
    </w:p>
    <w:p>
      <w:pPr>
        <w:spacing w:after="0" w:line="85" w:lineRule="exact"/>
        <w:rPr>
          <w:sz w:val="20"/>
          <w:szCs w:val="20"/>
          <w:color w:val="auto"/>
        </w:rPr>
      </w:pPr>
    </w:p>
    <w:p>
      <w:pPr>
        <w:ind w:left="800" w:right="660"/>
        <w:spacing w:after="0" w:line="326" w:lineRule="auto"/>
        <w:rPr>
          <w:sz w:val="20"/>
          <w:szCs w:val="20"/>
          <w:color w:val="auto"/>
        </w:rPr>
      </w:pPr>
      <w:r>
        <w:rPr>
          <w:rFonts w:ascii="Arial" w:cs="Arial" w:eastAsia="Arial" w:hAnsi="Arial"/>
          <w:sz w:val="19"/>
          <w:szCs w:val="19"/>
          <w:color w:val="auto"/>
        </w:rPr>
        <w:t>the inability to establish the capabilities and value proposition of the Proteograph Product Suite with key opinion leaders and other customers in a timely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320"/>
        <w:spacing w:after="0" w:line="390" w:lineRule="auto"/>
        <w:rPr>
          <w:sz w:val="20"/>
          <w:szCs w:val="20"/>
          <w:color w:val="auto"/>
        </w:rPr>
      </w:pPr>
      <w:r>
        <w:rPr>
          <w:rFonts w:ascii="Arial" w:cs="Arial" w:eastAsia="Arial" w:hAnsi="Arial"/>
          <w:sz w:val="17"/>
          <w:szCs w:val="17"/>
          <w:color w:val="auto"/>
        </w:rPr>
        <w:t>delays or longer-than expected lead times in the sales cycle to establish customer contacts, complete responsive presentations including platform evaluations tailored to specific requests, and move expeditiously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-346710</wp:posOffset>
            </wp:positionV>
            <wp:extent cx="67945" cy="679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41</w:t>
      </w:r>
    </w:p>
    <w:p>
      <w:pPr>
        <w:sectPr>
          <w:pgSz w:w="12240" w:h="15840" w:orient="portrait"/>
          <w:cols w:equalWidth="0" w:num="1">
            <w:col w:w="9360"/>
          </w:cols>
          <w:pgMar w:left="1440" w:top="1440" w:right="1440" w:bottom="610" w:gutter="0" w:footer="0" w:header="0"/>
          <w:type w:val="continuous"/>
        </w:sectPr>
      </w:pPr>
    </w:p>
    <w:bookmarkStart w:id="48" w:name="page49"/>
    <w:bookmarkEnd w:id="48"/>
    <w:p>
      <w:pPr>
        <w:spacing w:after="0" w:line="352" w:lineRule="exact"/>
        <w:rPr>
          <w:sz w:val="20"/>
          <w:szCs w:val="20"/>
          <w:color w:val="auto"/>
        </w:rPr>
      </w:pPr>
    </w:p>
    <w:p>
      <w:pPr>
        <w:ind w:left="800" w:right="800"/>
        <w:spacing w:after="0" w:line="326" w:lineRule="auto"/>
        <w:rPr>
          <w:sz w:val="20"/>
          <w:szCs w:val="20"/>
          <w:color w:val="auto"/>
        </w:rPr>
      </w:pPr>
      <w:r>
        <w:rPr>
          <w:rFonts w:ascii="Arial" w:cs="Arial" w:eastAsia="Arial" w:hAnsi="Arial"/>
          <w:sz w:val="19"/>
          <w:szCs w:val="19"/>
          <w:color w:val="auto"/>
        </w:rPr>
        <w:t>from quote to order to revenue to receipt of payment due to budgetary or other constraints of academic organizations, laboratories, biopharmaceutical companies and others;</w:t>
      </w:r>
    </w:p>
    <w:p>
      <w:pPr>
        <w:spacing w:after="0" w:line="99" w:lineRule="exact"/>
        <w:rPr>
          <w:sz w:val="20"/>
          <w:szCs w:val="20"/>
          <w:color w:val="auto"/>
        </w:rPr>
      </w:pPr>
    </w:p>
    <w:p>
      <w:pPr>
        <w:ind w:left="800" w:right="960"/>
        <w:spacing w:after="0" w:line="326" w:lineRule="auto"/>
        <w:rPr>
          <w:sz w:val="20"/>
          <w:szCs w:val="20"/>
          <w:color w:val="auto"/>
        </w:rPr>
      </w:pPr>
      <w:r>
        <w:rPr>
          <w:rFonts w:ascii="Arial" w:cs="Arial" w:eastAsia="Arial" w:hAnsi="Arial"/>
          <w:sz w:val="19"/>
          <w:szCs w:val="19"/>
          <w:color w:val="auto"/>
        </w:rPr>
        <w:t>changing industry or market conditions, customer requirements or competitor offerings during broad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520"/>
        <w:spacing w:after="0" w:line="324" w:lineRule="auto"/>
        <w:rPr>
          <w:sz w:val="20"/>
          <w:szCs w:val="20"/>
          <w:color w:val="auto"/>
        </w:rPr>
      </w:pPr>
      <w:r>
        <w:rPr>
          <w:rFonts w:ascii="Arial" w:cs="Arial" w:eastAsia="Arial" w:hAnsi="Arial"/>
          <w:sz w:val="19"/>
          <w:szCs w:val="19"/>
          <w:color w:val="auto"/>
        </w:rPr>
        <w:t>delays in continuing the build-out of our sales, customer support and marketing organization as needed for broad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6" w:lineRule="exact"/>
        <w:rPr>
          <w:sz w:val="20"/>
          <w:szCs w:val="20"/>
          <w:color w:val="auto"/>
        </w:rPr>
      </w:pPr>
    </w:p>
    <w:p>
      <w:pPr>
        <w:ind w:left="800" w:right="360"/>
        <w:spacing w:after="0" w:line="324" w:lineRule="auto"/>
        <w:rPr>
          <w:sz w:val="20"/>
          <w:szCs w:val="20"/>
          <w:color w:val="auto"/>
        </w:rPr>
      </w:pPr>
      <w:r>
        <w:rPr>
          <w:rFonts w:ascii="Arial" w:cs="Arial" w:eastAsia="Arial" w:hAnsi="Arial"/>
          <w:sz w:val="19"/>
          <w:szCs w:val="19"/>
          <w:color w:val="auto"/>
        </w:rPr>
        <w:t>delays in ramping up manufacturing, either internally or through our suppliers, to meet the expected demand for broad commercialization;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800" w:right="980"/>
        <w:spacing w:after="0" w:line="393" w:lineRule="auto"/>
        <w:rPr>
          <w:sz w:val="20"/>
          <w:szCs w:val="20"/>
          <w:color w:val="auto"/>
        </w:rPr>
      </w:pPr>
      <w:r>
        <w:rPr>
          <w:rFonts w:ascii="Arial" w:cs="Arial" w:eastAsia="Arial" w:hAnsi="Arial"/>
          <w:sz w:val="17"/>
          <w:szCs w:val="17"/>
          <w:color w:val="auto"/>
        </w:rPr>
        <w:t>the impact of health epidemics on the economy and research industries, our business operations, and resources and the operations of our customers, suppliers and supply chain, and distributors.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-349885</wp:posOffset>
            </wp:positionV>
            <wp:extent cx="67945" cy="679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extent our broad commercial release phase is unsuccessful, our financial results will be adversely impacted.</w:t>
      </w:r>
    </w:p>
    <w:p>
      <w:pPr>
        <w:spacing w:after="0" w:line="238" w:lineRule="exact"/>
        <w:rPr>
          <w:sz w:val="20"/>
          <w:szCs w:val="20"/>
          <w:color w:val="auto"/>
        </w:rPr>
      </w:pPr>
    </w:p>
    <w:p>
      <w:pPr>
        <w:ind w:left="120" w:right="380"/>
        <w:spacing w:after="0" w:line="322" w:lineRule="auto"/>
        <w:rPr>
          <w:sz w:val="20"/>
          <w:szCs w:val="20"/>
          <w:color w:val="auto"/>
        </w:rPr>
      </w:pPr>
      <w:r>
        <w:rPr>
          <w:rFonts w:ascii="Arial" w:cs="Arial" w:eastAsia="Arial" w:hAnsi="Arial"/>
          <w:sz w:val="19"/>
          <w:szCs w:val="19"/>
          <w:b w:val="1"/>
          <w:bCs w:val="1"/>
          <w:color w:val="auto"/>
        </w:rPr>
        <w:t>Even if we are able to execute on our commercialization plan, our success depends on broad scientific and market acceptance of the Proteograph Product Suite, which we may fail to achieve.</w:t>
      </w:r>
    </w:p>
    <w:p>
      <w:pPr>
        <w:spacing w:after="0" w:line="102" w:lineRule="exact"/>
        <w:rPr>
          <w:sz w:val="20"/>
          <w:szCs w:val="20"/>
          <w:color w:val="auto"/>
        </w:rPr>
      </w:pPr>
    </w:p>
    <w:p>
      <w:pPr>
        <w:ind w:left="120" w:right="380"/>
        <w:spacing w:after="0" w:line="337" w:lineRule="auto"/>
        <w:rPr>
          <w:sz w:val="20"/>
          <w:szCs w:val="20"/>
          <w:color w:val="auto"/>
        </w:rPr>
      </w:pPr>
      <w:r>
        <w:rPr>
          <w:rFonts w:ascii="Arial" w:cs="Arial" w:eastAsia="Arial" w:hAnsi="Arial"/>
          <w:sz w:val="17"/>
          <w:szCs w:val="17"/>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97" w:lineRule="exact"/>
        <w:rPr>
          <w:sz w:val="20"/>
          <w:szCs w:val="20"/>
          <w:color w:val="auto"/>
        </w:rPr>
      </w:pPr>
    </w:p>
    <w:p>
      <w:pPr>
        <w:ind w:left="120" w:right="280"/>
        <w:spacing w:after="0" w:line="325" w:lineRule="auto"/>
        <w:rPr>
          <w:sz w:val="20"/>
          <w:szCs w:val="20"/>
          <w:color w:val="auto"/>
        </w:rPr>
      </w:pPr>
      <w:r>
        <w:rPr>
          <w:rFonts w:ascii="Arial" w:cs="Arial" w:eastAsia="Arial" w:hAnsi="Arial"/>
          <w:sz w:val="17"/>
          <w:szCs w:val="17"/>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Other factors in achieving commercial market acceptance, include:</w:t>
      </w:r>
    </w:p>
    <w:p>
      <w:pPr>
        <w:spacing w:after="0" w:line="23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our ability to market and increase awareness of the capabilities of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right="680"/>
        <w:spacing w:after="0" w:line="326" w:lineRule="auto"/>
        <w:rPr>
          <w:sz w:val="20"/>
          <w:szCs w:val="20"/>
          <w:color w:val="auto"/>
        </w:rPr>
      </w:pPr>
      <w:r>
        <w:rPr>
          <w:rFonts w:ascii="Arial" w:cs="Arial" w:eastAsia="Arial" w:hAnsi="Arial"/>
          <w:sz w:val="19"/>
          <w:szCs w:val="19"/>
          <w:color w:val="auto"/>
        </w:rPr>
        <w:t>the ability of the Proteograph Product Suite to perform intended use applications broadly in the hands of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our customers’ willingness to adopt new products and workflows;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42</w:t>
      </w:r>
    </w:p>
    <w:p>
      <w:pPr>
        <w:sectPr>
          <w:pgSz w:w="12240" w:h="15840" w:orient="portrait"/>
          <w:cols w:equalWidth="0" w:num="1">
            <w:col w:w="9360"/>
          </w:cols>
          <w:pgMar w:left="1440" w:top="1440" w:right="1440" w:bottom="610" w:gutter="0" w:footer="0" w:header="0"/>
          <w:type w:val="continuous"/>
        </w:sectPr>
      </w:pPr>
    </w:p>
    <w:bookmarkStart w:id="49" w:name="page50"/>
    <w:bookmarkEnd w:id="49"/>
    <w:p>
      <w:pPr>
        <w:spacing w:after="0" w:line="35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Proteograph’s ease of use and whether it reliably provides advantages over other alternative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-67945</wp:posOffset>
            </wp:positionV>
            <wp:extent cx="67945" cy="679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29" w:lineRule="exact"/>
        <w:rPr>
          <w:sz w:val="20"/>
          <w:szCs w:val="20"/>
          <w:color w:val="auto"/>
        </w:rPr>
      </w:pPr>
    </w:p>
    <w:p>
      <w:pPr>
        <w:ind w:left="800" w:right="1640"/>
        <w:spacing w:after="0" w:line="326" w:lineRule="auto"/>
        <w:rPr>
          <w:sz w:val="20"/>
          <w:szCs w:val="20"/>
          <w:color w:val="auto"/>
        </w:rPr>
      </w:pPr>
      <w:r>
        <w:rPr>
          <w:rFonts w:ascii="Arial" w:cs="Arial" w:eastAsia="Arial" w:hAnsi="Arial"/>
          <w:sz w:val="19"/>
          <w:szCs w:val="19"/>
          <w:color w:val="auto"/>
        </w:rPr>
        <w:t>the rate of adoption of the Proteograph Product Suite by academic institutions, laboratories, biopharmaceutical companies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prices we charge for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ability to develop new products, services and solutions that achieve commercial market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-74930</wp:posOffset>
            </wp:positionV>
            <wp:extent cx="67945" cy="679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if competitors develop and commercialize products that perform similar functions as the Proteograph;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-67945</wp:posOffset>
            </wp:positionV>
            <wp:extent cx="67945" cy="679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impact of our investments in product innovation and commercial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3" w:lineRule="exact"/>
        <w:rPr>
          <w:sz w:val="20"/>
          <w:szCs w:val="20"/>
          <w:color w:val="auto"/>
        </w:rPr>
      </w:pPr>
    </w:p>
    <w:p>
      <w:pPr>
        <w:ind w:left="120" w:right="400"/>
        <w:spacing w:after="0" w:line="298" w:lineRule="auto"/>
        <w:rPr>
          <w:sz w:val="20"/>
          <w:szCs w:val="20"/>
          <w:color w:val="auto"/>
        </w:rPr>
      </w:pPr>
      <w:r>
        <w:rPr>
          <w:rFonts w:ascii="Arial" w:cs="Arial" w:eastAsia="Arial" w:hAnsi="Arial"/>
          <w:sz w:val="19"/>
          <w:szCs w:val="19"/>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127" w:lineRule="exact"/>
        <w:rPr>
          <w:sz w:val="20"/>
          <w:szCs w:val="20"/>
          <w:color w:val="auto"/>
        </w:rPr>
      </w:pPr>
    </w:p>
    <w:p>
      <w:pPr>
        <w:ind w:left="120" w:right="360"/>
        <w:spacing w:after="0" w:line="322" w:lineRule="auto"/>
        <w:rPr>
          <w:sz w:val="20"/>
          <w:szCs w:val="20"/>
          <w:color w:val="auto"/>
        </w:rPr>
      </w:pPr>
      <w:r>
        <w:rPr>
          <w:rFonts w:ascii="Arial" w:cs="Arial" w:eastAsia="Arial" w:hAnsi="Arial"/>
          <w:sz w:val="19"/>
          <w:szCs w:val="19"/>
          <w:b w:val="1"/>
          <w:bCs w:val="1"/>
          <w:color w:val="auto"/>
        </w:rPr>
        <w:t>If our sales force is less successful than anticipated, we may not be successful in commercializing the Proteograph Product Suite.</w:t>
      </w:r>
    </w:p>
    <w:p>
      <w:pPr>
        <w:spacing w:after="0" w:line="102" w:lineRule="exact"/>
        <w:rPr>
          <w:sz w:val="20"/>
          <w:szCs w:val="20"/>
          <w:color w:val="auto"/>
        </w:rPr>
      </w:pPr>
    </w:p>
    <w:p>
      <w:pPr>
        <w:ind w:left="120" w:right="340"/>
        <w:spacing w:after="0" w:line="334" w:lineRule="auto"/>
        <w:rPr>
          <w:sz w:val="20"/>
          <w:szCs w:val="20"/>
          <w:color w:val="auto"/>
        </w:rPr>
      </w:pPr>
      <w:r>
        <w:rPr>
          <w:rFonts w:ascii="Arial" w:cs="Arial" w:eastAsia="Arial" w:hAnsi="Arial"/>
          <w:sz w:val="17"/>
          <w:szCs w:val="17"/>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and related products and services. To perform sales, marketing, distribution, and customer service and support successfully, we will face a number of risks, including:</w:t>
      </w:r>
    </w:p>
    <w:p>
      <w:pPr>
        <w:spacing w:after="0" w:line="117" w:lineRule="exact"/>
        <w:rPr>
          <w:sz w:val="20"/>
          <w:szCs w:val="20"/>
          <w:color w:val="auto"/>
        </w:rPr>
      </w:pPr>
    </w:p>
    <w:p>
      <w:pPr>
        <w:ind w:left="800" w:right="1020"/>
        <w:spacing w:after="0" w:line="355" w:lineRule="auto"/>
        <w:rPr>
          <w:sz w:val="20"/>
          <w:szCs w:val="20"/>
          <w:color w:val="auto"/>
        </w:rPr>
      </w:pPr>
      <w:r>
        <w:rPr>
          <w:rFonts w:ascii="Arial" w:cs="Arial" w:eastAsia="Arial" w:hAnsi="Arial"/>
          <w:sz w:val="18"/>
          <w:szCs w:val="18"/>
          <w:color w:val="auto"/>
        </w:rPr>
        <w:t>our ability to attract, retain and manage the sales, marketing and customer service and support force necessary to commercialize and gain market acceptance for our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-332105</wp:posOffset>
            </wp:positionV>
            <wp:extent cx="67945" cy="679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time and cost of establishing a specialized sales, marketing and customer service and support force;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-67310</wp:posOffset>
            </wp:positionV>
            <wp:extent cx="67945" cy="679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29" w:lineRule="exact"/>
        <w:rPr>
          <w:sz w:val="20"/>
          <w:szCs w:val="20"/>
          <w:color w:val="auto"/>
        </w:rPr>
      </w:pPr>
    </w:p>
    <w:p>
      <w:pPr>
        <w:ind w:left="800" w:right="340"/>
        <w:spacing w:after="0" w:line="324" w:lineRule="auto"/>
        <w:rPr>
          <w:sz w:val="20"/>
          <w:szCs w:val="20"/>
          <w:color w:val="auto"/>
        </w:rPr>
      </w:pPr>
      <w:r>
        <w:rPr>
          <w:rFonts w:ascii="Arial" w:cs="Arial" w:eastAsia="Arial" w:hAnsi="Arial"/>
          <w:sz w:val="19"/>
          <w:szCs w:val="19"/>
          <w:color w:val="auto"/>
        </w:rPr>
        <w:t>our sales, marketing and customer service and support force may be unable to initiate and execute successful commercialization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81" w:lineRule="exact"/>
        <w:rPr>
          <w:sz w:val="20"/>
          <w:szCs w:val="20"/>
          <w:color w:val="auto"/>
        </w:rPr>
      </w:pPr>
    </w:p>
    <w:p>
      <w:pPr>
        <w:ind w:left="120" w:right="280"/>
        <w:spacing w:after="0" w:line="329" w:lineRule="auto"/>
        <w:rPr>
          <w:sz w:val="20"/>
          <w:szCs w:val="20"/>
          <w:color w:val="auto"/>
        </w:rPr>
      </w:pPr>
      <w:r>
        <w:rPr>
          <w:rFonts w:ascii="Arial" w:cs="Arial" w:eastAsia="Arial" w:hAnsi="Arial"/>
          <w:sz w:val="17"/>
          <w:szCs w:val="17"/>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43</w:t>
      </w:r>
    </w:p>
    <w:p>
      <w:pPr>
        <w:sectPr>
          <w:pgSz w:w="12240" w:h="15840" w:orient="portrait"/>
          <w:cols w:equalWidth="0" w:num="1">
            <w:col w:w="9360"/>
          </w:cols>
          <w:pgMar w:left="1440" w:top="1440" w:right="1440" w:bottom="610" w:gutter="0" w:footer="0" w:header="0"/>
          <w:type w:val="continuous"/>
        </w:sectPr>
      </w:pPr>
    </w:p>
    <w:bookmarkStart w:id="50" w:name="page51"/>
    <w:bookmarkEnd w:id="50"/>
    <w:p>
      <w:pPr>
        <w:spacing w:after="0" w:line="354" w:lineRule="exact"/>
        <w:rPr>
          <w:sz w:val="20"/>
          <w:szCs w:val="20"/>
          <w:color w:val="auto"/>
        </w:rPr>
      </w:pPr>
    </w:p>
    <w:p>
      <w:pPr>
        <w:ind w:left="120" w:right="600"/>
        <w:spacing w:after="0" w:line="305" w:lineRule="auto"/>
        <w:rPr>
          <w:sz w:val="20"/>
          <w:szCs w:val="20"/>
          <w:color w:val="auto"/>
        </w:rPr>
      </w:pPr>
      <w:r>
        <w:rPr>
          <w:rFonts w:ascii="Arial" w:cs="Arial" w:eastAsia="Arial" w:hAnsi="Arial"/>
          <w:sz w:val="19"/>
          <w:szCs w:val="19"/>
          <w:b w:val="1"/>
          <w:bCs w:val="1"/>
          <w:color w:val="auto"/>
        </w:rPr>
        <w:t>Even if the Proteograph Product Suite is successfully commercialized and achieves broad scientific and market acceptance, if we fail to improve it or introduce compelling new products and services, our revenues and our prospects could be harmed.</w:t>
      </w:r>
    </w:p>
    <w:p>
      <w:pPr>
        <w:spacing w:after="0" w:line="117" w:lineRule="exact"/>
        <w:rPr>
          <w:sz w:val="20"/>
          <w:szCs w:val="20"/>
          <w:color w:val="auto"/>
        </w:rPr>
      </w:pPr>
    </w:p>
    <w:p>
      <w:pPr>
        <w:ind w:left="120" w:right="320"/>
        <w:spacing w:after="0" w:line="308" w:lineRule="auto"/>
        <w:rPr>
          <w:sz w:val="20"/>
          <w:szCs w:val="20"/>
          <w:color w:val="auto"/>
        </w:rPr>
      </w:pPr>
      <w:r>
        <w:rPr>
          <w:rFonts w:ascii="Arial" w:cs="Arial" w:eastAsia="Arial" w:hAnsi="Arial"/>
          <w:sz w:val="18"/>
          <w:szCs w:val="18"/>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122" w:lineRule="exact"/>
        <w:rPr>
          <w:sz w:val="20"/>
          <w:szCs w:val="20"/>
          <w:color w:val="auto"/>
        </w:rPr>
      </w:pPr>
    </w:p>
    <w:p>
      <w:pPr>
        <w:ind w:left="120" w:right="340"/>
        <w:spacing w:after="0" w:line="327" w:lineRule="auto"/>
        <w:rPr>
          <w:sz w:val="20"/>
          <w:szCs w:val="20"/>
          <w:color w:val="auto"/>
        </w:rPr>
      </w:pPr>
      <w:r>
        <w:rPr>
          <w:rFonts w:ascii="Arial" w:cs="Arial" w:eastAsia="Arial" w:hAnsi="Arial"/>
          <w:sz w:val="17"/>
          <w:szCs w:val="17"/>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Health epidemics could adversely impact our business and operations.</w:t>
      </w:r>
    </w:p>
    <w:p>
      <w:pPr>
        <w:spacing w:after="0" w:line="211" w:lineRule="exact"/>
        <w:rPr>
          <w:sz w:val="20"/>
          <w:szCs w:val="20"/>
          <w:color w:val="auto"/>
        </w:rPr>
      </w:pPr>
    </w:p>
    <w:p>
      <w:pPr>
        <w:ind w:left="120" w:right="300"/>
        <w:spacing w:after="0" w:line="295" w:lineRule="auto"/>
        <w:rPr>
          <w:sz w:val="20"/>
          <w:szCs w:val="20"/>
          <w:color w:val="auto"/>
        </w:rPr>
      </w:pPr>
      <w:r>
        <w:rPr>
          <w:rFonts w:ascii="Arial" w:cs="Arial" w:eastAsia="Arial" w:hAnsi="Arial"/>
          <w:sz w:val="19"/>
          <w:szCs w:val="19"/>
          <w:color w:val="auto"/>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spacing w:after="0" w:line="136" w:lineRule="exact"/>
        <w:rPr>
          <w:sz w:val="20"/>
          <w:szCs w:val="20"/>
          <w:color w:val="auto"/>
        </w:rPr>
      </w:pPr>
    </w:p>
    <w:p>
      <w:pPr>
        <w:ind w:left="800" w:right="800"/>
        <w:spacing w:after="0" w:line="326" w:lineRule="auto"/>
        <w:rPr>
          <w:sz w:val="20"/>
          <w:szCs w:val="20"/>
          <w:color w:val="auto"/>
        </w:rPr>
      </w:pPr>
      <w:r>
        <w:rPr>
          <w:rFonts w:ascii="Arial" w:cs="Arial" w:eastAsia="Arial" w:hAnsi="Arial"/>
          <w:sz w:val="19"/>
          <w:szCs w:val="19"/>
          <w:color w:val="auto"/>
        </w:rPr>
        <w:t>reductions in capacity or shutdowns of laboratories and other institutions as well as reduced or delayed spending on instruments and consumables as a result of shutdowns and delays;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decreases in government funding of research and development;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360"/>
        <w:spacing w:after="0" w:line="299" w:lineRule="auto"/>
        <w:rPr>
          <w:sz w:val="20"/>
          <w:szCs w:val="20"/>
          <w:color w:val="auto"/>
        </w:rPr>
      </w:pPr>
      <w:r>
        <w:rPr>
          <w:rFonts w:ascii="Arial" w:cs="Arial" w:eastAsia="Arial" w:hAnsi="Arial"/>
          <w:sz w:val="19"/>
          <w:szCs w:val="19"/>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-635000</wp:posOffset>
            </wp:positionV>
            <wp:extent cx="67945" cy="679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02" w:lineRule="exact"/>
        <w:rPr>
          <w:sz w:val="20"/>
          <w:szCs w:val="20"/>
          <w:color w:val="auto"/>
        </w:rPr>
      </w:pPr>
    </w:p>
    <w:p>
      <w:pPr>
        <w:ind w:left="120" w:right="300"/>
        <w:spacing w:after="0" w:line="312" w:lineRule="auto"/>
        <w:rPr>
          <w:sz w:val="20"/>
          <w:szCs w:val="20"/>
          <w:color w:val="auto"/>
        </w:rPr>
      </w:pPr>
      <w:r>
        <w:rPr>
          <w:rFonts w:ascii="Arial" w:cs="Arial" w:eastAsia="Arial" w:hAnsi="Arial"/>
          <w:sz w:val="18"/>
          <w:szCs w:val="18"/>
          <w:color w:val="auto"/>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automation instrument, Hamilton Company, and could worsen over time. Any of these occurrences, and any new epidemics, could significantly harm our business, results of operations and financial condition.</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44</w:t>
      </w:r>
    </w:p>
    <w:p>
      <w:pPr>
        <w:sectPr>
          <w:pgSz w:w="12240" w:h="15840" w:orient="portrait"/>
          <w:cols w:equalWidth="0" w:num="1">
            <w:col w:w="9360"/>
          </w:cols>
          <w:pgMar w:left="1440" w:top="1440" w:right="1440" w:bottom="610" w:gutter="0" w:footer="0" w:header="0"/>
          <w:type w:val="continuous"/>
        </w:sectPr>
      </w:pPr>
    </w:p>
    <w:bookmarkStart w:id="51" w:name="page52"/>
    <w:bookmarkEnd w:id="51"/>
    <w:p>
      <w:pPr>
        <w:spacing w:after="0" w:line="354" w:lineRule="exact"/>
        <w:rPr>
          <w:sz w:val="20"/>
          <w:szCs w:val="20"/>
          <w:color w:val="auto"/>
        </w:rPr>
      </w:pPr>
    </w:p>
    <w:p>
      <w:pPr>
        <w:ind w:left="120" w:right="300"/>
        <w:spacing w:after="0" w:line="324" w:lineRule="auto"/>
        <w:rPr>
          <w:sz w:val="20"/>
          <w:szCs w:val="20"/>
          <w:color w:val="auto"/>
        </w:rPr>
      </w:pPr>
      <w:r>
        <w:rPr>
          <w:rFonts w:ascii="Arial" w:cs="Arial" w:eastAsia="Arial" w:hAnsi="Arial"/>
          <w:sz w:val="19"/>
          <w:szCs w:val="19"/>
          <w:b w:val="1"/>
          <w:bCs w:val="1"/>
          <w:color w:val="auto"/>
        </w:rPr>
        <w:t>Unfavorable U.S. or global economic conditions could adversely affect our ability to raise capital and our business, results of operations and financial condition.</w:t>
      </w:r>
    </w:p>
    <w:p>
      <w:pPr>
        <w:spacing w:after="0" w:line="101" w:lineRule="exact"/>
        <w:rPr>
          <w:sz w:val="20"/>
          <w:szCs w:val="20"/>
          <w:color w:val="auto"/>
        </w:rPr>
      </w:pPr>
    </w:p>
    <w:p>
      <w:pPr>
        <w:ind w:left="120" w:right="300"/>
        <w:spacing w:after="0" w:line="325" w:lineRule="auto"/>
        <w:rPr>
          <w:sz w:val="20"/>
          <w:szCs w:val="20"/>
          <w:color w:val="auto"/>
        </w:rPr>
      </w:pPr>
      <w:r>
        <w:rPr>
          <w:rFonts w:ascii="Arial" w:cs="Arial" w:eastAsia="Arial" w:hAnsi="Arial"/>
          <w:sz w:val="17"/>
          <w:szCs w:val="17"/>
          <w:color w:val="auto"/>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Additionally, there is ongoing uncertainty regarding the new U.S. presidential administration’s economic and other policies and priorities, such as potential changes in trade restrictions or relationships, tariffs and exchange controls, and potential retaliatory tariffs by other countries. Any of the foregoing could harm our business, and we cannot anticipate all of the ways in which the current economic climate and financial market conditions could adversely impact our ability to raise capital, business, results of operations, and financial condition, and cause the stock price of our Class A common stock to decline.</w:t>
      </w:r>
    </w:p>
    <w:p>
      <w:pPr>
        <w:spacing w:after="0" w:line="114" w:lineRule="exact"/>
        <w:rPr>
          <w:sz w:val="20"/>
          <w:szCs w:val="20"/>
          <w:color w:val="auto"/>
        </w:rPr>
      </w:pPr>
    </w:p>
    <w:p>
      <w:pPr>
        <w:ind w:left="120" w:right="600"/>
        <w:spacing w:after="0" w:line="430" w:lineRule="auto"/>
        <w:rPr>
          <w:sz w:val="20"/>
          <w:szCs w:val="20"/>
          <w:color w:val="auto"/>
        </w:rPr>
      </w:pPr>
      <w:r>
        <w:rPr>
          <w:rFonts w:ascii="Arial" w:cs="Arial" w:eastAsia="Arial" w:hAnsi="Arial"/>
          <w:sz w:val="16"/>
          <w:szCs w:val="16"/>
          <w:b w:val="1"/>
          <w:bCs w:val="1"/>
          <w:color w:val="auto"/>
        </w:rPr>
        <w:t>Adverse developments affecting the financial services industry could impair our ability to access our cash, cash equivalents and investments and to timely meet our financial obligations to our vendors and others.</w:t>
      </w:r>
    </w:p>
    <w:p>
      <w:pPr>
        <w:spacing w:after="0" w:line="29" w:lineRule="exact"/>
        <w:rPr>
          <w:sz w:val="20"/>
          <w:szCs w:val="20"/>
          <w:color w:val="auto"/>
        </w:rPr>
      </w:pPr>
    </w:p>
    <w:p>
      <w:pPr>
        <w:ind w:left="120" w:right="280"/>
        <w:spacing w:after="0" w:line="328" w:lineRule="auto"/>
        <w:rPr>
          <w:sz w:val="20"/>
          <w:szCs w:val="20"/>
          <w:color w:val="auto"/>
        </w:rPr>
      </w:pPr>
      <w:r>
        <w:rPr>
          <w:rFonts w:ascii="Arial" w:cs="Arial" w:eastAsia="Arial" w:hAnsi="Arial"/>
          <w:sz w:val="17"/>
          <w:szCs w:val="17"/>
          <w:color w:val="auto"/>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Federal Deposit Insurance Corporation or Securities Investor Protection Corporation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spacing w:after="0" w:line="110" w:lineRule="exact"/>
        <w:rPr>
          <w:sz w:val="20"/>
          <w:szCs w:val="20"/>
          <w:color w:val="auto"/>
        </w:rPr>
      </w:pPr>
    </w:p>
    <w:p>
      <w:pPr>
        <w:ind w:left="120" w:right="420"/>
        <w:spacing w:after="0" w:line="324" w:lineRule="auto"/>
        <w:rPr>
          <w:sz w:val="20"/>
          <w:szCs w:val="20"/>
          <w:color w:val="auto"/>
        </w:rPr>
      </w:pPr>
      <w:r>
        <w:rPr>
          <w:rFonts w:ascii="Arial" w:cs="Arial" w:eastAsia="Arial" w:hAnsi="Arial"/>
          <w:sz w:val="19"/>
          <w:szCs w:val="19"/>
          <w:b w:val="1"/>
          <w:bCs w:val="1"/>
          <w:color w:val="auto"/>
        </w:rPr>
        <w:t>If we do not sustain or successfully manage our growth or financial resources, our business and prospects will be harmed.</w:t>
      </w:r>
    </w:p>
    <w:p>
      <w:pPr>
        <w:spacing w:after="0" w:line="99" w:lineRule="exact"/>
        <w:rPr>
          <w:sz w:val="20"/>
          <w:szCs w:val="20"/>
          <w:color w:val="auto"/>
        </w:rPr>
      </w:pPr>
    </w:p>
    <w:p>
      <w:pPr>
        <w:ind w:left="120" w:right="280"/>
        <w:spacing w:after="0" w:line="324" w:lineRule="auto"/>
        <w:rPr>
          <w:sz w:val="20"/>
          <w:szCs w:val="20"/>
          <w:color w:val="auto"/>
        </w:rPr>
      </w:pPr>
      <w:r>
        <w:rPr>
          <w:rFonts w:ascii="Arial" w:cs="Arial" w:eastAsia="Arial" w:hAnsi="Arial"/>
          <w:sz w:val="17"/>
          <w:szCs w:val="17"/>
          <w:color w:val="auto"/>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45</w:t>
      </w:r>
    </w:p>
    <w:p>
      <w:pPr>
        <w:sectPr>
          <w:pgSz w:w="12240" w:h="15840" w:orient="portrait"/>
          <w:cols w:equalWidth="0" w:num="1">
            <w:col w:w="9360"/>
          </w:cols>
          <w:pgMar w:left="1440" w:top="1440" w:right="1440" w:bottom="610" w:gutter="0" w:footer="0" w:header="0"/>
          <w:type w:val="continuous"/>
        </w:sectPr>
      </w:pPr>
    </w:p>
    <w:bookmarkStart w:id="52" w:name="page53"/>
    <w:bookmarkEnd w:id="52"/>
    <w:p>
      <w:pPr>
        <w:spacing w:after="0" w:line="354" w:lineRule="exact"/>
        <w:rPr>
          <w:sz w:val="20"/>
          <w:szCs w:val="20"/>
          <w:color w:val="auto"/>
        </w:rPr>
      </w:pPr>
    </w:p>
    <w:p>
      <w:pPr>
        <w:ind w:left="120" w:right="540"/>
        <w:spacing w:after="0" w:line="324" w:lineRule="auto"/>
        <w:rPr>
          <w:sz w:val="20"/>
          <w:szCs w:val="20"/>
          <w:color w:val="auto"/>
        </w:rPr>
      </w:pPr>
      <w:r>
        <w:rPr>
          <w:rFonts w:ascii="Arial" w:cs="Arial" w:eastAsia="Arial" w:hAnsi="Arial"/>
          <w:sz w:val="19"/>
          <w:szCs w:val="19"/>
          <w:b w:val="1"/>
          <w:bCs w:val="1"/>
          <w:color w:val="auto"/>
        </w:rPr>
        <w:t>We depend on our key personnel and other highly qualified personnel, and if we are unable to recruit, train and retain our personnel, we may not achieve our goals.</w:t>
      </w:r>
    </w:p>
    <w:p>
      <w:pPr>
        <w:spacing w:after="0" w:line="101" w:lineRule="exact"/>
        <w:rPr>
          <w:sz w:val="20"/>
          <w:szCs w:val="20"/>
          <w:color w:val="auto"/>
        </w:rPr>
      </w:pPr>
    </w:p>
    <w:p>
      <w:pPr>
        <w:ind w:left="120" w:right="300"/>
        <w:spacing w:after="0" w:line="298" w:lineRule="auto"/>
        <w:rPr>
          <w:sz w:val="20"/>
          <w:szCs w:val="20"/>
          <w:color w:val="auto"/>
        </w:rPr>
      </w:pPr>
      <w:r>
        <w:rPr>
          <w:rFonts w:ascii="Arial" w:cs="Arial" w:eastAsia="Arial" w:hAnsi="Arial"/>
          <w:sz w:val="19"/>
          <w:szCs w:val="19"/>
          <w:color w:val="auto"/>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spacing w:after="0" w:line="126" w:lineRule="exact"/>
        <w:rPr>
          <w:sz w:val="20"/>
          <w:szCs w:val="20"/>
          <w:color w:val="auto"/>
        </w:rPr>
      </w:pPr>
    </w:p>
    <w:p>
      <w:pPr>
        <w:ind w:left="120" w:right="280"/>
        <w:spacing w:after="0" w:line="305" w:lineRule="auto"/>
        <w:rPr>
          <w:sz w:val="20"/>
          <w:szCs w:val="20"/>
          <w:color w:val="auto"/>
        </w:rPr>
      </w:pPr>
      <w:r>
        <w:rPr>
          <w:rFonts w:ascii="Arial" w:cs="Arial" w:eastAsia="Arial" w:hAnsi="Arial"/>
          <w:sz w:val="19"/>
          <w:szCs w:val="19"/>
          <w:color w:val="auto"/>
        </w:rPr>
        <w:t>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spacing w:after="0" w:line="116" w:lineRule="exact"/>
        <w:rPr>
          <w:sz w:val="20"/>
          <w:szCs w:val="20"/>
          <w:color w:val="auto"/>
        </w:rPr>
      </w:pPr>
    </w:p>
    <w:p>
      <w:pPr>
        <w:ind w:left="120" w:right="280"/>
        <w:spacing w:after="0" w:line="306" w:lineRule="auto"/>
        <w:rPr>
          <w:sz w:val="20"/>
          <w:szCs w:val="20"/>
          <w:color w:val="auto"/>
        </w:rPr>
      </w:pPr>
      <w:r>
        <w:rPr>
          <w:rFonts w:ascii="Arial" w:cs="Arial" w:eastAsia="Arial" w:hAnsi="Arial"/>
          <w:sz w:val="18"/>
          <w:szCs w:val="18"/>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22" w:lineRule="exact"/>
        <w:rPr>
          <w:sz w:val="20"/>
          <w:szCs w:val="20"/>
          <w:color w:val="auto"/>
        </w:rPr>
      </w:pPr>
    </w:p>
    <w:p>
      <w:pPr>
        <w:ind w:left="120" w:right="300"/>
        <w:spacing w:after="0" w:line="326" w:lineRule="auto"/>
        <w:rPr>
          <w:sz w:val="20"/>
          <w:szCs w:val="20"/>
          <w:color w:val="auto"/>
        </w:rPr>
      </w:pPr>
      <w:r>
        <w:rPr>
          <w:rFonts w:ascii="Arial" w:cs="Arial" w:eastAsia="Arial" w:hAnsi="Arial"/>
          <w:sz w:val="17"/>
          <w:szCs w:val="17"/>
          <w:color w:val="auto"/>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spacing w:after="0" w:line="106" w:lineRule="exact"/>
        <w:rPr>
          <w:sz w:val="20"/>
          <w:szCs w:val="20"/>
          <w:color w:val="auto"/>
        </w:rPr>
      </w:pPr>
    </w:p>
    <w:p>
      <w:pPr>
        <w:ind w:left="120" w:right="440"/>
        <w:spacing w:after="0" w:line="296" w:lineRule="auto"/>
        <w:rPr>
          <w:sz w:val="20"/>
          <w:szCs w:val="20"/>
          <w:color w:val="auto"/>
        </w:rPr>
      </w:pPr>
      <w:r>
        <w:rPr>
          <w:rFonts w:ascii="Arial" w:cs="Arial" w:eastAsia="Arial" w:hAnsi="Arial"/>
          <w:sz w:val="19"/>
          <w:szCs w:val="19"/>
          <w:color w:val="auto"/>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46</w:t>
      </w:r>
    </w:p>
    <w:p>
      <w:pPr>
        <w:sectPr>
          <w:pgSz w:w="12240" w:h="15840" w:orient="portrait"/>
          <w:cols w:equalWidth="0" w:num="1">
            <w:col w:w="9360"/>
          </w:cols>
          <w:pgMar w:left="1440" w:top="1440" w:right="1440" w:bottom="610" w:gutter="0" w:footer="0" w:header="0"/>
          <w:type w:val="continuous"/>
        </w:sectPr>
      </w:pPr>
    </w:p>
    <w:bookmarkStart w:id="53" w:name="page54"/>
    <w:bookmarkEnd w:id="53"/>
    <w:p>
      <w:pPr>
        <w:spacing w:after="0" w:line="354" w:lineRule="exact"/>
        <w:rPr>
          <w:sz w:val="20"/>
          <w:szCs w:val="20"/>
          <w:color w:val="auto"/>
        </w:rPr>
      </w:pPr>
    </w:p>
    <w:p>
      <w:pPr>
        <w:ind w:left="120" w:right="640"/>
        <w:spacing w:after="0" w:line="324" w:lineRule="auto"/>
        <w:rPr>
          <w:sz w:val="20"/>
          <w:szCs w:val="20"/>
          <w:color w:val="auto"/>
        </w:rPr>
      </w:pPr>
      <w:r>
        <w:rPr>
          <w:rFonts w:ascii="Arial" w:cs="Arial" w:eastAsia="Arial" w:hAnsi="Arial"/>
          <w:sz w:val="19"/>
          <w:szCs w:val="19"/>
          <w:b w:val="1"/>
          <w:bCs w:val="1"/>
          <w:color w:val="auto"/>
        </w:rPr>
        <w:t>We expect to be dependent upon revenue generated from the sale of the Proteograph Product Suite and related services for the foreseeable future.</w:t>
      </w:r>
    </w:p>
    <w:p>
      <w:pPr>
        <w:spacing w:after="0" w:line="101" w:lineRule="exact"/>
        <w:rPr>
          <w:sz w:val="20"/>
          <w:szCs w:val="20"/>
          <w:color w:val="auto"/>
        </w:rPr>
      </w:pPr>
    </w:p>
    <w:p>
      <w:pPr>
        <w:ind w:left="120" w:right="260"/>
        <w:spacing w:after="0" w:line="326" w:lineRule="auto"/>
        <w:rPr>
          <w:sz w:val="20"/>
          <w:szCs w:val="20"/>
          <w:color w:val="auto"/>
        </w:rPr>
      </w:pPr>
      <w:r>
        <w:rPr>
          <w:rFonts w:ascii="Arial" w:cs="Arial" w:eastAsia="Arial" w:hAnsi="Arial"/>
          <w:sz w:val="17"/>
          <w:szCs w:val="17"/>
          <w:color w:val="auto"/>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12" w:lineRule="exact"/>
        <w:rPr>
          <w:sz w:val="20"/>
          <w:szCs w:val="20"/>
          <w:color w:val="auto"/>
        </w:rPr>
      </w:pPr>
    </w:p>
    <w:p>
      <w:pPr>
        <w:ind w:left="120" w:right="340"/>
        <w:spacing w:after="0" w:line="293" w:lineRule="auto"/>
        <w:rPr>
          <w:sz w:val="20"/>
          <w:szCs w:val="20"/>
          <w:color w:val="auto"/>
        </w:rPr>
      </w:pPr>
      <w:r>
        <w:rPr>
          <w:rFonts w:ascii="Arial" w:cs="Arial" w:eastAsia="Arial" w:hAnsi="Arial"/>
          <w:sz w:val="19"/>
          <w:szCs w:val="19"/>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Our sales have been concentrated in a small number of customers.</w:t>
      </w:r>
    </w:p>
    <w:p>
      <w:pPr>
        <w:spacing w:after="0" w:line="211" w:lineRule="exact"/>
        <w:rPr>
          <w:sz w:val="20"/>
          <w:szCs w:val="20"/>
          <w:color w:val="auto"/>
        </w:rPr>
      </w:pPr>
    </w:p>
    <w:p>
      <w:pPr>
        <w:ind w:left="120" w:right="260"/>
        <w:spacing w:after="0" w:line="291" w:lineRule="auto"/>
        <w:rPr>
          <w:sz w:val="20"/>
          <w:szCs w:val="20"/>
          <w:color w:val="auto"/>
        </w:rPr>
      </w:pPr>
      <w:r>
        <w:rPr>
          <w:rFonts w:ascii="Arial" w:cs="Arial" w:eastAsia="Arial" w:hAnsi="Arial"/>
          <w:sz w:val="19"/>
          <w:szCs w:val="19"/>
          <w:color w:val="auto"/>
        </w:rPr>
        <w:t>We are in the early stages of our commercialization plan and our revenues have been concentrated in a relatively small number of customers, including a related party, PrognomiQ. For the years ended December 31, 2024 and 2023, PrognomiQ accounted for 17% and 28% of our revenue, respectively.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 Revenue and Deferred Revenue and Note 11 - Related Party Transactions to our notes to financial statements included in Part I, Item 1, herein for further information regarding our relationship with PrognomiQ.</w:t>
      </w:r>
    </w:p>
    <w:p>
      <w:pPr>
        <w:spacing w:after="0" w:line="134" w:lineRule="exact"/>
        <w:rPr>
          <w:sz w:val="20"/>
          <w:szCs w:val="20"/>
          <w:color w:val="auto"/>
        </w:rPr>
      </w:pPr>
    </w:p>
    <w:p>
      <w:pPr>
        <w:ind w:left="120" w:right="280"/>
        <w:spacing w:after="0" w:line="298" w:lineRule="auto"/>
        <w:rPr>
          <w:sz w:val="20"/>
          <w:szCs w:val="20"/>
          <w:color w:val="auto"/>
        </w:rPr>
      </w:pPr>
      <w:r>
        <w:rPr>
          <w:rFonts w:ascii="Arial" w:cs="Arial" w:eastAsia="Arial" w:hAnsi="Arial"/>
          <w:sz w:val="19"/>
          <w:szCs w:val="19"/>
          <w:b w:val="1"/>
          <w:bCs w:val="1"/>
          <w:color w:val="auto"/>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6" w:lineRule="exact"/>
        <w:rPr>
          <w:sz w:val="20"/>
          <w:szCs w:val="20"/>
          <w:color w:val="auto"/>
        </w:rPr>
      </w:pPr>
    </w:p>
    <w:p>
      <w:pPr>
        <w:ind w:left="120" w:right="340"/>
        <w:spacing w:after="0" w:line="295" w:lineRule="auto"/>
        <w:rPr>
          <w:sz w:val="20"/>
          <w:szCs w:val="20"/>
          <w:color w:val="auto"/>
        </w:rPr>
      </w:pPr>
      <w:r>
        <w:rPr>
          <w:rFonts w:ascii="Arial" w:cs="Arial" w:eastAsia="Arial" w:hAnsi="Arial"/>
          <w:sz w:val="19"/>
          <w:szCs w:val="19"/>
          <w:color w:val="auto"/>
        </w:rPr>
        <w:t>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w:t>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decreases in government funding of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460"/>
        <w:spacing w:after="0" w:line="305" w:lineRule="auto"/>
        <w:rPr>
          <w:sz w:val="20"/>
          <w:szCs w:val="20"/>
          <w:color w:val="auto"/>
        </w:rPr>
      </w:pPr>
      <w:r>
        <w:rPr>
          <w:rFonts w:ascii="Arial" w:cs="Arial" w:eastAsia="Arial" w:hAnsi="Arial"/>
          <w:sz w:val="19"/>
          <w:szCs w:val="19"/>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-472440</wp:posOffset>
            </wp:positionV>
            <wp:extent cx="67945" cy="679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47</w:t>
      </w:r>
    </w:p>
    <w:p>
      <w:pPr>
        <w:sectPr>
          <w:pgSz w:w="12240" w:h="15840" w:orient="portrait"/>
          <w:cols w:equalWidth="0" w:num="1">
            <w:col w:w="9360"/>
          </w:cols>
          <w:pgMar w:left="1440" w:top="1440" w:right="1440" w:bottom="610" w:gutter="0" w:footer="0" w:header="0"/>
          <w:type w:val="continuous"/>
        </w:sectPr>
      </w:pPr>
    </w:p>
    <w:bookmarkStart w:id="54" w:name="page55"/>
    <w:bookmarkEnd w:id="54"/>
    <w:p>
      <w:pPr>
        <w:spacing w:after="0" w:line="353" w:lineRule="exact"/>
        <w:rPr>
          <w:sz w:val="20"/>
          <w:szCs w:val="20"/>
          <w:color w:val="auto"/>
        </w:rPr>
      </w:pPr>
    </w:p>
    <w:p>
      <w:pPr>
        <w:ind w:left="800" w:right="400"/>
        <w:spacing w:after="0" w:line="326" w:lineRule="auto"/>
        <w:rPr>
          <w:sz w:val="20"/>
          <w:szCs w:val="20"/>
          <w:color w:val="auto"/>
        </w:rPr>
      </w:pPr>
      <w:r>
        <w:rPr>
          <w:rFonts w:ascii="Arial" w:cs="Arial" w:eastAsia="Arial" w:hAnsi="Arial"/>
          <w:sz w:val="19"/>
          <w:szCs w:val="19"/>
          <w:color w:val="auto"/>
        </w:rPr>
        <w:t>changes in strategy and funding by commercial companies in their efforts around therapeutic and diagnostic product development and their adoption and use of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macroeconomic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900"/>
        <w:spacing w:after="0" w:line="324" w:lineRule="auto"/>
        <w:rPr>
          <w:sz w:val="20"/>
          <w:szCs w:val="20"/>
          <w:color w:val="auto"/>
        </w:rPr>
      </w:pPr>
      <w:r>
        <w:rPr>
          <w:rFonts w:ascii="Arial" w:cs="Arial" w:eastAsia="Arial" w:hAnsi="Arial"/>
          <w:sz w:val="19"/>
          <w:szCs w:val="19"/>
          <w:color w:val="auto"/>
        </w:rPr>
        <w:t>opinions in the scientific community, including researchers’ opinions of the utility of the Proteograph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citation of the Proteograph Product Suite in published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potential changes in the regulatory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780"/>
        <w:spacing w:after="0" w:line="324" w:lineRule="auto"/>
        <w:rPr>
          <w:sz w:val="20"/>
          <w:szCs w:val="20"/>
          <w:color w:val="auto"/>
        </w:rPr>
      </w:pPr>
      <w:r>
        <w:rPr>
          <w:rFonts w:ascii="Arial" w:cs="Arial" w:eastAsia="Arial" w:hAnsi="Arial"/>
          <w:sz w:val="19"/>
          <w:szCs w:val="19"/>
          <w:color w:val="auto"/>
        </w:rPr>
        <w:t>differences in budgetary cycles, especially government- or grant-funded customers, whose cycles often coincide with government fiscal year 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competitor product or service offerings or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market-driven pressures to consolidate operations and reduce costs;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market acceptance of relatively new technologies, such as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1" w:lineRule="exact"/>
        <w:rPr>
          <w:sz w:val="20"/>
          <w:szCs w:val="20"/>
          <w:color w:val="auto"/>
        </w:rPr>
      </w:pPr>
    </w:p>
    <w:p>
      <w:pPr>
        <w:ind w:left="120" w:right="300"/>
        <w:spacing w:after="0" w:line="325" w:lineRule="auto"/>
        <w:rPr>
          <w:sz w:val="20"/>
          <w:szCs w:val="20"/>
          <w:color w:val="auto"/>
        </w:rPr>
      </w:pPr>
      <w:r>
        <w:rPr>
          <w:rFonts w:ascii="Arial" w:cs="Arial" w:eastAsia="Arial" w:hAnsi="Arial"/>
          <w:sz w:val="17"/>
          <w:szCs w:val="17"/>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Recently, budget cuts and layoffs at various federal agencies and programs, including at the National Institute of Health (NIH), have created uncertainty and budget cuts at various research organizations and institutes that rely on NIH funding.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10" w:lineRule="exact"/>
        <w:rPr>
          <w:sz w:val="20"/>
          <w:szCs w:val="20"/>
          <w:color w:val="auto"/>
        </w:rPr>
      </w:pPr>
    </w:p>
    <w:p>
      <w:pPr>
        <w:ind w:left="120" w:right="320"/>
        <w:spacing w:after="0" w:line="298" w:lineRule="auto"/>
        <w:rPr>
          <w:sz w:val="20"/>
          <w:szCs w:val="20"/>
          <w:color w:val="auto"/>
        </w:rPr>
      </w:pPr>
      <w:r>
        <w:rPr>
          <w:rFonts w:ascii="Arial" w:cs="Arial" w:eastAsia="Arial" w:hAnsi="Arial"/>
          <w:sz w:val="19"/>
          <w:szCs w:val="19"/>
          <w:b w:val="1"/>
          <w:bCs w:val="1"/>
          <w:color w:val="auto"/>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24" w:lineRule="exact"/>
        <w:rPr>
          <w:sz w:val="20"/>
          <w:szCs w:val="20"/>
          <w:color w:val="auto"/>
        </w:rPr>
      </w:pPr>
    </w:p>
    <w:p>
      <w:pPr>
        <w:ind w:left="120" w:right="280"/>
        <w:spacing w:after="0" w:line="291" w:lineRule="auto"/>
        <w:rPr>
          <w:sz w:val="20"/>
          <w:szCs w:val="20"/>
          <w:color w:val="auto"/>
        </w:rPr>
      </w:pPr>
      <w:r>
        <w:rPr>
          <w:rFonts w:ascii="Arial" w:cs="Arial" w:eastAsia="Arial" w:hAnsi="Arial"/>
          <w:sz w:val="19"/>
          <w:szCs w:val="19"/>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our business and commercialization efforts would be harmed.</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48</w:t>
      </w:r>
    </w:p>
    <w:p>
      <w:pPr>
        <w:sectPr>
          <w:pgSz w:w="12240" w:h="15840" w:orient="portrait"/>
          <w:cols w:equalWidth="0" w:num="1">
            <w:col w:w="9360"/>
          </w:cols>
          <w:pgMar w:left="1440" w:top="1440" w:right="1440" w:bottom="610" w:gutter="0" w:footer="0" w:header="0"/>
          <w:type w:val="continuous"/>
        </w:sectPr>
      </w:pPr>
    </w:p>
    <w:bookmarkStart w:id="55" w:name="page56"/>
    <w:bookmarkEnd w:id="55"/>
    <w:p>
      <w:pPr>
        <w:spacing w:after="0" w:line="352" w:lineRule="exact"/>
        <w:rPr>
          <w:sz w:val="20"/>
          <w:szCs w:val="20"/>
          <w:color w:val="auto"/>
        </w:rPr>
      </w:pPr>
    </w:p>
    <w:p>
      <w:pPr>
        <w:ind w:left="120" w:right="460"/>
        <w:spacing w:after="0" w:line="293" w:lineRule="auto"/>
        <w:rPr>
          <w:sz w:val="20"/>
          <w:szCs w:val="20"/>
          <w:color w:val="auto"/>
        </w:rPr>
      </w:pPr>
      <w:r>
        <w:rPr>
          <w:rFonts w:ascii="Arial" w:cs="Arial" w:eastAsia="Arial" w:hAnsi="Arial"/>
          <w:sz w:val="19"/>
          <w:szCs w:val="19"/>
          <w:color w:val="auto"/>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spacing w:after="0" w:line="133" w:lineRule="exact"/>
        <w:rPr>
          <w:sz w:val="20"/>
          <w:szCs w:val="20"/>
          <w:color w:val="auto"/>
        </w:rPr>
      </w:pPr>
    </w:p>
    <w:p>
      <w:pPr>
        <w:ind w:left="120" w:right="440"/>
        <w:spacing w:after="0" w:line="337" w:lineRule="auto"/>
        <w:rPr>
          <w:sz w:val="20"/>
          <w:szCs w:val="20"/>
          <w:color w:val="auto"/>
        </w:rPr>
      </w:pPr>
      <w:r>
        <w:rPr>
          <w:rFonts w:ascii="Arial" w:cs="Arial" w:eastAsia="Arial" w:hAnsi="Arial"/>
          <w:sz w:val="17"/>
          <w:szCs w:val="17"/>
          <w:color w:val="auto"/>
        </w:rPr>
        <w:t>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w:t>
      </w:r>
    </w:p>
    <w:p>
      <w:pPr>
        <w:spacing w:after="0" w:line="102" w:lineRule="exact"/>
        <w:rPr>
          <w:sz w:val="20"/>
          <w:szCs w:val="20"/>
          <w:color w:val="auto"/>
        </w:rPr>
      </w:pPr>
    </w:p>
    <w:p>
      <w:pPr>
        <w:ind w:left="120" w:right="460"/>
        <w:spacing w:after="0" w:line="354" w:lineRule="auto"/>
        <w:rPr>
          <w:sz w:val="20"/>
          <w:szCs w:val="20"/>
          <w:color w:val="auto"/>
        </w:rPr>
      </w:pPr>
      <w:r>
        <w:rPr>
          <w:rFonts w:ascii="Arial" w:cs="Arial" w:eastAsia="Arial" w:hAnsi="Arial"/>
          <w:sz w:val="17"/>
          <w:szCs w:val="17"/>
          <w:b w:val="1"/>
          <w:b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82" w:lineRule="exact"/>
        <w:rPr>
          <w:sz w:val="20"/>
          <w:szCs w:val="20"/>
          <w:color w:val="auto"/>
        </w:rPr>
      </w:pPr>
    </w:p>
    <w:p>
      <w:pPr>
        <w:ind w:left="120" w:right="320"/>
        <w:spacing w:after="0" w:line="309" w:lineRule="auto"/>
        <w:rPr>
          <w:sz w:val="20"/>
          <w:szCs w:val="20"/>
          <w:color w:val="auto"/>
        </w:rPr>
      </w:pPr>
      <w:r>
        <w:rPr>
          <w:rFonts w:ascii="Arial" w:cs="Arial" w:eastAsia="Arial" w:hAnsi="Arial"/>
          <w:sz w:val="18"/>
          <w:szCs w:val="18"/>
          <w:color w:val="auto"/>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22" w:lineRule="exact"/>
        <w:rPr>
          <w:sz w:val="20"/>
          <w:szCs w:val="20"/>
          <w:color w:val="auto"/>
        </w:rPr>
      </w:pPr>
    </w:p>
    <w:p>
      <w:pPr>
        <w:ind w:left="120" w:right="280"/>
        <w:spacing w:after="0" w:line="308" w:lineRule="auto"/>
        <w:rPr>
          <w:sz w:val="20"/>
          <w:szCs w:val="20"/>
          <w:color w:val="auto"/>
        </w:rPr>
      </w:pPr>
      <w:r>
        <w:rPr>
          <w:rFonts w:ascii="Arial" w:cs="Arial" w:eastAsia="Arial" w:hAnsi="Arial"/>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49</w:t>
      </w:r>
    </w:p>
    <w:p>
      <w:pPr>
        <w:sectPr>
          <w:pgSz w:w="12240" w:h="15840" w:orient="portrait"/>
          <w:cols w:equalWidth="0" w:num="1">
            <w:col w:w="9360"/>
          </w:cols>
          <w:pgMar w:left="1440" w:top="1440" w:right="1440" w:bottom="610" w:gutter="0" w:footer="0" w:header="0"/>
          <w:type w:val="continuous"/>
        </w:sectPr>
      </w:pPr>
    </w:p>
    <w:bookmarkStart w:id="56" w:name="page57"/>
    <w:bookmarkEnd w:id="56"/>
    <w:p>
      <w:pPr>
        <w:spacing w:after="0" w:line="352" w:lineRule="exact"/>
        <w:rPr>
          <w:sz w:val="20"/>
          <w:szCs w:val="20"/>
          <w:color w:val="auto"/>
        </w:rPr>
      </w:pPr>
    </w:p>
    <w:p>
      <w:pPr>
        <w:ind w:left="120" w:right="300"/>
        <w:spacing w:after="0" w:line="324" w:lineRule="auto"/>
        <w:rPr>
          <w:sz w:val="20"/>
          <w:szCs w:val="20"/>
          <w:color w:val="auto"/>
        </w:rPr>
      </w:pPr>
      <w:r>
        <w:rPr>
          <w:rFonts w:ascii="Arial" w:cs="Arial" w:eastAsia="Arial" w:hAnsi="Arial"/>
          <w:sz w:val="17"/>
          <w:szCs w:val="17"/>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w:t>
      </w:r>
    </w:p>
    <w:p>
      <w:pPr>
        <w:spacing w:after="0" w:line="117" w:lineRule="exact"/>
        <w:rPr>
          <w:sz w:val="20"/>
          <w:szCs w:val="20"/>
          <w:color w:val="auto"/>
        </w:rPr>
      </w:pPr>
    </w:p>
    <w:p>
      <w:pPr>
        <w:ind w:left="120" w:right="260"/>
        <w:spacing w:after="0" w:line="312" w:lineRule="auto"/>
        <w:rPr>
          <w:sz w:val="20"/>
          <w:szCs w:val="20"/>
          <w:color w:val="auto"/>
        </w:rPr>
      </w:pPr>
      <w:r>
        <w:rPr>
          <w:rFonts w:ascii="Arial" w:cs="Arial" w:eastAsia="Arial" w:hAnsi="Arial"/>
          <w:sz w:val="18"/>
          <w:szCs w:val="18"/>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19" w:lineRule="exact"/>
        <w:rPr>
          <w:sz w:val="20"/>
          <w:szCs w:val="20"/>
          <w:color w:val="auto"/>
        </w:rPr>
      </w:pPr>
    </w:p>
    <w:p>
      <w:pPr>
        <w:ind w:left="120" w:right="360"/>
        <w:spacing w:after="0" w:line="305" w:lineRule="auto"/>
        <w:rPr>
          <w:sz w:val="20"/>
          <w:szCs w:val="20"/>
          <w:color w:val="auto"/>
        </w:rPr>
      </w:pPr>
      <w:r>
        <w:rPr>
          <w:rFonts w:ascii="Arial" w:cs="Arial" w:eastAsia="Arial" w:hAnsi="Arial"/>
          <w:sz w:val="19"/>
          <w:szCs w:val="19"/>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18" w:lineRule="exact"/>
        <w:rPr>
          <w:sz w:val="20"/>
          <w:szCs w:val="20"/>
          <w:color w:val="auto"/>
        </w:rPr>
      </w:pPr>
    </w:p>
    <w:p>
      <w:pPr>
        <w:ind w:left="120" w:right="580"/>
        <w:spacing w:after="0" w:line="304" w:lineRule="auto"/>
        <w:rPr>
          <w:sz w:val="20"/>
          <w:szCs w:val="20"/>
          <w:color w:val="auto"/>
        </w:rPr>
      </w:pPr>
      <w:r>
        <w:rPr>
          <w:rFonts w:ascii="Arial" w:cs="Arial" w:eastAsia="Arial" w:hAnsi="Arial"/>
          <w:sz w:val="19"/>
          <w:szCs w:val="19"/>
          <w:b w:val="1"/>
          <w:bCs w:val="1"/>
          <w:color w:val="auto"/>
        </w:rPr>
        <w:t>Our products could have defects or errors, which may give rise to claims against us, adversely affect market adoption of the Proteograph Product Suite, damage our reputation, and adversely affect our business, financial condition, and results of operations.</w:t>
      </w:r>
    </w:p>
    <w:p>
      <w:pPr>
        <w:spacing w:after="0" w:line="120" w:lineRule="exact"/>
        <w:rPr>
          <w:sz w:val="20"/>
          <w:szCs w:val="20"/>
          <w:color w:val="auto"/>
        </w:rPr>
      </w:pPr>
    </w:p>
    <w:p>
      <w:pPr>
        <w:ind w:left="120" w:right="340"/>
        <w:spacing w:after="0" w:line="293" w:lineRule="auto"/>
        <w:rPr>
          <w:sz w:val="20"/>
          <w:szCs w:val="20"/>
          <w:color w:val="auto"/>
        </w:rPr>
      </w:pPr>
      <w:r>
        <w:rPr>
          <w:rFonts w:ascii="Arial" w:cs="Arial" w:eastAsia="Arial" w:hAnsi="Arial"/>
          <w:sz w:val="19"/>
          <w:szCs w:val="19"/>
          <w:color w:val="auto"/>
        </w:rPr>
        <w:t>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31" w:lineRule="exact"/>
        <w:rPr>
          <w:sz w:val="20"/>
          <w:szCs w:val="20"/>
          <w:color w:val="auto"/>
        </w:rPr>
      </w:pPr>
    </w:p>
    <w:p>
      <w:pPr>
        <w:ind w:left="120" w:right="320"/>
        <w:spacing w:after="0" w:line="293" w:lineRule="auto"/>
        <w:rPr>
          <w:sz w:val="20"/>
          <w:szCs w:val="20"/>
          <w:color w:val="auto"/>
        </w:rPr>
      </w:pPr>
      <w:r>
        <w:rPr>
          <w:rFonts w:ascii="Arial" w:cs="Arial" w:eastAsia="Arial" w:hAnsi="Arial"/>
          <w:sz w:val="19"/>
          <w:szCs w:val="19"/>
          <w:color w:val="auto"/>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50</w:t>
      </w:r>
    </w:p>
    <w:p>
      <w:pPr>
        <w:sectPr>
          <w:pgSz w:w="12240" w:h="15840" w:orient="portrait"/>
          <w:cols w:equalWidth="0" w:num="1">
            <w:col w:w="9360"/>
          </w:cols>
          <w:pgMar w:left="1440" w:top="1440" w:right="1440" w:bottom="610" w:gutter="0" w:footer="0" w:header="0"/>
          <w:type w:val="continuous"/>
        </w:sectPr>
      </w:pPr>
    </w:p>
    <w:bookmarkStart w:id="57" w:name="page58"/>
    <w:bookmarkEnd w:id="57"/>
    <w:p>
      <w:pPr>
        <w:spacing w:after="0" w:line="35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If the Proteograph Product Suite contains defects, we may experience:</w:t>
      </w:r>
    </w:p>
    <w:p>
      <w:pPr>
        <w:spacing w:after="0" w:line="215" w:lineRule="exact"/>
        <w:rPr>
          <w:sz w:val="20"/>
          <w:szCs w:val="20"/>
          <w:color w:val="auto"/>
        </w:rPr>
      </w:pPr>
    </w:p>
    <w:p>
      <w:pPr>
        <w:ind w:left="800" w:right="620"/>
        <w:spacing w:after="0" w:line="324" w:lineRule="auto"/>
        <w:rPr>
          <w:sz w:val="20"/>
          <w:szCs w:val="20"/>
          <w:color w:val="auto"/>
        </w:rPr>
      </w:pPr>
      <w:r>
        <w:rPr>
          <w:rFonts w:ascii="Arial" w:cs="Arial" w:eastAsia="Arial" w:hAnsi="Arial"/>
          <w:sz w:val="19"/>
          <w:szCs w:val="19"/>
          <w:color w:val="auto"/>
        </w:rPr>
        <w:t>a failure to achieve market acceptance for the Proteograph or expansion of the Proteograph Product Suite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loss of customer orders and delay in order fulfillment;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damage to our brand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increased warranty and customer service and support costs due to product repair or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product recalls or replacements;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inability to attract new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640"/>
        <w:spacing w:after="0" w:line="324" w:lineRule="auto"/>
        <w:rPr>
          <w:sz w:val="20"/>
          <w:szCs w:val="20"/>
          <w:color w:val="auto"/>
        </w:rPr>
      </w:pPr>
      <w:r>
        <w:rPr>
          <w:rFonts w:ascii="Arial" w:cs="Arial" w:eastAsia="Arial" w:hAnsi="Arial"/>
          <w:sz w:val="19"/>
          <w:szCs w:val="19"/>
          <w:color w:val="auto"/>
        </w:rPr>
        <w:t>diversion of resources from our manufacturing and research and development departments to our service department;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800" w:right="420"/>
        <w:spacing w:after="0" w:line="358" w:lineRule="auto"/>
        <w:rPr>
          <w:sz w:val="20"/>
          <w:szCs w:val="20"/>
          <w:color w:val="auto"/>
        </w:rPr>
      </w:pPr>
      <w:r>
        <w:rPr>
          <w:rFonts w:ascii="Arial" w:cs="Arial" w:eastAsia="Arial" w:hAnsi="Arial"/>
          <w:sz w:val="18"/>
          <w:szCs w:val="18"/>
          <w:color w:val="auto"/>
        </w:rPr>
        <w:t>legal claims against us, including product liability, hazardous material or environmental compliance claims, which could be costly and time consuming to defend and result in substantial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-335915</wp:posOffset>
            </wp:positionV>
            <wp:extent cx="67945" cy="679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53" w:lineRule="exact"/>
        <w:rPr>
          <w:sz w:val="20"/>
          <w:szCs w:val="20"/>
          <w:color w:val="auto"/>
        </w:rPr>
      </w:pPr>
    </w:p>
    <w:p>
      <w:pPr>
        <w:ind w:left="120" w:right="260"/>
        <w:spacing w:after="0" w:line="331" w:lineRule="auto"/>
        <w:rPr>
          <w:sz w:val="20"/>
          <w:szCs w:val="20"/>
          <w:color w:val="auto"/>
        </w:rPr>
      </w:pPr>
      <w:r>
        <w:rPr>
          <w:rFonts w:ascii="Arial" w:cs="Arial" w:eastAsia="Arial" w:hAnsi="Arial"/>
          <w:sz w:val="17"/>
          <w:szCs w:val="17"/>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107" w:lineRule="exact"/>
        <w:rPr>
          <w:sz w:val="20"/>
          <w:szCs w:val="20"/>
          <w:color w:val="auto"/>
        </w:rPr>
      </w:pPr>
    </w:p>
    <w:p>
      <w:pPr>
        <w:ind w:left="120" w:right="500"/>
        <w:spacing w:after="0" w:line="319" w:lineRule="auto"/>
        <w:rPr>
          <w:sz w:val="20"/>
          <w:szCs w:val="20"/>
          <w:color w:val="auto"/>
        </w:rPr>
      </w:pPr>
      <w:r>
        <w:rPr>
          <w:rFonts w:ascii="Arial" w:cs="Arial" w:eastAsia="Arial" w:hAnsi="Arial"/>
          <w:sz w:val="18"/>
          <w:szCs w:val="18"/>
          <w:b w:val="1"/>
          <w:bCs w:val="1"/>
          <w:color w:val="auto"/>
        </w:rPr>
        <w:t>We face potential risks related to using, handling, storing, importing, exporting, and transferring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spacing w:after="0" w:line="111" w:lineRule="exact"/>
        <w:rPr>
          <w:sz w:val="20"/>
          <w:szCs w:val="20"/>
          <w:color w:val="auto"/>
        </w:rPr>
      </w:pPr>
    </w:p>
    <w:p>
      <w:pPr>
        <w:ind w:left="120" w:right="280"/>
        <w:spacing w:after="0" w:line="326" w:lineRule="auto"/>
        <w:rPr>
          <w:sz w:val="20"/>
          <w:szCs w:val="20"/>
          <w:color w:val="auto"/>
        </w:rPr>
      </w:pPr>
      <w:r>
        <w:rPr>
          <w:rFonts w:ascii="Arial" w:cs="Arial" w:eastAsia="Arial" w:hAnsi="Arial"/>
          <w:sz w:val="17"/>
          <w:szCs w:val="17"/>
          <w:color w:val="auto"/>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51</w:t>
      </w:r>
    </w:p>
    <w:p>
      <w:pPr>
        <w:sectPr>
          <w:pgSz w:w="12240" w:h="15840" w:orient="portrait"/>
          <w:cols w:equalWidth="0" w:num="1">
            <w:col w:w="9360"/>
          </w:cols>
          <w:pgMar w:left="1440" w:top="1440" w:right="1440" w:bottom="610" w:gutter="0" w:footer="0" w:header="0"/>
          <w:type w:val="continuous"/>
        </w:sectPr>
      </w:pPr>
    </w:p>
    <w:bookmarkStart w:id="58" w:name="page59"/>
    <w:bookmarkEnd w:id="58"/>
    <w:p>
      <w:pPr>
        <w:spacing w:after="0" w:line="354" w:lineRule="exact"/>
        <w:rPr>
          <w:sz w:val="20"/>
          <w:szCs w:val="20"/>
          <w:color w:val="auto"/>
        </w:rPr>
      </w:pPr>
    </w:p>
    <w:p>
      <w:pPr>
        <w:ind w:left="120" w:right="340"/>
        <w:spacing w:after="0" w:line="305" w:lineRule="auto"/>
        <w:rPr>
          <w:sz w:val="20"/>
          <w:szCs w:val="20"/>
          <w:color w:val="auto"/>
        </w:rPr>
      </w:pPr>
      <w:r>
        <w:rPr>
          <w:rFonts w:ascii="Arial" w:cs="Arial" w:eastAsia="Arial" w:hAnsi="Arial"/>
          <w:sz w:val="19"/>
          <w:szCs w:val="19"/>
          <w:b w:val="1"/>
          <w:bCs w:val="1"/>
          <w:color w:val="auto"/>
        </w:rPr>
        <w:t>If we do not successfully deploy and implement enhancements of the Instrument Control Software and Proteograph Analysis Suite, our commercialization efforts and, therefore, business and results of operations could suffer.</w:t>
      </w:r>
    </w:p>
    <w:p>
      <w:pPr>
        <w:spacing w:after="0" w:line="117" w:lineRule="exact"/>
        <w:rPr>
          <w:sz w:val="20"/>
          <w:szCs w:val="20"/>
          <w:color w:val="auto"/>
        </w:rPr>
      </w:pPr>
    </w:p>
    <w:p>
      <w:pPr>
        <w:ind w:left="120" w:right="460"/>
        <w:spacing w:after="0" w:line="293" w:lineRule="auto"/>
        <w:rPr>
          <w:sz w:val="20"/>
          <w:szCs w:val="20"/>
          <w:color w:val="auto"/>
        </w:rPr>
      </w:pPr>
      <w:r>
        <w:rPr>
          <w:rFonts w:ascii="Arial" w:cs="Arial" w:eastAsia="Arial" w:hAnsi="Arial"/>
          <w:sz w:val="19"/>
          <w:szCs w:val="19"/>
          <w:color w:val="auto"/>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spacing w:after="0" w:line="133" w:lineRule="exact"/>
        <w:rPr>
          <w:sz w:val="20"/>
          <w:szCs w:val="20"/>
          <w:color w:val="auto"/>
        </w:rPr>
      </w:pPr>
    </w:p>
    <w:p>
      <w:pPr>
        <w:ind w:left="120" w:right="320"/>
        <w:spacing w:after="0" w:line="328" w:lineRule="auto"/>
        <w:rPr>
          <w:sz w:val="20"/>
          <w:szCs w:val="20"/>
          <w:color w:val="auto"/>
        </w:rPr>
      </w:pPr>
      <w:r>
        <w:rPr>
          <w:rFonts w:ascii="Arial" w:cs="Arial" w:eastAsia="Arial" w:hAnsi="Arial"/>
          <w:sz w:val="17"/>
          <w:szCs w:val="17"/>
          <w:color w:val="auto"/>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spacing w:after="0" w:line="110" w:lineRule="exact"/>
        <w:rPr>
          <w:sz w:val="20"/>
          <w:szCs w:val="20"/>
          <w:color w:val="auto"/>
        </w:rPr>
      </w:pPr>
    </w:p>
    <w:p>
      <w:pPr>
        <w:jc w:val="both"/>
        <w:ind w:left="120" w:right="400"/>
        <w:spacing w:after="0" w:line="304" w:lineRule="auto"/>
        <w:rPr>
          <w:sz w:val="20"/>
          <w:szCs w:val="20"/>
          <w:color w:val="auto"/>
        </w:rPr>
      </w:pPr>
      <w:r>
        <w:rPr>
          <w:rFonts w:ascii="Arial" w:cs="Arial" w:eastAsia="Arial" w:hAnsi="Arial"/>
          <w:sz w:val="19"/>
          <w:szCs w:val="19"/>
          <w:b w:val="1"/>
          <w:bCs w:val="1"/>
          <w:color w:val="auto"/>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9"/>
          <w:szCs w:val="19"/>
          <w:color w:val="auto"/>
        </w:rPr>
        <w:t>Engaging in international business inherently involves a number of difficulties and risks, including:</w:t>
      </w:r>
    </w:p>
    <w:p>
      <w:pPr>
        <w:spacing w:after="0" w:line="219" w:lineRule="exact"/>
        <w:rPr>
          <w:sz w:val="20"/>
          <w:szCs w:val="20"/>
          <w:color w:val="auto"/>
        </w:rPr>
      </w:pPr>
    </w:p>
    <w:p>
      <w:pPr>
        <w:ind w:left="800" w:right="300"/>
        <w:spacing w:after="0" w:line="293" w:lineRule="auto"/>
        <w:rPr>
          <w:sz w:val="20"/>
          <w:szCs w:val="20"/>
          <w:color w:val="auto"/>
        </w:rPr>
      </w:pPr>
      <w:r>
        <w:rPr>
          <w:rFonts w:ascii="Arial" w:cs="Arial" w:eastAsia="Arial" w:hAnsi="Arial"/>
          <w:sz w:val="19"/>
          <w:szCs w:val="19"/>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-959485</wp:posOffset>
            </wp:positionV>
            <wp:extent cx="67945" cy="679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27" w:lineRule="exact"/>
        <w:rPr>
          <w:sz w:val="20"/>
          <w:szCs w:val="20"/>
          <w:color w:val="auto"/>
        </w:rPr>
      </w:pPr>
    </w:p>
    <w:p>
      <w:pPr>
        <w:ind w:left="800" w:right="440"/>
        <w:spacing w:after="0" w:line="306" w:lineRule="auto"/>
        <w:rPr>
          <w:sz w:val="20"/>
          <w:szCs w:val="20"/>
          <w:color w:val="auto"/>
        </w:rPr>
      </w:pPr>
      <w:r>
        <w:rPr>
          <w:rFonts w:ascii="Arial" w:cs="Arial" w:eastAsia="Arial" w:hAnsi="Arial"/>
          <w:sz w:val="19"/>
          <w:szCs w:val="19"/>
          <w:color w:val="auto"/>
        </w:rPr>
        <w:t>required compliance with U.S. laws such as the U.S. Foreign Corrupt Practices Act (FCPA), and other U.S. federal laws and regulations, including with respect to not doing business with sanctioned parties, as prohibited by the office of Foreign Asset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-474345</wp:posOffset>
            </wp:positionV>
            <wp:extent cx="67945" cy="679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2" w:lineRule="exact"/>
        <w:rPr>
          <w:sz w:val="20"/>
          <w:szCs w:val="20"/>
          <w:color w:val="auto"/>
        </w:rPr>
      </w:pPr>
    </w:p>
    <w:p>
      <w:pPr>
        <w:ind w:left="800" w:right="400"/>
        <w:spacing w:after="0" w:line="324" w:lineRule="auto"/>
        <w:rPr>
          <w:sz w:val="20"/>
          <w:szCs w:val="20"/>
          <w:color w:val="auto"/>
        </w:rPr>
      </w:pPr>
      <w:r>
        <w:rPr>
          <w:rFonts w:ascii="Arial" w:cs="Arial" w:eastAsia="Arial" w:hAnsi="Arial"/>
          <w:sz w:val="19"/>
          <w:szCs w:val="19"/>
          <w:color w:val="auto"/>
        </w:rPr>
        <w:t>export requirements and import or trade restrictions, including, without limitation, with respect to biological samples, and trade retaliation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800" w:right="560"/>
        <w:spacing w:after="0" w:line="306" w:lineRule="auto"/>
        <w:rPr>
          <w:sz w:val="20"/>
          <w:szCs w:val="20"/>
          <w:color w:val="auto"/>
        </w:rPr>
      </w:pPr>
      <w:r>
        <w:rPr>
          <w:rFonts w:ascii="Arial" w:cs="Arial" w:eastAsia="Arial" w:hAnsi="Arial"/>
          <w:sz w:val="19"/>
          <w:szCs w:val="19"/>
          <w:color w:val="auto"/>
        </w:rPr>
        <w:t>restrictions on both inbound and outbound cross-border investment, including enhanced oversight by the Committee on Foreign Investment in the United States (CFIUS) and substantial restrictions on investment from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-474345</wp:posOffset>
            </wp:positionV>
            <wp:extent cx="67945" cy="679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laws and business practices favoring local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440"/>
        <w:spacing w:after="0" w:line="390" w:lineRule="auto"/>
        <w:rPr>
          <w:sz w:val="20"/>
          <w:szCs w:val="20"/>
          <w:color w:val="auto"/>
        </w:rPr>
      </w:pPr>
      <w:r>
        <w:rPr>
          <w:rFonts w:ascii="Arial" w:cs="Arial" w:eastAsia="Arial" w:hAnsi="Arial"/>
          <w:sz w:val="17"/>
          <w:szCs w:val="17"/>
          <w:color w:val="auto"/>
        </w:rPr>
        <w:t>risks associated with transactions or payments denominated in foreign currency, longer payment cycles and difficulties in enforcing agreements and collecting receivables through certain foreign legal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-346710</wp:posOffset>
            </wp:positionV>
            <wp:extent cx="67945" cy="679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52</w:t>
      </w:r>
    </w:p>
    <w:p>
      <w:pPr>
        <w:sectPr>
          <w:pgSz w:w="12240" w:h="15840" w:orient="portrait"/>
          <w:cols w:equalWidth="0" w:num="1">
            <w:col w:w="9360"/>
          </w:cols>
          <w:pgMar w:left="1440" w:top="1440" w:right="1440" w:bottom="610" w:gutter="0" w:footer="0" w:header="0"/>
          <w:type w:val="continuous"/>
        </w:sectPr>
      </w:pPr>
    </w:p>
    <w:bookmarkStart w:id="59" w:name="page60"/>
    <w:bookmarkEnd w:id="59"/>
    <w:p>
      <w:pPr>
        <w:spacing w:after="0" w:line="353" w:lineRule="exact"/>
        <w:rPr>
          <w:sz w:val="20"/>
          <w:szCs w:val="20"/>
          <w:color w:val="auto"/>
        </w:rPr>
      </w:pPr>
    </w:p>
    <w:p>
      <w:pPr>
        <w:ind w:left="800" w:right="460"/>
        <w:spacing w:after="0" w:line="344" w:lineRule="auto"/>
        <w:rPr>
          <w:sz w:val="20"/>
          <w:szCs w:val="20"/>
          <w:color w:val="auto"/>
        </w:rPr>
      </w:pPr>
      <w:r>
        <w:rPr>
          <w:rFonts w:ascii="Arial" w:cs="Arial" w:eastAsia="Arial" w:hAnsi="Arial"/>
          <w:sz w:val="17"/>
          <w:szCs w:val="17"/>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-655320</wp:posOffset>
            </wp:positionV>
            <wp:extent cx="67945" cy="679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86" w:lineRule="exact"/>
        <w:rPr>
          <w:sz w:val="20"/>
          <w:szCs w:val="20"/>
          <w:color w:val="auto"/>
        </w:rPr>
      </w:pPr>
    </w:p>
    <w:p>
      <w:pPr>
        <w:ind w:left="800" w:right="600"/>
        <w:spacing w:after="0" w:line="326" w:lineRule="auto"/>
        <w:rPr>
          <w:sz w:val="20"/>
          <w:szCs w:val="20"/>
          <w:color w:val="auto"/>
        </w:rPr>
      </w:pPr>
      <w:r>
        <w:rPr>
          <w:rFonts w:ascii="Arial" w:cs="Arial" w:eastAsia="Arial" w:hAnsi="Arial"/>
          <w:sz w:val="19"/>
          <w:szCs w:val="19"/>
          <w:color w:val="auto"/>
        </w:rPr>
        <w:t>potentially adverse tax consequences, tariffs, customs charges, bureaucratic requirements, and other trade barriers;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difficulties and costs of staffing and managing foreign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difficulties protecting, maintaining, enforcing or procuring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1" w:lineRule="exact"/>
        <w:rPr>
          <w:sz w:val="20"/>
          <w:szCs w:val="20"/>
          <w:color w:val="auto"/>
        </w:rPr>
      </w:pPr>
    </w:p>
    <w:p>
      <w:pPr>
        <w:ind w:left="120" w:right="340"/>
        <w:spacing w:after="0" w:line="308" w:lineRule="auto"/>
        <w:rPr>
          <w:sz w:val="20"/>
          <w:szCs w:val="20"/>
          <w:color w:val="auto"/>
        </w:rPr>
      </w:pPr>
      <w:r>
        <w:rPr>
          <w:rFonts w:ascii="Arial" w:cs="Arial" w:eastAsia="Arial" w:hAnsi="Arial"/>
          <w:sz w:val="18"/>
          <w:szCs w:val="18"/>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22" w:lineRule="exact"/>
        <w:rPr>
          <w:sz w:val="20"/>
          <w:szCs w:val="20"/>
          <w:color w:val="auto"/>
        </w:rPr>
      </w:pPr>
    </w:p>
    <w:p>
      <w:pPr>
        <w:ind w:left="120" w:right="300"/>
        <w:spacing w:after="0" w:line="326" w:lineRule="auto"/>
        <w:rPr>
          <w:sz w:val="20"/>
          <w:szCs w:val="20"/>
          <w:color w:val="auto"/>
        </w:rPr>
      </w:pPr>
      <w:r>
        <w:rPr>
          <w:rFonts w:ascii="Arial" w:cs="Arial" w:eastAsia="Arial" w:hAnsi="Arial"/>
          <w:sz w:val="17"/>
          <w:szCs w:val="17"/>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08" w:lineRule="exact"/>
        <w:rPr>
          <w:sz w:val="20"/>
          <w:szCs w:val="20"/>
          <w:color w:val="auto"/>
        </w:rPr>
      </w:pPr>
    </w:p>
    <w:p>
      <w:pPr>
        <w:ind w:left="120" w:right="500"/>
        <w:spacing w:after="0" w:line="326" w:lineRule="auto"/>
        <w:rPr>
          <w:sz w:val="20"/>
          <w:szCs w:val="20"/>
          <w:color w:val="auto"/>
        </w:rPr>
      </w:pPr>
      <w:r>
        <w:rPr>
          <w:rFonts w:ascii="Arial" w:cs="Arial" w:eastAsia="Arial" w:hAnsi="Arial"/>
          <w:sz w:val="19"/>
          <w:szCs w:val="19"/>
          <w:color w:val="auto"/>
        </w:rPr>
        <w:t>If one or more of these risks occurs, it could require us to dedicate significant resources to remedy such occurrence, and if we are unsuccessful in finding a solution, our financial results will suffer.</w:t>
      </w:r>
    </w:p>
    <w:p>
      <w:pPr>
        <w:spacing w:after="0" w:line="99" w:lineRule="exact"/>
        <w:rPr>
          <w:sz w:val="20"/>
          <w:szCs w:val="20"/>
          <w:color w:val="auto"/>
        </w:rPr>
      </w:pPr>
    </w:p>
    <w:p>
      <w:pPr>
        <w:ind w:left="120" w:right="580"/>
        <w:spacing w:after="0" w:line="343" w:lineRule="auto"/>
        <w:rPr>
          <w:sz w:val="20"/>
          <w:szCs w:val="20"/>
          <w:color w:val="auto"/>
        </w:rPr>
      </w:pPr>
      <w:r>
        <w:rPr>
          <w:rFonts w:ascii="Arial" w:cs="Arial" w:eastAsia="Arial" w:hAnsi="Arial"/>
          <w:sz w:val="17"/>
          <w:szCs w:val="17"/>
          <w:b w:val="1"/>
          <w:bCs w:val="1"/>
          <w:color w:val="auto"/>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operations and business may be negatively affected.</w:t>
      </w:r>
    </w:p>
    <w:p>
      <w:pPr>
        <w:spacing w:after="0" w:line="94" w:lineRule="exact"/>
        <w:rPr>
          <w:sz w:val="20"/>
          <w:szCs w:val="20"/>
          <w:color w:val="auto"/>
        </w:rPr>
      </w:pPr>
    </w:p>
    <w:p>
      <w:pPr>
        <w:ind w:left="120" w:right="280"/>
        <w:spacing w:after="0" w:line="319" w:lineRule="auto"/>
        <w:rPr>
          <w:sz w:val="20"/>
          <w:szCs w:val="20"/>
          <w:color w:val="auto"/>
        </w:rPr>
      </w:pPr>
      <w:r>
        <w:rPr>
          <w:rFonts w:ascii="Arial" w:cs="Arial" w:eastAsia="Arial" w:hAnsi="Arial"/>
          <w:sz w:val="18"/>
          <w:szCs w:val="18"/>
          <w:color w:val="auto"/>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53</w:t>
      </w:r>
    </w:p>
    <w:p>
      <w:pPr>
        <w:sectPr>
          <w:pgSz w:w="12240" w:h="15840" w:orient="portrait"/>
          <w:cols w:equalWidth="0" w:num="1">
            <w:col w:w="9360"/>
          </w:cols>
          <w:pgMar w:left="1440" w:top="1440" w:right="1440" w:bottom="610" w:gutter="0" w:footer="0" w:header="0"/>
          <w:type w:val="continuous"/>
        </w:sectPr>
      </w:pPr>
    </w:p>
    <w:bookmarkStart w:id="60" w:name="page61"/>
    <w:bookmarkEnd w:id="60"/>
    <w:p>
      <w:pPr>
        <w:spacing w:after="0" w:line="352" w:lineRule="exact"/>
        <w:rPr>
          <w:sz w:val="20"/>
          <w:szCs w:val="20"/>
          <w:color w:val="auto"/>
        </w:rPr>
      </w:pPr>
    </w:p>
    <w:p>
      <w:pPr>
        <w:ind w:left="120" w:right="280"/>
        <w:spacing w:after="0" w:line="326" w:lineRule="auto"/>
        <w:rPr>
          <w:sz w:val="20"/>
          <w:szCs w:val="20"/>
          <w:color w:val="auto"/>
        </w:rPr>
      </w:pPr>
      <w:r>
        <w:rPr>
          <w:rFonts w:ascii="Arial" w:cs="Arial" w:eastAsia="Arial" w:hAnsi="Arial"/>
          <w:sz w:val="17"/>
          <w:szCs w:val="17"/>
          <w:color w:val="auto"/>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08" w:lineRule="exact"/>
        <w:rPr>
          <w:sz w:val="20"/>
          <w:szCs w:val="20"/>
          <w:color w:val="auto"/>
        </w:rPr>
      </w:pPr>
    </w:p>
    <w:p>
      <w:pPr>
        <w:ind w:left="120" w:right="320"/>
        <w:spacing w:after="0" w:line="296" w:lineRule="auto"/>
        <w:rPr>
          <w:sz w:val="20"/>
          <w:szCs w:val="20"/>
          <w:color w:val="auto"/>
        </w:rPr>
      </w:pPr>
      <w:r>
        <w:rPr>
          <w:rFonts w:ascii="Arial" w:cs="Arial" w:eastAsia="Arial" w:hAnsi="Arial"/>
          <w:sz w:val="19"/>
          <w:szCs w:val="19"/>
          <w:color w:val="auto"/>
        </w:rPr>
        <w:t>In addition, although we intend to require contract terms obligating our distributors to comply with all applicable laws regarding the sale of our products, including regulatory labeling, protection of personal data, U.S. export regulations and the FCPA, we may not be able to ensure proper compliance. If our distributors fail to effectively market and sell our products in full compliance with applicable laws and regulations, our results of operations and business may suffer.</w:t>
      </w:r>
    </w:p>
    <w:p>
      <w:pPr>
        <w:spacing w:after="0" w:line="127" w:lineRule="exact"/>
        <w:rPr>
          <w:sz w:val="20"/>
          <w:szCs w:val="20"/>
          <w:color w:val="auto"/>
        </w:rPr>
      </w:pPr>
    </w:p>
    <w:p>
      <w:pPr>
        <w:ind w:left="120" w:right="320"/>
        <w:spacing w:after="0" w:line="324" w:lineRule="auto"/>
        <w:rPr>
          <w:sz w:val="20"/>
          <w:szCs w:val="20"/>
          <w:color w:val="auto"/>
        </w:rPr>
      </w:pPr>
      <w:r>
        <w:rPr>
          <w:rFonts w:ascii="Arial" w:cs="Arial" w:eastAsia="Arial" w:hAnsi="Arial"/>
          <w:sz w:val="19"/>
          <w:szCs w:val="19"/>
          <w:b w:val="1"/>
          <w:bCs w:val="1"/>
          <w:color w:val="auto"/>
        </w:rPr>
        <w:t>The life sciences technology market is highly competitive. If we fail to compete effectively, our business and results of operations will suffer.</w:t>
      </w:r>
    </w:p>
    <w:p>
      <w:pPr>
        <w:spacing w:after="0" w:line="99" w:lineRule="exact"/>
        <w:rPr>
          <w:sz w:val="20"/>
          <w:szCs w:val="20"/>
          <w:color w:val="auto"/>
        </w:rPr>
      </w:pPr>
    </w:p>
    <w:p>
      <w:pPr>
        <w:ind w:left="120" w:right="460"/>
        <w:spacing w:after="0" w:line="293" w:lineRule="auto"/>
        <w:rPr>
          <w:sz w:val="20"/>
          <w:szCs w:val="20"/>
          <w:color w:val="auto"/>
        </w:rPr>
      </w:pPr>
      <w:r>
        <w:rPr>
          <w:rFonts w:ascii="Arial" w:cs="Arial" w:eastAsia="Arial" w:hAnsi="Arial"/>
          <w:sz w:val="19"/>
          <w:szCs w:val="19"/>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Bio-Techne, Bruker, Danaher, DiaSorin, and Thermo Fisher Scientific. We also compete with a number of companies that have developed, or are developing, proteomic products and solutions, such as Alamar Biosciences, Nautilus Biotechnology, Quanterix, Quantum-Si and Standard BioTools.</w:t>
      </w:r>
    </w:p>
    <w:p>
      <w:pPr>
        <w:spacing w:after="0" w:line="133" w:lineRule="exact"/>
        <w:rPr>
          <w:sz w:val="20"/>
          <w:szCs w:val="20"/>
          <w:color w:val="auto"/>
        </w:rPr>
      </w:pPr>
    </w:p>
    <w:p>
      <w:pPr>
        <w:ind w:left="120" w:right="940"/>
        <w:spacing w:after="0" w:line="324" w:lineRule="auto"/>
        <w:rPr>
          <w:sz w:val="20"/>
          <w:szCs w:val="20"/>
          <w:color w:val="auto"/>
        </w:rPr>
      </w:pPr>
      <w:r>
        <w:rPr>
          <w:rFonts w:ascii="Arial" w:cs="Arial" w:eastAsia="Arial" w:hAnsi="Arial"/>
          <w:sz w:val="19"/>
          <w:szCs w:val="19"/>
          <w:color w:val="auto"/>
        </w:rPr>
        <w:t>Some of our current competitors are large publicly-traded companies, or are divisions of large publicly-traded companies, and may enjoy a number of competitive advantages over us, including:</w:t>
      </w:r>
    </w:p>
    <w:p>
      <w:pPr>
        <w:spacing w:after="0" w:line="107" w:lineRule="exact"/>
        <w:rPr>
          <w:sz w:val="20"/>
          <w:szCs w:val="20"/>
          <w:color w:val="auto"/>
        </w:rPr>
      </w:pPr>
    </w:p>
    <w:p>
      <w:pPr>
        <w:ind w:left="800"/>
        <w:spacing w:after="0"/>
        <w:rPr>
          <w:sz w:val="20"/>
          <w:szCs w:val="20"/>
          <w:color w:val="auto"/>
        </w:rPr>
      </w:pPr>
      <w:r>
        <w:rPr>
          <w:rFonts w:ascii="Arial" w:cs="Arial" w:eastAsia="Arial" w:hAnsi="Arial"/>
          <w:sz w:val="19"/>
          <w:szCs w:val="19"/>
          <w:color w:val="auto"/>
        </w:rPr>
        <w:t>greater name and brand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greater financial and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broader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larger sales forces and more established distributor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substantial intellectual property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larger and more established customer bases and relationships;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better established, larger scale and lower cost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54</w:t>
      </w:r>
    </w:p>
    <w:p>
      <w:pPr>
        <w:sectPr>
          <w:pgSz w:w="12240" w:h="15840" w:orient="portrait"/>
          <w:cols w:equalWidth="0" w:num="1">
            <w:col w:w="9360"/>
          </w:cols>
          <w:pgMar w:left="1440" w:top="1440" w:right="1440" w:bottom="610" w:gutter="0" w:footer="0" w:header="0"/>
          <w:type w:val="continuous"/>
        </w:sectPr>
      </w:pPr>
    </w:p>
    <w:bookmarkStart w:id="61" w:name="page62"/>
    <w:bookmarkEnd w:id="61"/>
    <w:p>
      <w:pPr>
        <w:spacing w:after="0" w:line="352" w:lineRule="exact"/>
        <w:rPr>
          <w:sz w:val="20"/>
          <w:szCs w:val="20"/>
          <w:color w:val="auto"/>
        </w:rPr>
      </w:pPr>
    </w:p>
    <w:p>
      <w:pPr>
        <w:ind w:left="120" w:right="280"/>
        <w:spacing w:after="0" w:line="292" w:lineRule="auto"/>
        <w:rPr>
          <w:sz w:val="20"/>
          <w:szCs w:val="20"/>
          <w:color w:val="auto"/>
        </w:rPr>
      </w:pPr>
      <w:r>
        <w:rPr>
          <w:rFonts w:ascii="Arial" w:cs="Arial" w:eastAsia="Arial" w:hAnsi="Arial"/>
          <w:sz w:val="19"/>
          <w:szCs w:val="19"/>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32" w:lineRule="exact"/>
        <w:rPr>
          <w:sz w:val="20"/>
          <w:szCs w:val="20"/>
          <w:color w:val="auto"/>
        </w:rPr>
      </w:pPr>
    </w:p>
    <w:p>
      <w:pPr>
        <w:ind w:left="120" w:right="320"/>
        <w:spacing w:after="0" w:line="311" w:lineRule="auto"/>
        <w:rPr>
          <w:sz w:val="20"/>
          <w:szCs w:val="20"/>
          <w:color w:val="auto"/>
        </w:rPr>
      </w:pPr>
      <w:r>
        <w:rPr>
          <w:rFonts w:ascii="Arial" w:cs="Arial" w:eastAsia="Arial" w:hAnsi="Arial"/>
          <w:sz w:val="18"/>
          <w:szCs w:val="18"/>
          <w:color w:val="auto"/>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17" w:lineRule="exact"/>
        <w:rPr>
          <w:sz w:val="20"/>
          <w:szCs w:val="20"/>
          <w:color w:val="auto"/>
        </w:rPr>
      </w:pPr>
    </w:p>
    <w:p>
      <w:pPr>
        <w:ind w:left="120" w:right="660"/>
        <w:spacing w:after="0" w:line="305" w:lineRule="auto"/>
        <w:rPr>
          <w:sz w:val="20"/>
          <w:szCs w:val="20"/>
          <w:color w:val="auto"/>
        </w:rPr>
      </w:pPr>
      <w:r>
        <w:rPr>
          <w:rFonts w:ascii="Arial" w:cs="Arial" w:eastAsia="Arial" w:hAnsi="Arial"/>
          <w:sz w:val="19"/>
          <w:szCs w:val="19"/>
          <w:b w:val="1"/>
          <w:b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117" w:lineRule="exact"/>
        <w:rPr>
          <w:sz w:val="20"/>
          <w:szCs w:val="20"/>
          <w:color w:val="auto"/>
        </w:rPr>
      </w:pPr>
    </w:p>
    <w:p>
      <w:pPr>
        <w:ind w:left="120" w:right="580"/>
        <w:spacing w:after="0" w:line="280" w:lineRule="auto"/>
        <w:rPr>
          <w:sz w:val="20"/>
          <w:szCs w:val="20"/>
          <w:color w:val="auto"/>
        </w:rPr>
      </w:pPr>
      <w:r>
        <w:rPr>
          <w:rFonts w:ascii="Arial" w:cs="Arial" w:eastAsia="Arial" w:hAnsi="Arial"/>
          <w:sz w:val="19"/>
          <w:szCs w:val="19"/>
          <w:color w:val="auto"/>
        </w:rPr>
        <w:t>Based on our current plans, we believe that our current cash, cash equivalents and investments will be sufficient to meet our anticipated cash flow requirements for at least twelve months from the date of this Annual Report. If our available cash resources and anticipated cash flow from operations are insufficient to satisfy our liquidity requirements including because of lower demand for our products or the realization of other risks described in this Annual Report, we may be required to raise additional capital prior to such time through issuances of equity or convertible debt securities, entrance into a credit facility or another form of third-party funding or seek other debt financing.</w:t>
      </w:r>
    </w:p>
    <w:p>
      <w:pPr>
        <w:spacing w:after="0" w:line="131" w:lineRule="exact"/>
        <w:rPr>
          <w:sz w:val="20"/>
          <w:szCs w:val="20"/>
          <w:color w:val="auto"/>
        </w:rPr>
      </w:pPr>
    </w:p>
    <w:p>
      <w:pPr>
        <w:ind w:left="120" w:right="620"/>
        <w:spacing w:after="0" w:line="313" w:lineRule="auto"/>
        <w:rPr>
          <w:sz w:val="20"/>
          <w:szCs w:val="20"/>
          <w:color w:val="auto"/>
        </w:rPr>
      </w:pPr>
      <w:r>
        <w:rPr>
          <w:rFonts w:ascii="Arial" w:cs="Arial" w:eastAsia="Arial" w:hAnsi="Arial"/>
          <w:sz w:val="19"/>
          <w:szCs w:val="19"/>
          <w:color w:val="auto"/>
        </w:rPr>
        <w:t>We will consider raising additional capital in the future to expand our business, to pursue strategic investments, to take advantage of financing opportunities or for other reasons, including:</w:t>
      </w:r>
    </w:p>
    <w:p>
      <w:pPr>
        <w:spacing w:after="0" w:line="108" w:lineRule="exact"/>
        <w:rPr>
          <w:sz w:val="20"/>
          <w:szCs w:val="20"/>
          <w:color w:val="auto"/>
        </w:rPr>
      </w:pPr>
    </w:p>
    <w:p>
      <w:pPr>
        <w:ind w:left="800" w:right="800"/>
        <w:spacing w:after="0" w:line="313" w:lineRule="auto"/>
        <w:rPr>
          <w:sz w:val="20"/>
          <w:szCs w:val="20"/>
          <w:color w:val="auto"/>
        </w:rPr>
      </w:pPr>
      <w:r>
        <w:rPr>
          <w:rFonts w:ascii="Arial" w:cs="Arial" w:eastAsia="Arial" w:hAnsi="Arial"/>
          <w:sz w:val="19"/>
          <w:szCs w:val="19"/>
          <w:color w:val="auto"/>
        </w:rPr>
        <w:t>increasing our sales and marketing and other commercialization efforts to drive market adoption of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-305435</wp:posOffset>
            </wp:positionV>
            <wp:extent cx="67945" cy="679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funding development and marketing efforts of the Proteograph Product Suite or any other future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-67310</wp:posOffset>
            </wp:positionV>
            <wp:extent cx="67945" cy="679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expanding our technologies into additional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acquiring, licensing or investing in technologies and other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acquiring or investing in complementary businesses or assets;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financing capital expenditures and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55</w:t>
      </w:r>
    </w:p>
    <w:p>
      <w:pPr>
        <w:sectPr>
          <w:pgSz w:w="12240" w:h="15840" w:orient="portrait"/>
          <w:cols w:equalWidth="0" w:num="1">
            <w:col w:w="9360"/>
          </w:cols>
          <w:pgMar w:left="1440" w:top="1440" w:right="1440" w:bottom="610" w:gutter="0" w:footer="0" w:header="0"/>
          <w:type w:val="continuous"/>
        </w:sectPr>
      </w:pPr>
    </w:p>
    <w:bookmarkStart w:id="62" w:name="page63"/>
    <w:bookmarkEnd w:id="62"/>
    <w:p>
      <w:pPr>
        <w:spacing w:after="0" w:line="35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Our present and future funding requirements will depend on many factors, including:</w:t>
      </w:r>
    </w:p>
    <w:p>
      <w:pPr>
        <w:spacing w:after="0" w:line="203" w:lineRule="exact"/>
        <w:rPr>
          <w:sz w:val="20"/>
          <w:szCs w:val="20"/>
          <w:color w:val="auto"/>
        </w:rPr>
      </w:pPr>
    </w:p>
    <w:p>
      <w:pPr>
        <w:ind w:left="800" w:right="400"/>
        <w:spacing w:after="0" w:line="344" w:lineRule="auto"/>
        <w:rPr>
          <w:sz w:val="20"/>
          <w:szCs w:val="20"/>
          <w:color w:val="auto"/>
        </w:rPr>
      </w:pPr>
      <w:r>
        <w:rPr>
          <w:rFonts w:ascii="Arial" w:cs="Arial" w:eastAsia="Arial" w:hAnsi="Arial"/>
          <w:sz w:val="18"/>
          <w:szCs w:val="18"/>
          <w:color w:val="auto"/>
        </w:rPr>
        <w:t>our rate of progress in commercializing the Proteograph Product Suite and new products, and the cost of the sales and marketing activities associated with establishing adoption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-320040</wp:posOffset>
            </wp:positionV>
            <wp:extent cx="67945" cy="679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71" w:lineRule="exact"/>
        <w:rPr>
          <w:sz w:val="20"/>
          <w:szCs w:val="20"/>
          <w:color w:val="auto"/>
        </w:rPr>
      </w:pPr>
    </w:p>
    <w:p>
      <w:pPr>
        <w:ind w:left="800" w:right="400"/>
        <w:spacing w:after="0" w:line="313" w:lineRule="auto"/>
        <w:rPr>
          <w:sz w:val="20"/>
          <w:szCs w:val="20"/>
          <w:color w:val="auto"/>
        </w:rPr>
      </w:pPr>
      <w:r>
        <w:rPr>
          <w:rFonts w:ascii="Arial" w:cs="Arial" w:eastAsia="Arial" w:hAnsi="Arial"/>
          <w:sz w:val="19"/>
          <w:szCs w:val="19"/>
          <w:color w:val="auto"/>
        </w:rPr>
        <w:t>our rate of progress in, and cost of research and development activities associated with, products in research and development;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-305435</wp:posOffset>
            </wp:positionV>
            <wp:extent cx="67945" cy="679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effect of competing technological and market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81" w:lineRule="exact"/>
        <w:rPr>
          <w:sz w:val="20"/>
          <w:szCs w:val="20"/>
          <w:color w:val="auto"/>
        </w:rPr>
      </w:pPr>
    </w:p>
    <w:p>
      <w:pPr>
        <w:ind w:left="120" w:right="260"/>
        <w:spacing w:after="0" w:line="309"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spacing w:after="0" w:line="122" w:lineRule="exact"/>
        <w:rPr>
          <w:sz w:val="20"/>
          <w:szCs w:val="20"/>
          <w:color w:val="auto"/>
        </w:rPr>
      </w:pPr>
    </w:p>
    <w:p>
      <w:pPr>
        <w:ind w:left="120" w:right="560"/>
        <w:spacing w:after="0" w:line="299" w:lineRule="auto"/>
        <w:rPr>
          <w:sz w:val="20"/>
          <w:szCs w:val="20"/>
          <w:color w:val="auto"/>
        </w:rPr>
      </w:pPr>
      <w:r>
        <w:rPr>
          <w:rFonts w:ascii="Arial" w:cs="Arial" w:eastAsia="Arial" w:hAnsi="Arial"/>
          <w:sz w:val="19"/>
          <w:szCs w:val="19"/>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24" w:lineRule="exact"/>
        <w:rPr>
          <w:sz w:val="20"/>
          <w:szCs w:val="20"/>
          <w:color w:val="auto"/>
        </w:rPr>
      </w:pPr>
    </w:p>
    <w:p>
      <w:pPr>
        <w:ind w:left="120" w:right="380"/>
        <w:spacing w:after="0" w:line="354" w:lineRule="auto"/>
        <w:rPr>
          <w:sz w:val="20"/>
          <w:szCs w:val="20"/>
          <w:color w:val="auto"/>
        </w:rPr>
      </w:pPr>
      <w:r>
        <w:rPr>
          <w:rFonts w:ascii="Arial" w:cs="Arial" w:eastAsia="Arial" w:hAnsi="Arial"/>
          <w:sz w:val="17"/>
          <w:szCs w:val="17"/>
          <w:b w:val="1"/>
          <w:bCs w:val="1"/>
          <w:color w:val="auto"/>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spacing w:after="0" w:line="85" w:lineRule="exact"/>
        <w:rPr>
          <w:sz w:val="20"/>
          <w:szCs w:val="20"/>
          <w:color w:val="auto"/>
        </w:rPr>
      </w:pPr>
    </w:p>
    <w:p>
      <w:pPr>
        <w:ind w:left="120" w:right="260"/>
        <w:spacing w:after="0" w:line="334" w:lineRule="auto"/>
        <w:rPr>
          <w:sz w:val="20"/>
          <w:szCs w:val="20"/>
          <w:color w:val="auto"/>
        </w:rPr>
      </w:pPr>
      <w:r>
        <w:rPr>
          <w:rFonts w:ascii="Arial" w:cs="Arial" w:eastAsia="Arial" w:hAnsi="Arial"/>
          <w:sz w:val="17"/>
          <w:szCs w:val="17"/>
          <w:color w:val="auto"/>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99" w:lineRule="exact"/>
        <w:rPr>
          <w:sz w:val="20"/>
          <w:szCs w:val="20"/>
          <w:color w:val="auto"/>
        </w:rPr>
      </w:pPr>
    </w:p>
    <w:p>
      <w:pPr>
        <w:ind w:left="120" w:right="320"/>
        <w:spacing w:after="0" w:line="293" w:lineRule="auto"/>
        <w:rPr>
          <w:sz w:val="20"/>
          <w:szCs w:val="20"/>
          <w:color w:val="auto"/>
        </w:rPr>
      </w:pPr>
      <w:r>
        <w:rPr>
          <w:rFonts w:ascii="Arial" w:cs="Arial" w:eastAsia="Arial" w:hAnsi="Arial"/>
          <w:sz w:val="19"/>
          <w:szCs w:val="19"/>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56</w:t>
      </w:r>
    </w:p>
    <w:p>
      <w:pPr>
        <w:sectPr>
          <w:pgSz w:w="12240" w:h="15840" w:orient="portrait"/>
          <w:cols w:equalWidth="0" w:num="1">
            <w:col w:w="9360"/>
          </w:cols>
          <w:pgMar w:left="1440" w:top="1440" w:right="1440" w:bottom="610" w:gutter="0" w:footer="0" w:header="0"/>
          <w:type w:val="continuous"/>
        </w:sectPr>
      </w:pPr>
    </w:p>
    <w:bookmarkStart w:id="63" w:name="page64"/>
    <w:bookmarkEnd w:id="63"/>
    <w:p>
      <w:pPr>
        <w:spacing w:after="0" w:line="352" w:lineRule="exact"/>
        <w:rPr>
          <w:sz w:val="20"/>
          <w:szCs w:val="20"/>
          <w:color w:val="auto"/>
        </w:rPr>
      </w:pPr>
    </w:p>
    <w:p>
      <w:pPr>
        <w:ind w:left="120" w:right="280"/>
        <w:spacing w:after="0" w:line="328" w:lineRule="auto"/>
        <w:rPr>
          <w:sz w:val="20"/>
          <w:szCs w:val="20"/>
          <w:color w:val="auto"/>
        </w:rPr>
      </w:pPr>
      <w:r>
        <w:rPr>
          <w:rFonts w:ascii="Arial" w:cs="Arial" w:eastAsia="Arial" w:hAnsi="Arial"/>
          <w:sz w:val="17"/>
          <w:szCs w:val="17"/>
          <w:color w:val="auto"/>
        </w:rPr>
        <w:t>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We may not realize the benefits of PrognomiQ as a separate healthcare company in the area of disease testing.</w:t>
      </w:r>
    </w:p>
    <w:p>
      <w:pPr>
        <w:spacing w:after="0" w:line="232" w:lineRule="exact"/>
        <w:rPr>
          <w:sz w:val="20"/>
          <w:szCs w:val="20"/>
          <w:color w:val="auto"/>
        </w:rPr>
      </w:pPr>
    </w:p>
    <w:p>
      <w:pPr>
        <w:ind w:left="120" w:right="520"/>
        <w:spacing w:after="0" w:line="370" w:lineRule="auto"/>
        <w:rPr>
          <w:sz w:val="20"/>
          <w:szCs w:val="20"/>
          <w:color w:val="auto"/>
        </w:rPr>
      </w:pPr>
      <w:r>
        <w:rPr>
          <w:rFonts w:ascii="Arial" w:cs="Arial" w:eastAsia="Arial" w:hAnsi="Arial"/>
          <w:sz w:val="16"/>
          <w:szCs w:val="16"/>
          <w:color w:val="auto"/>
        </w:rPr>
        <w:t>In August 2020, we transferred certain assets to PrognomiQ, as a separate healthcare company to help enable the growth of ecosystems around new applications that leverage the Proteograph solution for unbiased, deep and large-scale proteomic information. In August 2024, the Company entered into a preferred stock purchase agreement with PrognomiQ, pursuant to which the Company purchased $10.0 million of PrognomiQ's Series D Preferred Stock.</w:t>
      </w:r>
    </w:p>
    <w:p>
      <w:pPr>
        <w:spacing w:after="0" w:line="76" w:lineRule="exact"/>
        <w:rPr>
          <w:sz w:val="20"/>
          <w:szCs w:val="20"/>
          <w:color w:val="auto"/>
        </w:rPr>
      </w:pPr>
    </w:p>
    <w:p>
      <w:pPr>
        <w:ind w:left="120" w:right="520"/>
        <w:spacing w:after="0" w:line="326" w:lineRule="auto"/>
        <w:rPr>
          <w:sz w:val="20"/>
          <w:szCs w:val="20"/>
          <w:color w:val="auto"/>
        </w:rPr>
      </w:pPr>
      <w:r>
        <w:rPr>
          <w:rFonts w:ascii="Arial" w:cs="Arial" w:eastAsia="Arial" w:hAnsi="Arial"/>
          <w:sz w:val="19"/>
          <w:szCs w:val="19"/>
          <w:color w:val="auto"/>
        </w:rPr>
        <w:t>As of December 31, 2024, we held approximately 25% of the outstanding capital stock of PrognomiQ. We may not realize the potential benefits of forming PrognomiQ for a variety of reasons, including:</w:t>
      </w:r>
    </w:p>
    <w:p>
      <w:pPr>
        <w:spacing w:after="0" w:line="10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PrognomiQ may be unable to successfully develop viable testing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PrognomiQ’s business may not help demonstrate the value of the Proteograph;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an inability to reach agreement with PrognomiQ on future commercial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260"/>
        <w:spacing w:after="0" w:line="326" w:lineRule="auto"/>
        <w:rPr>
          <w:sz w:val="20"/>
          <w:szCs w:val="20"/>
          <w:color w:val="auto"/>
        </w:rPr>
      </w:pPr>
      <w:r>
        <w:rPr>
          <w:rFonts w:ascii="Arial" w:cs="Arial" w:eastAsia="Arial" w:hAnsi="Arial"/>
          <w:sz w:val="19"/>
          <w:szCs w:val="19"/>
          <w:color w:val="auto"/>
        </w:rPr>
        <w:t>although PrognomiQ accounted for 17% of our revenue during the year ended December 31, 2024, it may not continue to be a meaningful customer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PrognomiQ may need to raise additional funding in the future and be unable to do so;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right="440"/>
        <w:spacing w:after="0" w:line="326" w:lineRule="auto"/>
        <w:rPr>
          <w:sz w:val="20"/>
          <w:szCs w:val="20"/>
          <w:color w:val="auto"/>
        </w:rPr>
      </w:pPr>
      <w:r>
        <w:rPr>
          <w:rFonts w:ascii="Arial" w:cs="Arial" w:eastAsia="Arial" w:hAnsi="Arial"/>
          <w:sz w:val="19"/>
          <w:szCs w:val="19"/>
          <w:color w:val="auto"/>
        </w:rPr>
        <w:t>the formation of PrognomiQ and our continuing equity position in PrognomiQ may add complexities to our business from a finance, tax and accounting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77" w:lineRule="exact"/>
        <w:rPr>
          <w:sz w:val="20"/>
          <w:szCs w:val="20"/>
          <w:color w:val="auto"/>
        </w:rPr>
      </w:pPr>
    </w:p>
    <w:p>
      <w:pPr>
        <w:ind w:left="120" w:right="600"/>
        <w:spacing w:after="0" w:line="305" w:lineRule="auto"/>
        <w:rPr>
          <w:sz w:val="20"/>
          <w:szCs w:val="20"/>
          <w:color w:val="auto"/>
        </w:rPr>
      </w:pPr>
      <w:r>
        <w:rPr>
          <w:rFonts w:ascii="Arial" w:cs="Arial" w:eastAsia="Arial" w:hAnsi="Arial"/>
          <w:sz w:val="19"/>
          <w:szCs w:val="19"/>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Risks Related to Financial Reporting</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We are required by Section 404 of the Sarbanes-Oxley Act to evaluate the effectiveness of our internal control over</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financial reporting. If we are unable to achieve and maintain effective internal controls, our operating results and</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financial condition could be harmed and the market price of our Class A common stock may be negatively affected.</w:t>
      </w:r>
    </w:p>
    <w:p>
      <w:pPr>
        <w:spacing w:after="0" w:line="246" w:lineRule="exact"/>
        <w:rPr>
          <w:sz w:val="20"/>
          <w:szCs w:val="20"/>
          <w:color w:val="auto"/>
        </w:rPr>
      </w:pPr>
    </w:p>
    <w:p>
      <w:pPr>
        <w:ind w:left="120" w:right="480"/>
        <w:spacing w:after="0" w:line="292" w:lineRule="auto"/>
        <w:rPr>
          <w:sz w:val="20"/>
          <w:szCs w:val="20"/>
          <w:color w:val="auto"/>
        </w:rPr>
      </w:pPr>
      <w:r>
        <w:rPr>
          <w:rFonts w:ascii="Arial" w:cs="Arial" w:eastAsia="Arial" w:hAnsi="Arial"/>
          <w:sz w:val="19"/>
          <w:szCs w:val="19"/>
          <w:color w:val="auto"/>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2024,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57</w:t>
      </w:r>
    </w:p>
    <w:p>
      <w:pPr>
        <w:sectPr>
          <w:pgSz w:w="12240" w:h="15840" w:orient="portrait"/>
          <w:cols w:equalWidth="0" w:num="1">
            <w:col w:w="9360"/>
          </w:cols>
          <w:pgMar w:left="1440" w:top="1440" w:right="1440" w:bottom="610" w:gutter="0" w:footer="0" w:header="0"/>
          <w:type w:val="continuous"/>
        </w:sectPr>
      </w:pPr>
    </w:p>
    <w:bookmarkStart w:id="64" w:name="page65"/>
    <w:bookmarkEnd w:id="64"/>
    <w:p>
      <w:pPr>
        <w:spacing w:after="0" w:line="352" w:lineRule="exact"/>
        <w:rPr>
          <w:sz w:val="20"/>
          <w:szCs w:val="20"/>
          <w:color w:val="auto"/>
        </w:rPr>
      </w:pPr>
    </w:p>
    <w:p>
      <w:pPr>
        <w:ind w:left="120" w:right="300"/>
        <w:spacing w:after="0" w:line="327" w:lineRule="auto"/>
        <w:rPr>
          <w:sz w:val="20"/>
          <w:szCs w:val="20"/>
          <w:color w:val="auto"/>
        </w:rPr>
      </w:pPr>
      <w:r>
        <w:rPr>
          <w:rFonts w:ascii="Arial" w:cs="Arial" w:eastAsia="Arial" w:hAnsi="Arial"/>
          <w:sz w:val="17"/>
          <w:szCs w:val="17"/>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113" w:lineRule="exact"/>
        <w:rPr>
          <w:sz w:val="20"/>
          <w:szCs w:val="20"/>
          <w:color w:val="auto"/>
        </w:rPr>
      </w:pPr>
    </w:p>
    <w:p>
      <w:pPr>
        <w:jc w:val="both"/>
        <w:ind w:left="120" w:right="420"/>
        <w:spacing w:after="0" w:line="384" w:lineRule="auto"/>
        <w:rPr>
          <w:sz w:val="20"/>
          <w:szCs w:val="20"/>
          <w:color w:val="auto"/>
        </w:rPr>
      </w:pPr>
      <w:r>
        <w:rPr>
          <w:rFonts w:ascii="Arial" w:cs="Arial" w:eastAsia="Arial" w:hAnsi="Arial"/>
          <w:sz w:val="16"/>
          <w:szCs w:val="16"/>
          <w:b w:val="1"/>
          <w:bCs w:val="1"/>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67" w:lineRule="exact"/>
        <w:rPr>
          <w:sz w:val="20"/>
          <w:szCs w:val="20"/>
          <w:color w:val="auto"/>
        </w:rPr>
      </w:pPr>
    </w:p>
    <w:p>
      <w:pPr>
        <w:ind w:left="120" w:right="380"/>
        <w:spacing w:after="0" w:line="328" w:lineRule="auto"/>
        <w:rPr>
          <w:sz w:val="20"/>
          <w:szCs w:val="20"/>
          <w:color w:val="auto"/>
        </w:rPr>
      </w:pPr>
      <w:r>
        <w:rPr>
          <w:rFonts w:ascii="Arial" w:cs="Arial" w:eastAsia="Arial" w:hAnsi="Arial"/>
          <w:sz w:val="17"/>
          <w:szCs w:val="17"/>
          <w:color w:val="auto"/>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spacing w:after="0" w:line="110" w:lineRule="exact"/>
        <w:rPr>
          <w:sz w:val="20"/>
          <w:szCs w:val="20"/>
          <w:color w:val="auto"/>
        </w:rPr>
      </w:pPr>
    </w:p>
    <w:p>
      <w:pPr>
        <w:ind w:left="120" w:right="820"/>
        <w:spacing w:after="0" w:line="430" w:lineRule="auto"/>
        <w:rPr>
          <w:sz w:val="20"/>
          <w:szCs w:val="20"/>
          <w:color w:val="auto"/>
        </w:rPr>
      </w:pPr>
      <w:r>
        <w:rPr>
          <w:rFonts w:ascii="Arial" w:cs="Arial" w:eastAsia="Arial" w:hAnsi="Arial"/>
          <w:sz w:val="16"/>
          <w:szCs w:val="16"/>
          <w:b w:val="1"/>
          <w:b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29" w:lineRule="exact"/>
        <w:rPr>
          <w:sz w:val="20"/>
          <w:szCs w:val="20"/>
          <w:color w:val="auto"/>
        </w:rPr>
      </w:pPr>
    </w:p>
    <w:p>
      <w:pPr>
        <w:ind w:left="120" w:right="360"/>
        <w:spacing w:after="0" w:line="32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14" w:lineRule="exact"/>
        <w:rPr>
          <w:sz w:val="20"/>
          <w:szCs w:val="20"/>
          <w:color w:val="auto"/>
        </w:rPr>
      </w:pPr>
    </w:p>
    <w:p>
      <w:pPr>
        <w:ind w:left="120" w:right="320"/>
        <w:spacing w:after="0" w:line="334" w:lineRule="auto"/>
        <w:rPr>
          <w:sz w:val="20"/>
          <w:szCs w:val="20"/>
          <w:color w:val="auto"/>
        </w:rPr>
      </w:pPr>
      <w:r>
        <w:rPr>
          <w:rFonts w:ascii="Arial" w:cs="Arial" w:eastAsia="Arial" w:hAnsi="Arial"/>
          <w:sz w:val="17"/>
          <w:szCs w:val="17"/>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58</w:t>
      </w:r>
    </w:p>
    <w:p>
      <w:pPr>
        <w:sectPr>
          <w:pgSz w:w="12240" w:h="15840" w:orient="portrait"/>
          <w:cols w:equalWidth="0" w:num="1">
            <w:col w:w="9360"/>
          </w:cols>
          <w:pgMar w:left="1440" w:top="1440" w:right="1440" w:bottom="610" w:gutter="0" w:footer="0" w:header="0"/>
          <w:type w:val="continuous"/>
        </w:sectPr>
      </w:pPr>
    </w:p>
    <w:bookmarkStart w:id="65" w:name="page66"/>
    <w:bookmarkEnd w:id="65"/>
    <w:p>
      <w:pPr>
        <w:spacing w:after="0" w:line="352" w:lineRule="exact"/>
        <w:rPr>
          <w:sz w:val="20"/>
          <w:szCs w:val="20"/>
          <w:color w:val="auto"/>
        </w:rPr>
      </w:pPr>
    </w:p>
    <w:p>
      <w:pPr>
        <w:ind w:left="120" w:right="360"/>
        <w:spacing w:after="0" w:line="307" w:lineRule="auto"/>
        <w:rPr>
          <w:sz w:val="20"/>
          <w:szCs w:val="20"/>
          <w:color w:val="auto"/>
        </w:rPr>
      </w:pPr>
      <w:r>
        <w:rPr>
          <w:rFonts w:ascii="Arial" w:cs="Arial" w:eastAsia="Arial" w:hAnsi="Arial"/>
          <w:sz w:val="19"/>
          <w:szCs w:val="19"/>
          <w:color w:val="auto"/>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15" w:lineRule="exact"/>
        <w:rPr>
          <w:sz w:val="20"/>
          <w:szCs w:val="20"/>
          <w:color w:val="auto"/>
        </w:rPr>
      </w:pPr>
    </w:p>
    <w:p>
      <w:pPr>
        <w:ind w:left="120" w:right="380"/>
        <w:spacing w:after="0" w:line="319" w:lineRule="auto"/>
        <w:rPr>
          <w:sz w:val="20"/>
          <w:szCs w:val="20"/>
          <w:color w:val="auto"/>
        </w:rPr>
      </w:pPr>
      <w:r>
        <w:rPr>
          <w:rFonts w:ascii="Arial" w:cs="Arial" w:eastAsia="Arial" w:hAnsi="Arial"/>
          <w:sz w:val="18"/>
          <w:szCs w:val="18"/>
          <w:b w:val="1"/>
          <w:bCs w:val="1"/>
          <w:color w:val="auto"/>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spacing w:after="0" w:line="108" w:lineRule="exact"/>
        <w:rPr>
          <w:sz w:val="20"/>
          <w:szCs w:val="20"/>
          <w:color w:val="auto"/>
        </w:rPr>
      </w:pPr>
    </w:p>
    <w:p>
      <w:pPr>
        <w:ind w:left="120" w:right="260"/>
        <w:spacing w:after="0" w:line="32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Risks Related to Regulatory Compliance</w:t>
      </w:r>
    </w:p>
    <w:p>
      <w:pPr>
        <w:spacing w:after="0" w:line="217" w:lineRule="exact"/>
        <w:rPr>
          <w:sz w:val="20"/>
          <w:szCs w:val="20"/>
          <w:color w:val="auto"/>
        </w:rPr>
      </w:pPr>
    </w:p>
    <w:p>
      <w:pPr>
        <w:jc w:val="both"/>
        <w:ind w:left="120" w:right="560"/>
        <w:spacing w:after="0" w:line="384" w:lineRule="auto"/>
        <w:rPr>
          <w:sz w:val="20"/>
          <w:szCs w:val="20"/>
          <w:color w:val="auto"/>
        </w:rPr>
      </w:pPr>
      <w:r>
        <w:rPr>
          <w:rFonts w:ascii="Arial" w:cs="Arial" w:eastAsia="Arial" w:hAnsi="Arial"/>
          <w:sz w:val="16"/>
          <w:szCs w:val="16"/>
          <w:b w:val="1"/>
          <w:b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64" w:lineRule="exact"/>
        <w:rPr>
          <w:sz w:val="20"/>
          <w:szCs w:val="20"/>
          <w:color w:val="auto"/>
        </w:rPr>
      </w:pPr>
    </w:p>
    <w:p>
      <w:pPr>
        <w:ind w:left="120" w:right="480"/>
        <w:spacing w:after="0" w:line="312" w:lineRule="auto"/>
        <w:rPr>
          <w:sz w:val="20"/>
          <w:szCs w:val="20"/>
          <w:color w:val="auto"/>
        </w:rPr>
      </w:pPr>
      <w:r>
        <w:rPr>
          <w:rFonts w:ascii="Arial" w:cs="Arial" w:eastAsia="Arial" w:hAnsi="Arial"/>
          <w:sz w:val="18"/>
          <w:szCs w:val="18"/>
          <w:color w:val="auto"/>
        </w:rPr>
        <w:t>Our products are labeled, promoted, and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19" w:lineRule="exact"/>
        <w:rPr>
          <w:sz w:val="20"/>
          <w:szCs w:val="20"/>
          <w:color w:val="auto"/>
        </w:rPr>
      </w:pPr>
    </w:p>
    <w:p>
      <w:pPr>
        <w:ind w:left="120" w:right="300"/>
        <w:spacing w:after="0" w:line="326" w:lineRule="auto"/>
        <w:rPr>
          <w:sz w:val="20"/>
          <w:szCs w:val="20"/>
          <w:color w:val="auto"/>
        </w:rPr>
      </w:pPr>
      <w:r>
        <w:rPr>
          <w:rFonts w:ascii="Arial" w:cs="Arial" w:eastAsia="Arial" w:hAnsi="Arial"/>
          <w:sz w:val="17"/>
          <w:szCs w:val="17"/>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FDA will begin to enforce the QMSR requirements upon the effective date, February 2, 2026.</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59</w:t>
      </w:r>
    </w:p>
    <w:p>
      <w:pPr>
        <w:sectPr>
          <w:pgSz w:w="12240" w:h="15840" w:orient="portrait"/>
          <w:cols w:equalWidth="0" w:num="1">
            <w:col w:w="9360"/>
          </w:cols>
          <w:pgMar w:left="1440" w:top="1440" w:right="1440" w:bottom="610" w:gutter="0" w:footer="0" w:header="0"/>
          <w:type w:val="continuous"/>
        </w:sectPr>
      </w:pPr>
    </w:p>
    <w:bookmarkStart w:id="66" w:name="page67"/>
    <w:bookmarkEnd w:id="66"/>
    <w:p>
      <w:pPr>
        <w:spacing w:after="0" w:line="352" w:lineRule="exact"/>
        <w:rPr>
          <w:sz w:val="20"/>
          <w:szCs w:val="20"/>
          <w:color w:val="auto"/>
        </w:rPr>
      </w:pPr>
    </w:p>
    <w:p>
      <w:pPr>
        <w:ind w:left="120" w:right="280"/>
        <w:spacing w:after="0" w:line="323" w:lineRule="auto"/>
        <w:rPr>
          <w:sz w:val="20"/>
          <w:szCs w:val="20"/>
          <w:color w:val="auto"/>
        </w:rPr>
      </w:pPr>
      <w:r>
        <w:rPr>
          <w:rFonts w:ascii="Arial" w:cs="Arial" w:eastAsia="Arial" w:hAnsi="Arial"/>
          <w:sz w:val="17"/>
          <w:szCs w:val="17"/>
          <w:color w:val="auto"/>
        </w:rPr>
        <w:t>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14" w:lineRule="exact"/>
        <w:rPr>
          <w:sz w:val="20"/>
          <w:szCs w:val="20"/>
          <w:color w:val="auto"/>
        </w:rPr>
      </w:pPr>
    </w:p>
    <w:p>
      <w:pPr>
        <w:ind w:left="120" w:right="380"/>
        <w:spacing w:after="0" w:line="327" w:lineRule="auto"/>
        <w:rPr>
          <w:sz w:val="20"/>
          <w:szCs w:val="20"/>
          <w:color w:val="auto"/>
        </w:rPr>
      </w:pPr>
      <w:r>
        <w:rPr>
          <w:rFonts w:ascii="Arial" w:cs="Arial" w:eastAsia="Arial" w:hAnsi="Arial"/>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11" w:lineRule="exact"/>
        <w:rPr>
          <w:sz w:val="20"/>
          <w:szCs w:val="20"/>
          <w:color w:val="auto"/>
        </w:rPr>
      </w:pPr>
    </w:p>
    <w:p>
      <w:pPr>
        <w:ind w:left="120" w:right="280"/>
        <w:spacing w:after="0" w:line="326"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In 2023,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60</w:t>
      </w:r>
    </w:p>
    <w:p>
      <w:pPr>
        <w:sectPr>
          <w:pgSz w:w="12240" w:h="15840" w:orient="portrait"/>
          <w:cols w:equalWidth="0" w:num="1">
            <w:col w:w="9360"/>
          </w:cols>
          <w:pgMar w:left="1440" w:top="1440" w:right="1440" w:bottom="610" w:gutter="0" w:footer="0" w:header="0"/>
          <w:type w:val="continuous"/>
        </w:sectPr>
      </w:pPr>
    </w:p>
    <w:bookmarkStart w:id="67" w:name="page68"/>
    <w:bookmarkEnd w:id="67"/>
    <w:p>
      <w:pPr>
        <w:spacing w:after="0" w:line="354" w:lineRule="exact"/>
        <w:rPr>
          <w:sz w:val="20"/>
          <w:szCs w:val="20"/>
          <w:color w:val="auto"/>
        </w:rPr>
      </w:pPr>
    </w:p>
    <w:p>
      <w:pPr>
        <w:ind w:left="120" w:right="400"/>
        <w:spacing w:after="0" w:line="312" w:lineRule="auto"/>
        <w:rPr>
          <w:sz w:val="20"/>
          <w:szCs w:val="20"/>
          <w:color w:val="auto"/>
        </w:rPr>
      </w:pPr>
      <w:r>
        <w:rPr>
          <w:rFonts w:ascii="Arial" w:cs="Arial" w:eastAsia="Arial" w:hAnsi="Arial"/>
          <w:sz w:val="18"/>
          <w:szCs w:val="18"/>
          <w:b w:val="1"/>
          <w:b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Arial" w:cs="Arial" w:eastAsia="Arial" w:hAnsi="Arial"/>
          <w:sz w:val="18"/>
          <w:szCs w:val="18"/>
          <w:color w:val="auto"/>
        </w:rPr>
        <w:t>.</w:t>
      </w:r>
    </w:p>
    <w:p>
      <w:pPr>
        <w:spacing w:after="0" w:line="117" w:lineRule="exact"/>
        <w:rPr>
          <w:sz w:val="20"/>
          <w:szCs w:val="20"/>
          <w:color w:val="auto"/>
        </w:rPr>
      </w:pPr>
    </w:p>
    <w:p>
      <w:pPr>
        <w:ind w:left="120" w:right="300"/>
        <w:spacing w:after="0" w:line="346" w:lineRule="auto"/>
        <w:rPr>
          <w:sz w:val="20"/>
          <w:szCs w:val="20"/>
          <w:color w:val="auto"/>
        </w:rPr>
      </w:pPr>
      <w:r>
        <w:rPr>
          <w:rFonts w:ascii="Arial" w:cs="Arial" w:eastAsia="Arial" w:hAnsi="Arial"/>
          <w:sz w:val="16"/>
          <w:szCs w:val="16"/>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01" w:lineRule="exact"/>
        <w:rPr>
          <w:sz w:val="20"/>
          <w:szCs w:val="20"/>
          <w:color w:val="auto"/>
        </w:rPr>
      </w:pPr>
    </w:p>
    <w:p>
      <w:pPr>
        <w:ind w:left="120" w:right="320"/>
        <w:spacing w:after="0" w:line="323" w:lineRule="auto"/>
        <w:rPr>
          <w:sz w:val="20"/>
          <w:szCs w:val="20"/>
          <w:color w:val="auto"/>
        </w:rPr>
      </w:pPr>
      <w:r>
        <w:rPr>
          <w:rFonts w:ascii="Arial" w:cs="Arial" w:eastAsia="Arial" w:hAnsi="Arial"/>
          <w:sz w:val="17"/>
          <w:szCs w:val="17"/>
          <w:color w:val="auto"/>
        </w:rPr>
        <w:t>Legislative and administrative proposals to amend the FDA's oversight of LDTs have been introduced in recent years, including the Verifying Accurate Leading-edge IVCT Development Act of 2021 (VALID Act). In May 2024, the FDA published a final rule to regulate LDTs, which may impact the sales of our products and how customers use our products, and may require us to change our business model in order to maintain compliance with these laws. There is ongoing litigation against FDA regarding its implementation of the LTD final rule. In June 2024, the U.S. Supreme Court overruled the case that established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the LDT final rule and other rules and policies of the FDA. We cannot predict the outcome of these judicial challenges or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61</w:t>
      </w:r>
    </w:p>
    <w:p>
      <w:pPr>
        <w:sectPr>
          <w:pgSz w:w="12240" w:h="15840" w:orient="portrait"/>
          <w:cols w:equalWidth="0" w:num="1">
            <w:col w:w="9360"/>
          </w:cols>
          <w:pgMar w:left="1440" w:top="1440" w:right="1440" w:bottom="610" w:gutter="0" w:footer="0" w:header="0"/>
          <w:type w:val="continuous"/>
        </w:sectPr>
      </w:pPr>
    </w:p>
    <w:bookmarkStart w:id="68" w:name="page69"/>
    <w:bookmarkEnd w:id="68"/>
    <w:p>
      <w:pPr>
        <w:spacing w:after="0" w:line="352" w:lineRule="exact"/>
        <w:rPr>
          <w:sz w:val="20"/>
          <w:szCs w:val="20"/>
          <w:color w:val="auto"/>
        </w:rPr>
      </w:pPr>
    </w:p>
    <w:p>
      <w:pPr>
        <w:ind w:left="120" w:right="300"/>
        <w:spacing w:after="0" w:line="328"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11" w:lineRule="exact"/>
        <w:rPr>
          <w:sz w:val="20"/>
          <w:szCs w:val="20"/>
          <w:color w:val="auto"/>
        </w:rPr>
      </w:pPr>
    </w:p>
    <w:p>
      <w:pPr>
        <w:ind w:left="120" w:right="400"/>
        <w:spacing w:after="0" w:line="290" w:lineRule="auto"/>
        <w:rPr>
          <w:sz w:val="20"/>
          <w:szCs w:val="20"/>
          <w:color w:val="auto"/>
        </w:rPr>
      </w:pPr>
      <w:r>
        <w:rPr>
          <w:rFonts w:ascii="Arial" w:cs="Arial" w:eastAsia="Arial" w:hAnsi="Arial"/>
          <w:sz w:val="19"/>
          <w:szCs w:val="19"/>
          <w:color w:val="auto"/>
        </w:rPr>
        <w:t>It is unclear how future legislation, executive orders, new regulations, and other actions by federal and state governments, including changes in the leadership of FDA and other federal agencies, will impact the industry, including our business and that of our customers. Budget cuts, layoffs at federal agencies, hiring freezes, return-to-office policies, and other measures taken by the new presidential administration, including measures by the Department of Government Efficiency, can have a material impact on our industry, including the business of our customers and our operations.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Risks Related to our Intellectual Property</w:t>
      </w:r>
    </w:p>
    <w:p>
      <w:pPr>
        <w:spacing w:after="0" w:line="215" w:lineRule="exact"/>
        <w:rPr>
          <w:sz w:val="20"/>
          <w:szCs w:val="20"/>
          <w:color w:val="auto"/>
        </w:rPr>
      </w:pPr>
    </w:p>
    <w:p>
      <w:pPr>
        <w:ind w:left="120" w:right="280"/>
        <w:spacing w:after="0" w:line="298" w:lineRule="auto"/>
        <w:rPr>
          <w:sz w:val="20"/>
          <w:szCs w:val="20"/>
          <w:color w:val="auto"/>
        </w:rPr>
      </w:pPr>
      <w:r>
        <w:rPr>
          <w:rFonts w:ascii="Arial" w:cs="Arial" w:eastAsia="Arial" w:hAnsi="Arial"/>
          <w:sz w:val="19"/>
          <w:szCs w:val="19"/>
          <w:b w:val="1"/>
          <w:bCs w:val="1"/>
          <w:color w:val="auto"/>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6" w:lineRule="exact"/>
        <w:rPr>
          <w:sz w:val="20"/>
          <w:szCs w:val="20"/>
          <w:color w:val="auto"/>
        </w:rPr>
      </w:pPr>
    </w:p>
    <w:p>
      <w:pPr>
        <w:ind w:left="120" w:right="260"/>
        <w:spacing w:after="0" w:line="293" w:lineRule="auto"/>
        <w:rPr>
          <w:sz w:val="20"/>
          <w:szCs w:val="20"/>
          <w:color w:val="auto"/>
        </w:rPr>
      </w:pPr>
      <w:r>
        <w:rPr>
          <w:rFonts w:ascii="Arial" w:cs="Arial" w:eastAsia="Arial" w:hAnsi="Arial"/>
          <w:sz w:val="19"/>
          <w:szCs w:val="19"/>
          <w:color w:val="auto"/>
        </w:rPr>
        <w:t>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31" w:lineRule="exact"/>
        <w:rPr>
          <w:sz w:val="20"/>
          <w:szCs w:val="20"/>
          <w:color w:val="auto"/>
        </w:rPr>
      </w:pPr>
    </w:p>
    <w:p>
      <w:pPr>
        <w:ind w:left="120" w:right="420"/>
        <w:spacing w:after="0" w:line="362"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62</w:t>
      </w:r>
    </w:p>
    <w:p>
      <w:pPr>
        <w:sectPr>
          <w:pgSz w:w="12240" w:h="15840" w:orient="portrait"/>
          <w:cols w:equalWidth="0" w:num="1">
            <w:col w:w="9360"/>
          </w:cols>
          <w:pgMar w:left="1440" w:top="1440" w:right="1440" w:bottom="610" w:gutter="0" w:footer="0" w:header="0"/>
          <w:type w:val="continuous"/>
        </w:sectPr>
      </w:pPr>
    </w:p>
    <w:bookmarkStart w:id="69" w:name="page70"/>
    <w:bookmarkEnd w:id="69"/>
    <w:p>
      <w:pPr>
        <w:spacing w:after="0" w:line="352" w:lineRule="exact"/>
        <w:rPr>
          <w:sz w:val="20"/>
          <w:szCs w:val="20"/>
          <w:color w:val="auto"/>
        </w:rPr>
      </w:pPr>
    </w:p>
    <w:p>
      <w:pPr>
        <w:ind w:left="120" w:right="320"/>
        <w:spacing w:after="0" w:line="325" w:lineRule="auto"/>
        <w:rPr>
          <w:sz w:val="20"/>
          <w:szCs w:val="20"/>
          <w:color w:val="auto"/>
        </w:rPr>
      </w:pPr>
      <w:r>
        <w:rPr>
          <w:rFonts w:ascii="Arial" w:cs="Arial" w:eastAsia="Arial" w:hAnsi="Arial"/>
          <w:sz w:val="17"/>
          <w:szCs w:val="17"/>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14" w:lineRule="exact"/>
        <w:rPr>
          <w:sz w:val="20"/>
          <w:szCs w:val="20"/>
          <w:color w:val="auto"/>
        </w:rPr>
      </w:pPr>
    </w:p>
    <w:p>
      <w:pPr>
        <w:ind w:left="120" w:right="300"/>
        <w:spacing w:after="0" w:line="323" w:lineRule="auto"/>
        <w:rPr>
          <w:sz w:val="20"/>
          <w:szCs w:val="20"/>
          <w:color w:val="auto"/>
        </w:rPr>
      </w:pPr>
      <w:r>
        <w:rPr>
          <w:rFonts w:ascii="Arial" w:cs="Arial" w:eastAsia="Arial" w:hAnsi="Arial"/>
          <w:sz w:val="17"/>
          <w:szCs w:val="17"/>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63</w:t>
      </w:r>
    </w:p>
    <w:p>
      <w:pPr>
        <w:sectPr>
          <w:pgSz w:w="12240" w:h="15840" w:orient="portrait"/>
          <w:cols w:equalWidth="0" w:num="1">
            <w:col w:w="9360"/>
          </w:cols>
          <w:pgMar w:left="1440" w:top="1440" w:right="1440" w:bottom="610" w:gutter="0" w:footer="0" w:header="0"/>
          <w:type w:val="continuous"/>
        </w:sectPr>
      </w:pPr>
    </w:p>
    <w:bookmarkStart w:id="70" w:name="page71"/>
    <w:bookmarkEnd w:id="70"/>
    <w:p>
      <w:pPr>
        <w:spacing w:after="0" w:line="354" w:lineRule="exact"/>
        <w:rPr>
          <w:sz w:val="20"/>
          <w:szCs w:val="20"/>
          <w:color w:val="auto"/>
        </w:rPr>
      </w:pPr>
    </w:p>
    <w:p>
      <w:pPr>
        <w:ind w:left="120" w:right="380"/>
        <w:spacing w:after="0" w:line="305" w:lineRule="auto"/>
        <w:rPr>
          <w:sz w:val="20"/>
          <w:szCs w:val="20"/>
          <w:color w:val="auto"/>
        </w:rPr>
      </w:pPr>
      <w:r>
        <w:rPr>
          <w:rFonts w:ascii="Arial" w:cs="Arial" w:eastAsia="Arial" w:hAnsi="Arial"/>
          <w:sz w:val="19"/>
          <w:szCs w:val="19"/>
          <w:b w:val="1"/>
          <w:b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7" w:lineRule="exact"/>
        <w:rPr>
          <w:sz w:val="20"/>
          <w:szCs w:val="20"/>
          <w:color w:val="auto"/>
        </w:rPr>
      </w:pPr>
    </w:p>
    <w:p>
      <w:pPr>
        <w:ind w:left="120" w:right="260"/>
        <w:spacing w:after="0" w:line="326" w:lineRule="auto"/>
        <w:rPr>
          <w:sz w:val="20"/>
          <w:szCs w:val="20"/>
          <w:color w:val="auto"/>
        </w:rPr>
      </w:pPr>
      <w:r>
        <w:rPr>
          <w:rFonts w:ascii="Arial" w:cs="Arial" w:eastAsia="Arial" w:hAnsi="Arial"/>
          <w:sz w:val="17"/>
          <w:szCs w:val="17"/>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spacing w:after="0" w:line="108" w:lineRule="exact"/>
        <w:rPr>
          <w:sz w:val="20"/>
          <w:szCs w:val="20"/>
          <w:color w:val="auto"/>
        </w:rPr>
      </w:pPr>
    </w:p>
    <w:p>
      <w:pPr>
        <w:ind w:left="120" w:right="340"/>
        <w:spacing w:after="0" w:line="309" w:lineRule="auto"/>
        <w:rPr>
          <w:sz w:val="20"/>
          <w:szCs w:val="20"/>
          <w:color w:val="auto"/>
        </w:rPr>
      </w:pPr>
      <w:r>
        <w:rPr>
          <w:rFonts w:ascii="Arial" w:cs="Arial" w:eastAsia="Arial" w:hAnsi="Arial"/>
          <w:sz w:val="18"/>
          <w:szCs w:val="18"/>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22" w:lineRule="exact"/>
        <w:rPr>
          <w:sz w:val="20"/>
          <w:szCs w:val="20"/>
          <w:color w:val="auto"/>
        </w:rPr>
      </w:pPr>
    </w:p>
    <w:p>
      <w:pPr>
        <w:ind w:left="120" w:right="280"/>
        <w:spacing w:after="0" w:line="292" w:lineRule="auto"/>
        <w:rPr>
          <w:sz w:val="20"/>
          <w:szCs w:val="20"/>
          <w:color w:val="auto"/>
        </w:rPr>
      </w:pPr>
      <w:r>
        <w:rPr>
          <w:rFonts w:ascii="Arial" w:cs="Arial" w:eastAsia="Arial" w:hAnsi="Arial"/>
          <w:sz w:val="19"/>
          <w:szCs w:val="19"/>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1" w:lineRule="exact"/>
        <w:rPr>
          <w:sz w:val="20"/>
          <w:szCs w:val="20"/>
          <w:color w:val="auto"/>
        </w:rPr>
      </w:pPr>
    </w:p>
    <w:p>
      <w:pPr>
        <w:ind w:left="120" w:right="440"/>
        <w:spacing w:after="0" w:line="334" w:lineRule="auto"/>
        <w:rPr>
          <w:sz w:val="20"/>
          <w:szCs w:val="20"/>
          <w:color w:val="auto"/>
        </w:rPr>
      </w:pPr>
      <w:r>
        <w:rPr>
          <w:rFonts w:ascii="Arial" w:cs="Arial" w:eastAsia="Arial" w:hAnsi="Arial"/>
          <w:sz w:val="17"/>
          <w:szCs w:val="17"/>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64</w:t>
      </w:r>
    </w:p>
    <w:p>
      <w:pPr>
        <w:sectPr>
          <w:pgSz w:w="12240" w:h="15840" w:orient="portrait"/>
          <w:cols w:equalWidth="0" w:num="1">
            <w:col w:w="9360"/>
          </w:cols>
          <w:pgMar w:left="1440" w:top="1440" w:right="1440" w:bottom="610" w:gutter="0" w:footer="0" w:header="0"/>
          <w:type w:val="continuous"/>
        </w:sectPr>
      </w:pPr>
    </w:p>
    <w:bookmarkStart w:id="71" w:name="page72"/>
    <w:bookmarkEnd w:id="71"/>
    <w:p>
      <w:pPr>
        <w:spacing w:after="0" w:line="35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We may not be able to protect our intellectual property rights throughout the world.</w:t>
      </w:r>
    </w:p>
    <w:p>
      <w:pPr>
        <w:spacing w:after="0" w:line="211" w:lineRule="exact"/>
        <w:rPr>
          <w:sz w:val="20"/>
          <w:szCs w:val="20"/>
          <w:color w:val="auto"/>
        </w:rPr>
      </w:pPr>
    </w:p>
    <w:p>
      <w:pPr>
        <w:ind w:left="120" w:right="280"/>
        <w:spacing w:after="0" w:line="355" w:lineRule="auto"/>
        <w:rPr>
          <w:sz w:val="20"/>
          <w:szCs w:val="20"/>
          <w:color w:val="auto"/>
        </w:rPr>
      </w:pPr>
      <w:r>
        <w:rPr>
          <w:rFonts w:ascii="Arial" w:cs="Arial" w:eastAsia="Arial" w:hAnsi="Arial"/>
          <w:sz w:val="17"/>
          <w:szCs w:val="17"/>
          <w:color w:val="auto"/>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84" w:lineRule="exact"/>
        <w:rPr>
          <w:sz w:val="20"/>
          <w:szCs w:val="20"/>
          <w:color w:val="auto"/>
        </w:rPr>
      </w:pPr>
    </w:p>
    <w:p>
      <w:pPr>
        <w:ind w:left="120" w:right="280"/>
        <w:spacing w:after="0" w:line="30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operations and prospects in various geographies.</w:t>
      </w:r>
    </w:p>
    <w:p>
      <w:pPr>
        <w:spacing w:after="0" w:line="124" w:lineRule="exact"/>
        <w:rPr>
          <w:sz w:val="20"/>
          <w:szCs w:val="20"/>
          <w:color w:val="auto"/>
        </w:rPr>
      </w:pPr>
    </w:p>
    <w:p>
      <w:pPr>
        <w:jc w:val="both"/>
        <w:ind w:left="120" w:right="400"/>
        <w:spacing w:after="0" w:line="299" w:lineRule="auto"/>
        <w:rPr>
          <w:sz w:val="20"/>
          <w:szCs w:val="20"/>
          <w:color w:val="auto"/>
        </w:rPr>
      </w:pPr>
      <w:r>
        <w:rPr>
          <w:rFonts w:ascii="Arial" w:cs="Arial" w:eastAsia="Arial" w:hAnsi="Arial"/>
          <w:sz w:val="19"/>
          <w:szCs w:val="19"/>
          <w:color w:val="auto"/>
        </w:rPr>
        <w:t>Moreover, European applications now have the option, upon grant of a patent, of becoming a Unitary Patent which will be subject to the jurisdiction of the Unitary Patent Court (UPC). This is a significant change in European patent practice. As the UPC is a new court system, there is limited precedent for the court, increasing the uncertainty of any patent litigation in Europe.</w:t>
      </w:r>
    </w:p>
    <w:p>
      <w:pPr>
        <w:spacing w:after="0" w:line="124" w:lineRule="exact"/>
        <w:rPr>
          <w:sz w:val="20"/>
          <w:szCs w:val="20"/>
          <w:color w:val="auto"/>
        </w:rPr>
      </w:pPr>
    </w:p>
    <w:p>
      <w:pPr>
        <w:ind w:left="120" w:right="400"/>
        <w:spacing w:after="0" w:line="308" w:lineRule="auto"/>
        <w:rPr>
          <w:sz w:val="20"/>
          <w:szCs w:val="20"/>
          <w:color w:val="auto"/>
        </w:rPr>
      </w:pPr>
      <w:r>
        <w:rPr>
          <w:rFonts w:ascii="Arial" w:cs="Arial" w:eastAsia="Arial" w:hAnsi="Arial"/>
          <w:sz w:val="18"/>
          <w:szCs w:val="18"/>
          <w:color w:val="auto"/>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22" w:lineRule="exact"/>
        <w:rPr>
          <w:sz w:val="20"/>
          <w:szCs w:val="20"/>
          <w:color w:val="auto"/>
        </w:rPr>
      </w:pPr>
    </w:p>
    <w:p>
      <w:pPr>
        <w:ind w:left="120" w:right="320"/>
        <w:spacing w:after="0" w:line="30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65</w:t>
      </w:r>
    </w:p>
    <w:p>
      <w:pPr>
        <w:sectPr>
          <w:pgSz w:w="12240" w:h="15840" w:orient="portrait"/>
          <w:cols w:equalWidth="0" w:num="1">
            <w:col w:w="9360"/>
          </w:cols>
          <w:pgMar w:left="1440" w:top="1440" w:right="1440" w:bottom="610" w:gutter="0" w:footer="0" w:header="0"/>
          <w:type w:val="continuous"/>
        </w:sectPr>
      </w:pPr>
    </w:p>
    <w:bookmarkStart w:id="72" w:name="page73"/>
    <w:bookmarkEnd w:id="72"/>
    <w:p>
      <w:pPr>
        <w:spacing w:after="0" w:line="352" w:lineRule="exact"/>
        <w:rPr>
          <w:sz w:val="20"/>
          <w:szCs w:val="20"/>
          <w:color w:val="auto"/>
        </w:rPr>
      </w:pPr>
    </w:p>
    <w:p>
      <w:pPr>
        <w:ind w:left="120" w:right="280"/>
        <w:spacing w:after="0" w:line="326" w:lineRule="auto"/>
        <w:rPr>
          <w:sz w:val="20"/>
          <w:szCs w:val="20"/>
          <w:color w:val="auto"/>
        </w:rPr>
      </w:pPr>
      <w:r>
        <w:rPr>
          <w:rFonts w:ascii="Arial" w:cs="Arial" w:eastAsia="Arial" w:hAnsi="Arial"/>
          <w:sz w:val="17"/>
          <w:szCs w:val="17"/>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Issued patents covering our products or services could be found invalid or unenforceable if challenged.</w:t>
      </w:r>
    </w:p>
    <w:p>
      <w:pPr>
        <w:spacing w:after="0" w:line="220" w:lineRule="exact"/>
        <w:rPr>
          <w:sz w:val="20"/>
          <w:szCs w:val="20"/>
          <w:color w:val="auto"/>
        </w:rPr>
      </w:pPr>
    </w:p>
    <w:p>
      <w:pPr>
        <w:ind w:left="120" w:right="280"/>
        <w:spacing w:after="0" w:line="322" w:lineRule="auto"/>
        <w:rPr>
          <w:sz w:val="20"/>
          <w:szCs w:val="20"/>
          <w:color w:val="auto"/>
        </w:rPr>
      </w:pPr>
      <w:r>
        <w:rPr>
          <w:rFonts w:ascii="Arial" w:cs="Arial" w:eastAsia="Arial" w:hAnsi="Arial"/>
          <w:sz w:val="17"/>
          <w:szCs w:val="17"/>
          <w:color w:val="auto"/>
        </w:rPr>
        <w:t>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inter partes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inter partes review, post-grant review, derivation and equivalent proceedings in non-U.S. jurisdictions, such as opposition proceedings. For example, on October 7, 2024, PreOmics GmbH and Biognosys AG filed a petition for Inter Partes Review before the USPTO (Case No. IPR2024-01473) challenging the validity of U.S. Patent No. 11,435,360, which is exclusively licensed from The Brigham and Women’s Hospital, Inc. The petition alleges, among other things, that the claims of 11,435,360 are invalid for anticipation and obviousness over the prior art. These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66</w:t>
      </w:r>
    </w:p>
    <w:p>
      <w:pPr>
        <w:sectPr>
          <w:pgSz w:w="12240" w:h="15840" w:orient="portrait"/>
          <w:cols w:equalWidth="0" w:num="1">
            <w:col w:w="9360"/>
          </w:cols>
          <w:pgMar w:left="1440" w:top="1440" w:right="1440" w:bottom="610" w:gutter="0" w:footer="0" w:header="0"/>
          <w:type w:val="continuous"/>
        </w:sectPr>
      </w:pPr>
    </w:p>
    <w:bookmarkStart w:id="73" w:name="page74"/>
    <w:bookmarkEnd w:id="73"/>
    <w:p>
      <w:pPr>
        <w:spacing w:after="0" w:line="352" w:lineRule="exact"/>
        <w:rPr>
          <w:sz w:val="20"/>
          <w:szCs w:val="20"/>
          <w:color w:val="auto"/>
        </w:rPr>
      </w:pPr>
    </w:p>
    <w:p>
      <w:pPr>
        <w:ind w:left="120" w:right="280"/>
        <w:spacing w:after="0" w:line="305" w:lineRule="auto"/>
        <w:rPr>
          <w:sz w:val="20"/>
          <w:szCs w:val="20"/>
          <w:color w:val="auto"/>
        </w:rPr>
      </w:pPr>
      <w:r>
        <w:rPr>
          <w:rFonts w:ascii="Arial" w:cs="Arial" w:eastAsia="Arial" w:hAnsi="Arial"/>
          <w:sz w:val="18"/>
          <w:szCs w:val="18"/>
          <w:color w:val="auto"/>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2" w:lineRule="exact"/>
        <w:rPr>
          <w:sz w:val="20"/>
          <w:szCs w:val="20"/>
          <w:color w:val="auto"/>
        </w:rPr>
      </w:pPr>
    </w:p>
    <w:p>
      <w:pPr>
        <w:ind w:left="120" w:right="420"/>
        <w:spacing w:after="0" w:line="324" w:lineRule="auto"/>
        <w:rPr>
          <w:sz w:val="20"/>
          <w:szCs w:val="20"/>
          <w:color w:val="auto"/>
        </w:rPr>
      </w:pPr>
      <w:r>
        <w:rPr>
          <w:rFonts w:ascii="Arial" w:cs="Arial" w:eastAsia="Arial" w:hAnsi="Arial"/>
          <w:sz w:val="19"/>
          <w:szCs w:val="19"/>
          <w:b w:val="1"/>
          <w:bCs w:val="1"/>
          <w:color w:val="auto"/>
        </w:rPr>
        <w:t>If we are unable to protect the confidentiality of our trade secrets, the value of our technology could be materially adversely affected and our business could be harmed.</w:t>
      </w:r>
    </w:p>
    <w:p>
      <w:pPr>
        <w:spacing w:after="0" w:line="99" w:lineRule="exact"/>
        <w:rPr>
          <w:sz w:val="20"/>
          <w:szCs w:val="20"/>
          <w:color w:val="auto"/>
        </w:rPr>
      </w:pPr>
    </w:p>
    <w:p>
      <w:pPr>
        <w:ind w:left="120" w:right="320"/>
        <w:spacing w:after="0" w:line="334" w:lineRule="auto"/>
        <w:rPr>
          <w:sz w:val="20"/>
          <w:szCs w:val="20"/>
          <w:color w:val="auto"/>
        </w:rPr>
      </w:pPr>
      <w:r>
        <w:rPr>
          <w:rFonts w:ascii="Arial" w:cs="Arial" w:eastAsia="Arial" w:hAnsi="Arial"/>
          <w:sz w:val="17"/>
          <w:szCs w:val="17"/>
          <w:color w:val="auto"/>
        </w:rPr>
        <w:t>We have relied and expect to rely heavily on trade secrets and confidentiality agreements to protect our unpatented know-how, technology and other proprietary and confidential information, including parts of the Proteograph Product Suite and related services,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101" w:lineRule="exact"/>
        <w:rPr>
          <w:sz w:val="20"/>
          <w:szCs w:val="20"/>
          <w:color w:val="auto"/>
        </w:rPr>
      </w:pPr>
    </w:p>
    <w:p>
      <w:pPr>
        <w:ind w:left="120" w:right="280"/>
        <w:spacing w:after="0" w:line="325"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12" w:lineRule="exact"/>
        <w:rPr>
          <w:sz w:val="20"/>
          <w:szCs w:val="20"/>
          <w:color w:val="auto"/>
        </w:rPr>
      </w:pPr>
    </w:p>
    <w:p>
      <w:pPr>
        <w:ind w:left="120" w:right="380"/>
        <w:spacing w:after="0" w:line="344"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67</w:t>
      </w:r>
    </w:p>
    <w:p>
      <w:pPr>
        <w:sectPr>
          <w:pgSz w:w="12240" w:h="15840" w:orient="portrait"/>
          <w:cols w:equalWidth="0" w:num="1">
            <w:col w:w="9360"/>
          </w:cols>
          <w:pgMar w:left="1440" w:top="1440" w:right="1440" w:bottom="610" w:gutter="0" w:footer="0" w:header="0"/>
          <w:type w:val="continuous"/>
        </w:sectPr>
      </w:pPr>
    </w:p>
    <w:bookmarkStart w:id="74" w:name="page75"/>
    <w:bookmarkEnd w:id="74"/>
    <w:p>
      <w:pPr>
        <w:spacing w:after="0" w:line="352" w:lineRule="exact"/>
        <w:rPr>
          <w:sz w:val="20"/>
          <w:szCs w:val="20"/>
          <w:color w:val="auto"/>
        </w:rPr>
      </w:pPr>
    </w:p>
    <w:p>
      <w:pPr>
        <w:ind w:left="120" w:right="320"/>
        <w:spacing w:after="0" w:line="326"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be subject to claims challenging the inventorship of our patents and other intellectual property.</w:t>
      </w:r>
    </w:p>
    <w:p>
      <w:pPr>
        <w:spacing w:after="0" w:line="220" w:lineRule="exact"/>
        <w:rPr>
          <w:sz w:val="20"/>
          <w:szCs w:val="20"/>
          <w:color w:val="auto"/>
        </w:rPr>
      </w:pPr>
    </w:p>
    <w:p>
      <w:pPr>
        <w:ind w:left="120" w:right="260"/>
        <w:spacing w:after="0" w:line="304" w:lineRule="auto"/>
        <w:rPr>
          <w:sz w:val="20"/>
          <w:szCs w:val="20"/>
          <w:color w:val="auto"/>
        </w:rPr>
      </w:pPr>
      <w:r>
        <w:rPr>
          <w:rFonts w:ascii="Arial" w:cs="Arial" w:eastAsia="Arial" w:hAnsi="Arial"/>
          <w:sz w:val="18"/>
          <w:szCs w:val="18"/>
          <w:color w:val="auto"/>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BWH, and other inventors, alleging, among other things, that Caracciolo was wrongfully excluded as an inventor on certain patents that we have exclusively licensed from BWH. That lawsuit was dismissed with prejudice on October 25, 2024, pursuant to a stipulation of dismissal.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34" w:lineRule="exact"/>
        <w:rPr>
          <w:sz w:val="20"/>
          <w:szCs w:val="20"/>
          <w:color w:val="auto"/>
        </w:rPr>
      </w:pPr>
    </w:p>
    <w:p>
      <w:pPr>
        <w:ind w:left="120" w:right="280"/>
        <w:spacing w:after="0" w:line="326" w:lineRule="auto"/>
        <w:rPr>
          <w:sz w:val="20"/>
          <w:szCs w:val="20"/>
          <w:color w:val="auto"/>
        </w:rPr>
      </w:pPr>
      <w:r>
        <w:rPr>
          <w:rFonts w:ascii="Arial" w:cs="Arial" w:eastAsia="Arial" w:hAnsi="Arial"/>
          <w:sz w:val="17"/>
          <w:szCs w:val="17"/>
          <w:color w:val="auto"/>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68</w:t>
      </w:r>
    </w:p>
    <w:p>
      <w:pPr>
        <w:sectPr>
          <w:pgSz w:w="12240" w:h="15840" w:orient="portrait"/>
          <w:cols w:equalWidth="0" w:num="1">
            <w:col w:w="9360"/>
          </w:cols>
          <w:pgMar w:left="1440" w:top="1440" w:right="1440" w:bottom="610" w:gutter="0" w:footer="0" w:header="0"/>
          <w:type w:val="continuous"/>
        </w:sectPr>
      </w:pPr>
    </w:p>
    <w:bookmarkStart w:id="75" w:name="page76"/>
    <w:bookmarkEnd w:id="75"/>
    <w:p>
      <w:pPr>
        <w:spacing w:after="0" w:line="354" w:lineRule="exact"/>
        <w:rPr>
          <w:sz w:val="20"/>
          <w:szCs w:val="20"/>
          <w:color w:val="auto"/>
        </w:rPr>
      </w:pPr>
    </w:p>
    <w:p>
      <w:pPr>
        <w:ind w:left="120" w:right="720"/>
        <w:spacing w:after="0" w:line="324" w:lineRule="auto"/>
        <w:rPr>
          <w:sz w:val="20"/>
          <w:szCs w:val="20"/>
          <w:color w:val="auto"/>
        </w:rPr>
      </w:pPr>
      <w:r>
        <w:rPr>
          <w:rFonts w:ascii="Arial" w:cs="Arial" w:eastAsia="Arial" w:hAnsi="Arial"/>
          <w:sz w:val="19"/>
          <w:szCs w:val="19"/>
          <w:b w:val="1"/>
          <w:bCs w:val="1"/>
          <w:color w:val="auto"/>
        </w:rPr>
        <w:t>We may not be able to protect and enforce our trademarks and trade names, or build name recognition in our markets of interest thereby harming our competitive position.</w:t>
      </w:r>
    </w:p>
    <w:p>
      <w:pPr>
        <w:spacing w:after="0" w:line="101" w:lineRule="exact"/>
        <w:rPr>
          <w:sz w:val="20"/>
          <w:szCs w:val="20"/>
          <w:color w:val="auto"/>
        </w:rPr>
      </w:pPr>
    </w:p>
    <w:p>
      <w:pPr>
        <w:ind w:left="120" w:right="260"/>
        <w:spacing w:after="0" w:line="324"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7" w:lineRule="exact"/>
        <w:rPr>
          <w:sz w:val="20"/>
          <w:szCs w:val="20"/>
          <w:color w:val="auto"/>
        </w:rPr>
      </w:pPr>
    </w:p>
    <w:p>
      <w:pPr>
        <w:ind w:left="120" w:right="660"/>
        <w:spacing w:after="0" w:line="324" w:lineRule="auto"/>
        <w:rPr>
          <w:sz w:val="20"/>
          <w:szCs w:val="20"/>
          <w:color w:val="auto"/>
        </w:rPr>
      </w:pPr>
      <w:r>
        <w:rPr>
          <w:rFonts w:ascii="Arial" w:cs="Arial" w:eastAsia="Arial" w:hAnsi="Arial"/>
          <w:sz w:val="19"/>
          <w:szCs w:val="19"/>
          <w:b w:val="1"/>
          <w:bCs w:val="1"/>
          <w:color w:val="auto"/>
        </w:rPr>
        <w:t>Patent terms may be inadequate to protect our competitive position on our products, services and technologies, including the Proteograph Product Suite for an adequate amount of time.</w:t>
      </w:r>
    </w:p>
    <w:p>
      <w:pPr>
        <w:spacing w:after="0" w:line="99" w:lineRule="exact"/>
        <w:rPr>
          <w:sz w:val="20"/>
          <w:szCs w:val="20"/>
          <w:color w:val="auto"/>
        </w:rPr>
      </w:pPr>
    </w:p>
    <w:p>
      <w:pPr>
        <w:ind w:left="120" w:right="320"/>
        <w:spacing w:after="0" w:line="30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69</w:t>
      </w:r>
    </w:p>
    <w:p>
      <w:pPr>
        <w:sectPr>
          <w:pgSz w:w="12240" w:h="15840" w:orient="portrait"/>
          <w:cols w:equalWidth="0" w:num="1">
            <w:col w:w="9360"/>
          </w:cols>
          <w:pgMar w:left="1440" w:top="1440" w:right="1440" w:bottom="610" w:gutter="0" w:footer="0" w:header="0"/>
          <w:type w:val="continuous"/>
        </w:sectPr>
      </w:pPr>
    </w:p>
    <w:bookmarkStart w:id="76" w:name="page77"/>
    <w:bookmarkEnd w:id="76"/>
    <w:p>
      <w:pPr>
        <w:spacing w:after="0" w:line="354" w:lineRule="exact"/>
        <w:rPr>
          <w:sz w:val="20"/>
          <w:szCs w:val="20"/>
          <w:color w:val="auto"/>
        </w:rPr>
      </w:pPr>
    </w:p>
    <w:p>
      <w:pPr>
        <w:ind w:left="120" w:right="520"/>
        <w:spacing w:after="0" w:line="298" w:lineRule="auto"/>
        <w:rPr>
          <w:sz w:val="20"/>
          <w:szCs w:val="20"/>
          <w:color w:val="auto"/>
        </w:rPr>
      </w:pPr>
      <w:r>
        <w:rPr>
          <w:rFonts w:ascii="Arial" w:cs="Arial" w:eastAsia="Arial" w:hAnsi="Arial"/>
          <w:sz w:val="19"/>
          <w:szCs w:val="19"/>
          <w:b w:val="1"/>
          <w:b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6" w:lineRule="exact"/>
        <w:rPr>
          <w:sz w:val="20"/>
          <w:szCs w:val="20"/>
          <w:color w:val="auto"/>
        </w:rPr>
      </w:pPr>
    </w:p>
    <w:p>
      <w:pPr>
        <w:ind w:left="120" w:right="300"/>
        <w:spacing w:after="0" w:line="324" w:lineRule="auto"/>
        <w:rPr>
          <w:sz w:val="20"/>
          <w:szCs w:val="20"/>
          <w:color w:val="auto"/>
        </w:rPr>
      </w:pPr>
      <w:r>
        <w:rPr>
          <w:rFonts w:ascii="Arial" w:cs="Arial" w:eastAsia="Arial" w:hAnsi="Arial"/>
          <w:sz w:val="17"/>
          <w:szCs w:val="17"/>
          <w:color w:val="auto"/>
        </w:rPr>
        <w:t>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15" w:lineRule="exact"/>
        <w:rPr>
          <w:sz w:val="20"/>
          <w:szCs w:val="20"/>
          <w:color w:val="auto"/>
        </w:rPr>
      </w:pPr>
    </w:p>
    <w:p>
      <w:pPr>
        <w:ind w:left="120" w:right="280"/>
        <w:spacing w:after="0" w:line="322" w:lineRule="auto"/>
        <w:rPr>
          <w:sz w:val="20"/>
          <w:szCs w:val="20"/>
          <w:color w:val="auto"/>
        </w:rPr>
      </w:pPr>
      <w:r>
        <w:rPr>
          <w:rFonts w:ascii="Arial" w:cs="Arial" w:eastAsia="Arial" w:hAnsi="Arial"/>
          <w:sz w:val="17"/>
          <w:szCs w:val="17"/>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an issued patent and pending patent application in Europe owned by a third party directed to a method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70</w:t>
      </w:r>
    </w:p>
    <w:p>
      <w:pPr>
        <w:sectPr>
          <w:pgSz w:w="12240" w:h="15840" w:orient="portrait"/>
          <w:cols w:equalWidth="0" w:num="1">
            <w:col w:w="9360"/>
          </w:cols>
          <w:pgMar w:left="1440" w:top="1440" w:right="1440" w:bottom="610" w:gutter="0" w:footer="0" w:header="0"/>
          <w:type w:val="continuous"/>
        </w:sectPr>
      </w:pPr>
    </w:p>
    <w:bookmarkStart w:id="77" w:name="page78"/>
    <w:bookmarkEnd w:id="77"/>
    <w:p>
      <w:pPr>
        <w:spacing w:after="0" w:line="352" w:lineRule="exact"/>
        <w:rPr>
          <w:sz w:val="20"/>
          <w:szCs w:val="20"/>
          <w:color w:val="auto"/>
        </w:rPr>
      </w:pPr>
    </w:p>
    <w:p>
      <w:pPr>
        <w:ind w:left="120" w:right="280"/>
        <w:spacing w:after="0" w:line="308" w:lineRule="auto"/>
        <w:rPr>
          <w:sz w:val="20"/>
          <w:szCs w:val="20"/>
          <w:color w:val="auto"/>
        </w:rPr>
      </w:pPr>
      <w:r>
        <w:rPr>
          <w:rFonts w:ascii="Arial" w:cs="Arial" w:eastAsia="Arial" w:hAnsi="Arial"/>
          <w:sz w:val="18"/>
          <w:szCs w:val="18"/>
          <w:color w:val="auto"/>
        </w:rPr>
        <w:t>We have, and may in the future,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ex-parte reexamination, inter partes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18" w:lineRule="exact"/>
        <w:rPr>
          <w:sz w:val="20"/>
          <w:szCs w:val="20"/>
          <w:color w:val="auto"/>
        </w:rPr>
      </w:pPr>
    </w:p>
    <w:p>
      <w:pPr>
        <w:ind w:left="120" w:right="280"/>
        <w:spacing w:after="0" w:line="329" w:lineRule="auto"/>
        <w:rPr>
          <w:sz w:val="20"/>
          <w:szCs w:val="20"/>
          <w:color w:val="auto"/>
        </w:rPr>
      </w:pPr>
      <w:r>
        <w:rPr>
          <w:rFonts w:ascii="Arial" w:cs="Arial" w:eastAsia="Arial" w:hAnsi="Arial"/>
          <w:sz w:val="17"/>
          <w:szCs w:val="17"/>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10" w:lineRule="exact"/>
        <w:rPr>
          <w:sz w:val="20"/>
          <w:szCs w:val="20"/>
          <w:color w:val="auto"/>
        </w:rPr>
      </w:pPr>
    </w:p>
    <w:p>
      <w:pPr>
        <w:ind w:left="120" w:right="260"/>
        <w:spacing w:after="0" w:line="307" w:lineRule="auto"/>
        <w:rPr>
          <w:sz w:val="20"/>
          <w:szCs w:val="20"/>
          <w:color w:val="auto"/>
        </w:rPr>
      </w:pPr>
      <w:r>
        <w:rPr>
          <w:rFonts w:ascii="Arial" w:cs="Arial" w:eastAsia="Arial" w:hAnsi="Arial"/>
          <w:sz w:val="18"/>
          <w:szCs w:val="18"/>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is unpredictable.</w:t>
      </w:r>
    </w:p>
    <w:p>
      <w:pPr>
        <w:spacing w:after="0" w:line="120" w:lineRule="exact"/>
        <w:rPr>
          <w:sz w:val="20"/>
          <w:szCs w:val="20"/>
          <w:color w:val="auto"/>
        </w:rPr>
      </w:pPr>
    </w:p>
    <w:p>
      <w:pPr>
        <w:ind w:left="120" w:right="320"/>
        <w:spacing w:after="0" w:line="324" w:lineRule="auto"/>
        <w:rPr>
          <w:sz w:val="20"/>
          <w:szCs w:val="20"/>
          <w:color w:val="auto"/>
        </w:rPr>
      </w:pPr>
      <w:r>
        <w:rPr>
          <w:rFonts w:ascii="Arial" w:cs="Arial" w:eastAsia="Arial" w:hAnsi="Arial"/>
          <w:sz w:val="17"/>
          <w:szCs w:val="17"/>
          <w:color w:val="auto"/>
        </w:rPr>
        <w:t>Regardless of whether we are defending against or asserting any intellectual property-related proceeding, any such intellectual property-related proceeding, regardless of outcome, could result in substantial costs and diversion of resources and could have a material adverse effect on our business, financial condition, results of operations and prospects. Furthermore, because of the substantial amount of discovery that may be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71</w:t>
      </w:r>
    </w:p>
    <w:p>
      <w:pPr>
        <w:sectPr>
          <w:pgSz w:w="12240" w:h="15840" w:orient="portrait"/>
          <w:cols w:equalWidth="0" w:num="1">
            <w:col w:w="9360"/>
          </w:cols>
          <w:pgMar w:left="1440" w:top="1440" w:right="1440" w:bottom="610" w:gutter="0" w:footer="0" w:header="0"/>
          <w:type w:val="continuous"/>
        </w:sectPr>
      </w:pPr>
    </w:p>
    <w:bookmarkStart w:id="78" w:name="page79"/>
    <w:bookmarkEnd w:id="78"/>
    <w:p>
      <w:pPr>
        <w:spacing w:after="0" w:line="354" w:lineRule="exact"/>
        <w:rPr>
          <w:sz w:val="20"/>
          <w:szCs w:val="20"/>
          <w:color w:val="auto"/>
        </w:rPr>
      </w:pPr>
    </w:p>
    <w:p>
      <w:pPr>
        <w:ind w:left="120" w:right="520"/>
        <w:spacing w:after="0" w:line="356" w:lineRule="auto"/>
        <w:rPr>
          <w:sz w:val="20"/>
          <w:szCs w:val="20"/>
          <w:color w:val="auto"/>
        </w:rPr>
      </w:pPr>
      <w:r>
        <w:rPr>
          <w:rFonts w:ascii="Arial" w:cs="Arial" w:eastAsia="Arial" w:hAnsi="Arial"/>
          <w:sz w:val="17"/>
          <w:szCs w:val="17"/>
          <w:b w:val="1"/>
          <w:b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80" w:lineRule="exact"/>
        <w:rPr>
          <w:sz w:val="20"/>
          <w:szCs w:val="20"/>
          <w:color w:val="auto"/>
        </w:rPr>
      </w:pPr>
    </w:p>
    <w:p>
      <w:pPr>
        <w:ind w:left="120" w:right="300"/>
        <w:spacing w:after="0" w:line="307"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19" w:lineRule="exact"/>
        <w:rPr>
          <w:sz w:val="20"/>
          <w:szCs w:val="20"/>
          <w:color w:val="auto"/>
        </w:rPr>
      </w:pPr>
    </w:p>
    <w:p>
      <w:pPr>
        <w:ind w:left="120" w:right="320"/>
        <w:spacing w:after="0" w:line="304" w:lineRule="auto"/>
        <w:rPr>
          <w:sz w:val="20"/>
          <w:szCs w:val="20"/>
          <w:color w:val="auto"/>
        </w:rPr>
      </w:pPr>
      <w:r>
        <w:rPr>
          <w:rFonts w:ascii="Arial" w:cs="Arial" w:eastAsia="Arial" w:hAnsi="Arial"/>
          <w:sz w:val="19"/>
          <w:szCs w:val="19"/>
          <w:b w:val="1"/>
          <w:bCs w:val="1"/>
          <w:color w:val="auto"/>
        </w:rPr>
        <w:t>Our employees, consultants, advisors or independent contractors may have wrongfully used or disclosed, or may in the future wrongfully use or disclose, confidential information or alleged trade secrets of ours, third parties or former employers of theirs.</w:t>
      </w:r>
    </w:p>
    <w:p>
      <w:pPr>
        <w:spacing w:after="0" w:line="120" w:lineRule="exact"/>
        <w:rPr>
          <w:sz w:val="20"/>
          <w:szCs w:val="20"/>
          <w:color w:val="auto"/>
        </w:rPr>
      </w:pPr>
    </w:p>
    <w:p>
      <w:pPr>
        <w:ind w:left="120" w:right="280"/>
        <w:spacing w:after="0" w:line="324" w:lineRule="auto"/>
        <w:rPr>
          <w:sz w:val="20"/>
          <w:szCs w:val="20"/>
          <w:color w:val="auto"/>
        </w:rPr>
      </w:pPr>
      <w:r>
        <w:rPr>
          <w:rFonts w:ascii="Arial" w:cs="Arial" w:eastAsia="Arial" w:hAnsi="Arial"/>
          <w:sz w:val="17"/>
          <w:szCs w:val="17"/>
          <w:color w:val="auto"/>
        </w:rPr>
        <w:t>We have employed and expect to employ individuals, and engaged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12" w:lineRule="exact"/>
        <w:rPr>
          <w:sz w:val="20"/>
          <w:szCs w:val="20"/>
          <w:color w:val="auto"/>
        </w:rPr>
      </w:pPr>
    </w:p>
    <w:p>
      <w:pPr>
        <w:ind w:left="120" w:right="300"/>
        <w:spacing w:after="0" w:line="30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72</w:t>
      </w:r>
    </w:p>
    <w:p>
      <w:pPr>
        <w:sectPr>
          <w:pgSz w:w="12240" w:h="15840" w:orient="portrait"/>
          <w:cols w:equalWidth="0" w:num="1">
            <w:col w:w="9360"/>
          </w:cols>
          <w:pgMar w:left="1440" w:top="1440" w:right="1440" w:bottom="610" w:gutter="0" w:footer="0" w:header="0"/>
          <w:type w:val="continuous"/>
        </w:sectPr>
      </w:pPr>
    </w:p>
    <w:bookmarkStart w:id="79" w:name="page80"/>
    <w:bookmarkEnd w:id="79"/>
    <w:p>
      <w:pPr>
        <w:spacing w:after="0" w:line="352" w:lineRule="exact"/>
        <w:rPr>
          <w:sz w:val="20"/>
          <w:szCs w:val="20"/>
          <w:color w:val="auto"/>
        </w:rPr>
      </w:pPr>
    </w:p>
    <w:p>
      <w:pPr>
        <w:ind w:left="120" w:right="300"/>
        <w:spacing w:after="0" w:line="328" w:lineRule="auto"/>
        <w:rPr>
          <w:sz w:val="20"/>
          <w:szCs w:val="20"/>
          <w:color w:val="auto"/>
        </w:rPr>
      </w:pPr>
      <w:r>
        <w:rPr>
          <w:rFonts w:ascii="Arial" w:cs="Arial" w:eastAsia="Arial" w:hAnsi="Arial"/>
          <w:sz w:val="17"/>
          <w:szCs w:val="17"/>
          <w:color w:val="auto"/>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spacing w:after="0" w:line="113" w:lineRule="exact"/>
        <w:rPr>
          <w:sz w:val="20"/>
          <w:szCs w:val="20"/>
          <w:color w:val="auto"/>
        </w:rPr>
      </w:pPr>
    </w:p>
    <w:p>
      <w:pPr>
        <w:jc w:val="both"/>
        <w:ind w:left="120" w:right="300"/>
        <w:spacing w:after="0" w:line="354" w:lineRule="auto"/>
        <w:rPr>
          <w:sz w:val="20"/>
          <w:szCs w:val="20"/>
          <w:color w:val="auto"/>
        </w:rPr>
      </w:pPr>
      <w:r>
        <w:rPr>
          <w:rFonts w:ascii="Arial" w:cs="Arial" w:eastAsia="Arial" w:hAnsi="Arial"/>
          <w:sz w:val="17"/>
          <w:szCs w:val="17"/>
          <w:b w:val="1"/>
          <w:bCs w:val="1"/>
          <w:color w:val="auto"/>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spacing w:after="0" w:line="82" w:lineRule="exact"/>
        <w:rPr>
          <w:sz w:val="20"/>
          <w:szCs w:val="20"/>
          <w:color w:val="auto"/>
        </w:rPr>
      </w:pPr>
    </w:p>
    <w:p>
      <w:pPr>
        <w:ind w:left="120" w:right="260"/>
        <w:spacing w:after="0" w:line="323" w:lineRule="auto"/>
        <w:rPr>
          <w:sz w:val="20"/>
          <w:szCs w:val="20"/>
          <w:color w:val="auto"/>
        </w:rPr>
      </w:pPr>
      <w:r>
        <w:rPr>
          <w:rFonts w:ascii="Arial" w:cs="Arial" w:eastAsia="Arial" w:hAnsi="Arial"/>
          <w:sz w:val="17"/>
          <w:szCs w:val="17"/>
          <w:color w:val="auto"/>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122" w:lineRule="exact"/>
        <w:rPr>
          <w:sz w:val="20"/>
          <w:szCs w:val="20"/>
          <w:color w:val="auto"/>
        </w:rPr>
      </w:pPr>
    </w:p>
    <w:p>
      <w:pPr>
        <w:ind w:left="120" w:right="280"/>
        <w:spacing w:after="0" w:line="307" w:lineRule="auto"/>
        <w:rPr>
          <w:sz w:val="20"/>
          <w:szCs w:val="20"/>
          <w:color w:val="auto"/>
        </w:rPr>
      </w:pPr>
      <w:r>
        <w:rPr>
          <w:rFonts w:ascii="Arial" w:cs="Arial" w:eastAsia="Arial" w:hAnsi="Arial"/>
          <w:sz w:val="18"/>
          <w:szCs w:val="18"/>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73</w:t>
      </w:r>
    </w:p>
    <w:p>
      <w:pPr>
        <w:sectPr>
          <w:pgSz w:w="12240" w:h="15840" w:orient="portrait"/>
          <w:cols w:equalWidth="0" w:num="1">
            <w:col w:w="9360"/>
          </w:cols>
          <w:pgMar w:left="1440" w:top="1440" w:right="1440" w:bottom="610" w:gutter="0" w:footer="0" w:header="0"/>
          <w:type w:val="continuous"/>
        </w:sectPr>
      </w:pPr>
    </w:p>
    <w:bookmarkStart w:id="80" w:name="page81"/>
    <w:bookmarkEnd w:id="80"/>
    <w:p>
      <w:pPr>
        <w:spacing w:after="0" w:line="354" w:lineRule="exact"/>
        <w:rPr>
          <w:sz w:val="20"/>
          <w:szCs w:val="20"/>
          <w:color w:val="auto"/>
        </w:rPr>
      </w:pPr>
    </w:p>
    <w:p>
      <w:pPr>
        <w:ind w:left="120" w:right="300"/>
        <w:spacing w:after="0" w:line="298" w:lineRule="auto"/>
        <w:rPr>
          <w:sz w:val="20"/>
          <w:szCs w:val="20"/>
          <w:color w:val="auto"/>
        </w:rPr>
      </w:pPr>
      <w:r>
        <w:rPr>
          <w:rFonts w:ascii="Arial" w:cs="Arial" w:eastAsia="Arial" w:hAnsi="Arial"/>
          <w:sz w:val="19"/>
          <w:szCs w:val="19"/>
          <w:b w:val="1"/>
          <w:bCs w:val="1"/>
          <w:color w:val="auto"/>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spacing w:after="0" w:line="126" w:lineRule="exact"/>
        <w:rPr>
          <w:sz w:val="20"/>
          <w:szCs w:val="20"/>
          <w:color w:val="auto"/>
        </w:rPr>
      </w:pPr>
    </w:p>
    <w:p>
      <w:pPr>
        <w:ind w:left="120" w:right="340"/>
        <w:spacing w:after="0" w:line="326" w:lineRule="auto"/>
        <w:rPr>
          <w:sz w:val="20"/>
          <w:szCs w:val="20"/>
          <w:color w:val="auto"/>
        </w:rPr>
      </w:pPr>
      <w:r>
        <w:rPr>
          <w:rFonts w:ascii="Arial" w:cs="Arial" w:eastAsia="Arial" w:hAnsi="Arial"/>
          <w:sz w:val="17"/>
          <w:szCs w:val="17"/>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108" w:lineRule="exact"/>
        <w:rPr>
          <w:sz w:val="20"/>
          <w:szCs w:val="20"/>
          <w:color w:val="auto"/>
        </w:rPr>
      </w:pPr>
    </w:p>
    <w:p>
      <w:pPr>
        <w:ind w:left="120" w:right="680"/>
        <w:spacing w:after="0" w:line="324" w:lineRule="auto"/>
        <w:rPr>
          <w:sz w:val="20"/>
          <w:szCs w:val="20"/>
          <w:color w:val="auto"/>
        </w:rPr>
      </w:pPr>
      <w:r>
        <w:rPr>
          <w:rFonts w:ascii="Arial" w:cs="Arial" w:eastAsia="Arial" w:hAnsi="Arial"/>
          <w:sz w:val="19"/>
          <w:szCs w:val="19"/>
          <w:color w:val="auto"/>
        </w:rPr>
        <w:t>Moreover, disputes may also arise between us and our licensor regarding intellectual property subject to a license agreement, including:</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scope of rights granted under the license agreement and other interpretation-related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our financial or other obligations under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8" w:lineRule="exact"/>
        <w:rPr>
          <w:sz w:val="20"/>
          <w:szCs w:val="20"/>
          <w:color w:val="auto"/>
        </w:rPr>
      </w:pPr>
    </w:p>
    <w:p>
      <w:pPr>
        <w:ind w:left="800" w:right="360"/>
        <w:spacing w:after="0" w:line="324" w:lineRule="auto"/>
        <w:rPr>
          <w:sz w:val="20"/>
          <w:szCs w:val="20"/>
          <w:color w:val="auto"/>
        </w:rPr>
      </w:pPr>
      <w:r>
        <w:rPr>
          <w:rFonts w:ascii="Arial" w:cs="Arial" w:eastAsia="Arial" w:hAnsi="Arial"/>
          <w:sz w:val="19"/>
          <w:szCs w:val="19"/>
          <w:color w:val="auto"/>
        </w:rPr>
        <w:t>whether, and the extent to which, our products, technology and processes infringe on intellectual property of the licensor that is not subject to the licensing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-67310</wp:posOffset>
            </wp:positionV>
            <wp:extent cx="67945" cy="679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29" w:lineRule="exact"/>
        <w:rPr>
          <w:sz w:val="20"/>
          <w:szCs w:val="20"/>
          <w:color w:val="auto"/>
        </w:rPr>
      </w:pPr>
    </w:p>
    <w:p>
      <w:pPr>
        <w:ind w:left="800" w:right="820"/>
        <w:spacing w:after="0" w:line="326" w:lineRule="auto"/>
        <w:rPr>
          <w:sz w:val="20"/>
          <w:szCs w:val="20"/>
          <w:color w:val="auto"/>
        </w:rPr>
      </w:pPr>
      <w:r>
        <w:rPr>
          <w:rFonts w:ascii="Arial" w:cs="Arial" w:eastAsia="Arial" w:hAnsi="Arial"/>
          <w:sz w:val="19"/>
          <w:szCs w:val="19"/>
          <w:color w:val="auto"/>
        </w:rPr>
        <w:t>the inventorship and ownership of inventions and know-how resulting from the joint creation or use of intellectual property by our licensor(s);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priority of invention of patented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1" w:lineRule="exact"/>
        <w:rPr>
          <w:sz w:val="20"/>
          <w:szCs w:val="20"/>
          <w:color w:val="auto"/>
        </w:rPr>
      </w:pPr>
    </w:p>
    <w:p>
      <w:pPr>
        <w:ind w:left="120" w:right="320"/>
        <w:spacing w:after="0" w:line="291" w:lineRule="auto"/>
        <w:rPr>
          <w:sz w:val="20"/>
          <w:szCs w:val="20"/>
          <w:color w:val="auto"/>
        </w:rPr>
      </w:pPr>
      <w:r>
        <w:rPr>
          <w:rFonts w:ascii="Arial" w:cs="Arial" w:eastAsia="Arial" w:hAnsi="Arial"/>
          <w:sz w:val="19"/>
          <w:szCs w:val="19"/>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74</w:t>
      </w:r>
    </w:p>
    <w:p>
      <w:pPr>
        <w:sectPr>
          <w:pgSz w:w="12240" w:h="15840" w:orient="portrait"/>
          <w:cols w:equalWidth="0" w:num="1">
            <w:col w:w="9360"/>
          </w:cols>
          <w:pgMar w:left="1440" w:top="1440" w:right="1440" w:bottom="610" w:gutter="0" w:footer="0" w:header="0"/>
          <w:type w:val="continuous"/>
        </w:sectPr>
      </w:pPr>
    </w:p>
    <w:bookmarkStart w:id="81" w:name="page82"/>
    <w:bookmarkEnd w:id="81"/>
    <w:p>
      <w:pPr>
        <w:spacing w:after="0" w:line="352" w:lineRule="exact"/>
        <w:rPr>
          <w:sz w:val="20"/>
          <w:szCs w:val="20"/>
          <w:color w:val="auto"/>
        </w:rPr>
      </w:pPr>
    </w:p>
    <w:p>
      <w:pPr>
        <w:ind w:left="120" w:right="280"/>
        <w:spacing w:after="0" w:line="290" w:lineRule="auto"/>
        <w:rPr>
          <w:sz w:val="20"/>
          <w:szCs w:val="20"/>
          <w:color w:val="auto"/>
        </w:rPr>
      </w:pPr>
      <w:r>
        <w:rPr>
          <w:rFonts w:ascii="Arial" w:cs="Arial" w:eastAsia="Arial" w:hAnsi="Arial"/>
          <w:sz w:val="19"/>
          <w:szCs w:val="19"/>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34" w:lineRule="exact"/>
        <w:rPr>
          <w:sz w:val="20"/>
          <w:szCs w:val="20"/>
          <w:color w:val="auto"/>
        </w:rPr>
      </w:pPr>
    </w:p>
    <w:p>
      <w:pPr>
        <w:ind w:left="120" w:right="280"/>
        <w:spacing w:after="0" w:line="309" w:lineRule="auto"/>
        <w:rPr>
          <w:sz w:val="20"/>
          <w:szCs w:val="20"/>
          <w:color w:val="auto"/>
        </w:rPr>
      </w:pPr>
      <w:r>
        <w:rPr>
          <w:rFonts w:ascii="Arial" w:cs="Arial" w:eastAsia="Arial" w:hAnsi="Arial"/>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24" w:lineRule="exact"/>
        <w:rPr>
          <w:sz w:val="20"/>
          <w:szCs w:val="20"/>
          <w:color w:val="auto"/>
        </w:rPr>
      </w:pPr>
    </w:p>
    <w:p>
      <w:pPr>
        <w:ind w:left="120" w:right="740"/>
        <w:spacing w:after="0" w:line="322" w:lineRule="auto"/>
        <w:rPr>
          <w:sz w:val="20"/>
          <w:szCs w:val="20"/>
          <w:color w:val="auto"/>
        </w:rPr>
      </w:pPr>
      <w:r>
        <w:rPr>
          <w:rFonts w:ascii="Arial" w:cs="Arial" w:eastAsia="Arial" w:hAnsi="Arial"/>
          <w:sz w:val="19"/>
          <w:szCs w:val="19"/>
          <w:b w:val="1"/>
          <w:bCs w:val="1"/>
          <w:color w:val="auto"/>
        </w:rPr>
        <w:t>If we cannot license rights to use technologies on reasonable terms, we may not be able to commercialize new products or services in the future.</w:t>
      </w:r>
    </w:p>
    <w:p>
      <w:pPr>
        <w:spacing w:after="0" w:line="102" w:lineRule="exact"/>
        <w:rPr>
          <w:sz w:val="20"/>
          <w:szCs w:val="20"/>
          <w:color w:val="auto"/>
        </w:rPr>
      </w:pPr>
    </w:p>
    <w:p>
      <w:pPr>
        <w:ind w:left="120" w:right="380"/>
        <w:spacing w:after="0" w:line="309"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19" w:lineRule="exact"/>
        <w:rPr>
          <w:sz w:val="20"/>
          <w:szCs w:val="20"/>
          <w:color w:val="auto"/>
        </w:rPr>
      </w:pPr>
    </w:p>
    <w:p>
      <w:pPr>
        <w:ind w:left="120" w:right="340"/>
        <w:spacing w:after="0" w:line="327" w:lineRule="auto"/>
        <w:rPr>
          <w:sz w:val="20"/>
          <w:szCs w:val="20"/>
          <w:color w:val="auto"/>
        </w:rPr>
      </w:pPr>
      <w:r>
        <w:rPr>
          <w:rFonts w:ascii="Arial" w:cs="Arial" w:eastAsia="Arial" w:hAnsi="Arial"/>
          <w:sz w:val="17"/>
          <w:szCs w:val="17"/>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75</w:t>
      </w:r>
    </w:p>
    <w:p>
      <w:pPr>
        <w:sectPr>
          <w:pgSz w:w="12240" w:h="15840" w:orient="portrait"/>
          <w:cols w:equalWidth="0" w:num="1">
            <w:col w:w="9360"/>
          </w:cols>
          <w:pgMar w:left="1440" w:top="1440" w:right="1440" w:bottom="610" w:gutter="0" w:footer="0" w:header="0"/>
          <w:type w:val="continuous"/>
        </w:sectPr>
      </w:pPr>
    </w:p>
    <w:bookmarkStart w:id="82" w:name="page83"/>
    <w:bookmarkEnd w:id="82"/>
    <w:p>
      <w:pPr>
        <w:spacing w:after="0" w:line="354" w:lineRule="exact"/>
        <w:rPr>
          <w:sz w:val="20"/>
          <w:szCs w:val="20"/>
          <w:color w:val="auto"/>
        </w:rPr>
      </w:pPr>
    </w:p>
    <w:p>
      <w:pPr>
        <w:ind w:left="120" w:right="340"/>
        <w:spacing w:after="0" w:line="329" w:lineRule="auto"/>
        <w:rPr>
          <w:sz w:val="20"/>
          <w:szCs w:val="20"/>
          <w:color w:val="auto"/>
        </w:rPr>
      </w:pPr>
      <w:r>
        <w:rPr>
          <w:rFonts w:ascii="Arial" w:cs="Arial" w:eastAsia="Arial" w:hAnsi="Arial"/>
          <w:sz w:val="18"/>
          <w:szCs w:val="18"/>
          <w:b w:val="1"/>
          <w:b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99" w:lineRule="exact"/>
        <w:rPr>
          <w:sz w:val="20"/>
          <w:szCs w:val="20"/>
          <w:color w:val="auto"/>
        </w:rPr>
      </w:pPr>
    </w:p>
    <w:p>
      <w:pPr>
        <w:ind w:left="120" w:right="280"/>
        <w:spacing w:after="0" w:line="323" w:lineRule="auto"/>
        <w:rPr>
          <w:sz w:val="20"/>
          <w:szCs w:val="20"/>
          <w:color w:val="auto"/>
        </w:rPr>
      </w:pPr>
      <w:r>
        <w:rPr>
          <w:rFonts w:ascii="Arial" w:cs="Arial" w:eastAsia="Arial" w:hAnsi="Arial"/>
          <w:sz w:val="17"/>
          <w:szCs w:val="17"/>
          <w:color w:val="auto"/>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24" w:lineRule="exact"/>
        <w:rPr>
          <w:sz w:val="20"/>
          <w:szCs w:val="20"/>
          <w:color w:val="auto"/>
        </w:rPr>
      </w:pPr>
    </w:p>
    <w:p>
      <w:pPr>
        <w:jc w:val="both"/>
        <w:ind w:left="120" w:right="580"/>
        <w:spacing w:after="0" w:line="354" w:lineRule="auto"/>
        <w:rPr>
          <w:sz w:val="20"/>
          <w:szCs w:val="20"/>
          <w:color w:val="auto"/>
        </w:rPr>
      </w:pPr>
      <w:r>
        <w:rPr>
          <w:rFonts w:ascii="Arial" w:cs="Arial" w:eastAsia="Arial" w:hAnsi="Arial"/>
          <w:sz w:val="17"/>
          <w:szCs w:val="17"/>
          <w:b w:val="1"/>
          <w:bCs w:val="1"/>
          <w:color w:val="auto"/>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spacing w:after="0" w:line="82" w:lineRule="exact"/>
        <w:rPr>
          <w:sz w:val="20"/>
          <w:szCs w:val="20"/>
          <w:color w:val="auto"/>
        </w:rPr>
      </w:pPr>
    </w:p>
    <w:p>
      <w:pPr>
        <w:ind w:left="120" w:right="340"/>
        <w:spacing w:after="0" w:line="324" w:lineRule="auto"/>
        <w:rPr>
          <w:sz w:val="20"/>
          <w:szCs w:val="20"/>
          <w:color w:val="auto"/>
        </w:rPr>
      </w:pPr>
      <w:r>
        <w:rPr>
          <w:rFonts w:ascii="Arial" w:cs="Arial" w:eastAsia="Arial" w:hAnsi="Arial"/>
          <w:sz w:val="17"/>
          <w:szCs w:val="17"/>
          <w:color w:val="auto"/>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76</w:t>
      </w:r>
    </w:p>
    <w:p>
      <w:pPr>
        <w:sectPr>
          <w:pgSz w:w="12240" w:h="15840" w:orient="portrait"/>
          <w:cols w:equalWidth="0" w:num="1">
            <w:col w:w="9360"/>
          </w:cols>
          <w:pgMar w:left="1440" w:top="1440" w:right="1440" w:bottom="610" w:gutter="0" w:footer="0" w:header="0"/>
          <w:type w:val="continuous"/>
        </w:sectPr>
      </w:pPr>
    </w:p>
    <w:bookmarkStart w:id="83" w:name="page84"/>
    <w:bookmarkEnd w:id="83"/>
    <w:p>
      <w:pPr>
        <w:spacing w:after="0" w:line="352" w:lineRule="exact"/>
        <w:rPr>
          <w:sz w:val="20"/>
          <w:szCs w:val="20"/>
          <w:color w:val="auto"/>
        </w:rPr>
      </w:pPr>
    </w:p>
    <w:p>
      <w:pPr>
        <w:ind w:left="120" w:right="280"/>
        <w:spacing w:after="0" w:line="327" w:lineRule="auto"/>
        <w:rPr>
          <w:sz w:val="20"/>
          <w:szCs w:val="20"/>
          <w:color w:val="auto"/>
        </w:rPr>
      </w:pPr>
      <w:r>
        <w:rPr>
          <w:rFonts w:ascii="Arial" w:cs="Arial" w:eastAsia="Arial" w:hAnsi="Arial"/>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Intellectual property rights do not necessarily address all potential threats.</w:t>
      </w:r>
    </w:p>
    <w:p>
      <w:pPr>
        <w:spacing w:after="0" w:line="211" w:lineRule="exact"/>
        <w:rPr>
          <w:sz w:val="20"/>
          <w:szCs w:val="20"/>
          <w:color w:val="auto"/>
        </w:rPr>
      </w:pPr>
    </w:p>
    <w:p>
      <w:pPr>
        <w:ind w:left="120" w:right="460"/>
        <w:spacing w:after="0" w:line="305" w:lineRule="auto"/>
        <w:rPr>
          <w:sz w:val="20"/>
          <w:szCs w:val="20"/>
          <w:color w:val="auto"/>
        </w:rPr>
      </w:pPr>
      <w:r>
        <w:rPr>
          <w:rFonts w:ascii="Arial" w:cs="Arial" w:eastAsia="Arial" w:hAnsi="Arial"/>
          <w:sz w:val="19"/>
          <w:szCs w:val="19"/>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2" w:lineRule="exact"/>
        <w:rPr>
          <w:sz w:val="20"/>
          <w:szCs w:val="20"/>
          <w:color w:val="auto"/>
        </w:rPr>
      </w:pPr>
    </w:p>
    <w:p>
      <w:pPr>
        <w:ind w:left="800" w:right="380"/>
        <w:spacing w:after="0" w:line="305" w:lineRule="auto"/>
        <w:rPr>
          <w:sz w:val="20"/>
          <w:szCs w:val="20"/>
          <w:color w:val="auto"/>
        </w:rPr>
      </w:pPr>
      <w:r>
        <w:rPr>
          <w:rFonts w:ascii="Arial" w:cs="Arial" w:eastAsia="Arial" w:hAnsi="Arial"/>
          <w:sz w:val="19"/>
          <w:szCs w:val="19"/>
          <w:color w:val="auto"/>
        </w:rPr>
        <w:t>others may be able to make products or services that are similar to products and technologies we may develop or utilize similar technology that are not covered by the claims of the patents that we own or license now or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-472440</wp:posOffset>
            </wp:positionV>
            <wp:extent cx="67945" cy="679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2" w:lineRule="exact"/>
        <w:rPr>
          <w:sz w:val="20"/>
          <w:szCs w:val="20"/>
          <w:color w:val="auto"/>
        </w:rPr>
      </w:pPr>
    </w:p>
    <w:p>
      <w:pPr>
        <w:ind w:left="800" w:right="540"/>
        <w:spacing w:after="0" w:line="326" w:lineRule="auto"/>
        <w:rPr>
          <w:sz w:val="20"/>
          <w:szCs w:val="20"/>
          <w:color w:val="auto"/>
        </w:rPr>
      </w:pPr>
      <w:r>
        <w:rPr>
          <w:rFonts w:ascii="Arial" w:cs="Arial" w:eastAsia="Arial" w:hAnsi="Arial"/>
          <w:sz w:val="19"/>
          <w:szCs w:val="19"/>
          <w:color w:val="auto"/>
        </w:rPr>
        <w:t>we, or our licensor(s), might not have been the first to make the inventions covered by the issued patent or pending patent application that we license or may own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360"/>
        <w:spacing w:after="0" w:line="326" w:lineRule="auto"/>
        <w:rPr>
          <w:sz w:val="20"/>
          <w:szCs w:val="20"/>
          <w:color w:val="auto"/>
        </w:rPr>
      </w:pPr>
      <w:r>
        <w:rPr>
          <w:rFonts w:ascii="Arial" w:cs="Arial" w:eastAsia="Arial" w:hAnsi="Arial"/>
          <w:sz w:val="19"/>
          <w:szCs w:val="19"/>
          <w:color w:val="auto"/>
        </w:rPr>
        <w:t>we, or our licensor(s), might not have been the first to file patent applications covering certain of our or their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260"/>
        <w:spacing w:after="0" w:line="390" w:lineRule="auto"/>
        <w:rPr>
          <w:sz w:val="20"/>
          <w:szCs w:val="20"/>
          <w:color w:val="auto"/>
        </w:rPr>
      </w:pPr>
      <w:r>
        <w:rPr>
          <w:rFonts w:ascii="Arial" w:cs="Arial" w:eastAsia="Arial" w:hAnsi="Arial"/>
          <w:sz w:val="17"/>
          <w:szCs w:val="17"/>
          <w:color w:val="auto"/>
        </w:rPr>
        <w:t>others may independently develop similar or alternative technologies or duplicate any of our technologies without infringing, misappropriating or otherwise violating our owned or licensed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-346710</wp:posOffset>
            </wp:positionV>
            <wp:extent cx="67945" cy="679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8" w:lineRule="exact"/>
        <w:rPr>
          <w:sz w:val="20"/>
          <w:szCs w:val="20"/>
          <w:color w:val="auto"/>
        </w:rPr>
      </w:pPr>
    </w:p>
    <w:p>
      <w:pPr>
        <w:ind w:left="800" w:right="380"/>
        <w:spacing w:after="0" w:line="326" w:lineRule="auto"/>
        <w:rPr>
          <w:sz w:val="20"/>
          <w:szCs w:val="20"/>
          <w:color w:val="auto"/>
        </w:rPr>
      </w:pPr>
      <w:r>
        <w:rPr>
          <w:rFonts w:ascii="Arial" w:cs="Arial" w:eastAsia="Arial" w:hAnsi="Arial"/>
          <w:sz w:val="19"/>
          <w:szCs w:val="19"/>
          <w:color w:val="auto"/>
        </w:rPr>
        <w:t>it is possible that our pending patent applications, and our licensed pending patent applications, or those that we may own or license in the future, will not lead to issued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760"/>
        <w:spacing w:after="0" w:line="326" w:lineRule="auto"/>
        <w:rPr>
          <w:sz w:val="20"/>
          <w:szCs w:val="20"/>
          <w:color w:val="auto"/>
        </w:rPr>
      </w:pPr>
      <w:r>
        <w:rPr>
          <w:rFonts w:ascii="Arial" w:cs="Arial" w:eastAsia="Arial" w:hAnsi="Arial"/>
          <w:sz w:val="19"/>
          <w:szCs w:val="19"/>
          <w:color w:val="auto"/>
        </w:rPr>
        <w:t>issued patents that we hold rights to may be held invalid or unenforceable, including as a result of legal challenges by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340"/>
        <w:spacing w:after="0" w:line="305" w:lineRule="auto"/>
        <w:rPr>
          <w:sz w:val="20"/>
          <w:szCs w:val="20"/>
          <w:color w:val="auto"/>
        </w:rPr>
      </w:pPr>
      <w:r>
        <w:rPr>
          <w:rFonts w:ascii="Arial" w:cs="Arial" w:eastAsia="Arial" w:hAnsi="Arial"/>
          <w:sz w:val="19"/>
          <w:szCs w:val="19"/>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-472440</wp:posOffset>
            </wp:positionV>
            <wp:extent cx="67945" cy="679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we, and our licensor(s), may not develop additional proprietary technologies that are patentable;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patents of others may harm our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360"/>
        <w:spacing w:after="0" w:line="326" w:lineRule="auto"/>
        <w:rPr>
          <w:sz w:val="20"/>
          <w:szCs w:val="20"/>
          <w:color w:val="auto"/>
        </w:rPr>
      </w:pPr>
      <w:r>
        <w:rPr>
          <w:rFonts w:ascii="Arial" w:cs="Arial" w:eastAsia="Arial" w:hAnsi="Arial"/>
          <w:sz w:val="19"/>
          <w:szCs w:val="19"/>
          <w:color w:val="auto"/>
        </w:rPr>
        <w:t>we may choose not to file a patent for certain trade secrets or know-how, and a third party may subsequently file a patent covering such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77" w:lineRule="exact"/>
        <w:rPr>
          <w:sz w:val="20"/>
          <w:szCs w:val="20"/>
          <w:color w:val="auto"/>
        </w:rPr>
      </w:pPr>
    </w:p>
    <w:p>
      <w:pPr>
        <w:ind w:left="120" w:right="500"/>
        <w:spacing w:after="0" w:line="326" w:lineRule="auto"/>
        <w:rPr>
          <w:sz w:val="20"/>
          <w:szCs w:val="20"/>
          <w:color w:val="auto"/>
        </w:rPr>
      </w:pPr>
      <w:r>
        <w:rPr>
          <w:rFonts w:ascii="Arial" w:cs="Arial" w:eastAsia="Arial" w:hAnsi="Arial"/>
          <w:sz w:val="19"/>
          <w:szCs w:val="19"/>
          <w:color w:val="auto"/>
        </w:rPr>
        <w:t>Should any of these events occur, they could materially adversely affect our business, financial condition, results of operations and prospects.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77</w:t>
      </w:r>
    </w:p>
    <w:p>
      <w:pPr>
        <w:sectPr>
          <w:pgSz w:w="12240" w:h="15840" w:orient="portrait"/>
          <w:cols w:equalWidth="0" w:num="1">
            <w:col w:w="9360"/>
          </w:cols>
          <w:pgMar w:left="1440" w:top="1440" w:right="1440" w:bottom="610" w:gutter="0" w:footer="0" w:header="0"/>
          <w:type w:val="continuous"/>
        </w:sectPr>
      </w:pPr>
    </w:p>
    <w:bookmarkStart w:id="84" w:name="page85"/>
    <w:bookmarkEnd w:id="84"/>
    <w:p>
      <w:pPr>
        <w:spacing w:after="0" w:line="3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Risks Related to Ownership of Our Class A Common Stock</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An active trading market for our Class A common stock may not be sustained.</w:t>
      </w:r>
    </w:p>
    <w:p>
      <w:pPr>
        <w:spacing w:after="0" w:line="209" w:lineRule="exact"/>
        <w:rPr>
          <w:sz w:val="20"/>
          <w:szCs w:val="20"/>
          <w:color w:val="auto"/>
        </w:rPr>
      </w:pPr>
    </w:p>
    <w:p>
      <w:pPr>
        <w:ind w:left="120" w:right="280"/>
        <w:spacing w:after="0" w:line="338" w:lineRule="auto"/>
        <w:rPr>
          <w:sz w:val="20"/>
          <w:szCs w:val="20"/>
          <w:color w:val="auto"/>
        </w:rPr>
      </w:pPr>
      <w:r>
        <w:rPr>
          <w:rFonts w:ascii="Arial" w:cs="Arial" w:eastAsia="Arial" w:hAnsi="Arial"/>
          <w:sz w:val="17"/>
          <w:szCs w:val="17"/>
          <w:color w:val="auto"/>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98" w:lineRule="exact"/>
        <w:rPr>
          <w:sz w:val="20"/>
          <w:szCs w:val="20"/>
          <w:color w:val="auto"/>
        </w:rPr>
      </w:pPr>
    </w:p>
    <w:p>
      <w:pPr>
        <w:ind w:left="120" w:right="260"/>
        <w:spacing w:after="0" w:line="304" w:lineRule="auto"/>
        <w:rPr>
          <w:sz w:val="20"/>
          <w:szCs w:val="20"/>
          <w:color w:val="auto"/>
        </w:rPr>
      </w:pPr>
      <w:r>
        <w:rPr>
          <w:rFonts w:ascii="Arial" w:cs="Arial" w:eastAsia="Arial" w:hAnsi="Arial"/>
          <w:sz w:val="19"/>
          <w:szCs w:val="19"/>
          <w:b w:val="1"/>
          <w:bCs w:val="1"/>
          <w:color w:val="auto"/>
        </w:rPr>
        <w:t>If we fail to maintain compliance with the listing requirements of the Nasdaq Global Select Market, we may be delisted and the price of our Class A common stock and our ability to access the capital markets could be negatively impacted.</w:t>
      </w:r>
    </w:p>
    <w:p>
      <w:pPr>
        <w:spacing w:after="0" w:line="120" w:lineRule="exact"/>
        <w:rPr>
          <w:sz w:val="20"/>
          <w:szCs w:val="20"/>
          <w:color w:val="auto"/>
        </w:rPr>
      </w:pPr>
    </w:p>
    <w:p>
      <w:pPr>
        <w:ind w:left="120" w:right="420"/>
        <w:spacing w:after="0" w:line="292" w:lineRule="auto"/>
        <w:rPr>
          <w:sz w:val="20"/>
          <w:szCs w:val="20"/>
          <w:color w:val="auto"/>
        </w:rPr>
      </w:pPr>
      <w:r>
        <w:rPr>
          <w:rFonts w:ascii="Arial" w:cs="Arial" w:eastAsia="Arial" w:hAnsi="Arial"/>
          <w:sz w:val="19"/>
          <w:szCs w:val="19"/>
          <w:color w:val="auto"/>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spacing w:after="0" w:line="131" w:lineRule="exact"/>
        <w:rPr>
          <w:sz w:val="20"/>
          <w:szCs w:val="20"/>
          <w:color w:val="auto"/>
        </w:rPr>
      </w:pPr>
    </w:p>
    <w:p>
      <w:pPr>
        <w:ind w:left="120" w:right="260"/>
        <w:spacing w:after="0" w:line="324" w:lineRule="auto"/>
        <w:rPr>
          <w:sz w:val="20"/>
          <w:szCs w:val="20"/>
          <w:color w:val="auto"/>
        </w:rPr>
      </w:pPr>
      <w:r>
        <w:rPr>
          <w:rFonts w:ascii="Arial" w:cs="Arial" w:eastAsia="Arial" w:hAnsi="Arial"/>
          <w:sz w:val="17"/>
          <w:szCs w:val="17"/>
          <w:color w:val="auto"/>
        </w:rPr>
        <w:t>We may fail to satisfy one or more of the Nasdaq Global Select Market requirements for continued listing of our Class A common stock in the future. For example, on July 11, 2024, we notified The Nasdaq Stock Market LLC (Nasdaq) that upon the effectiveness of the resignation of Rachel Haurwitz, Ph.D., we would no longer be in compliance with the Nasdaq Listing Rule 5605(c)(2)(A), which requires that (i) the Audit Committee of the Board be composed of at least three members, and (ii) that one member of the Audit Committee qualifies as an “audit committee financial expert” under Item 407(d)(5)(iii) of Regulation S-K. During such period of noncompliance, we relied on the cure period provided by the Nasdaq Listing Rule 5605(c)(4)(B). On July 19, 2024, the Board appointed David Hallal to serve on the Audit Committee and determined that he met the requirements to qualify as the “audit committee financial expert” under Item 407(d)(5)(iii) of Regulation S-K. We believe that Mr. Hallal’s appointment resolved any potential non-compliance with the applicable Nasdaq Listing Rules.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The market price of our Class A common stock has been and may continue to be volatile.</w:t>
      </w:r>
    </w:p>
    <w:p>
      <w:pPr>
        <w:spacing w:after="0" w:line="209" w:lineRule="exact"/>
        <w:rPr>
          <w:sz w:val="20"/>
          <w:szCs w:val="20"/>
          <w:color w:val="auto"/>
        </w:rPr>
      </w:pPr>
    </w:p>
    <w:p>
      <w:pPr>
        <w:ind w:left="120" w:right="620"/>
        <w:spacing w:after="0" w:line="326" w:lineRule="auto"/>
        <w:rPr>
          <w:sz w:val="20"/>
          <w:szCs w:val="20"/>
          <w:color w:val="auto"/>
        </w:rPr>
      </w:pPr>
      <w:r>
        <w:rPr>
          <w:rFonts w:ascii="Arial" w:cs="Arial" w:eastAsia="Arial" w:hAnsi="Arial"/>
          <w:sz w:val="19"/>
          <w:szCs w:val="19"/>
          <w:color w:val="auto"/>
        </w:rPr>
        <w:t>Some of the factors that may cause the market price of our Class A common stock to fluctuate include, but are not limited to:</w:t>
      </w:r>
    </w:p>
    <w:p>
      <w:pPr>
        <w:spacing w:after="0" w:line="109" w:lineRule="exact"/>
        <w:rPr>
          <w:sz w:val="20"/>
          <w:szCs w:val="20"/>
          <w:color w:val="auto"/>
        </w:rPr>
      </w:pPr>
    </w:p>
    <w:p>
      <w:pPr>
        <w:ind w:left="800" w:right="540"/>
        <w:spacing w:after="0" w:line="324" w:lineRule="auto"/>
        <w:rPr>
          <w:sz w:val="20"/>
          <w:szCs w:val="20"/>
          <w:color w:val="auto"/>
        </w:rPr>
      </w:pPr>
      <w:r>
        <w:rPr>
          <w:rFonts w:ascii="Arial" w:cs="Arial" w:eastAsia="Arial" w:hAnsi="Arial"/>
          <w:sz w:val="19"/>
          <w:szCs w:val="19"/>
          <w:color w:val="auto"/>
        </w:rPr>
        <w:t>the degree to which our launch and commercialization of our products meets the expectations of securities analysts and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800" w:right="460"/>
        <w:spacing w:after="0" w:line="326" w:lineRule="auto"/>
        <w:rPr>
          <w:sz w:val="20"/>
          <w:szCs w:val="20"/>
          <w:color w:val="auto"/>
        </w:rPr>
      </w:pPr>
      <w:r>
        <w:rPr>
          <w:rFonts w:ascii="Arial" w:cs="Arial" w:eastAsia="Arial" w:hAnsi="Arial"/>
          <w:sz w:val="19"/>
          <w:szCs w:val="19"/>
          <w:color w:val="auto"/>
        </w:rPr>
        <w:t>actual or anticipated fluctuations in our operating results, including fluctuations in our quarterly and annual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revenue being less than anticipated or operating expenses being more than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78</w:t>
      </w:r>
    </w:p>
    <w:p>
      <w:pPr>
        <w:sectPr>
          <w:pgSz w:w="12240" w:h="15840" w:orient="portrait"/>
          <w:cols w:equalWidth="0" w:num="1">
            <w:col w:w="9360"/>
          </w:cols>
          <w:pgMar w:left="1440" w:top="1440" w:right="1440" w:bottom="610" w:gutter="0" w:footer="0" w:header="0"/>
          <w:type w:val="continuous"/>
        </w:sectPr>
      </w:pPr>
    </w:p>
    <w:bookmarkStart w:id="85" w:name="page86"/>
    <w:bookmarkEnd w:id="85"/>
    <w:p>
      <w:pPr>
        <w:spacing w:after="0" w:line="35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failure or discontinuation of any of our product development and research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920"/>
        <w:spacing w:after="0" w:line="433" w:lineRule="auto"/>
        <w:rPr>
          <w:sz w:val="20"/>
          <w:szCs w:val="20"/>
          <w:color w:val="auto"/>
        </w:rPr>
      </w:pPr>
      <w:r>
        <w:rPr>
          <w:rFonts w:ascii="Arial" w:cs="Arial" w:eastAsia="Arial" w:hAnsi="Arial"/>
          <w:sz w:val="16"/>
          <w:szCs w:val="16"/>
          <w:color w:val="auto"/>
        </w:rPr>
        <w:t>changes in the structure or funding of research at academic and research laboratories and institutions, including changes that would affect their ability to purchase our instruments or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-365125</wp:posOffset>
            </wp:positionV>
            <wp:extent cx="67945" cy="679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success of existing or new competitive businesses or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announcements about new research programs or products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developments or disputes concerning patent applications, issued patents or other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-74930</wp:posOffset>
            </wp:positionV>
            <wp:extent cx="67945" cy="679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7"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recruitment or departure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litigation and governmental investigations involving us, our industry or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regulatory or legal developments in the United States and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jc w:val="both"/>
        <w:ind w:left="800" w:right="1060"/>
        <w:spacing w:after="0" w:line="307" w:lineRule="auto"/>
        <w:rPr>
          <w:sz w:val="20"/>
          <w:szCs w:val="20"/>
          <w:color w:val="auto"/>
        </w:rPr>
      </w:pPr>
      <w:r>
        <w:rPr>
          <w:rFonts w:ascii="Arial" w:cs="Arial" w:eastAsia="Arial" w:hAnsi="Arial"/>
          <w:sz w:val="19"/>
          <w:szCs w:val="19"/>
          <w:color w:val="auto"/>
        </w:rPr>
        <w:t>volatility and variations in market conditions in the life sciences technology sector generally, or the proteomics or genomics sectors specifically, including volatility in the stock prices of publicly held companies 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-475615</wp:posOffset>
            </wp:positionV>
            <wp:extent cx="67945" cy="679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investor perceptions of us or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level of expenses related to any of our research and development programs 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jc w:val="both"/>
        <w:ind w:left="800" w:right="360"/>
        <w:spacing w:after="0" w:line="299" w:lineRule="auto"/>
        <w:rPr>
          <w:sz w:val="20"/>
          <w:szCs w:val="20"/>
          <w:color w:val="auto"/>
        </w:rPr>
      </w:pPr>
      <w:r>
        <w:rPr>
          <w:rFonts w:ascii="Arial" w:cs="Arial" w:eastAsia="Arial" w:hAnsi="Arial"/>
          <w:sz w:val="19"/>
          <w:szCs w:val="19"/>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-635000</wp:posOffset>
            </wp:positionV>
            <wp:extent cx="67945" cy="679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whether our financial results meet the expectations of securities analysts or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short-selling strategies that may drive down the price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the announcement or expectation of additional financing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right="300"/>
        <w:spacing w:after="0" w:line="324" w:lineRule="auto"/>
        <w:rPr>
          <w:sz w:val="20"/>
          <w:szCs w:val="20"/>
          <w:color w:val="auto"/>
        </w:rPr>
      </w:pPr>
      <w:r>
        <w:rPr>
          <w:rFonts w:ascii="Arial" w:cs="Arial" w:eastAsia="Arial" w:hAnsi="Arial"/>
          <w:sz w:val="19"/>
          <w:szCs w:val="19"/>
          <w:color w:val="auto"/>
        </w:rPr>
        <w:t>sales of our Class A common stock by us or sales of our Class A common stock or Class B common stock by our insiders or other stockholders, or future stock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6" w:lineRule="exact"/>
        <w:rPr>
          <w:sz w:val="20"/>
          <w:szCs w:val="20"/>
          <w:color w:val="auto"/>
        </w:rPr>
      </w:pPr>
    </w:p>
    <w:p>
      <w:pPr>
        <w:ind w:left="800" w:right="740"/>
        <w:spacing w:after="0" w:line="324" w:lineRule="auto"/>
        <w:rPr>
          <w:sz w:val="20"/>
          <w:szCs w:val="20"/>
          <w:color w:val="auto"/>
        </w:rPr>
      </w:pPr>
      <w:r>
        <w:rPr>
          <w:rFonts w:ascii="Arial" w:cs="Arial" w:eastAsia="Arial" w:hAnsi="Arial"/>
          <w:sz w:val="19"/>
          <w:szCs w:val="19"/>
          <w:color w:val="auto"/>
        </w:rPr>
        <w:t>the perceived solvency of financial institutions with which we have financial deposits or investments in excess of insurance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general economic, industry and market conditions;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health epidemics such as the COVID-19 pandemic, natural disasters or major catastrophic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79</w:t>
      </w:r>
    </w:p>
    <w:p>
      <w:pPr>
        <w:sectPr>
          <w:pgSz w:w="12240" w:h="15840" w:orient="portrait"/>
          <w:cols w:equalWidth="0" w:num="1">
            <w:col w:w="9360"/>
          </w:cols>
          <w:pgMar w:left="1440" w:top="1440" w:right="1440" w:bottom="610" w:gutter="0" w:footer="0" w:header="0"/>
          <w:type w:val="continuous"/>
        </w:sectPr>
      </w:pPr>
    </w:p>
    <w:bookmarkStart w:id="86" w:name="page87"/>
    <w:bookmarkEnd w:id="86"/>
    <w:p>
      <w:pPr>
        <w:spacing w:after="0" w:line="352" w:lineRule="exact"/>
        <w:rPr>
          <w:sz w:val="20"/>
          <w:szCs w:val="20"/>
          <w:color w:val="auto"/>
        </w:rPr>
      </w:pPr>
    </w:p>
    <w:p>
      <w:pPr>
        <w:ind w:left="120" w:right="260"/>
        <w:spacing w:after="0" w:line="328" w:lineRule="auto"/>
        <w:rPr>
          <w:sz w:val="20"/>
          <w:szCs w:val="20"/>
          <w:color w:val="auto"/>
        </w:rPr>
      </w:pPr>
      <w:r>
        <w:rPr>
          <w:rFonts w:ascii="Arial" w:cs="Arial" w:eastAsia="Arial" w:hAnsi="Arial"/>
          <w:sz w:val="17"/>
          <w:szCs w:val="17"/>
          <w:color w:val="auto"/>
        </w:rPr>
        <w:t>Stock markets in general, and the market for life sciences technology companies in particular, have experienced significant price and volume fluctuations that have often been unrelated or disproportionate to changes in the operating performance, financial condition, or tangible asset value of the companies whose stock is experiencing those price and volume fluctuations. Broad market and industry factors may seriously affect the market price of our Class A common stock, regardless of our actual operating performance, financial condition, or tangible asset value. Following periods of such volatility or decline in the market price of a company’s securities, securities class action litigation or shareholder activism has often been initiated against that company. Because of the potential volatility or decline of our stock price, we may become the target of securities litigation or shareholder activism in the future which could result in substantial costs and divert management’s attention and resources from our business.</w:t>
      </w:r>
    </w:p>
    <w:p>
      <w:pPr>
        <w:spacing w:after="0" w:line="113" w:lineRule="exact"/>
        <w:rPr>
          <w:sz w:val="20"/>
          <w:szCs w:val="20"/>
          <w:color w:val="auto"/>
        </w:rPr>
      </w:pPr>
    </w:p>
    <w:p>
      <w:pPr>
        <w:ind w:left="120" w:right="640"/>
        <w:spacing w:after="0" w:line="353" w:lineRule="auto"/>
        <w:rPr>
          <w:sz w:val="20"/>
          <w:szCs w:val="20"/>
          <w:color w:val="auto"/>
        </w:rPr>
      </w:pPr>
      <w:r>
        <w:rPr>
          <w:rFonts w:ascii="Arial" w:cs="Arial" w:eastAsia="Arial" w:hAnsi="Arial"/>
          <w:sz w:val="18"/>
          <w:szCs w:val="18"/>
          <w:b w:val="1"/>
          <w:bCs w:val="1"/>
          <w:color w:val="auto"/>
        </w:rPr>
        <w:t>The multi-class structure of our common stock will have the effect of concentrating voting control with certain stockholders and it may depress the trading price of our Class A common stock.</w:t>
      </w:r>
    </w:p>
    <w:p>
      <w:pPr>
        <w:spacing w:after="0" w:line="80" w:lineRule="exact"/>
        <w:rPr>
          <w:sz w:val="20"/>
          <w:szCs w:val="20"/>
          <w:color w:val="auto"/>
        </w:rPr>
      </w:pPr>
    </w:p>
    <w:p>
      <w:pPr>
        <w:ind w:left="120" w:right="300"/>
        <w:spacing w:after="0" w:line="319" w:lineRule="auto"/>
        <w:rPr>
          <w:sz w:val="20"/>
          <w:szCs w:val="20"/>
          <w:color w:val="auto"/>
        </w:rPr>
      </w:pPr>
      <w:r>
        <w:rPr>
          <w:rFonts w:ascii="Arial" w:cs="Arial" w:eastAsia="Arial" w:hAnsi="Arial"/>
          <w:sz w:val="18"/>
          <w:szCs w:val="18"/>
          <w:color w:val="auto"/>
        </w:rPr>
        <w:t>Our Class A common stock, which is our publicly-traded class of stock, has one vote per share, and our Class B common stock has ten votes per share, except as otherwise required by law. Our Class B common stock is held by our founders and early investors. As of February 26, 2025, the holders of our Class B common stock hold in the aggregate 42.1 % of the voting power of our capital stock, which may increase from time to time.</w:t>
      </w:r>
    </w:p>
    <w:p>
      <w:pPr>
        <w:spacing w:after="0" w:line="110" w:lineRule="exact"/>
        <w:rPr>
          <w:sz w:val="20"/>
          <w:szCs w:val="20"/>
          <w:color w:val="auto"/>
        </w:rPr>
      </w:pPr>
    </w:p>
    <w:p>
      <w:pPr>
        <w:ind w:left="120" w:right="300"/>
        <w:spacing w:after="0" w:line="326" w:lineRule="auto"/>
        <w:rPr>
          <w:sz w:val="20"/>
          <w:szCs w:val="20"/>
          <w:color w:val="auto"/>
        </w:rPr>
      </w:pPr>
      <w:r>
        <w:rPr>
          <w:rFonts w:ascii="Arial" w:cs="Arial" w:eastAsia="Arial" w:hAnsi="Arial"/>
          <w:sz w:val="17"/>
          <w:szCs w:val="17"/>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9, 2025. The conversion of Class B common stock to Class A common stock will have the effect, over time, of increasing the relative voting power of those individual holders of Class B common stock who retain their shares over the long term.</w:t>
      </w:r>
    </w:p>
    <w:p>
      <w:pPr>
        <w:spacing w:after="0" w:line="108" w:lineRule="exact"/>
        <w:rPr>
          <w:sz w:val="20"/>
          <w:szCs w:val="20"/>
          <w:color w:val="auto"/>
        </w:rPr>
      </w:pPr>
    </w:p>
    <w:p>
      <w:pPr>
        <w:ind w:left="120" w:right="280"/>
        <w:spacing w:after="0" w:line="291" w:lineRule="auto"/>
        <w:rPr>
          <w:sz w:val="20"/>
          <w:szCs w:val="20"/>
          <w:color w:val="auto"/>
        </w:rPr>
      </w:pPr>
      <w:r>
        <w:rPr>
          <w:rFonts w:ascii="Arial" w:cs="Arial" w:eastAsia="Arial" w:hAnsi="Arial"/>
          <w:sz w:val="19"/>
          <w:szCs w:val="19"/>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34" w:lineRule="exact"/>
        <w:rPr>
          <w:sz w:val="20"/>
          <w:szCs w:val="20"/>
          <w:color w:val="auto"/>
        </w:rPr>
      </w:pPr>
    </w:p>
    <w:p>
      <w:pPr>
        <w:jc w:val="both"/>
        <w:ind w:left="120" w:right="460"/>
        <w:spacing w:after="0" w:line="430" w:lineRule="auto"/>
        <w:rPr>
          <w:sz w:val="20"/>
          <w:szCs w:val="20"/>
          <w:color w:val="auto"/>
        </w:rPr>
      </w:pPr>
      <w:r>
        <w:rPr>
          <w:rFonts w:ascii="Arial" w:cs="Arial" w:eastAsia="Arial" w:hAnsi="Arial"/>
          <w:sz w:val="16"/>
          <w:szCs w:val="16"/>
          <w:b w:val="1"/>
          <w:bCs w:val="1"/>
          <w:color w:val="auto"/>
        </w:rPr>
        <w:t>If industry analysts, including securities analysts do not publish research or reports about our business or if they publish negative evaluations of our Class A common stock, the price of our Class A common stock could decline.</w:t>
      </w:r>
    </w:p>
    <w:p>
      <w:pPr>
        <w:spacing w:after="0" w:line="32" w:lineRule="exact"/>
        <w:rPr>
          <w:sz w:val="20"/>
          <w:szCs w:val="20"/>
          <w:color w:val="auto"/>
        </w:rPr>
      </w:pPr>
    </w:p>
    <w:p>
      <w:pPr>
        <w:ind w:left="120" w:right="400"/>
        <w:spacing w:after="0" w:line="333" w:lineRule="auto"/>
        <w:rPr>
          <w:sz w:val="20"/>
          <w:szCs w:val="20"/>
          <w:color w:val="auto"/>
        </w:rPr>
      </w:pPr>
      <w:r>
        <w:rPr>
          <w:rFonts w:ascii="Arial" w:cs="Arial" w:eastAsia="Arial" w:hAnsi="Arial"/>
          <w:sz w:val="17"/>
          <w:szCs w:val="17"/>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80</w:t>
      </w:r>
    </w:p>
    <w:p>
      <w:pPr>
        <w:sectPr>
          <w:pgSz w:w="12240" w:h="15840" w:orient="portrait"/>
          <w:cols w:equalWidth="0" w:num="1">
            <w:col w:w="9360"/>
          </w:cols>
          <w:pgMar w:left="1440" w:top="1440" w:right="1440" w:bottom="610" w:gutter="0" w:footer="0" w:header="0"/>
          <w:type w:val="continuous"/>
        </w:sectPr>
      </w:pPr>
    </w:p>
    <w:bookmarkStart w:id="87" w:name="page88"/>
    <w:bookmarkEnd w:id="87"/>
    <w:p>
      <w:pPr>
        <w:spacing w:after="0" w:line="354" w:lineRule="exact"/>
        <w:rPr>
          <w:sz w:val="20"/>
          <w:szCs w:val="20"/>
          <w:color w:val="auto"/>
        </w:rPr>
      </w:pPr>
    </w:p>
    <w:p>
      <w:pPr>
        <w:ind w:left="120" w:right="360"/>
        <w:spacing w:after="0" w:line="324" w:lineRule="auto"/>
        <w:rPr>
          <w:sz w:val="20"/>
          <w:szCs w:val="20"/>
          <w:color w:val="auto"/>
        </w:rPr>
      </w:pPr>
      <w:r>
        <w:rPr>
          <w:rFonts w:ascii="Arial" w:cs="Arial" w:eastAsia="Arial" w:hAnsi="Arial"/>
          <w:sz w:val="19"/>
          <w:szCs w:val="19"/>
          <w:b w:val="1"/>
          <w:bCs w:val="1"/>
          <w:color w:val="auto"/>
        </w:rPr>
        <w:t>Sales of a substantial number of shares of our Class A common stock by our existing stockholders could cause the price of our Class A common stock to decline.</w:t>
      </w:r>
    </w:p>
    <w:p>
      <w:pPr>
        <w:spacing w:after="0" w:line="101" w:lineRule="exact"/>
        <w:rPr>
          <w:sz w:val="20"/>
          <w:szCs w:val="20"/>
          <w:color w:val="auto"/>
        </w:rPr>
      </w:pPr>
    </w:p>
    <w:p>
      <w:pPr>
        <w:ind w:left="120" w:right="300"/>
        <w:spacing w:after="0" w:line="310"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3" w:lineRule="exact"/>
        <w:rPr>
          <w:sz w:val="20"/>
          <w:szCs w:val="20"/>
          <w:color w:val="auto"/>
        </w:rPr>
      </w:pPr>
    </w:p>
    <w:p>
      <w:pPr>
        <w:ind w:left="120" w:right="340"/>
        <w:spacing w:after="0" w:line="322" w:lineRule="auto"/>
        <w:rPr>
          <w:sz w:val="20"/>
          <w:szCs w:val="20"/>
          <w:color w:val="auto"/>
        </w:rPr>
      </w:pPr>
      <w:r>
        <w:rPr>
          <w:rFonts w:ascii="Arial" w:cs="Arial" w:eastAsia="Arial" w:hAnsi="Arial"/>
          <w:sz w:val="19"/>
          <w:szCs w:val="19"/>
          <w:b w:val="1"/>
          <w:bCs w:val="1"/>
          <w:color w:val="auto"/>
        </w:rPr>
        <w:t>There can be no assurance that we will repurchase shares of our Class A common stock or that we will repurchase shares at favorable prices.</w:t>
      </w:r>
    </w:p>
    <w:p>
      <w:pPr>
        <w:spacing w:after="0" w:line="102" w:lineRule="exact"/>
        <w:rPr>
          <w:sz w:val="20"/>
          <w:szCs w:val="20"/>
          <w:color w:val="auto"/>
        </w:rPr>
      </w:pPr>
    </w:p>
    <w:p>
      <w:pPr>
        <w:ind w:left="120" w:right="340"/>
        <w:spacing w:after="0" w:line="312" w:lineRule="auto"/>
        <w:rPr>
          <w:sz w:val="20"/>
          <w:szCs w:val="20"/>
          <w:color w:val="auto"/>
        </w:rPr>
      </w:pPr>
      <w:r>
        <w:rPr>
          <w:rFonts w:ascii="Arial" w:cs="Arial" w:eastAsia="Arial" w:hAnsi="Arial"/>
          <w:sz w:val="18"/>
          <w:szCs w:val="18"/>
          <w:color w:val="auto"/>
        </w:rPr>
        <w:t>In May 2024, our Board of Directors approved a share repurchase program (the Share Repurchase Program) pursuant to which we are authorized to repurchase up to $25.0 million of our Class A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spacing w:after="0" w:line="116" w:lineRule="exact"/>
        <w:rPr>
          <w:sz w:val="20"/>
          <w:szCs w:val="20"/>
          <w:color w:val="auto"/>
        </w:rPr>
      </w:pPr>
    </w:p>
    <w:p>
      <w:pPr>
        <w:ind w:left="120" w:right="320"/>
        <w:spacing w:after="0" w:line="311" w:lineRule="auto"/>
        <w:rPr>
          <w:sz w:val="20"/>
          <w:szCs w:val="20"/>
          <w:color w:val="auto"/>
        </w:rPr>
      </w:pPr>
      <w:r>
        <w:rPr>
          <w:rFonts w:ascii="Arial" w:cs="Arial" w:eastAsia="Arial" w:hAnsi="Arial"/>
          <w:sz w:val="18"/>
          <w:szCs w:val="18"/>
          <w:color w:val="auto"/>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spacing w:after="0" w:line="115" w:lineRule="exact"/>
        <w:rPr>
          <w:sz w:val="20"/>
          <w:szCs w:val="20"/>
          <w:color w:val="auto"/>
        </w:rPr>
      </w:pPr>
    </w:p>
    <w:p>
      <w:pPr>
        <w:ind w:left="120" w:right="260"/>
        <w:spacing w:after="0" w:line="295" w:lineRule="auto"/>
        <w:rPr>
          <w:sz w:val="20"/>
          <w:szCs w:val="20"/>
          <w:color w:val="auto"/>
        </w:rPr>
      </w:pPr>
      <w:r>
        <w:rPr>
          <w:rFonts w:ascii="Arial" w:cs="Arial" w:eastAsia="Arial" w:hAnsi="Arial"/>
          <w:sz w:val="19"/>
          <w:szCs w:val="19"/>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spacing w:after="0" w:line="129" w:lineRule="exact"/>
        <w:rPr>
          <w:sz w:val="20"/>
          <w:szCs w:val="20"/>
          <w:color w:val="auto"/>
        </w:rPr>
      </w:pPr>
    </w:p>
    <w:p>
      <w:pPr>
        <w:ind w:left="120" w:right="280"/>
        <w:spacing w:after="0" w:line="324" w:lineRule="auto"/>
        <w:rPr>
          <w:sz w:val="20"/>
          <w:szCs w:val="20"/>
          <w:color w:val="auto"/>
        </w:rPr>
      </w:pPr>
      <w:r>
        <w:rPr>
          <w:rFonts w:ascii="Arial" w:cs="Arial" w:eastAsia="Arial" w:hAnsi="Arial"/>
          <w:sz w:val="19"/>
          <w:szCs w:val="19"/>
          <w:color w:val="auto"/>
        </w:rPr>
        <w:t>Repurchasing our Class A common stock reduces the amount of cash we have available, and we may fail to realize the anticipated long-term stockholder value of any share repurchase program.</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81</w:t>
      </w:r>
    </w:p>
    <w:p>
      <w:pPr>
        <w:sectPr>
          <w:pgSz w:w="12240" w:h="15840" w:orient="portrait"/>
          <w:cols w:equalWidth="0" w:num="1">
            <w:col w:w="9360"/>
          </w:cols>
          <w:pgMar w:left="1440" w:top="1440" w:right="1440" w:bottom="610" w:gutter="0" w:footer="0" w:header="0"/>
          <w:type w:val="continuous"/>
        </w:sectPr>
      </w:pPr>
    </w:p>
    <w:bookmarkStart w:id="88" w:name="page89"/>
    <w:bookmarkEnd w:id="88"/>
    <w:p>
      <w:pPr>
        <w:spacing w:after="0" w:line="354" w:lineRule="exact"/>
        <w:rPr>
          <w:sz w:val="20"/>
          <w:szCs w:val="20"/>
          <w:color w:val="auto"/>
        </w:rPr>
      </w:pPr>
    </w:p>
    <w:p>
      <w:pPr>
        <w:ind w:left="120" w:right="320"/>
        <w:spacing w:after="0" w:line="324" w:lineRule="auto"/>
        <w:rPr>
          <w:sz w:val="20"/>
          <w:szCs w:val="20"/>
          <w:color w:val="auto"/>
        </w:rPr>
      </w:pPr>
      <w:r>
        <w:rPr>
          <w:rFonts w:ascii="Arial" w:cs="Arial" w:eastAsia="Arial" w:hAnsi="Arial"/>
          <w:sz w:val="19"/>
          <w:szCs w:val="19"/>
          <w:b w:val="1"/>
          <w:bCs w:val="1"/>
          <w:color w:val="auto"/>
        </w:rPr>
        <w:t>We have not paid dividends in the past and do not expect to pay dividends in the future, and, as a result, any return on investment may be limited to the value of our stock.</w:t>
      </w:r>
    </w:p>
    <w:p>
      <w:pPr>
        <w:spacing w:after="0" w:line="101" w:lineRule="exact"/>
        <w:rPr>
          <w:sz w:val="20"/>
          <w:szCs w:val="20"/>
          <w:color w:val="auto"/>
        </w:rPr>
      </w:pPr>
    </w:p>
    <w:p>
      <w:pPr>
        <w:ind w:left="120" w:right="320"/>
        <w:spacing w:after="0" w:line="309" w:lineRule="auto"/>
        <w:rPr>
          <w:sz w:val="20"/>
          <w:szCs w:val="20"/>
          <w:color w:val="auto"/>
        </w:rPr>
      </w:pPr>
      <w:r>
        <w:rPr>
          <w:rFonts w:ascii="Arial" w:cs="Arial" w:eastAsia="Arial" w:hAnsi="Arial"/>
          <w:sz w:val="18"/>
          <w:szCs w:val="18"/>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1" w:lineRule="exact"/>
        <w:rPr>
          <w:sz w:val="20"/>
          <w:szCs w:val="20"/>
          <w:color w:val="auto"/>
        </w:rPr>
      </w:pPr>
    </w:p>
    <w:p>
      <w:pPr>
        <w:ind w:left="120" w:right="280"/>
        <w:spacing w:after="0" w:line="336" w:lineRule="auto"/>
        <w:rPr>
          <w:sz w:val="20"/>
          <w:szCs w:val="20"/>
          <w:color w:val="auto"/>
        </w:rPr>
      </w:pPr>
      <w:r>
        <w:rPr>
          <w:rFonts w:ascii="Arial" w:cs="Arial" w:eastAsia="Arial" w:hAnsi="Arial"/>
          <w:sz w:val="17"/>
          <w:szCs w:val="17"/>
          <w:b w:val="1"/>
          <w:b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02" w:lineRule="exact"/>
        <w:rPr>
          <w:sz w:val="20"/>
          <w:szCs w:val="20"/>
          <w:color w:val="auto"/>
        </w:rPr>
      </w:pPr>
    </w:p>
    <w:p>
      <w:pPr>
        <w:ind w:left="120" w:right="260"/>
        <w:spacing w:after="0" w:line="325"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12" w:lineRule="exact"/>
        <w:rPr>
          <w:sz w:val="20"/>
          <w:szCs w:val="20"/>
          <w:color w:val="auto"/>
        </w:rPr>
      </w:pPr>
    </w:p>
    <w:p>
      <w:pPr>
        <w:ind w:left="120" w:right="500"/>
        <w:spacing w:after="0" w:line="312" w:lineRule="auto"/>
        <w:rPr>
          <w:sz w:val="20"/>
          <w:szCs w:val="20"/>
          <w:color w:val="auto"/>
        </w:rPr>
      </w:pPr>
      <w:r>
        <w:rPr>
          <w:rFonts w:ascii="Arial" w:cs="Arial" w:eastAsia="Arial" w:hAnsi="Arial"/>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82</w:t>
      </w:r>
    </w:p>
    <w:p>
      <w:pPr>
        <w:sectPr>
          <w:pgSz w:w="12240" w:h="15840" w:orient="portrait"/>
          <w:cols w:equalWidth="0" w:num="1">
            <w:col w:w="9360"/>
          </w:cols>
          <w:pgMar w:left="1440" w:top="1440" w:right="1440" w:bottom="610" w:gutter="0" w:footer="0" w:header="0"/>
          <w:type w:val="continuous"/>
        </w:sectPr>
      </w:pPr>
    </w:p>
    <w:bookmarkStart w:id="89" w:name="page90"/>
    <w:bookmarkEnd w:id="89"/>
    <w:p>
      <w:pPr>
        <w:spacing w:after="0" w:line="352" w:lineRule="exact"/>
        <w:rPr>
          <w:sz w:val="20"/>
          <w:szCs w:val="20"/>
          <w:color w:val="auto"/>
        </w:rPr>
      </w:pPr>
    </w:p>
    <w:p>
      <w:pPr>
        <w:ind w:left="120" w:right="280"/>
        <w:spacing w:after="0" w:line="307" w:lineRule="auto"/>
        <w:rPr>
          <w:sz w:val="20"/>
          <w:szCs w:val="20"/>
          <w:color w:val="auto"/>
        </w:rPr>
      </w:pPr>
      <w:r>
        <w:rPr>
          <w:rFonts w:ascii="Arial" w:cs="Arial" w:eastAsia="Arial" w:hAnsi="Arial"/>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19" w:lineRule="exact"/>
        <w:rPr>
          <w:sz w:val="20"/>
          <w:szCs w:val="20"/>
          <w:color w:val="auto"/>
        </w:rPr>
      </w:pPr>
    </w:p>
    <w:p>
      <w:pPr>
        <w:ind w:left="120" w:right="260"/>
        <w:spacing w:after="0" w:line="329" w:lineRule="auto"/>
        <w:rPr>
          <w:sz w:val="20"/>
          <w:szCs w:val="20"/>
          <w:color w:val="auto"/>
        </w:rPr>
      </w:pPr>
      <w:r>
        <w:rPr>
          <w:rFonts w:ascii="Arial" w:cs="Arial" w:eastAsia="Arial" w:hAnsi="Arial"/>
          <w:sz w:val="18"/>
          <w:szCs w:val="18"/>
          <w:b w:val="1"/>
          <w:b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99" w:lineRule="exact"/>
        <w:rPr>
          <w:sz w:val="20"/>
          <w:szCs w:val="20"/>
          <w:color w:val="auto"/>
        </w:rPr>
      </w:pPr>
    </w:p>
    <w:p>
      <w:pPr>
        <w:ind w:left="120" w:right="360"/>
        <w:spacing w:after="0" w:line="293" w:lineRule="auto"/>
        <w:rPr>
          <w:sz w:val="20"/>
          <w:szCs w:val="20"/>
          <w:color w:val="auto"/>
        </w:rPr>
      </w:pPr>
      <w:r>
        <w:rPr>
          <w:rFonts w:ascii="Arial" w:cs="Arial" w:eastAsia="Arial" w:hAnsi="Arial"/>
          <w:sz w:val="19"/>
          <w:szCs w:val="19"/>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38" w:lineRule="exact"/>
        <w:rPr>
          <w:sz w:val="20"/>
          <w:szCs w:val="20"/>
          <w:color w:val="auto"/>
        </w:rPr>
      </w:pPr>
    </w:p>
    <w:p>
      <w:pPr>
        <w:ind w:left="800" w:right="300"/>
        <w:spacing w:after="0" w:line="326" w:lineRule="auto"/>
        <w:rPr>
          <w:sz w:val="20"/>
          <w:szCs w:val="20"/>
          <w:color w:val="auto"/>
        </w:rPr>
      </w:pPr>
      <w:r>
        <w:rPr>
          <w:rFonts w:ascii="Arial" w:cs="Arial" w:eastAsia="Arial" w:hAnsi="Arial"/>
          <w:sz w:val="19"/>
          <w:szCs w:val="19"/>
          <w:color w:val="auto"/>
        </w:rPr>
        <w:t>any transaction that would result in a change in control of our company requires the approval of a majority of our outstanding Class B common stock voting as a separate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360"/>
        <w:spacing w:after="0" w:line="355" w:lineRule="auto"/>
        <w:rPr>
          <w:sz w:val="20"/>
          <w:szCs w:val="20"/>
          <w:color w:val="auto"/>
        </w:rPr>
      </w:pPr>
      <w:r>
        <w:rPr>
          <w:rFonts w:ascii="Arial" w:cs="Arial" w:eastAsia="Arial" w:hAnsi="Arial"/>
          <w:sz w:val="17"/>
          <w:szCs w:val="17"/>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-494030</wp:posOffset>
            </wp:positionV>
            <wp:extent cx="67945" cy="679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77" w:lineRule="exact"/>
        <w:rPr>
          <w:sz w:val="20"/>
          <w:szCs w:val="20"/>
          <w:color w:val="auto"/>
        </w:rPr>
      </w:pPr>
    </w:p>
    <w:p>
      <w:pPr>
        <w:ind w:left="800" w:right="1020"/>
        <w:spacing w:after="0" w:line="393" w:lineRule="auto"/>
        <w:rPr>
          <w:sz w:val="20"/>
          <w:szCs w:val="20"/>
          <w:color w:val="auto"/>
        </w:rPr>
      </w:pPr>
      <w:r>
        <w:rPr>
          <w:rFonts w:ascii="Arial" w:cs="Arial" w:eastAsia="Arial" w:hAnsi="Arial"/>
          <w:sz w:val="17"/>
          <w:szCs w:val="17"/>
          <w:color w:val="auto"/>
        </w:rPr>
        <w:t>certain amendments to our amended and restated certificate of incorporation require the approval of stockholders holding two-thirds of the voting power of our then outstanding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-349885</wp:posOffset>
            </wp:positionV>
            <wp:extent cx="67945" cy="679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5" w:lineRule="exact"/>
        <w:rPr>
          <w:sz w:val="20"/>
          <w:szCs w:val="20"/>
          <w:color w:val="auto"/>
        </w:rPr>
      </w:pPr>
    </w:p>
    <w:p>
      <w:pPr>
        <w:ind w:left="800" w:right="1140"/>
        <w:spacing w:after="0" w:line="390" w:lineRule="auto"/>
        <w:rPr>
          <w:sz w:val="20"/>
          <w:szCs w:val="20"/>
          <w:color w:val="auto"/>
        </w:rPr>
      </w:pPr>
      <w:r>
        <w:rPr>
          <w:rFonts w:ascii="Arial" w:cs="Arial" w:eastAsia="Arial" w:hAnsi="Arial"/>
          <w:sz w:val="17"/>
          <w:szCs w:val="17"/>
          <w:color w:val="auto"/>
        </w:rPr>
        <w:t>any stockholder-proposed amendment to our amended and restated bylaws require the approval of stockholders holding two-thirds of the voting power of our then outstanding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-346710</wp:posOffset>
            </wp:positionV>
            <wp:extent cx="67945" cy="679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8" w:lineRule="exact"/>
        <w:rPr>
          <w:sz w:val="20"/>
          <w:szCs w:val="20"/>
          <w:color w:val="auto"/>
        </w:rPr>
      </w:pPr>
    </w:p>
    <w:p>
      <w:pPr>
        <w:ind w:left="800" w:right="600"/>
        <w:spacing w:after="0" w:line="326" w:lineRule="auto"/>
        <w:rPr>
          <w:sz w:val="20"/>
          <w:szCs w:val="20"/>
          <w:color w:val="auto"/>
        </w:rPr>
      </w:pPr>
      <w:r>
        <w:rPr>
          <w:rFonts w:ascii="Arial" w:cs="Arial" w:eastAsia="Arial" w:hAnsi="Arial"/>
          <w:sz w:val="19"/>
          <w:szCs w:val="19"/>
          <w:color w:val="auto"/>
        </w:rPr>
        <w:t>our stockholders may only be able to take action at a meeting of stockholders and may not be able to take action by written consent for any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right="320"/>
        <w:spacing w:after="0" w:line="326" w:lineRule="auto"/>
        <w:rPr>
          <w:sz w:val="20"/>
          <w:szCs w:val="20"/>
          <w:color w:val="auto"/>
        </w:rPr>
      </w:pPr>
      <w:r>
        <w:rPr>
          <w:rFonts w:ascii="Arial" w:cs="Arial" w:eastAsia="Arial" w:hAnsi="Arial"/>
          <w:sz w:val="19"/>
          <w:szCs w:val="19"/>
          <w:color w:val="auto"/>
        </w:rPr>
        <w:t>our stockholders are able to act by written consent only if the action is first recommended or approved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vacancies on our board of directors may be filled only by our board of directors and not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-74930</wp:posOffset>
            </wp:positionV>
            <wp:extent cx="67945" cy="679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7" w:lineRule="exact"/>
        <w:rPr>
          <w:sz w:val="20"/>
          <w:szCs w:val="20"/>
          <w:color w:val="auto"/>
        </w:rPr>
      </w:pPr>
    </w:p>
    <w:p>
      <w:pPr>
        <w:ind w:left="800" w:right="680"/>
        <w:spacing w:after="0" w:line="324" w:lineRule="auto"/>
        <w:rPr>
          <w:sz w:val="20"/>
          <w:szCs w:val="20"/>
          <w:color w:val="auto"/>
        </w:rPr>
      </w:pPr>
      <w:r>
        <w:rPr>
          <w:rFonts w:ascii="Arial" w:cs="Arial" w:eastAsia="Arial" w:hAnsi="Arial"/>
          <w:sz w:val="19"/>
          <w:szCs w:val="19"/>
          <w:color w:val="auto"/>
        </w:rPr>
        <w:t>only the chair of the board of directors, chief executive officer or a majority of the board of directors are authorized to call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certain litigation against us can only be brought in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83</w:t>
      </w:r>
    </w:p>
    <w:p>
      <w:pPr>
        <w:sectPr>
          <w:pgSz w:w="12240" w:h="15840" w:orient="portrait"/>
          <w:cols w:equalWidth="0" w:num="1">
            <w:col w:w="9360"/>
          </w:cols>
          <w:pgMar w:left="1440" w:top="1440" w:right="1440" w:bottom="610" w:gutter="0" w:footer="0" w:header="0"/>
          <w:type w:val="continuous"/>
        </w:sectPr>
      </w:pPr>
    </w:p>
    <w:bookmarkStart w:id="90" w:name="page91"/>
    <w:bookmarkEnd w:id="90"/>
    <w:p>
      <w:pPr>
        <w:spacing w:after="0" w:line="353" w:lineRule="exact"/>
        <w:rPr>
          <w:sz w:val="20"/>
          <w:szCs w:val="20"/>
          <w:color w:val="auto"/>
        </w:rPr>
      </w:pPr>
    </w:p>
    <w:p>
      <w:pPr>
        <w:ind w:left="800" w:right="440"/>
        <w:spacing w:after="0" w:line="393" w:lineRule="auto"/>
        <w:rPr>
          <w:sz w:val="20"/>
          <w:szCs w:val="20"/>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our capital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-349885</wp:posOffset>
            </wp:positionV>
            <wp:extent cx="67945" cy="679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5" w:lineRule="exact"/>
        <w:rPr>
          <w:sz w:val="20"/>
          <w:szCs w:val="20"/>
          <w:color w:val="auto"/>
        </w:rPr>
      </w:pPr>
    </w:p>
    <w:p>
      <w:pPr>
        <w:ind w:left="800" w:right="360"/>
        <w:spacing w:after="0" w:line="324" w:lineRule="auto"/>
        <w:rPr>
          <w:sz w:val="20"/>
          <w:szCs w:val="20"/>
          <w:color w:val="auto"/>
        </w:rPr>
      </w:pPr>
      <w:r>
        <w:rPr>
          <w:rFonts w:ascii="Arial" w:cs="Arial" w:eastAsia="Arial" w:hAnsi="Arial"/>
          <w:sz w:val="19"/>
          <w:szCs w:val="19"/>
          <w:color w:val="auto"/>
        </w:rPr>
        <w:t>advance notice procedures apply for stockholders to nominate candidates for election as directors or to bring matters before an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81" w:lineRule="exact"/>
        <w:rPr>
          <w:sz w:val="20"/>
          <w:szCs w:val="20"/>
          <w:color w:val="auto"/>
        </w:rPr>
      </w:pPr>
    </w:p>
    <w:p>
      <w:pPr>
        <w:ind w:left="120" w:right="460"/>
        <w:spacing w:after="0" w:line="337"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02" w:lineRule="exact"/>
        <w:rPr>
          <w:sz w:val="20"/>
          <w:szCs w:val="20"/>
          <w:color w:val="auto"/>
        </w:rPr>
      </w:pPr>
    </w:p>
    <w:p>
      <w:pPr>
        <w:ind w:left="120" w:right="640"/>
        <w:spacing w:after="0" w:line="388" w:lineRule="auto"/>
        <w:rPr>
          <w:sz w:val="20"/>
          <w:szCs w:val="20"/>
          <w:color w:val="auto"/>
        </w:rPr>
      </w:pPr>
      <w:r>
        <w:rPr>
          <w:rFonts w:ascii="Arial" w:cs="Arial" w:eastAsia="Arial" w:hAnsi="Arial"/>
          <w:sz w:val="17"/>
          <w:szCs w:val="17"/>
          <w:b w:val="1"/>
          <w:bCs w:val="1"/>
          <w:color w:val="auto"/>
        </w:rPr>
        <w:t>Our ability to use net operating losses to offset future taxable income may be subject to certain limitations, and changes to U.S. tax laws may cause us to make adjustments to our financial statements.</w:t>
      </w:r>
    </w:p>
    <w:p>
      <w:pPr>
        <w:spacing w:after="0" w:line="56" w:lineRule="exact"/>
        <w:rPr>
          <w:sz w:val="20"/>
          <w:szCs w:val="20"/>
          <w:color w:val="auto"/>
        </w:rPr>
      </w:pPr>
    </w:p>
    <w:p>
      <w:pPr>
        <w:ind w:left="120" w:right="360"/>
        <w:spacing w:after="0" w:line="305" w:lineRule="auto"/>
        <w:rPr>
          <w:sz w:val="20"/>
          <w:szCs w:val="20"/>
          <w:color w:val="auto"/>
        </w:rPr>
      </w:pPr>
      <w:r>
        <w:rPr>
          <w:rFonts w:ascii="Arial" w:cs="Arial" w:eastAsia="Arial" w:hAnsi="Arial"/>
          <w:sz w:val="19"/>
          <w:szCs w:val="19"/>
          <w:color w:val="auto"/>
        </w:rPr>
        <w:t>As of December 31, 2024, we had U.S. federal and state net operating loss carryforwards (NOLs) of $182.3 million and $185.7 million, respectively, which if not utilized will expire in 2035 for state purposes. We may use these NOLs to offset against taxable income for U.S. federal and state income tax purposes.</w:t>
      </w:r>
    </w:p>
    <w:p>
      <w:pPr>
        <w:spacing w:after="0" w:line="116" w:lineRule="exact"/>
        <w:rPr>
          <w:sz w:val="20"/>
          <w:szCs w:val="20"/>
          <w:color w:val="auto"/>
        </w:rPr>
      </w:pPr>
    </w:p>
    <w:p>
      <w:pPr>
        <w:ind w:left="120" w:right="300"/>
        <w:spacing w:after="0" w:line="326" w:lineRule="auto"/>
        <w:rPr>
          <w:sz w:val="20"/>
          <w:szCs w:val="20"/>
          <w:color w:val="auto"/>
        </w:rPr>
      </w:pPr>
      <w:r>
        <w:rPr>
          <w:rFonts w:ascii="Arial" w:cs="Arial" w:eastAsia="Arial" w:hAnsi="Arial"/>
          <w:sz w:val="17"/>
          <w:szCs w:val="17"/>
          <w:color w:val="auto"/>
        </w:rPr>
        <w:t>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U.S. federal income taxes, and also potentially causing those tax attributes to expire unused. States may impose other limitations on the use of our NOLs.</w:t>
      </w:r>
    </w:p>
    <w:p>
      <w:pPr>
        <w:spacing w:after="0" w:line="115" w:lineRule="exact"/>
        <w:rPr>
          <w:sz w:val="20"/>
          <w:szCs w:val="20"/>
          <w:color w:val="auto"/>
        </w:rPr>
      </w:pPr>
    </w:p>
    <w:p>
      <w:pPr>
        <w:ind w:left="120" w:right="340"/>
        <w:spacing w:after="0" w:line="331" w:lineRule="auto"/>
        <w:rPr>
          <w:sz w:val="20"/>
          <w:szCs w:val="20"/>
          <w:color w:val="auto"/>
        </w:rPr>
      </w:pPr>
      <w:r>
        <w:rPr>
          <w:rFonts w:ascii="Arial" w:cs="Arial" w:eastAsia="Arial" w:hAnsi="Arial"/>
          <w:sz w:val="17"/>
          <w:szCs w:val="17"/>
          <w:color w:val="auto"/>
        </w:rPr>
        <w:t>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 For example, recently enacted California legislation limits the use of state NOLs for tax years beginning on or after January 1, 2024 and before January 1, 2027. As a result of this legislation or other unforeseen reasons, we may not be able to utilize some or all of our NOLs, even if we attain profitability.</w:t>
      </w:r>
    </w:p>
    <w:p>
      <w:pPr>
        <w:spacing w:after="0" w:line="107" w:lineRule="exact"/>
        <w:rPr>
          <w:sz w:val="20"/>
          <w:szCs w:val="20"/>
          <w:color w:val="auto"/>
        </w:rPr>
      </w:pPr>
    </w:p>
    <w:p>
      <w:pPr>
        <w:ind w:left="120" w:right="600"/>
        <w:spacing w:after="0" w:line="322" w:lineRule="auto"/>
        <w:rPr>
          <w:sz w:val="20"/>
          <w:szCs w:val="20"/>
          <w:color w:val="auto"/>
        </w:rPr>
      </w:pPr>
      <w:r>
        <w:rPr>
          <w:rFonts w:ascii="Arial" w:cs="Arial" w:eastAsia="Arial" w:hAnsi="Arial"/>
          <w:sz w:val="19"/>
          <w:szCs w:val="19"/>
          <w:b w:val="1"/>
          <w:bCs w:val="1"/>
          <w:color w:val="auto"/>
        </w:rPr>
        <w:t>We continue to incur significant increased costs and management resources as a result of operating as a public company.</w:t>
      </w:r>
    </w:p>
    <w:p>
      <w:pPr>
        <w:spacing w:after="0" w:line="102" w:lineRule="exact"/>
        <w:rPr>
          <w:sz w:val="20"/>
          <w:szCs w:val="20"/>
          <w:color w:val="auto"/>
        </w:rPr>
      </w:pPr>
    </w:p>
    <w:p>
      <w:pPr>
        <w:ind w:left="120" w:right="340"/>
        <w:spacing w:after="0" w:line="295" w:lineRule="auto"/>
        <w:rPr>
          <w:sz w:val="20"/>
          <w:szCs w:val="20"/>
          <w:color w:val="auto"/>
        </w:rPr>
      </w:pPr>
      <w:r>
        <w:rPr>
          <w:rFonts w:ascii="Arial" w:cs="Arial" w:eastAsia="Arial" w:hAnsi="Arial"/>
          <w:sz w:val="19"/>
          <w:szCs w:val="19"/>
          <w:color w:val="auto"/>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84</w:t>
      </w:r>
    </w:p>
    <w:p>
      <w:pPr>
        <w:sectPr>
          <w:pgSz w:w="12240" w:h="15840" w:orient="portrait"/>
          <w:cols w:equalWidth="0" w:num="1">
            <w:col w:w="9360"/>
          </w:cols>
          <w:pgMar w:left="1440" w:top="1440" w:right="1440" w:bottom="610" w:gutter="0" w:footer="0" w:header="0"/>
          <w:type w:val="continuous"/>
        </w:sectPr>
      </w:pPr>
    </w:p>
    <w:bookmarkStart w:id="91" w:name="page92"/>
    <w:bookmarkEnd w:id="91"/>
    <w:p>
      <w:pPr>
        <w:spacing w:after="0" w:line="352" w:lineRule="exact"/>
        <w:rPr>
          <w:sz w:val="20"/>
          <w:szCs w:val="20"/>
          <w:color w:val="auto"/>
        </w:rPr>
      </w:pPr>
    </w:p>
    <w:p>
      <w:pPr>
        <w:ind w:left="120" w:right="280"/>
        <w:spacing w:after="0" w:line="326"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SOX, and the related rules and regulations implemented by the SEC and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and/or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General Risks</w:t>
      </w:r>
    </w:p>
    <w:p>
      <w:pPr>
        <w:spacing w:after="0" w:line="215" w:lineRule="exact"/>
        <w:rPr>
          <w:sz w:val="20"/>
          <w:szCs w:val="20"/>
          <w:color w:val="auto"/>
        </w:rPr>
      </w:pPr>
    </w:p>
    <w:p>
      <w:pPr>
        <w:ind w:left="120" w:right="920"/>
        <w:spacing w:after="0" w:line="430" w:lineRule="auto"/>
        <w:rPr>
          <w:sz w:val="20"/>
          <w:szCs w:val="20"/>
          <w:color w:val="auto"/>
        </w:rPr>
      </w:pPr>
      <w:r>
        <w:rPr>
          <w:rFonts w:ascii="Arial" w:cs="Arial" w:eastAsia="Arial" w:hAnsi="Arial"/>
          <w:sz w:val="16"/>
          <w:szCs w:val="16"/>
          <w:b w:val="1"/>
          <w:bCs w:val="1"/>
          <w:color w:val="auto"/>
        </w:rPr>
        <w:t>Environmental, social, and governance (ESG) matters are subject to evolving expectations from customers, regulators, investors and other stakeholders and may expose us to reputational, cost and other risks.</w:t>
      </w:r>
    </w:p>
    <w:p>
      <w:pPr>
        <w:spacing w:after="0" w:line="29" w:lineRule="exact"/>
        <w:rPr>
          <w:sz w:val="20"/>
          <w:szCs w:val="20"/>
          <w:color w:val="auto"/>
        </w:rPr>
      </w:pPr>
    </w:p>
    <w:p>
      <w:pPr>
        <w:ind w:left="120" w:right="320"/>
        <w:spacing w:after="0" w:line="328" w:lineRule="auto"/>
        <w:rPr>
          <w:sz w:val="20"/>
          <w:szCs w:val="20"/>
          <w:color w:val="auto"/>
        </w:rPr>
      </w:pPr>
      <w:r>
        <w:rPr>
          <w:rFonts w:ascii="Arial" w:cs="Arial" w:eastAsia="Arial" w:hAnsi="Arial"/>
          <w:sz w:val="17"/>
          <w:szCs w:val="17"/>
          <w:color w:val="auto"/>
        </w:rPr>
        <w:t>Companies across all industries are subject to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13" w:lineRule="exact"/>
        <w:rPr>
          <w:sz w:val="20"/>
          <w:szCs w:val="20"/>
          <w:color w:val="auto"/>
        </w:rPr>
      </w:pPr>
    </w:p>
    <w:p>
      <w:pPr>
        <w:ind w:left="120" w:right="560"/>
        <w:spacing w:after="0" w:line="304" w:lineRule="auto"/>
        <w:rPr>
          <w:sz w:val="20"/>
          <w:szCs w:val="20"/>
          <w:color w:val="auto"/>
        </w:rPr>
      </w:pPr>
      <w:r>
        <w:rPr>
          <w:rFonts w:ascii="Arial" w:cs="Arial" w:eastAsia="Arial" w:hAnsi="Arial"/>
          <w:sz w:val="19"/>
          <w:szCs w:val="19"/>
          <w:b w:val="1"/>
          <w:b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117" w:lineRule="exact"/>
        <w:rPr>
          <w:sz w:val="20"/>
          <w:szCs w:val="20"/>
          <w:color w:val="auto"/>
        </w:rPr>
      </w:pPr>
    </w:p>
    <w:p>
      <w:pPr>
        <w:jc w:val="both"/>
        <w:ind w:left="120" w:right="260"/>
        <w:spacing w:after="0" w:line="355" w:lineRule="auto"/>
        <w:rPr>
          <w:sz w:val="20"/>
          <w:szCs w:val="20"/>
          <w:color w:val="auto"/>
        </w:rPr>
      </w:pPr>
      <w:r>
        <w:rPr>
          <w:rFonts w:ascii="Arial" w:cs="Arial" w:eastAsia="Arial" w:hAnsi="Arial"/>
          <w:sz w:val="17"/>
          <w:szCs w:val="17"/>
          <w:color w:val="auto"/>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85</w:t>
      </w:r>
    </w:p>
    <w:p>
      <w:pPr>
        <w:sectPr>
          <w:pgSz w:w="12240" w:h="15840" w:orient="portrait"/>
          <w:cols w:equalWidth="0" w:num="1">
            <w:col w:w="9360"/>
          </w:cols>
          <w:pgMar w:left="1440" w:top="1440" w:right="1440" w:bottom="610" w:gutter="0" w:footer="0" w:header="0"/>
          <w:type w:val="continuous"/>
        </w:sectPr>
      </w:pPr>
    </w:p>
    <w:bookmarkStart w:id="92" w:name="page93"/>
    <w:bookmarkEnd w:id="92"/>
    <w:p>
      <w:pPr>
        <w:spacing w:after="0" w:line="352" w:lineRule="exact"/>
        <w:rPr>
          <w:sz w:val="20"/>
          <w:szCs w:val="20"/>
          <w:color w:val="auto"/>
        </w:rPr>
      </w:pPr>
    </w:p>
    <w:p>
      <w:pPr>
        <w:ind w:left="120" w:right="280"/>
        <w:spacing w:after="0" w:line="305" w:lineRule="auto"/>
        <w:rPr>
          <w:sz w:val="20"/>
          <w:szCs w:val="20"/>
          <w:color w:val="auto"/>
        </w:rPr>
      </w:pPr>
      <w:r>
        <w:rPr>
          <w:rFonts w:ascii="Arial" w:cs="Arial" w:eastAsia="Arial" w:hAnsi="Arial"/>
          <w:sz w:val="18"/>
          <w:szCs w:val="18"/>
          <w:color w:val="auto"/>
        </w:rPr>
        <w:t>Our facilities in Redwood City and those of our third-party manufacturers are vulnerable to natural disasters, public health crises, including the impact of health epidemics such as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28" w:lineRule="exact"/>
        <w:rPr>
          <w:sz w:val="20"/>
          <w:szCs w:val="20"/>
          <w:color w:val="auto"/>
        </w:rPr>
      </w:pPr>
    </w:p>
    <w:p>
      <w:pPr>
        <w:ind w:left="120" w:right="340"/>
        <w:spacing w:after="0" w:line="291" w:lineRule="auto"/>
        <w:rPr>
          <w:sz w:val="20"/>
          <w:szCs w:val="20"/>
          <w:color w:val="auto"/>
        </w:rPr>
      </w:pPr>
      <w:r>
        <w:rPr>
          <w:rFonts w:ascii="Arial" w:cs="Arial" w:eastAsia="Arial" w:hAnsi="Arial"/>
          <w:sz w:val="19"/>
          <w:szCs w:val="19"/>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86</w:t>
      </w:r>
    </w:p>
    <w:p>
      <w:pPr>
        <w:sectPr>
          <w:pgSz w:w="12240" w:h="15840" w:orient="portrait"/>
          <w:cols w:equalWidth="0" w:num="1">
            <w:col w:w="9360"/>
          </w:cols>
          <w:pgMar w:left="1440" w:top="1440" w:right="1440" w:bottom="610" w:gutter="0" w:footer="0" w:header="0"/>
          <w:type w:val="continuous"/>
        </w:sectPr>
      </w:pPr>
    </w:p>
    <w:bookmarkStart w:id="93" w:name="page94"/>
    <w:bookmarkEnd w:id="93"/>
    <w:p>
      <w:pPr>
        <w:spacing w:after="0" w:line="354" w:lineRule="exact"/>
        <w:rPr>
          <w:sz w:val="20"/>
          <w:szCs w:val="20"/>
          <w:color w:val="auto"/>
        </w:rPr>
      </w:pPr>
    </w:p>
    <w:p>
      <w:pPr>
        <w:ind w:left="120" w:right="620"/>
        <w:spacing w:after="0" w:line="356" w:lineRule="auto"/>
        <w:rPr>
          <w:sz w:val="20"/>
          <w:szCs w:val="20"/>
          <w:color w:val="auto"/>
        </w:rPr>
      </w:pPr>
      <w:r>
        <w:rPr>
          <w:rFonts w:ascii="Arial" w:cs="Arial" w:eastAsia="Arial" w:hAnsi="Arial"/>
          <w:sz w:val="18"/>
          <w:szCs w:val="18"/>
          <w:b w:val="1"/>
          <w:bCs w:val="1"/>
          <w:color w:val="auto"/>
        </w:rPr>
        <w:t>If we, or our vendors, partners or customers, experience a significant disruption in our information technology systems or breaches of data security, our business could be adversely affected.</w:t>
      </w:r>
    </w:p>
    <w:p>
      <w:pPr>
        <w:spacing w:after="0" w:line="77" w:lineRule="exact"/>
        <w:rPr>
          <w:sz w:val="20"/>
          <w:szCs w:val="20"/>
          <w:color w:val="auto"/>
        </w:rPr>
      </w:pPr>
    </w:p>
    <w:p>
      <w:pPr>
        <w:ind w:left="120" w:right="260"/>
        <w:spacing w:after="0" w:line="322" w:lineRule="auto"/>
        <w:rPr>
          <w:sz w:val="20"/>
          <w:szCs w:val="20"/>
          <w:color w:val="auto"/>
        </w:rPr>
      </w:pPr>
      <w:r>
        <w:rPr>
          <w:rFonts w:ascii="Arial" w:cs="Arial" w:eastAsia="Arial" w:hAnsi="Arial"/>
          <w:sz w:val="17"/>
          <w:szCs w:val="17"/>
          <w:color w:val="auto"/>
        </w:rPr>
        <w:t>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software bugs and technical errors, and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technical errors and cybersecurity attacks than if such security procedures were finalized. Despite any of our current or future efforts to protect against technical errors, cybersecurity attacks and data security breaches, there is no guarantee that our efforts are adequate to safeguard against all such errors,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spacing w:after="0" w:line="125" w:lineRule="exact"/>
        <w:rPr>
          <w:sz w:val="20"/>
          <w:szCs w:val="20"/>
          <w:color w:val="auto"/>
        </w:rPr>
      </w:pPr>
    </w:p>
    <w:p>
      <w:pPr>
        <w:ind w:left="120" w:right="280"/>
        <w:spacing w:after="0" w:line="308" w:lineRule="auto"/>
        <w:rPr>
          <w:sz w:val="20"/>
          <w:szCs w:val="20"/>
          <w:color w:val="auto"/>
        </w:rPr>
      </w:pPr>
      <w:r>
        <w:rPr>
          <w:rFonts w:ascii="Arial" w:cs="Arial" w:eastAsia="Arial" w:hAnsi="Arial"/>
          <w:sz w:val="18"/>
          <w:szCs w:val="18"/>
          <w:color w:val="auto"/>
        </w:rPr>
        <w:t>If our security measures, or those of our vendors, partners and customers, are compromised due to any technical errors,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87</w:t>
      </w:r>
    </w:p>
    <w:p>
      <w:pPr>
        <w:sectPr>
          <w:pgSz w:w="12240" w:h="15840" w:orient="portrait"/>
          <w:cols w:equalWidth="0" w:num="1">
            <w:col w:w="9360"/>
          </w:cols>
          <w:pgMar w:left="1440" w:top="1440" w:right="1440" w:bottom="610" w:gutter="0" w:footer="0" w:header="0"/>
          <w:type w:val="continuous"/>
        </w:sectPr>
      </w:pPr>
    </w:p>
    <w:bookmarkStart w:id="94" w:name="page95"/>
    <w:bookmarkEnd w:id="94"/>
    <w:p>
      <w:pPr>
        <w:spacing w:after="0" w:line="352" w:lineRule="exact"/>
        <w:rPr>
          <w:sz w:val="20"/>
          <w:szCs w:val="20"/>
          <w:color w:val="auto"/>
        </w:rPr>
      </w:pPr>
    </w:p>
    <w:p>
      <w:pPr>
        <w:ind w:left="120" w:right="300"/>
        <w:spacing w:after="0" w:line="325" w:lineRule="auto"/>
        <w:rPr>
          <w:sz w:val="20"/>
          <w:szCs w:val="20"/>
          <w:color w:val="auto"/>
        </w:rPr>
      </w:pPr>
      <w:r>
        <w:rPr>
          <w:rFonts w:ascii="Arial" w:cs="Arial" w:eastAsia="Arial" w:hAnsi="Arial"/>
          <w:sz w:val="17"/>
          <w:szCs w:val="17"/>
          <w:color w:val="auto"/>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technical errors,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incidents could compromise our customers’ networks and the information stored there could be accessed, publicly disclosed, lost or stolen.</w:t>
      </w:r>
    </w:p>
    <w:p>
      <w:pPr>
        <w:spacing w:after="0" w:line="111" w:lineRule="exact"/>
        <w:rPr>
          <w:sz w:val="20"/>
          <w:szCs w:val="20"/>
          <w:color w:val="auto"/>
        </w:rPr>
      </w:pPr>
    </w:p>
    <w:p>
      <w:pPr>
        <w:ind w:left="120" w:right="260"/>
        <w:spacing w:after="0" w:line="322" w:lineRule="auto"/>
        <w:rPr>
          <w:sz w:val="20"/>
          <w:szCs w:val="20"/>
          <w:color w:val="auto"/>
        </w:rPr>
      </w:pPr>
      <w:r>
        <w:rPr>
          <w:rFonts w:ascii="Arial" w:cs="Arial" w:eastAsia="Arial" w:hAnsi="Arial"/>
          <w:sz w:val="17"/>
          <w:szCs w:val="17"/>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went into effect on January 1, 2023. The CPRA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88</w:t>
      </w:r>
    </w:p>
    <w:p>
      <w:pPr>
        <w:sectPr>
          <w:pgSz w:w="12240" w:h="15840" w:orient="portrait"/>
          <w:cols w:equalWidth="0" w:num="1">
            <w:col w:w="9360"/>
          </w:cols>
          <w:pgMar w:left="1440" w:top="1440" w:right="1440" w:bottom="610" w:gutter="0" w:footer="0" w:header="0"/>
          <w:type w:val="continuous"/>
        </w:sectPr>
      </w:pPr>
    </w:p>
    <w:bookmarkStart w:id="95" w:name="page96"/>
    <w:bookmarkEnd w:id="95"/>
    <w:p>
      <w:pPr>
        <w:spacing w:after="0" w:line="352" w:lineRule="exact"/>
        <w:rPr>
          <w:sz w:val="20"/>
          <w:szCs w:val="20"/>
          <w:color w:val="auto"/>
        </w:rPr>
      </w:pPr>
    </w:p>
    <w:p>
      <w:pPr>
        <w:ind w:left="120" w:right="300"/>
        <w:spacing w:after="0" w:line="306" w:lineRule="auto"/>
        <w:rPr>
          <w:sz w:val="20"/>
          <w:szCs w:val="20"/>
          <w:color w:val="auto"/>
        </w:rPr>
      </w:pPr>
      <w:r>
        <w:rPr>
          <w:rFonts w:ascii="Arial" w:cs="Arial" w:eastAsia="Arial" w:hAnsi="Arial"/>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27" w:lineRule="exact"/>
        <w:rPr>
          <w:sz w:val="20"/>
          <w:szCs w:val="20"/>
          <w:color w:val="auto"/>
        </w:rPr>
      </w:pPr>
    </w:p>
    <w:p>
      <w:pPr>
        <w:ind w:left="120" w:right="380"/>
        <w:spacing w:after="0" w:line="295" w:lineRule="auto"/>
        <w:rPr>
          <w:sz w:val="20"/>
          <w:szCs w:val="20"/>
          <w:color w:val="auto"/>
        </w:rPr>
      </w:pPr>
      <w:r>
        <w:rPr>
          <w:rFonts w:ascii="Arial" w:cs="Arial" w:eastAsia="Arial" w:hAnsi="Arial"/>
          <w:sz w:val="19"/>
          <w:szCs w:val="19"/>
          <w:b w:val="1"/>
          <w:bCs w:val="1"/>
          <w:color w:val="auto"/>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7" w:lineRule="exact"/>
        <w:rPr>
          <w:sz w:val="20"/>
          <w:szCs w:val="20"/>
          <w:color w:val="auto"/>
        </w:rPr>
      </w:pPr>
    </w:p>
    <w:p>
      <w:pPr>
        <w:ind w:left="120" w:right="280"/>
        <w:spacing w:after="0" w:line="326"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08" w:lineRule="exact"/>
        <w:rPr>
          <w:sz w:val="20"/>
          <w:szCs w:val="20"/>
          <w:color w:val="auto"/>
        </w:rPr>
      </w:pPr>
    </w:p>
    <w:p>
      <w:pPr>
        <w:ind w:left="120" w:right="360"/>
        <w:spacing w:after="0" w:line="324"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89</w:t>
      </w:r>
    </w:p>
    <w:p>
      <w:pPr>
        <w:sectPr>
          <w:pgSz w:w="12240" w:h="15840" w:orient="portrait"/>
          <w:cols w:equalWidth="0" w:num="1">
            <w:col w:w="9360"/>
          </w:cols>
          <w:pgMar w:left="1440" w:top="1440" w:right="1440" w:bottom="610" w:gutter="0" w:footer="0" w:header="0"/>
          <w:type w:val="continuous"/>
        </w:sectPr>
      </w:pPr>
    </w:p>
    <w:bookmarkStart w:id="96" w:name="page97"/>
    <w:bookmarkEnd w:id="96"/>
    <w:p>
      <w:pPr>
        <w:spacing w:after="0" w:line="352" w:lineRule="exact"/>
        <w:rPr>
          <w:sz w:val="20"/>
          <w:szCs w:val="20"/>
          <w:color w:val="auto"/>
        </w:rPr>
      </w:pPr>
    </w:p>
    <w:p>
      <w:pPr>
        <w:ind w:left="120" w:right="260"/>
        <w:spacing w:after="0" w:line="324"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15" w:lineRule="exact"/>
        <w:rPr>
          <w:sz w:val="20"/>
          <w:szCs w:val="20"/>
          <w:color w:val="auto"/>
        </w:rPr>
      </w:pPr>
    </w:p>
    <w:p>
      <w:pPr>
        <w:ind w:left="120" w:right="280"/>
        <w:spacing w:after="0" w:line="325" w:lineRule="auto"/>
        <w:rPr>
          <w:sz w:val="20"/>
          <w:szCs w:val="20"/>
          <w:color w:val="auto"/>
        </w:rPr>
      </w:pPr>
      <w:r>
        <w:rPr>
          <w:rFonts w:ascii="Arial" w:cs="Arial" w:eastAsia="Arial" w:hAnsi="Arial"/>
          <w:sz w:val="17"/>
          <w:szCs w:val="17"/>
          <w:color w:val="auto"/>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1B. Unresolved Staff Comments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None.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1C. Cybersecurity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Cybersecurity Risk Management and Strategy</w:t>
      </w:r>
    </w:p>
    <w:p>
      <w:pPr>
        <w:spacing w:after="0" w:line="215" w:lineRule="exact"/>
        <w:rPr>
          <w:sz w:val="20"/>
          <w:szCs w:val="20"/>
          <w:color w:val="auto"/>
        </w:rPr>
      </w:pPr>
    </w:p>
    <w:p>
      <w:pPr>
        <w:ind w:left="120" w:right="320"/>
        <w:spacing w:after="0" w:line="334" w:lineRule="auto"/>
        <w:rPr>
          <w:sz w:val="20"/>
          <w:szCs w:val="20"/>
          <w:color w:val="auto"/>
        </w:rPr>
      </w:pPr>
      <w:r>
        <w:rPr>
          <w:rFonts w:ascii="Arial" w:cs="Arial" w:eastAsia="Arial" w:hAnsi="Arial"/>
          <w:sz w:val="17"/>
          <w:szCs w:val="17"/>
          <w:color w:val="auto"/>
        </w:rPr>
        <w:t>We recognize the importance of identifying, assessing, and managing material risks associated with cybersecurity threats. We have developed and implemented a cybersecurity risk management program intended to protect the confidentiality, integrity, and availability of our critical systems and information. We regularly assess risks from cybersecurity threats; monitor our information systems for potential vulnerabilities; and test those systems pursuant to our cybersecurity policies, processes, and practices, which are integrated into our overall risk management program. Our cybersecurity risk management program includes a cybersecurity incident response plan.</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90</w:t>
      </w:r>
    </w:p>
    <w:p>
      <w:pPr>
        <w:sectPr>
          <w:pgSz w:w="12240" w:h="15840" w:orient="portrait"/>
          <w:cols w:equalWidth="0" w:num="1">
            <w:col w:w="9360"/>
          </w:cols>
          <w:pgMar w:left="1440" w:top="1440" w:right="1440" w:bottom="610" w:gutter="0" w:footer="0" w:header="0"/>
          <w:type w:val="continuous"/>
        </w:sectPr>
      </w:pPr>
    </w:p>
    <w:bookmarkStart w:id="97" w:name="page98"/>
    <w:bookmarkEnd w:id="97"/>
    <w:p>
      <w:pPr>
        <w:spacing w:after="0" w:line="352" w:lineRule="exact"/>
        <w:rPr>
          <w:sz w:val="20"/>
          <w:szCs w:val="20"/>
          <w:color w:val="auto"/>
        </w:rPr>
      </w:pPr>
    </w:p>
    <w:p>
      <w:pPr>
        <w:ind w:left="120" w:right="280"/>
        <w:spacing w:after="0" w:line="330" w:lineRule="auto"/>
        <w:rPr>
          <w:sz w:val="20"/>
          <w:szCs w:val="20"/>
          <w:color w:val="auto"/>
        </w:rPr>
      </w:pPr>
      <w:r>
        <w:rPr>
          <w:rFonts w:ascii="Arial" w:cs="Arial" w:eastAsia="Arial" w:hAnsi="Arial"/>
          <w:sz w:val="17"/>
          <w:szCs w:val="17"/>
          <w:color w:val="auto"/>
        </w:rPr>
        <w:t>We design and assess our program based on recommendations from trusted sources, such as the National Institute of Standards and Technology and the Center for Internet Security, as well as information security standards issued by the International Organization for Standardization, including ISO 27001. In 2024, our cybersecurity systems and processes achieved ISO 27001 certification. We use these cybersecurity frameworks and information security standards as a guide to help us identify, assess, and manage cybersecurity risks relevant to our business. 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Our cybersecurity risk management program includes:</w:t>
      </w:r>
    </w:p>
    <w:p>
      <w:pPr>
        <w:spacing w:after="0" w:line="214" w:lineRule="exact"/>
        <w:rPr>
          <w:sz w:val="20"/>
          <w:szCs w:val="20"/>
          <w:color w:val="auto"/>
        </w:rPr>
      </w:pPr>
    </w:p>
    <w:p>
      <w:pPr>
        <w:ind w:left="1480" w:right="820"/>
        <w:spacing w:after="0" w:line="305" w:lineRule="auto"/>
        <w:rPr>
          <w:sz w:val="20"/>
          <w:szCs w:val="20"/>
          <w:color w:val="auto"/>
        </w:rPr>
      </w:pPr>
      <w:r>
        <w:rPr>
          <w:rFonts w:ascii="Arial" w:cs="Arial" w:eastAsia="Arial" w:hAnsi="Arial"/>
          <w:sz w:val="19"/>
          <w:szCs w:val="19"/>
          <w:color w:val="auto"/>
        </w:rPr>
        <w:t>risk assessments designed to help identify material cybersecurity risks to our critical systems, information, products, services, and our broader enterprise information technology (IT)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-472440</wp:posOffset>
            </wp:positionV>
            <wp:extent cx="67945" cy="679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12" w:lineRule="exact"/>
        <w:rPr>
          <w:sz w:val="20"/>
          <w:szCs w:val="20"/>
          <w:color w:val="auto"/>
        </w:rPr>
      </w:pPr>
    </w:p>
    <w:p>
      <w:pPr>
        <w:ind w:left="1480" w:right="1060"/>
        <w:spacing w:after="0" w:line="393" w:lineRule="auto"/>
        <w:rPr>
          <w:sz w:val="20"/>
          <w:szCs w:val="20"/>
          <w:color w:val="auto"/>
        </w:rPr>
      </w:pPr>
      <w:r>
        <w:rPr>
          <w:rFonts w:ascii="Arial" w:cs="Arial" w:eastAsia="Arial" w:hAnsi="Arial"/>
          <w:sz w:val="17"/>
          <w:szCs w:val="17"/>
          <w:color w:val="auto"/>
        </w:rPr>
        <w:t>a security team principally responsible for managing (1) our cybersecurity risk assessment processes, (2) our security controls, and (3) our response to cybersecurity incidents;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-349885</wp:posOffset>
            </wp:positionV>
            <wp:extent cx="67945" cy="679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45" w:lineRule="exact"/>
        <w:rPr>
          <w:sz w:val="20"/>
          <w:szCs w:val="20"/>
          <w:color w:val="auto"/>
        </w:rPr>
      </w:pPr>
    </w:p>
    <w:p>
      <w:pPr>
        <w:ind w:left="1480" w:right="700"/>
        <w:spacing w:after="0" w:line="326" w:lineRule="auto"/>
        <w:rPr>
          <w:sz w:val="20"/>
          <w:szCs w:val="20"/>
          <w:color w:val="auto"/>
        </w:rPr>
      </w:pPr>
      <w:r>
        <w:rPr>
          <w:rFonts w:ascii="Arial" w:cs="Arial" w:eastAsia="Arial" w:hAnsi="Arial"/>
          <w:sz w:val="19"/>
          <w:szCs w:val="19"/>
          <w:color w:val="auto"/>
        </w:rPr>
        <w:t>the use of external service providers, where appropriate, to assess, test, or otherwise assist with aspects of our security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-320675</wp:posOffset>
            </wp:positionV>
            <wp:extent cx="67945" cy="679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1480" w:right="920"/>
        <w:spacing w:after="0" w:line="324" w:lineRule="auto"/>
        <w:rPr>
          <w:sz w:val="20"/>
          <w:szCs w:val="20"/>
          <w:color w:val="auto"/>
        </w:rPr>
      </w:pPr>
      <w:r>
        <w:rPr>
          <w:rFonts w:ascii="Arial" w:cs="Arial" w:eastAsia="Arial" w:hAnsi="Arial"/>
          <w:sz w:val="19"/>
          <w:szCs w:val="19"/>
          <w:color w:val="auto"/>
        </w:rPr>
        <w:t>cybersecurity awareness training for our employees, incident response personnel,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-318135</wp:posOffset>
            </wp:positionV>
            <wp:extent cx="67945" cy="679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3" w:lineRule="exact"/>
        <w:rPr>
          <w:sz w:val="20"/>
          <w:szCs w:val="20"/>
          <w:color w:val="auto"/>
        </w:rPr>
      </w:pPr>
    </w:p>
    <w:p>
      <w:pPr>
        <w:ind w:left="1480" w:right="700"/>
        <w:spacing w:after="0" w:line="326" w:lineRule="auto"/>
        <w:rPr>
          <w:sz w:val="20"/>
          <w:szCs w:val="20"/>
          <w:color w:val="auto"/>
        </w:rPr>
      </w:pPr>
      <w:r>
        <w:rPr>
          <w:rFonts w:ascii="Arial" w:cs="Arial" w:eastAsia="Arial" w:hAnsi="Arial"/>
          <w:sz w:val="19"/>
          <w:szCs w:val="19"/>
          <w:color w:val="auto"/>
        </w:rPr>
        <w:t>a cybersecurity incident response plan that includes procedures for responding to cybersecurity incidents;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-320675</wp:posOffset>
            </wp:positionV>
            <wp:extent cx="67945" cy="679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1480" w:right="680"/>
        <w:spacing w:after="0" w:line="326" w:lineRule="auto"/>
        <w:rPr>
          <w:sz w:val="20"/>
          <w:szCs w:val="20"/>
          <w:color w:val="auto"/>
        </w:rPr>
      </w:pPr>
      <w:r>
        <w:rPr>
          <w:rFonts w:ascii="Arial" w:cs="Arial" w:eastAsia="Arial" w:hAnsi="Arial"/>
          <w:sz w:val="19"/>
          <w:szCs w:val="19"/>
          <w:color w:val="auto"/>
        </w:rPr>
        <w:t>a third-party risk management process for managing the risk inherent to engaging with external service providers, suppliers, and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-320675</wp:posOffset>
            </wp:positionV>
            <wp:extent cx="67945" cy="679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77" w:lineRule="exact"/>
        <w:rPr>
          <w:sz w:val="20"/>
          <w:szCs w:val="20"/>
          <w:color w:val="auto"/>
        </w:rPr>
      </w:pPr>
    </w:p>
    <w:p>
      <w:pPr>
        <w:ind w:left="120" w:right="280"/>
        <w:spacing w:after="0" w:line="292" w:lineRule="auto"/>
        <w:rPr>
          <w:sz w:val="20"/>
          <w:szCs w:val="20"/>
          <w:color w:val="auto"/>
        </w:rPr>
      </w:pPr>
      <w:r>
        <w:rPr>
          <w:rFonts w:ascii="Arial" w:cs="Arial" w:eastAsia="Arial" w:hAnsi="Arial"/>
          <w:sz w:val="19"/>
          <w:szCs w:val="19"/>
          <w:color w:val="auto"/>
        </w:rPr>
        <w:t>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 - If we, or our vendors, partners or customers, experience a significant disruption in our information technology systems or breaches of data security, our business could be adversely affected.”</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Cybersecurity Governance</w:t>
      </w:r>
    </w:p>
    <w:p>
      <w:pPr>
        <w:spacing w:after="0" w:line="215" w:lineRule="exact"/>
        <w:rPr>
          <w:sz w:val="20"/>
          <w:szCs w:val="20"/>
          <w:color w:val="auto"/>
        </w:rPr>
      </w:pPr>
    </w:p>
    <w:p>
      <w:pPr>
        <w:ind w:left="120" w:right="540"/>
        <w:spacing w:after="0" w:line="315" w:lineRule="auto"/>
        <w:rPr>
          <w:sz w:val="20"/>
          <w:szCs w:val="20"/>
          <w:color w:val="auto"/>
        </w:rPr>
      </w:pPr>
      <w:r>
        <w:rPr>
          <w:rFonts w:ascii="Arial" w:cs="Arial" w:eastAsia="Arial" w:hAnsi="Arial"/>
          <w:sz w:val="18"/>
          <w:szCs w:val="18"/>
          <w:color w:val="auto"/>
        </w:rPr>
        <w:t>Our Board considers cybersecurity risk as part of its risk oversight function and has delegated oversight of cybersecurity and other information technology risks to the Audit Committee. The Audit Committee oversees management’s implementation of the cybersecurity risk management program. The Audit Committee reports to the full Board regarding its activities, including those related to cybersecurity. The full Board also receives periodic briefings from the Audit Committee on our cybersecurity risk management program.</w:t>
      </w:r>
    </w:p>
    <w:p>
      <w:pPr>
        <w:spacing w:after="0" w:line="111" w:lineRule="exact"/>
        <w:rPr>
          <w:sz w:val="20"/>
          <w:szCs w:val="20"/>
          <w:color w:val="auto"/>
        </w:rPr>
      </w:pPr>
    </w:p>
    <w:p>
      <w:pPr>
        <w:ind w:left="120" w:right="400"/>
        <w:spacing w:after="0" w:line="330" w:lineRule="auto"/>
        <w:rPr>
          <w:sz w:val="20"/>
          <w:szCs w:val="20"/>
          <w:color w:val="auto"/>
        </w:rPr>
      </w:pPr>
      <w:r>
        <w:rPr>
          <w:rFonts w:ascii="Arial" w:cs="Arial" w:eastAsia="Arial" w:hAnsi="Arial"/>
          <w:sz w:val="18"/>
          <w:szCs w:val="18"/>
          <w:color w:val="auto"/>
        </w:rPr>
        <w:t>The Audit Committee receives regular reports from our VP of Information Technology on our cybersecurity risks. In addition, our VP of Information Technology updates the Audit Committee, as necessary, regarding any material cybersecurity incidents, as well as any incidents with lesser potential impact.</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91</w:t>
      </w:r>
    </w:p>
    <w:p>
      <w:pPr>
        <w:sectPr>
          <w:pgSz w:w="12240" w:h="15840" w:orient="portrait"/>
          <w:cols w:equalWidth="0" w:num="1">
            <w:col w:w="9360"/>
          </w:cols>
          <w:pgMar w:left="1440" w:top="1440" w:right="1440" w:bottom="610" w:gutter="0" w:footer="0" w:header="0"/>
          <w:type w:val="continuous"/>
        </w:sectPr>
      </w:pPr>
    </w:p>
    <w:bookmarkStart w:id="98" w:name="page99"/>
    <w:bookmarkEnd w:id="98"/>
    <w:p>
      <w:pPr>
        <w:spacing w:after="0" w:line="352" w:lineRule="exact"/>
        <w:rPr>
          <w:sz w:val="20"/>
          <w:szCs w:val="20"/>
          <w:color w:val="auto"/>
        </w:rPr>
      </w:pPr>
    </w:p>
    <w:p>
      <w:pPr>
        <w:ind w:left="120" w:right="280"/>
        <w:spacing w:after="0" w:line="327" w:lineRule="auto"/>
        <w:rPr>
          <w:sz w:val="20"/>
          <w:szCs w:val="20"/>
          <w:color w:val="auto"/>
        </w:rPr>
      </w:pPr>
      <w:r>
        <w:rPr>
          <w:rFonts w:ascii="Arial" w:cs="Arial" w:eastAsia="Arial" w:hAnsi="Arial"/>
          <w:sz w:val="17"/>
          <w:szCs w:val="17"/>
          <w:color w:val="auto"/>
        </w:rPr>
        <w:t>We have established an internal cross-functional Steering Committee and a leadership committee with the objective of overseeing the cyber security program, incidents, risks and initiatives. The Steering Committee is chaired by our VP of Information Technology and is comprised of leaders from Software Development, Research and Development and Data teams. The Steering Committee oversees the cybersecurity program relevance and effectiveness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 Updates from the Steering Committee are provided quarterly to an executive leadership committee, which is chaired by our VP of Information Technology and is comprised of the President and Chief Financial Officer, Chief People Officer, Chief Data Officer, Chief Operations and Product Development Officer and the SVP of Product Development.</w:t>
      </w:r>
    </w:p>
    <w:p>
      <w:pPr>
        <w:spacing w:after="0" w:line="111" w:lineRule="exact"/>
        <w:rPr>
          <w:sz w:val="20"/>
          <w:szCs w:val="20"/>
          <w:color w:val="auto"/>
        </w:rPr>
      </w:pPr>
    </w:p>
    <w:p>
      <w:pPr>
        <w:ind w:left="120" w:right="520"/>
        <w:spacing w:after="0" w:line="320" w:lineRule="auto"/>
        <w:rPr>
          <w:sz w:val="20"/>
          <w:szCs w:val="20"/>
          <w:color w:val="auto"/>
        </w:rPr>
      </w:pPr>
      <w:r>
        <w:rPr>
          <w:rFonts w:ascii="Arial" w:cs="Arial" w:eastAsia="Arial" w:hAnsi="Arial"/>
          <w:sz w:val="18"/>
          <w:szCs w:val="18"/>
          <w:color w:val="auto"/>
        </w:rPr>
        <w:t>The IT management team has primary responsibility for our overall cybersecurity risk management program and supervises both our internal cybersecurity personnel and our retained external cybersecurity consultants. Our VP of Information Technology has over 20 years of experience managing global IT operations, including strategy, information security, applications, infrastructure, support and execution.</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2. Properties</w:t>
      </w:r>
    </w:p>
    <w:p>
      <w:pPr>
        <w:spacing w:after="0" w:line="215" w:lineRule="exact"/>
        <w:rPr>
          <w:sz w:val="20"/>
          <w:szCs w:val="20"/>
          <w:color w:val="auto"/>
        </w:rPr>
      </w:pPr>
    </w:p>
    <w:p>
      <w:pPr>
        <w:ind w:left="120" w:right="380"/>
        <w:spacing w:after="0" w:line="292" w:lineRule="auto"/>
        <w:rPr>
          <w:sz w:val="20"/>
          <w:szCs w:val="20"/>
          <w:color w:val="auto"/>
        </w:rPr>
      </w:pPr>
      <w:r>
        <w:rPr>
          <w:rFonts w:ascii="Arial" w:cs="Arial" w:eastAsia="Arial" w:hAnsi="Arial"/>
          <w:sz w:val="19"/>
          <w:szCs w:val="19"/>
          <w:color w:val="auto"/>
        </w:rPr>
        <w:t>Our corporate headquarters, research and development facilities, and manufacturing and distribution centers are located at 3800 Bridge Parkway, Redwood City, CA 94065. The facility is approximately 51,000 square feet and is compliant with all relevant state and federal requirements. Our lease on this facility runs through September 2032. In addition, we lease approximately 3,500 square feet of office space in San Diego, California under a lease that runs through July 2025. We do not own any real property and believe that our current facilities are sufficient to meet our ongoing needs and that, if we require additional space, we will be able to obtain additional facilities on commercially reasonable terms.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3. Legal Proceedings</w:t>
      </w:r>
    </w:p>
    <w:p>
      <w:pPr>
        <w:spacing w:after="0" w:line="213" w:lineRule="exact"/>
        <w:rPr>
          <w:sz w:val="20"/>
          <w:szCs w:val="20"/>
          <w:color w:val="auto"/>
        </w:rPr>
      </w:pPr>
    </w:p>
    <w:p>
      <w:pPr>
        <w:ind w:left="120" w:right="320"/>
        <w:spacing w:after="0" w:line="306" w:lineRule="auto"/>
        <w:rPr>
          <w:sz w:val="20"/>
          <w:szCs w:val="20"/>
          <w:color w:val="auto"/>
        </w:rPr>
      </w:pPr>
      <w:r>
        <w:rPr>
          <w:rFonts w:ascii="Arial" w:cs="Arial" w:eastAsia="Arial" w:hAnsi="Arial"/>
          <w:sz w:val="19"/>
          <w:szCs w:val="19"/>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4. Mine Safety Disclosures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Not applicable.</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92</w:t>
      </w:r>
    </w:p>
    <w:p>
      <w:pPr>
        <w:sectPr>
          <w:pgSz w:w="12240" w:h="15840" w:orient="portrait"/>
          <w:cols w:equalWidth="0" w:num="1">
            <w:col w:w="9360"/>
          </w:cols>
          <w:pgMar w:left="1440" w:top="1440" w:right="1440" w:bottom="610" w:gutter="0" w:footer="0" w:header="0"/>
          <w:type w:val="continuous"/>
        </w:sectPr>
      </w:pPr>
    </w:p>
    <w:bookmarkStart w:id="99" w:name="page100"/>
    <w:bookmarkEnd w:id="99"/>
    <w:p>
      <w:pPr>
        <w:spacing w:after="0" w:line="350"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PART II.</w:t>
      </w:r>
    </w:p>
    <w:p>
      <w:pPr>
        <w:spacing w:after="0" w:line="278" w:lineRule="exact"/>
        <w:rPr>
          <w:sz w:val="20"/>
          <w:szCs w:val="20"/>
          <w:color w:val="auto"/>
        </w:rPr>
      </w:pPr>
    </w:p>
    <w:p>
      <w:pPr>
        <w:ind w:left="120" w:right="320"/>
        <w:spacing w:after="0" w:line="330" w:lineRule="auto"/>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Market Information</w:t>
      </w:r>
    </w:p>
    <w:p>
      <w:pPr>
        <w:spacing w:after="0" w:line="213" w:lineRule="exact"/>
        <w:rPr>
          <w:sz w:val="20"/>
          <w:szCs w:val="20"/>
          <w:color w:val="auto"/>
        </w:rPr>
      </w:pPr>
    </w:p>
    <w:p>
      <w:pPr>
        <w:ind w:left="120" w:right="720"/>
        <w:spacing w:after="0" w:line="393" w:lineRule="auto"/>
        <w:rPr>
          <w:sz w:val="20"/>
          <w:szCs w:val="20"/>
          <w:color w:val="auto"/>
        </w:rPr>
      </w:pPr>
      <w:r>
        <w:rPr>
          <w:rFonts w:ascii="Arial" w:cs="Arial" w:eastAsia="Arial" w:hAnsi="Arial"/>
          <w:sz w:val="17"/>
          <w:szCs w:val="17"/>
          <w:color w:val="auto"/>
        </w:rPr>
        <w:t>Our Class A common stock has been listed on the Nasdaq Global Select Market under the symbol “SEER” since December 4, 2020. Prior to that date, there was no public trading market for our Class A common stock.</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Our Class B common stock is not listed or traded on any stock exchange.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Holders of Common Stock</w:t>
      </w:r>
    </w:p>
    <w:p>
      <w:pPr>
        <w:spacing w:after="0" w:line="213" w:lineRule="exact"/>
        <w:rPr>
          <w:sz w:val="20"/>
          <w:szCs w:val="20"/>
          <w:color w:val="auto"/>
        </w:rPr>
      </w:pPr>
    </w:p>
    <w:p>
      <w:pPr>
        <w:ind w:left="120" w:right="520"/>
        <w:spacing w:after="0" w:line="299" w:lineRule="auto"/>
        <w:rPr>
          <w:sz w:val="20"/>
          <w:szCs w:val="20"/>
          <w:color w:val="auto"/>
        </w:rPr>
      </w:pPr>
      <w:r>
        <w:rPr>
          <w:rFonts w:ascii="Arial" w:cs="Arial" w:eastAsia="Arial" w:hAnsi="Arial"/>
          <w:sz w:val="19"/>
          <w:szCs w:val="19"/>
          <w:color w:val="auto"/>
        </w:rPr>
        <w:t>As of February 26, 2025, there were 21 holders of record of our Class A common stock and 11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Dividend Policy</w:t>
      </w:r>
    </w:p>
    <w:p>
      <w:pPr>
        <w:spacing w:after="0" w:line="215" w:lineRule="exact"/>
        <w:rPr>
          <w:sz w:val="20"/>
          <w:szCs w:val="20"/>
          <w:color w:val="auto"/>
        </w:rPr>
      </w:pPr>
    </w:p>
    <w:p>
      <w:pPr>
        <w:ind w:left="120" w:right="420"/>
        <w:spacing w:after="0" w:line="312"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215" w:lineRule="exact"/>
        <w:rPr>
          <w:sz w:val="20"/>
          <w:szCs w:val="20"/>
          <w:color w:val="auto"/>
        </w:rPr>
      </w:pPr>
    </w:p>
    <w:p>
      <w:pPr>
        <w:ind w:left="120" w:right="320"/>
        <w:spacing w:after="0" w:line="276" w:lineRule="auto"/>
        <w:rPr>
          <w:sz w:val="20"/>
          <w:szCs w:val="20"/>
          <w:color w:val="auto"/>
        </w:rPr>
      </w:pPr>
      <w:r>
        <w:rPr>
          <w:rFonts w:ascii="Arial" w:cs="Arial" w:eastAsia="Arial" w:hAnsi="Arial"/>
          <w:sz w:val="19"/>
          <w:szCs w:val="19"/>
          <w:color w:val="auto"/>
        </w:rPr>
        <w:t>The following table represents a month-to-month summary of information with respect to purchases of common stock made during the three months ended December 31, 2024:</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0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96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940" w:type="dxa"/>
            <w:vAlign w:val="bottom"/>
            <w:shd w:val="clear" w:color="auto" w:fill="FDFDFD"/>
          </w:tcPr>
          <w:p>
            <w:pPr>
              <w:spacing w:after="0"/>
              <w:rPr>
                <w:sz w:val="15"/>
                <w:szCs w:val="15"/>
                <w:color w:val="auto"/>
              </w:rPr>
            </w:pPr>
          </w:p>
        </w:tc>
        <w:tc>
          <w:tcPr>
            <w:tcW w:w="2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940" w:type="dxa"/>
            <w:vAlign w:val="bottom"/>
            <w:gridSpan w:val="2"/>
            <w:shd w:val="clear" w:color="auto" w:fill="FDFDFD"/>
          </w:tcPr>
          <w:p>
            <w:pPr>
              <w:jc w:val="center"/>
              <w:spacing w:after="0"/>
              <w:rPr>
                <w:sz w:val="20"/>
                <w:szCs w:val="20"/>
                <w:color w:val="auto"/>
              </w:rPr>
            </w:pPr>
            <w:r>
              <w:rPr>
                <w:rFonts w:ascii="Arial" w:cs="Arial" w:eastAsia="Arial" w:hAnsi="Arial"/>
                <w:sz w:val="15"/>
                <w:szCs w:val="15"/>
                <w:b w:val="1"/>
                <w:bCs w:val="1"/>
                <w:color w:val="auto"/>
                <w:w w:val="93"/>
              </w:rPr>
              <w:t>Approximate</w:t>
            </w:r>
          </w:p>
        </w:tc>
        <w:tc>
          <w:tcPr>
            <w:tcW w:w="8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50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960" w:type="dxa"/>
            <w:vAlign w:val="bottom"/>
            <w:shd w:val="clear" w:color="auto" w:fill="FDFDFD"/>
          </w:tcPr>
          <w:p>
            <w:pPr>
              <w:spacing w:after="0"/>
              <w:rPr>
                <w:sz w:val="14"/>
                <w:szCs w:val="14"/>
                <w:color w:val="auto"/>
              </w:rPr>
            </w:pPr>
          </w:p>
        </w:tc>
        <w:tc>
          <w:tcPr>
            <w:tcW w:w="20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800" w:type="dxa"/>
            <w:vAlign w:val="bottom"/>
            <w:shd w:val="clear" w:color="auto" w:fill="FDFDFD"/>
          </w:tcPr>
          <w:p>
            <w:pPr>
              <w:spacing w:after="0"/>
              <w:rPr>
                <w:sz w:val="14"/>
                <w:szCs w:val="14"/>
                <w:color w:val="auto"/>
              </w:rPr>
            </w:pPr>
          </w:p>
        </w:tc>
        <w:tc>
          <w:tcPr>
            <w:tcW w:w="180" w:type="dxa"/>
            <w:vAlign w:val="bottom"/>
            <w:shd w:val="clear" w:color="auto" w:fill="FDFDFD"/>
          </w:tcPr>
          <w:p>
            <w:pPr>
              <w:spacing w:after="0"/>
              <w:rPr>
                <w:sz w:val="14"/>
                <w:szCs w:val="14"/>
                <w:color w:val="auto"/>
              </w:rPr>
            </w:pPr>
          </w:p>
        </w:tc>
        <w:tc>
          <w:tcPr>
            <w:tcW w:w="940" w:type="dxa"/>
            <w:vAlign w:val="bottom"/>
            <w:shd w:val="clear" w:color="auto" w:fill="FDFDFD"/>
          </w:tcPr>
          <w:p>
            <w:pPr>
              <w:spacing w:after="0"/>
              <w:rPr>
                <w:sz w:val="14"/>
                <w:szCs w:val="14"/>
                <w:color w:val="auto"/>
              </w:rPr>
            </w:pPr>
          </w:p>
        </w:tc>
        <w:tc>
          <w:tcPr>
            <w:tcW w:w="20" w:type="dxa"/>
            <w:vAlign w:val="bottom"/>
            <w:shd w:val="clear" w:color="auto" w:fill="FDFDFD"/>
          </w:tcPr>
          <w:p>
            <w:pPr>
              <w:spacing w:after="0"/>
              <w:rPr>
                <w:sz w:val="14"/>
                <w:szCs w:val="14"/>
                <w:color w:val="auto"/>
              </w:rPr>
            </w:pPr>
          </w:p>
        </w:tc>
        <w:tc>
          <w:tcPr>
            <w:tcW w:w="180" w:type="dxa"/>
            <w:vAlign w:val="bottom"/>
            <w:shd w:val="clear" w:color="auto" w:fill="FDFDFD"/>
          </w:tcPr>
          <w:p>
            <w:pPr>
              <w:spacing w:after="0"/>
              <w:rPr>
                <w:sz w:val="14"/>
                <w:szCs w:val="14"/>
                <w:color w:val="auto"/>
              </w:rPr>
            </w:pPr>
          </w:p>
        </w:tc>
        <w:tc>
          <w:tcPr>
            <w:tcW w:w="940" w:type="dxa"/>
            <w:vAlign w:val="bottom"/>
            <w:gridSpan w:val="2"/>
            <w:shd w:val="clear" w:color="auto" w:fill="FDFDFD"/>
          </w:tcPr>
          <w:p>
            <w:pPr>
              <w:jc w:val="center"/>
              <w:spacing w:after="0"/>
              <w:rPr>
                <w:sz w:val="20"/>
                <w:szCs w:val="20"/>
                <w:color w:val="auto"/>
              </w:rPr>
            </w:pPr>
            <w:r>
              <w:rPr>
                <w:rFonts w:ascii="Arial" w:cs="Arial" w:eastAsia="Arial" w:hAnsi="Arial"/>
                <w:sz w:val="15"/>
                <w:szCs w:val="15"/>
                <w:b w:val="1"/>
                <w:bCs w:val="1"/>
                <w:color w:val="auto"/>
                <w:w w:val="96"/>
              </w:rPr>
              <w:t>Dollar Value</w:t>
            </w:r>
          </w:p>
        </w:tc>
        <w:tc>
          <w:tcPr>
            <w:tcW w:w="80" w:type="dxa"/>
            <w:vAlign w:val="bottom"/>
            <w:shd w:val="clear" w:color="auto" w:fill="FDFDFD"/>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50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96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94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95"/>
              </w:rPr>
              <w:t>Total Number</w:t>
            </w:r>
          </w:p>
        </w:tc>
        <w:tc>
          <w:tcPr>
            <w:tcW w:w="2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820" w:type="dxa"/>
            <w:vAlign w:val="bottom"/>
            <w:shd w:val="clear" w:color="auto" w:fill="FDFDFD"/>
          </w:tcPr>
          <w:p>
            <w:pPr>
              <w:jc w:val="center"/>
              <w:ind w:right="56"/>
              <w:spacing w:after="0"/>
              <w:rPr>
                <w:sz w:val="20"/>
                <w:szCs w:val="20"/>
                <w:color w:val="auto"/>
              </w:rPr>
            </w:pPr>
            <w:r>
              <w:rPr>
                <w:rFonts w:ascii="Arial" w:cs="Arial" w:eastAsia="Arial" w:hAnsi="Arial"/>
                <w:sz w:val="15"/>
                <w:szCs w:val="15"/>
                <w:b w:val="1"/>
                <w:bCs w:val="1"/>
                <w:color w:val="auto"/>
                <w:w w:val="87"/>
              </w:rPr>
              <w:t>(in</w:t>
            </w:r>
          </w:p>
        </w:tc>
        <w:tc>
          <w:tcPr>
            <w:tcW w:w="8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96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94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87"/>
              </w:rPr>
              <w:t>of Shares</w:t>
            </w:r>
          </w:p>
        </w:tc>
        <w:tc>
          <w:tcPr>
            <w:tcW w:w="2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940" w:type="dxa"/>
            <w:vAlign w:val="bottom"/>
            <w:gridSpan w:val="2"/>
            <w:shd w:val="clear" w:color="auto" w:fill="FDFDFD"/>
          </w:tcPr>
          <w:p>
            <w:pPr>
              <w:jc w:val="center"/>
              <w:spacing w:after="0"/>
              <w:rPr>
                <w:sz w:val="20"/>
                <w:szCs w:val="20"/>
                <w:color w:val="auto"/>
              </w:rPr>
            </w:pPr>
            <w:r>
              <w:rPr>
                <w:rFonts w:ascii="Arial" w:cs="Arial" w:eastAsia="Arial" w:hAnsi="Arial"/>
                <w:sz w:val="15"/>
                <w:szCs w:val="15"/>
                <w:b w:val="1"/>
                <w:bCs w:val="1"/>
                <w:color w:val="auto"/>
                <w:w w:val="88"/>
              </w:rPr>
              <w:t>thousands) of</w:t>
            </w:r>
          </w:p>
        </w:tc>
        <w:tc>
          <w:tcPr>
            <w:tcW w:w="8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50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960" w:type="dxa"/>
            <w:vAlign w:val="bottom"/>
            <w:shd w:val="clear" w:color="auto" w:fill="FDFDFD"/>
          </w:tcPr>
          <w:p>
            <w:pPr>
              <w:spacing w:after="0"/>
              <w:rPr>
                <w:sz w:val="14"/>
                <w:szCs w:val="14"/>
                <w:color w:val="auto"/>
              </w:rPr>
            </w:pPr>
          </w:p>
        </w:tc>
        <w:tc>
          <w:tcPr>
            <w:tcW w:w="20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800" w:type="dxa"/>
            <w:vAlign w:val="bottom"/>
            <w:shd w:val="clear" w:color="auto" w:fill="FDFDFD"/>
          </w:tcPr>
          <w:p>
            <w:pPr>
              <w:spacing w:after="0"/>
              <w:rPr>
                <w:sz w:val="14"/>
                <w:szCs w:val="14"/>
                <w:color w:val="auto"/>
              </w:rPr>
            </w:pPr>
          </w:p>
        </w:tc>
        <w:tc>
          <w:tcPr>
            <w:tcW w:w="180" w:type="dxa"/>
            <w:vAlign w:val="bottom"/>
            <w:shd w:val="clear" w:color="auto" w:fill="FDFDFD"/>
          </w:tcPr>
          <w:p>
            <w:pPr>
              <w:spacing w:after="0"/>
              <w:rPr>
                <w:sz w:val="14"/>
                <w:szCs w:val="14"/>
                <w:color w:val="auto"/>
              </w:rPr>
            </w:pPr>
          </w:p>
        </w:tc>
        <w:tc>
          <w:tcPr>
            <w:tcW w:w="94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88"/>
              </w:rPr>
              <w:t>Purchased as</w:t>
            </w:r>
          </w:p>
        </w:tc>
        <w:tc>
          <w:tcPr>
            <w:tcW w:w="20" w:type="dxa"/>
            <w:vAlign w:val="bottom"/>
            <w:shd w:val="clear" w:color="auto" w:fill="FDFDFD"/>
          </w:tcPr>
          <w:p>
            <w:pPr>
              <w:spacing w:after="0"/>
              <w:rPr>
                <w:sz w:val="14"/>
                <w:szCs w:val="14"/>
                <w:color w:val="auto"/>
              </w:rPr>
            </w:pPr>
          </w:p>
        </w:tc>
        <w:tc>
          <w:tcPr>
            <w:tcW w:w="180" w:type="dxa"/>
            <w:vAlign w:val="bottom"/>
            <w:shd w:val="clear" w:color="auto" w:fill="FDFDFD"/>
          </w:tcPr>
          <w:p>
            <w:pPr>
              <w:spacing w:after="0"/>
              <w:rPr>
                <w:sz w:val="14"/>
                <w:szCs w:val="14"/>
                <w:color w:val="auto"/>
              </w:rPr>
            </w:pPr>
          </w:p>
        </w:tc>
        <w:tc>
          <w:tcPr>
            <w:tcW w:w="940" w:type="dxa"/>
            <w:vAlign w:val="bottom"/>
            <w:gridSpan w:val="2"/>
            <w:shd w:val="clear" w:color="auto" w:fill="FDFDFD"/>
          </w:tcPr>
          <w:p>
            <w:pPr>
              <w:jc w:val="center"/>
              <w:spacing w:after="0"/>
              <w:rPr>
                <w:sz w:val="20"/>
                <w:szCs w:val="20"/>
                <w:color w:val="auto"/>
              </w:rPr>
            </w:pPr>
            <w:r>
              <w:rPr>
                <w:rFonts w:ascii="Arial" w:cs="Arial" w:eastAsia="Arial" w:hAnsi="Arial"/>
                <w:sz w:val="15"/>
                <w:szCs w:val="15"/>
                <w:b w:val="1"/>
                <w:bCs w:val="1"/>
                <w:color w:val="auto"/>
                <w:w w:val="88"/>
              </w:rPr>
              <w:t>Shares that</w:t>
            </w:r>
          </w:p>
        </w:tc>
        <w:tc>
          <w:tcPr>
            <w:tcW w:w="80" w:type="dxa"/>
            <w:vAlign w:val="bottom"/>
            <w:shd w:val="clear" w:color="auto" w:fill="FDFDFD"/>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96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94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92"/>
              </w:rPr>
              <w:t>Part of</w:t>
            </w:r>
          </w:p>
        </w:tc>
        <w:tc>
          <w:tcPr>
            <w:tcW w:w="2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940" w:type="dxa"/>
            <w:vAlign w:val="bottom"/>
            <w:gridSpan w:val="2"/>
            <w:shd w:val="clear" w:color="auto" w:fill="FDFDFD"/>
          </w:tcPr>
          <w:p>
            <w:pPr>
              <w:jc w:val="center"/>
              <w:spacing w:after="0"/>
              <w:rPr>
                <w:sz w:val="20"/>
                <w:szCs w:val="20"/>
                <w:color w:val="auto"/>
              </w:rPr>
            </w:pPr>
            <w:r>
              <w:rPr>
                <w:rFonts w:ascii="Arial" w:cs="Arial" w:eastAsia="Arial" w:hAnsi="Arial"/>
                <w:sz w:val="15"/>
                <w:szCs w:val="15"/>
                <w:b w:val="1"/>
                <w:bCs w:val="1"/>
                <w:color w:val="auto"/>
                <w:w w:val="94"/>
              </w:rPr>
              <w:t>May Yet Be</w:t>
            </w:r>
          </w:p>
        </w:tc>
        <w:tc>
          <w:tcPr>
            <w:tcW w:w="8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0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96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00" w:type="dxa"/>
            <w:vAlign w:val="bottom"/>
            <w:vMerge w:val="restart"/>
            <w:shd w:val="clear" w:color="auto" w:fill="FDFDFD"/>
          </w:tcPr>
          <w:p>
            <w:pPr>
              <w:jc w:val="center"/>
              <w:ind w:right="12"/>
              <w:spacing w:after="0"/>
              <w:rPr>
                <w:sz w:val="20"/>
                <w:szCs w:val="20"/>
                <w:color w:val="auto"/>
              </w:rPr>
            </w:pPr>
            <w:r>
              <w:rPr>
                <w:rFonts w:ascii="Arial" w:cs="Arial" w:eastAsia="Arial" w:hAnsi="Arial"/>
                <w:sz w:val="15"/>
                <w:szCs w:val="15"/>
                <w:b w:val="1"/>
                <w:bCs w:val="1"/>
                <w:color w:val="auto"/>
                <w:w w:val="91"/>
              </w:rPr>
              <w:t>Average</w:t>
            </w:r>
          </w:p>
        </w:tc>
        <w:tc>
          <w:tcPr>
            <w:tcW w:w="180" w:type="dxa"/>
            <w:vAlign w:val="bottom"/>
            <w:shd w:val="clear" w:color="auto" w:fill="FDFDFD"/>
          </w:tcPr>
          <w:p>
            <w:pPr>
              <w:spacing w:after="0"/>
              <w:rPr>
                <w:sz w:val="15"/>
                <w:szCs w:val="15"/>
                <w:color w:val="auto"/>
              </w:rPr>
            </w:pPr>
          </w:p>
        </w:tc>
        <w:tc>
          <w:tcPr>
            <w:tcW w:w="94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93"/>
              </w:rPr>
              <w:t>Publicly</w:t>
            </w:r>
          </w:p>
        </w:tc>
        <w:tc>
          <w:tcPr>
            <w:tcW w:w="2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820" w:type="dxa"/>
            <w:vAlign w:val="bottom"/>
            <w:shd w:val="clear" w:color="auto" w:fill="FDFDFD"/>
          </w:tcPr>
          <w:p>
            <w:pPr>
              <w:jc w:val="center"/>
              <w:ind w:right="56"/>
              <w:spacing w:after="0"/>
              <w:rPr>
                <w:sz w:val="20"/>
                <w:szCs w:val="20"/>
                <w:color w:val="auto"/>
              </w:rPr>
            </w:pPr>
            <w:r>
              <w:rPr>
                <w:rFonts w:ascii="Arial" w:cs="Arial" w:eastAsia="Arial" w:hAnsi="Arial"/>
                <w:sz w:val="15"/>
                <w:szCs w:val="15"/>
                <w:b w:val="1"/>
                <w:bCs w:val="1"/>
                <w:color w:val="auto"/>
                <w:w w:val="88"/>
              </w:rPr>
              <w:t>Purchased</w:t>
            </w:r>
          </w:p>
        </w:tc>
        <w:tc>
          <w:tcPr>
            <w:tcW w:w="8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0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96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95"/>
              </w:rPr>
              <w:t>Total Number</w:t>
            </w:r>
          </w:p>
        </w:tc>
        <w:tc>
          <w:tcPr>
            <w:tcW w:w="2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00" w:type="dxa"/>
            <w:vAlign w:val="bottom"/>
            <w:vMerge w:val="continue"/>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94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89"/>
              </w:rPr>
              <w:t>Announced</w:t>
            </w:r>
          </w:p>
        </w:tc>
        <w:tc>
          <w:tcPr>
            <w:tcW w:w="2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820" w:type="dxa"/>
            <w:vAlign w:val="bottom"/>
            <w:shd w:val="clear" w:color="auto" w:fill="FDFDFD"/>
          </w:tcPr>
          <w:p>
            <w:pPr>
              <w:jc w:val="center"/>
              <w:ind w:right="56"/>
              <w:spacing w:after="0"/>
              <w:rPr>
                <w:sz w:val="20"/>
                <w:szCs w:val="20"/>
                <w:color w:val="auto"/>
              </w:rPr>
            </w:pPr>
            <w:r>
              <w:rPr>
                <w:rFonts w:ascii="Arial" w:cs="Arial" w:eastAsia="Arial" w:hAnsi="Arial"/>
                <w:sz w:val="15"/>
                <w:szCs w:val="15"/>
                <w:b w:val="1"/>
                <w:bCs w:val="1"/>
                <w:color w:val="auto"/>
                <w:w w:val="91"/>
              </w:rPr>
              <w:t>Under the</w:t>
            </w:r>
          </w:p>
        </w:tc>
        <w:tc>
          <w:tcPr>
            <w:tcW w:w="8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vMerge w:val="restart"/>
            <w:shd w:val="clear" w:color="auto" w:fill="FDFDFD"/>
          </w:tcPr>
          <w:p>
            <w:pPr>
              <w:ind w:left="2040"/>
              <w:spacing w:after="0"/>
              <w:rPr>
                <w:sz w:val="20"/>
                <w:szCs w:val="20"/>
                <w:color w:val="auto"/>
              </w:rPr>
            </w:pPr>
            <w:r>
              <w:rPr>
                <w:rFonts w:ascii="Arial" w:cs="Arial" w:eastAsia="Arial" w:hAnsi="Arial"/>
                <w:sz w:val="15"/>
                <w:szCs w:val="15"/>
                <w:b w:val="1"/>
                <w:bCs w:val="1"/>
                <w:color w:val="auto"/>
              </w:rPr>
              <w:t>Period</w:t>
            </w:r>
          </w:p>
        </w:tc>
        <w:tc>
          <w:tcPr>
            <w:tcW w:w="80" w:type="dxa"/>
            <w:vAlign w:val="bottom"/>
            <w:shd w:val="clear" w:color="auto" w:fill="FDFDFD"/>
          </w:tcPr>
          <w:p>
            <w:pPr>
              <w:spacing w:after="0"/>
              <w:rPr>
                <w:sz w:val="15"/>
                <w:szCs w:val="15"/>
                <w:color w:val="auto"/>
              </w:rPr>
            </w:pPr>
          </w:p>
        </w:tc>
        <w:tc>
          <w:tcPr>
            <w:tcW w:w="96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87"/>
              </w:rPr>
              <w:t>of Shares</w:t>
            </w:r>
          </w:p>
        </w:tc>
        <w:tc>
          <w:tcPr>
            <w:tcW w:w="2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00" w:type="dxa"/>
            <w:vAlign w:val="bottom"/>
            <w:shd w:val="clear" w:color="auto" w:fill="FDFDFD"/>
          </w:tcPr>
          <w:p>
            <w:pPr>
              <w:jc w:val="center"/>
              <w:ind w:right="32"/>
              <w:spacing w:after="0"/>
              <w:rPr>
                <w:sz w:val="20"/>
                <w:szCs w:val="20"/>
                <w:color w:val="auto"/>
              </w:rPr>
            </w:pPr>
            <w:r>
              <w:rPr>
                <w:rFonts w:ascii="Arial" w:cs="Arial" w:eastAsia="Arial" w:hAnsi="Arial"/>
                <w:sz w:val="15"/>
                <w:szCs w:val="15"/>
                <w:b w:val="1"/>
                <w:bCs w:val="1"/>
                <w:color w:val="auto"/>
                <w:w w:val="93"/>
              </w:rPr>
              <w:t>Price Paid</w:t>
            </w:r>
          </w:p>
        </w:tc>
        <w:tc>
          <w:tcPr>
            <w:tcW w:w="180" w:type="dxa"/>
            <w:vAlign w:val="bottom"/>
            <w:shd w:val="clear" w:color="auto" w:fill="FDFDFD"/>
          </w:tcPr>
          <w:p>
            <w:pPr>
              <w:spacing w:after="0"/>
              <w:rPr>
                <w:sz w:val="15"/>
                <w:szCs w:val="15"/>
                <w:color w:val="auto"/>
              </w:rPr>
            </w:pPr>
          </w:p>
        </w:tc>
        <w:tc>
          <w:tcPr>
            <w:tcW w:w="94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91"/>
              </w:rPr>
              <w:t>Plans or</w:t>
            </w:r>
          </w:p>
        </w:tc>
        <w:tc>
          <w:tcPr>
            <w:tcW w:w="2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820" w:type="dxa"/>
            <w:vAlign w:val="bottom"/>
            <w:shd w:val="clear" w:color="auto" w:fill="FDFDFD"/>
          </w:tcPr>
          <w:p>
            <w:pPr>
              <w:jc w:val="center"/>
              <w:ind w:right="56"/>
              <w:spacing w:after="0"/>
              <w:rPr>
                <w:sz w:val="20"/>
                <w:szCs w:val="20"/>
                <w:color w:val="auto"/>
              </w:rPr>
            </w:pPr>
            <w:r>
              <w:rPr>
                <w:rFonts w:ascii="Arial" w:cs="Arial" w:eastAsia="Arial" w:hAnsi="Arial"/>
                <w:sz w:val="15"/>
                <w:szCs w:val="15"/>
                <w:b w:val="1"/>
                <w:bCs w:val="1"/>
                <w:color w:val="auto"/>
                <w:w w:val="87"/>
              </w:rPr>
              <w:t>Plans or</w:t>
            </w:r>
          </w:p>
        </w:tc>
        <w:tc>
          <w:tcPr>
            <w:tcW w:w="8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vMerge w:val="continue"/>
            <w:shd w:val="clear" w:color="auto" w:fill="FDFDFD"/>
          </w:tcPr>
          <w:p>
            <w:pPr>
              <w:spacing w:after="0"/>
              <w:rPr>
                <w:sz w:val="16"/>
                <w:szCs w:val="16"/>
                <w:color w:val="auto"/>
              </w:rPr>
            </w:pPr>
          </w:p>
        </w:tc>
        <w:tc>
          <w:tcPr>
            <w:tcW w:w="80" w:type="dxa"/>
            <w:vAlign w:val="bottom"/>
            <w:tcBorders>
              <w:bottom w:val="single" w:sz="8" w:color="D3ECED"/>
            </w:tcBorders>
            <w:shd w:val="clear" w:color="auto" w:fill="FDFDFD"/>
          </w:tcPr>
          <w:p>
            <w:pPr>
              <w:spacing w:after="0"/>
              <w:rPr>
                <w:sz w:val="16"/>
                <w:szCs w:val="16"/>
                <w:color w:val="auto"/>
              </w:rPr>
            </w:pPr>
          </w:p>
        </w:tc>
        <w:tc>
          <w:tcPr>
            <w:tcW w:w="960" w:type="dxa"/>
            <w:vAlign w:val="bottom"/>
            <w:tcBorders>
              <w:bottom w:val="single" w:sz="8" w:color="auto"/>
            </w:tcBorders>
            <w:shd w:val="clear" w:color="auto" w:fill="FDFDFD"/>
          </w:tcPr>
          <w:p>
            <w:pPr>
              <w:jc w:val="center"/>
              <w:spacing w:after="0"/>
              <w:rPr>
                <w:sz w:val="20"/>
                <w:szCs w:val="20"/>
                <w:color w:val="auto"/>
              </w:rPr>
            </w:pPr>
            <w:r>
              <w:rPr>
                <w:rFonts w:ascii="Arial" w:cs="Arial" w:eastAsia="Arial" w:hAnsi="Arial"/>
                <w:sz w:val="15"/>
                <w:szCs w:val="15"/>
                <w:b w:val="1"/>
                <w:bCs w:val="1"/>
                <w:color w:val="auto"/>
                <w:w w:val="91"/>
              </w:rPr>
              <w:t xml:space="preserve">Purchased </w:t>
            </w:r>
            <w:r>
              <w:rPr>
                <w:rFonts w:ascii="Arial" w:cs="Arial" w:eastAsia="Arial" w:hAnsi="Arial"/>
                <w:sz w:val="9"/>
                <w:szCs w:val="9"/>
                <w:b w:val="1"/>
                <w:bCs w:val="1"/>
                <w:color w:val="auto"/>
                <w:w w:val="91"/>
              </w:rPr>
              <w:t>(1)</w:t>
            </w:r>
          </w:p>
        </w:tc>
        <w:tc>
          <w:tcPr>
            <w:tcW w:w="200" w:type="dxa"/>
            <w:vAlign w:val="bottom"/>
            <w:tcBorders>
              <w:bottom w:val="single" w:sz="8" w:color="D3ECED"/>
            </w:tcBorders>
            <w:shd w:val="clear" w:color="auto" w:fill="FDFDFD"/>
          </w:tcPr>
          <w:p>
            <w:pPr>
              <w:spacing w:after="0"/>
              <w:rPr>
                <w:sz w:val="16"/>
                <w:szCs w:val="16"/>
                <w:color w:val="auto"/>
              </w:rPr>
            </w:pPr>
          </w:p>
        </w:tc>
        <w:tc>
          <w:tcPr>
            <w:tcW w:w="900" w:type="dxa"/>
            <w:vAlign w:val="bottom"/>
            <w:tcBorders>
              <w:bottom w:val="single" w:sz="8" w:color="auto"/>
            </w:tcBorders>
            <w:gridSpan w:val="2"/>
            <w:shd w:val="clear" w:color="auto" w:fill="FDFDFD"/>
          </w:tcPr>
          <w:p>
            <w:pPr>
              <w:jc w:val="center"/>
              <w:spacing w:after="0"/>
              <w:rPr>
                <w:sz w:val="20"/>
                <w:szCs w:val="20"/>
                <w:color w:val="auto"/>
              </w:rPr>
            </w:pPr>
            <w:r>
              <w:rPr>
                <w:rFonts w:ascii="Arial" w:cs="Arial" w:eastAsia="Arial" w:hAnsi="Arial"/>
                <w:sz w:val="15"/>
                <w:szCs w:val="15"/>
                <w:b w:val="1"/>
                <w:bCs w:val="1"/>
                <w:color w:val="auto"/>
                <w:w w:val="97"/>
              </w:rPr>
              <w:t xml:space="preserve">per Share </w:t>
            </w:r>
            <w:r>
              <w:rPr>
                <w:rFonts w:ascii="Arial" w:cs="Arial" w:eastAsia="Arial" w:hAnsi="Arial"/>
                <w:sz w:val="9"/>
                <w:szCs w:val="9"/>
                <w:b w:val="1"/>
                <w:bCs w:val="1"/>
                <w:color w:val="auto"/>
                <w:w w:val="97"/>
              </w:rPr>
              <w:t>(2)</w:t>
            </w:r>
          </w:p>
        </w:tc>
        <w:tc>
          <w:tcPr>
            <w:tcW w:w="180" w:type="dxa"/>
            <w:vAlign w:val="bottom"/>
            <w:tcBorders>
              <w:bottom w:val="single" w:sz="8" w:color="D3ECED"/>
            </w:tcBorders>
            <w:shd w:val="clear" w:color="auto" w:fill="FDFDFD"/>
          </w:tcPr>
          <w:p>
            <w:pPr>
              <w:spacing w:after="0"/>
              <w:rPr>
                <w:sz w:val="16"/>
                <w:szCs w:val="16"/>
                <w:color w:val="auto"/>
              </w:rPr>
            </w:pPr>
          </w:p>
        </w:tc>
        <w:tc>
          <w:tcPr>
            <w:tcW w:w="940" w:type="dxa"/>
            <w:vAlign w:val="bottom"/>
            <w:tcBorders>
              <w:bottom w:val="single" w:sz="8" w:color="auto"/>
            </w:tcBorders>
            <w:shd w:val="clear" w:color="auto" w:fill="FDFDFD"/>
          </w:tcPr>
          <w:p>
            <w:pPr>
              <w:jc w:val="center"/>
              <w:spacing w:after="0"/>
              <w:rPr>
                <w:sz w:val="20"/>
                <w:szCs w:val="20"/>
                <w:color w:val="auto"/>
              </w:rPr>
            </w:pPr>
            <w:r>
              <w:rPr>
                <w:rFonts w:ascii="Arial" w:cs="Arial" w:eastAsia="Arial" w:hAnsi="Arial"/>
                <w:sz w:val="15"/>
                <w:szCs w:val="15"/>
                <w:b w:val="1"/>
                <w:bCs w:val="1"/>
                <w:color w:val="auto"/>
                <w:w w:val="91"/>
              </w:rPr>
              <w:t xml:space="preserve">Programs </w:t>
            </w:r>
            <w:r>
              <w:rPr>
                <w:rFonts w:ascii="Arial" w:cs="Arial" w:eastAsia="Arial" w:hAnsi="Arial"/>
                <w:sz w:val="9"/>
                <w:szCs w:val="9"/>
                <w:b w:val="1"/>
                <w:bCs w:val="1"/>
                <w:color w:val="auto"/>
                <w:w w:val="91"/>
              </w:rPr>
              <w:t>(3)</w:t>
            </w:r>
          </w:p>
        </w:tc>
        <w:tc>
          <w:tcPr>
            <w:tcW w:w="20" w:type="dxa"/>
            <w:vAlign w:val="bottom"/>
            <w:tcBorders>
              <w:bottom w:val="single" w:sz="8" w:color="D3ECED"/>
            </w:tcBorders>
            <w:shd w:val="clear" w:color="auto" w:fill="FDFDFD"/>
          </w:tcPr>
          <w:p>
            <w:pPr>
              <w:spacing w:after="0"/>
              <w:rPr>
                <w:sz w:val="16"/>
                <w:szCs w:val="16"/>
                <w:color w:val="auto"/>
              </w:rPr>
            </w:pPr>
          </w:p>
        </w:tc>
        <w:tc>
          <w:tcPr>
            <w:tcW w:w="180" w:type="dxa"/>
            <w:vAlign w:val="bottom"/>
            <w:tcBorders>
              <w:bottom w:val="single" w:sz="8" w:color="D3ECED"/>
            </w:tcBorders>
            <w:shd w:val="clear" w:color="auto" w:fill="FDFDFD"/>
          </w:tcPr>
          <w:p>
            <w:pPr>
              <w:spacing w:after="0"/>
              <w:rPr>
                <w:sz w:val="16"/>
                <w:szCs w:val="16"/>
                <w:color w:val="auto"/>
              </w:rPr>
            </w:pPr>
          </w:p>
        </w:tc>
        <w:tc>
          <w:tcPr>
            <w:tcW w:w="940" w:type="dxa"/>
            <w:vAlign w:val="bottom"/>
            <w:tcBorders>
              <w:bottom w:val="single" w:sz="8" w:color="auto"/>
            </w:tcBorders>
            <w:gridSpan w:val="2"/>
            <w:shd w:val="clear" w:color="auto" w:fill="FDFDFD"/>
          </w:tcPr>
          <w:p>
            <w:pPr>
              <w:jc w:val="center"/>
              <w:spacing w:after="0"/>
              <w:rPr>
                <w:sz w:val="20"/>
                <w:szCs w:val="20"/>
                <w:color w:val="auto"/>
              </w:rPr>
            </w:pPr>
            <w:r>
              <w:rPr>
                <w:rFonts w:ascii="Arial" w:cs="Arial" w:eastAsia="Arial" w:hAnsi="Arial"/>
                <w:sz w:val="15"/>
                <w:szCs w:val="15"/>
                <w:b w:val="1"/>
                <w:bCs w:val="1"/>
                <w:color w:val="auto"/>
                <w:w w:val="93"/>
              </w:rPr>
              <w:t xml:space="preserve">Programs </w:t>
            </w:r>
            <w:r>
              <w:rPr>
                <w:rFonts w:ascii="Arial" w:cs="Arial" w:eastAsia="Arial" w:hAnsi="Arial"/>
                <w:sz w:val="9"/>
                <w:szCs w:val="9"/>
                <w:b w:val="1"/>
                <w:bCs w:val="1"/>
                <w:color w:val="auto"/>
                <w:w w:val="93"/>
              </w:rPr>
              <w:t>(3)</w:t>
            </w:r>
          </w:p>
        </w:tc>
        <w:tc>
          <w:tcPr>
            <w:tcW w:w="80" w:type="dxa"/>
            <w:vAlign w:val="bottom"/>
            <w:tcBorders>
              <w:bottom w:val="single" w:sz="8" w:color="D3ECED"/>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D3ECED"/>
          </w:tcPr>
          <w:p>
            <w:pPr>
              <w:spacing w:after="0"/>
              <w:rPr>
                <w:sz w:val="20"/>
                <w:szCs w:val="20"/>
                <w:color w:val="auto"/>
              </w:rPr>
            </w:pPr>
            <w:r>
              <w:rPr>
                <w:rFonts w:ascii="Arial" w:cs="Arial" w:eastAsia="Arial" w:hAnsi="Arial"/>
                <w:sz w:val="19"/>
                <w:szCs w:val="19"/>
                <w:color w:val="auto"/>
              </w:rPr>
              <w:t>October 1 - October 31</w:t>
            </w:r>
          </w:p>
        </w:tc>
        <w:tc>
          <w:tcPr>
            <w:tcW w:w="80" w:type="dxa"/>
            <w:vAlign w:val="bottom"/>
            <w:shd w:val="clear" w:color="auto" w:fill="D3ECED"/>
          </w:tcPr>
          <w:p>
            <w:pPr>
              <w:spacing w:after="0"/>
              <w:rPr>
                <w:sz w:val="19"/>
                <w:szCs w:val="19"/>
                <w:color w:val="auto"/>
              </w:rPr>
            </w:pPr>
          </w:p>
        </w:tc>
        <w:tc>
          <w:tcPr>
            <w:tcW w:w="9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730,493</w:t>
            </w:r>
          </w:p>
        </w:tc>
        <w:tc>
          <w:tcPr>
            <w:tcW w:w="20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1.95</w:t>
            </w:r>
          </w:p>
        </w:tc>
        <w:tc>
          <w:tcPr>
            <w:tcW w:w="180" w:type="dxa"/>
            <w:vAlign w:val="bottom"/>
            <w:shd w:val="clear" w:color="auto" w:fill="D3ECED"/>
          </w:tcPr>
          <w:p>
            <w:pPr>
              <w:spacing w:after="0"/>
              <w:rPr>
                <w:sz w:val="19"/>
                <w:szCs w:val="19"/>
                <w:color w:val="auto"/>
              </w:rPr>
            </w:pPr>
          </w:p>
        </w:tc>
        <w:tc>
          <w:tcPr>
            <w:tcW w:w="9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730,493</w:t>
            </w:r>
          </w:p>
        </w:tc>
        <w:tc>
          <w:tcPr>
            <w:tcW w:w="20" w:type="dxa"/>
            <w:vAlign w:val="bottom"/>
            <w:shd w:val="clear" w:color="auto" w:fill="D3ECED"/>
          </w:tcPr>
          <w:p>
            <w:pPr>
              <w:spacing w:after="0"/>
              <w:rPr>
                <w:sz w:val="19"/>
                <w:szCs w:val="19"/>
                <w:color w:val="auto"/>
              </w:rPr>
            </w:pP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13,249</w:t>
            </w:r>
          </w:p>
        </w:tc>
        <w:tc>
          <w:tcPr>
            <w:tcW w:w="80" w:type="dxa"/>
            <w:vAlign w:val="bottom"/>
            <w:shd w:val="clear" w:color="auto" w:fill="D3ECE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FDFDFD"/>
          </w:tcPr>
          <w:p>
            <w:pPr>
              <w:spacing w:after="0"/>
              <w:rPr>
                <w:sz w:val="20"/>
                <w:szCs w:val="20"/>
                <w:color w:val="auto"/>
              </w:rPr>
            </w:pPr>
            <w:r>
              <w:rPr>
                <w:rFonts w:ascii="Arial" w:cs="Arial" w:eastAsia="Arial" w:hAnsi="Arial"/>
                <w:sz w:val="19"/>
                <w:szCs w:val="19"/>
                <w:color w:val="auto"/>
              </w:rPr>
              <w:t>November 1 - November 30</w:t>
            </w:r>
          </w:p>
        </w:tc>
        <w:tc>
          <w:tcPr>
            <w:tcW w:w="80" w:type="dxa"/>
            <w:vAlign w:val="bottom"/>
            <w:shd w:val="clear" w:color="auto" w:fill="FDFDFD"/>
          </w:tcPr>
          <w:p>
            <w:pPr>
              <w:spacing w:after="0"/>
              <w:rPr>
                <w:sz w:val="20"/>
                <w:szCs w:val="20"/>
                <w:color w:val="auto"/>
              </w:rPr>
            </w:pPr>
          </w:p>
        </w:tc>
        <w:tc>
          <w:tcPr>
            <w:tcW w:w="9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200" w:type="dxa"/>
            <w:vAlign w:val="bottom"/>
            <w:shd w:val="clear" w:color="auto" w:fill="FDFDFD"/>
          </w:tcPr>
          <w:p>
            <w:pPr>
              <w:spacing w:after="0"/>
              <w:rPr>
                <w:sz w:val="20"/>
                <w:szCs w:val="20"/>
                <w:color w:val="auto"/>
              </w:rPr>
            </w:pPr>
          </w:p>
        </w:tc>
        <w:tc>
          <w:tcPr>
            <w:tcW w:w="100" w:type="dxa"/>
            <w:vAlign w:val="bottom"/>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FDFDFD"/>
          </w:tcPr>
          <w:p>
            <w:pPr>
              <w:spacing w:after="0"/>
              <w:rPr>
                <w:sz w:val="20"/>
                <w:szCs w:val="20"/>
                <w:color w:val="auto"/>
              </w:rPr>
            </w:pPr>
          </w:p>
        </w:tc>
        <w:tc>
          <w:tcPr>
            <w:tcW w:w="960" w:type="dxa"/>
            <w:vAlign w:val="bottom"/>
            <w:gridSpan w:val="2"/>
            <w:shd w:val="clear" w:color="auto" w:fill="FDFDFD"/>
          </w:tcPr>
          <w:p>
            <w:pPr>
              <w:jc w:val="right"/>
              <w:ind w:right="20"/>
              <w:spacing w:after="0"/>
              <w:rPr>
                <w:sz w:val="20"/>
                <w:szCs w:val="20"/>
                <w:color w:val="auto"/>
              </w:rPr>
            </w:pPr>
            <w:r>
              <w:rPr>
                <w:rFonts w:ascii="Arial" w:cs="Arial" w:eastAsia="Arial" w:hAnsi="Arial"/>
                <w:sz w:val="19"/>
                <w:szCs w:val="19"/>
                <w:color w:val="auto"/>
              </w:rPr>
              <w:t>—</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13,249</w:t>
            </w:r>
          </w:p>
        </w:tc>
        <w:tc>
          <w:tcPr>
            <w:tcW w:w="80" w:type="dxa"/>
            <w:vAlign w:val="bottom"/>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D3ECED"/>
          </w:tcPr>
          <w:p>
            <w:pPr>
              <w:spacing w:after="0"/>
              <w:rPr>
                <w:sz w:val="20"/>
                <w:szCs w:val="20"/>
                <w:color w:val="auto"/>
              </w:rPr>
            </w:pPr>
            <w:r>
              <w:rPr>
                <w:rFonts w:ascii="Arial" w:cs="Arial" w:eastAsia="Arial" w:hAnsi="Arial"/>
                <w:sz w:val="19"/>
                <w:szCs w:val="19"/>
                <w:color w:val="auto"/>
              </w:rPr>
              <w:t>December 1 - December 31</w:t>
            </w:r>
          </w:p>
        </w:tc>
        <w:tc>
          <w:tcPr>
            <w:tcW w:w="80" w:type="dxa"/>
            <w:vAlign w:val="bottom"/>
            <w:shd w:val="clear" w:color="auto" w:fill="D3ECED"/>
          </w:tcPr>
          <w:p>
            <w:pPr>
              <w:spacing w:after="0"/>
              <w:rPr>
                <w:sz w:val="21"/>
                <w:szCs w:val="21"/>
                <w:color w:val="auto"/>
              </w:rPr>
            </w:pPr>
          </w:p>
        </w:tc>
        <w:tc>
          <w:tcPr>
            <w:tcW w:w="9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30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D3ECED"/>
          </w:tcPr>
          <w:p>
            <w:pPr>
              <w:spacing w:after="0"/>
              <w:rPr>
                <w:sz w:val="21"/>
                <w:szCs w:val="21"/>
                <w:color w:val="auto"/>
              </w:rPr>
            </w:pPr>
          </w:p>
        </w:tc>
        <w:tc>
          <w:tcPr>
            <w:tcW w:w="960" w:type="dxa"/>
            <w:vAlign w:val="bottom"/>
            <w:gridSpan w:val="2"/>
            <w:shd w:val="clear" w:color="auto" w:fill="D3ECED"/>
          </w:tcPr>
          <w:p>
            <w:pPr>
              <w:jc w:val="right"/>
              <w:ind w:right="20"/>
              <w:spacing w:after="0"/>
              <w:rPr>
                <w:sz w:val="20"/>
                <w:szCs w:val="20"/>
                <w:color w:val="auto"/>
              </w:rPr>
            </w:pPr>
            <w:r>
              <w:rPr>
                <w:rFonts w:ascii="Arial" w:cs="Arial" w:eastAsia="Arial" w:hAnsi="Arial"/>
                <w:sz w:val="19"/>
                <w:szCs w:val="19"/>
                <w:color w:val="auto"/>
              </w:rPr>
              <w:t>—</w:t>
            </w:r>
          </w:p>
        </w:tc>
        <w:tc>
          <w:tcPr>
            <w:tcW w:w="30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13,249</w:t>
            </w:r>
          </w:p>
        </w:tc>
        <w:tc>
          <w:tcPr>
            <w:tcW w:w="80" w:type="dxa"/>
            <w:vAlign w:val="bottom"/>
            <w:shd w:val="clear" w:color="auto" w:fill="D3ECED"/>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500" w:type="dxa"/>
            <w:vAlign w:val="bottom"/>
            <w:tcBorders>
              <w:top w:val="single" w:sz="8" w:color="D3ECED"/>
            </w:tcBorders>
            <w:shd w:val="clear" w:color="auto" w:fill="FDFDFD"/>
          </w:tcPr>
          <w:p>
            <w:pPr>
              <w:spacing w:after="0" w:line="203" w:lineRule="exact"/>
              <w:rPr>
                <w:sz w:val="20"/>
                <w:szCs w:val="20"/>
                <w:color w:val="auto"/>
              </w:rPr>
            </w:pPr>
            <w:r>
              <w:rPr>
                <w:rFonts w:ascii="Arial" w:cs="Arial" w:eastAsia="Arial" w:hAnsi="Arial"/>
                <w:sz w:val="19"/>
                <w:szCs w:val="19"/>
                <w:color w:val="auto"/>
              </w:rPr>
              <w:t>Total</w:t>
            </w:r>
          </w:p>
        </w:tc>
        <w:tc>
          <w:tcPr>
            <w:tcW w:w="80" w:type="dxa"/>
            <w:vAlign w:val="bottom"/>
            <w:tcBorders>
              <w:top w:val="single" w:sz="8" w:color="D3ECED"/>
            </w:tcBorders>
            <w:shd w:val="clear" w:color="auto" w:fill="FDFDFD"/>
          </w:tcPr>
          <w:p>
            <w:pPr>
              <w:spacing w:after="0"/>
              <w:rPr>
                <w:sz w:val="17"/>
                <w:szCs w:val="17"/>
                <w:color w:val="auto"/>
              </w:rPr>
            </w:pPr>
          </w:p>
        </w:tc>
        <w:tc>
          <w:tcPr>
            <w:tcW w:w="960" w:type="dxa"/>
            <w:vAlign w:val="bottom"/>
            <w:tcBorders>
              <w:top w:val="single" w:sz="8" w:color="auto"/>
            </w:tcBorders>
            <w:shd w:val="clear" w:color="auto" w:fill="FDFDFD"/>
          </w:tcPr>
          <w:p>
            <w:pPr>
              <w:jc w:val="right"/>
              <w:spacing w:after="0" w:line="203" w:lineRule="exact"/>
              <w:rPr>
                <w:sz w:val="20"/>
                <w:szCs w:val="20"/>
                <w:color w:val="auto"/>
              </w:rPr>
            </w:pPr>
            <w:r>
              <w:rPr>
                <w:rFonts w:ascii="Arial" w:cs="Arial" w:eastAsia="Arial" w:hAnsi="Arial"/>
                <w:sz w:val="19"/>
                <w:szCs w:val="19"/>
                <w:color w:val="auto"/>
              </w:rPr>
              <w:t>730,493</w:t>
            </w:r>
          </w:p>
        </w:tc>
        <w:tc>
          <w:tcPr>
            <w:tcW w:w="300" w:type="dxa"/>
            <w:vAlign w:val="bottom"/>
            <w:tcBorders>
              <w:top w:val="single" w:sz="8" w:color="D3ECED"/>
            </w:tcBorders>
            <w:gridSpan w:val="2"/>
            <w:shd w:val="clear" w:color="auto" w:fill="FDFDFD"/>
          </w:tcPr>
          <w:p>
            <w:pPr>
              <w:jc w:val="right"/>
              <w:spacing w:after="0" w:line="203" w:lineRule="exact"/>
              <w:rPr>
                <w:sz w:val="20"/>
                <w:szCs w:val="20"/>
                <w:color w:val="auto"/>
              </w:rPr>
            </w:pPr>
            <w:r>
              <w:rPr>
                <w:rFonts w:ascii="Arial" w:cs="Arial" w:eastAsia="Arial" w:hAnsi="Arial"/>
                <w:sz w:val="19"/>
                <w:szCs w:val="19"/>
                <w:color w:val="auto"/>
              </w:rPr>
              <w:t>$</w:t>
            </w:r>
          </w:p>
        </w:tc>
        <w:tc>
          <w:tcPr>
            <w:tcW w:w="800" w:type="dxa"/>
            <w:vAlign w:val="bottom"/>
            <w:tcBorders>
              <w:top w:val="single" w:sz="8" w:color="D3ECED"/>
            </w:tcBorders>
            <w:shd w:val="clear" w:color="auto" w:fill="FDFDFD"/>
          </w:tcPr>
          <w:p>
            <w:pPr>
              <w:jc w:val="right"/>
              <w:spacing w:after="0" w:line="203" w:lineRule="exact"/>
              <w:rPr>
                <w:sz w:val="20"/>
                <w:szCs w:val="20"/>
                <w:color w:val="auto"/>
              </w:rPr>
            </w:pPr>
            <w:r>
              <w:rPr>
                <w:rFonts w:ascii="Arial" w:cs="Arial" w:eastAsia="Arial" w:hAnsi="Arial"/>
                <w:sz w:val="19"/>
                <w:szCs w:val="19"/>
                <w:color w:val="auto"/>
              </w:rPr>
              <w:t>1.95</w:t>
            </w:r>
          </w:p>
        </w:tc>
        <w:tc>
          <w:tcPr>
            <w:tcW w:w="180" w:type="dxa"/>
            <w:vAlign w:val="bottom"/>
            <w:tcBorders>
              <w:top w:val="single" w:sz="8" w:color="D3ECED"/>
            </w:tcBorders>
            <w:shd w:val="clear" w:color="auto" w:fill="FDFDFD"/>
          </w:tcPr>
          <w:p>
            <w:pPr>
              <w:spacing w:after="0"/>
              <w:rPr>
                <w:sz w:val="17"/>
                <w:szCs w:val="17"/>
                <w:color w:val="auto"/>
              </w:rPr>
            </w:pPr>
          </w:p>
        </w:tc>
        <w:tc>
          <w:tcPr>
            <w:tcW w:w="940" w:type="dxa"/>
            <w:vAlign w:val="bottom"/>
            <w:tcBorders>
              <w:top w:val="single" w:sz="8" w:color="auto"/>
            </w:tcBorders>
            <w:shd w:val="clear" w:color="auto" w:fill="FDFDFD"/>
          </w:tcPr>
          <w:p>
            <w:pPr>
              <w:jc w:val="right"/>
              <w:spacing w:after="0" w:line="203" w:lineRule="exact"/>
              <w:rPr>
                <w:sz w:val="20"/>
                <w:szCs w:val="20"/>
                <w:color w:val="auto"/>
              </w:rPr>
            </w:pPr>
            <w:r>
              <w:rPr>
                <w:rFonts w:ascii="Arial" w:cs="Arial" w:eastAsia="Arial" w:hAnsi="Arial"/>
                <w:sz w:val="19"/>
                <w:szCs w:val="19"/>
                <w:color w:val="auto"/>
              </w:rPr>
              <w:t>730,493</w:t>
            </w:r>
          </w:p>
        </w:tc>
        <w:tc>
          <w:tcPr>
            <w:tcW w:w="20" w:type="dxa"/>
            <w:vAlign w:val="bottom"/>
            <w:tcBorders>
              <w:top w:val="single" w:sz="8" w:color="D3ECED"/>
            </w:tcBorders>
            <w:shd w:val="clear" w:color="auto" w:fill="FDFDFD"/>
          </w:tcPr>
          <w:p>
            <w:pPr>
              <w:spacing w:after="0"/>
              <w:rPr>
                <w:sz w:val="17"/>
                <w:szCs w:val="17"/>
                <w:color w:val="auto"/>
              </w:rPr>
            </w:pPr>
          </w:p>
        </w:tc>
        <w:tc>
          <w:tcPr>
            <w:tcW w:w="180" w:type="dxa"/>
            <w:vAlign w:val="bottom"/>
            <w:tcBorders>
              <w:top w:val="single" w:sz="8" w:color="D3ECED"/>
            </w:tcBorders>
            <w:shd w:val="clear" w:color="auto" w:fill="FDFDFD"/>
          </w:tcPr>
          <w:p>
            <w:pPr>
              <w:spacing w:after="0"/>
              <w:rPr>
                <w:sz w:val="17"/>
                <w:szCs w:val="17"/>
                <w:color w:val="auto"/>
              </w:rPr>
            </w:pPr>
          </w:p>
        </w:tc>
        <w:tc>
          <w:tcPr>
            <w:tcW w:w="120" w:type="dxa"/>
            <w:vAlign w:val="bottom"/>
            <w:tcBorders>
              <w:top w:val="single" w:sz="8" w:color="D3ECED"/>
            </w:tcBorders>
            <w:shd w:val="clear" w:color="auto" w:fill="FDFDFD"/>
          </w:tcPr>
          <w:p>
            <w:pPr>
              <w:spacing w:after="0"/>
              <w:rPr>
                <w:sz w:val="17"/>
                <w:szCs w:val="17"/>
                <w:color w:val="auto"/>
              </w:rPr>
            </w:pPr>
          </w:p>
        </w:tc>
        <w:tc>
          <w:tcPr>
            <w:tcW w:w="820" w:type="dxa"/>
            <w:vAlign w:val="bottom"/>
            <w:tcBorders>
              <w:top w:val="single" w:sz="8" w:color="D3ECED"/>
            </w:tcBorders>
            <w:shd w:val="clear" w:color="auto" w:fill="FDFDFD"/>
          </w:tcPr>
          <w:p>
            <w:pPr>
              <w:spacing w:after="0"/>
              <w:rPr>
                <w:sz w:val="17"/>
                <w:szCs w:val="17"/>
                <w:color w:val="auto"/>
              </w:rPr>
            </w:pPr>
          </w:p>
        </w:tc>
        <w:tc>
          <w:tcPr>
            <w:tcW w:w="80" w:type="dxa"/>
            <w:vAlign w:val="bottom"/>
            <w:tcBorders>
              <w:top w:val="single" w:sz="8" w:color="D3ECE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-13335</wp:posOffset>
            </wp:positionV>
            <wp:extent cx="2046605" cy="533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4">
                      <a:extLst>
                        <a:ext uri="{28A0092B-C50C-407E-A947-70E740481C1C}"/>
                      </a:extLst>
                    </a:blip>
                    <a:srcRect/>
                    <a:stretch>
                      <a:fillRect/>
                    </a:stretch>
                  </pic:blipFill>
                  <pic:spPr bwMode="auto">
                    <a:xfrm>
                      <a:off x="0" y="0"/>
                      <a:ext cx="2046605" cy="53340"/>
                    </a:xfrm>
                    <a:prstGeom prst="rect">
                      <a:avLst/>
                    </a:prstGeom>
                    <a:noFill/>
                  </pic:spPr>
                </pic:pic>
              </a:graphicData>
            </a:graphic>
          </wp:anchor>
        </w:drawing>
      </w:r>
    </w:p>
    <w:p>
      <w:pPr>
        <w:spacing w:after="0" w:line="278" w:lineRule="exact"/>
        <w:rPr>
          <w:sz w:val="20"/>
          <w:szCs w:val="20"/>
          <w:color w:val="auto"/>
        </w:rPr>
      </w:pPr>
    </w:p>
    <w:p>
      <w:pPr>
        <w:ind w:left="400" w:hanging="275"/>
        <w:spacing w:after="0"/>
        <w:tabs>
          <w:tab w:leader="none" w:pos="400" w:val="left"/>
        </w:tabs>
        <w:numPr>
          <w:ilvl w:val="0"/>
          <w:numId w:val="2"/>
        </w:numPr>
        <w:rPr>
          <w:rFonts w:ascii="Arial" w:cs="Arial" w:eastAsia="Arial" w:hAnsi="Arial"/>
          <w:sz w:val="19"/>
          <w:szCs w:val="19"/>
          <w:color w:val="auto"/>
          <w:vertAlign w:val="superscript"/>
        </w:rPr>
      </w:pPr>
      <w:r>
        <w:rPr>
          <w:rFonts w:ascii="Arial" w:cs="Arial" w:eastAsia="Arial" w:hAnsi="Arial"/>
          <w:sz w:val="15"/>
          <w:szCs w:val="15"/>
          <w:color w:val="auto"/>
        </w:rPr>
        <w:t>All shares of common stock were retired upon repurchase.</w:t>
      </w:r>
    </w:p>
    <w:p>
      <w:pPr>
        <w:spacing w:after="0" w:line="30" w:lineRule="exact"/>
        <w:rPr>
          <w:rFonts w:ascii="Arial" w:cs="Arial" w:eastAsia="Arial" w:hAnsi="Arial"/>
          <w:sz w:val="19"/>
          <w:szCs w:val="19"/>
          <w:color w:val="auto"/>
          <w:vertAlign w:val="superscript"/>
        </w:rPr>
      </w:pPr>
    </w:p>
    <w:p>
      <w:pPr>
        <w:ind w:left="400" w:hanging="275"/>
        <w:spacing w:after="0"/>
        <w:tabs>
          <w:tab w:leader="none" w:pos="400" w:val="left"/>
        </w:tabs>
        <w:numPr>
          <w:ilvl w:val="0"/>
          <w:numId w:val="2"/>
        </w:numPr>
        <w:rPr>
          <w:rFonts w:ascii="Arial" w:cs="Arial" w:eastAsia="Arial" w:hAnsi="Arial"/>
          <w:sz w:val="9"/>
          <w:szCs w:val="9"/>
          <w:color w:val="auto"/>
        </w:rPr>
      </w:pPr>
      <w:r>
        <w:rPr>
          <w:rFonts w:ascii="Arial" w:cs="Arial" w:eastAsia="Arial" w:hAnsi="Arial"/>
          <w:sz w:val="15"/>
          <w:szCs w:val="15"/>
          <w:color w:val="auto"/>
        </w:rPr>
        <w:t>Average price paid per share is calculated on a settlement basis and excludes broker commissions and excise tax.</w:t>
      </w:r>
    </w:p>
    <w:p>
      <w:pPr>
        <w:spacing w:after="0" w:line="16" w:lineRule="exact"/>
        <w:rPr>
          <w:rFonts w:ascii="Arial" w:cs="Arial" w:eastAsia="Arial" w:hAnsi="Arial"/>
          <w:sz w:val="9"/>
          <w:szCs w:val="9"/>
          <w:color w:val="auto"/>
        </w:rPr>
      </w:pPr>
    </w:p>
    <w:p>
      <w:pPr>
        <w:ind w:left="400" w:right="680" w:hanging="275"/>
        <w:spacing w:after="0" w:line="333" w:lineRule="auto"/>
        <w:tabs>
          <w:tab w:leader="none" w:pos="400" w:val="left"/>
        </w:tabs>
        <w:numPr>
          <w:ilvl w:val="0"/>
          <w:numId w:val="2"/>
        </w:numPr>
        <w:rPr>
          <w:rFonts w:ascii="Arial" w:cs="Arial" w:eastAsia="Arial" w:hAnsi="Arial"/>
          <w:sz w:val="9"/>
          <w:szCs w:val="9"/>
          <w:color w:val="auto"/>
        </w:rPr>
      </w:pPr>
      <w:r>
        <w:rPr>
          <w:rFonts w:ascii="Arial" w:cs="Arial" w:eastAsia="Arial" w:hAnsi="Arial"/>
          <w:sz w:val="15"/>
          <w:szCs w:val="15"/>
          <w:color w:val="auto"/>
        </w:rPr>
        <w:t>On May 3, 2024, the Company’s Board of Directors approved the Share Repurchase Program under which the Company is authorized to purchase up to $25.0 million of its issued and outstanding Class A common stock.</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6. [Reserved]</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93</w:t>
      </w:r>
    </w:p>
    <w:p>
      <w:pPr>
        <w:sectPr>
          <w:pgSz w:w="12240" w:h="15840" w:orient="portrait"/>
          <w:cols w:equalWidth="0" w:num="1">
            <w:col w:w="9360"/>
          </w:cols>
          <w:pgMar w:left="1440" w:top="1440" w:right="1440" w:bottom="610" w:gutter="0" w:footer="0" w:header="0"/>
          <w:type w:val="continuous"/>
        </w:sectPr>
      </w:pPr>
    </w:p>
    <w:bookmarkStart w:id="100" w:name="page101"/>
    <w:bookmarkEnd w:id="100"/>
    <w:p>
      <w:pPr>
        <w:spacing w:after="0" w:line="3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219" w:lineRule="exact"/>
        <w:rPr>
          <w:sz w:val="20"/>
          <w:szCs w:val="20"/>
          <w:color w:val="auto"/>
        </w:rPr>
      </w:pPr>
    </w:p>
    <w:p>
      <w:pPr>
        <w:jc w:val="both"/>
        <w:ind w:left="120" w:right="420"/>
        <w:spacing w:after="0" w:line="333"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audited consolidated financial statements and related notes included elsewhere in this Annual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Overview</w:t>
      </w:r>
    </w:p>
    <w:p>
      <w:pPr>
        <w:spacing w:after="0" w:line="215" w:lineRule="exact"/>
        <w:rPr>
          <w:sz w:val="20"/>
          <w:szCs w:val="20"/>
          <w:color w:val="auto"/>
        </w:rPr>
      </w:pPr>
    </w:p>
    <w:p>
      <w:pPr>
        <w:ind w:left="120" w:right="300"/>
        <w:spacing w:after="0" w:line="307" w:lineRule="auto"/>
        <w:rPr>
          <w:sz w:val="20"/>
          <w:szCs w:val="20"/>
          <w:color w:val="auto"/>
        </w:rPr>
      </w:pPr>
      <w:r>
        <w:rPr>
          <w:rFonts w:ascii="Arial" w:cs="Arial" w:eastAsia="Arial" w:hAnsi="Arial"/>
          <w:sz w:val="18"/>
          <w:szCs w:val="18"/>
          <w:color w:val="auto"/>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spacing w:after="0" w:line="126" w:lineRule="exact"/>
        <w:rPr>
          <w:sz w:val="20"/>
          <w:szCs w:val="20"/>
          <w:color w:val="auto"/>
        </w:rPr>
      </w:pPr>
    </w:p>
    <w:p>
      <w:pPr>
        <w:jc w:val="both"/>
        <w:ind w:left="120" w:right="440"/>
        <w:spacing w:after="0" w:line="315" w:lineRule="auto"/>
        <w:rPr>
          <w:sz w:val="20"/>
          <w:szCs w:val="20"/>
          <w:color w:val="auto"/>
        </w:rPr>
      </w:pPr>
      <w:r>
        <w:rPr>
          <w:rFonts w:ascii="Arial" w:cs="Arial" w:eastAsia="Arial" w:hAnsi="Arial"/>
          <w:sz w:val="18"/>
          <w:szCs w:val="18"/>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spacing w:after="0" w:line="111" w:lineRule="exact"/>
        <w:rPr>
          <w:sz w:val="20"/>
          <w:szCs w:val="20"/>
          <w:color w:val="auto"/>
        </w:rPr>
      </w:pPr>
    </w:p>
    <w:p>
      <w:pPr>
        <w:ind w:left="120" w:right="300"/>
        <w:spacing w:after="0" w:line="308" w:lineRule="auto"/>
        <w:rPr>
          <w:sz w:val="20"/>
          <w:szCs w:val="20"/>
          <w:color w:val="auto"/>
        </w:rPr>
      </w:pPr>
      <w:r>
        <w:rPr>
          <w:rFonts w:ascii="Arial" w:cs="Arial" w:eastAsia="Arial" w:hAnsi="Arial"/>
          <w:sz w:val="18"/>
          <w:szCs w:val="18"/>
          <w:color w:val="auto"/>
        </w:rPr>
        <w:t>Our ability to generate product and service revenue sufficient to achieve profitability, if ever, will depend on the successful commercialization of the Proteograph Product Suite and related products and services. We are commercializing the Proteograph Product Suite as an integrated solution comprised of consumables, our SP100 automation instrument and software. Our commercial strategy is focused on growing adoption by the research community of the Proteograph, expanding the installed base, increasing utilization to generate revenue from the purchase of Proteograph consumables and growing our service offering through the STAC. We expect a highly efficient sales model because our workflow integrates with most existing proteomics laboratories’ workflows and also complements large-scale genomics research. We are focused on removing barriers to access to the Proteograph, including through the STAC service offering.</w:t>
      </w:r>
    </w:p>
    <w:p>
      <w:pPr>
        <w:spacing w:after="0" w:line="124" w:lineRule="exact"/>
        <w:rPr>
          <w:sz w:val="20"/>
          <w:szCs w:val="20"/>
          <w:color w:val="auto"/>
        </w:rPr>
      </w:pPr>
    </w:p>
    <w:p>
      <w:pPr>
        <w:ind w:left="120" w:right="460"/>
        <w:spacing w:after="0" w:line="312" w:lineRule="auto"/>
        <w:rPr>
          <w:sz w:val="20"/>
          <w:szCs w:val="20"/>
          <w:color w:val="auto"/>
        </w:rPr>
      </w:pPr>
      <w:r>
        <w:rPr>
          <w:rFonts w:ascii="Arial" w:cs="Arial" w:eastAsia="Arial" w:hAnsi="Arial"/>
          <w:sz w:val="18"/>
          <w:szCs w:val="18"/>
          <w:color w:val="auto"/>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94</w:t>
      </w:r>
    </w:p>
    <w:p>
      <w:pPr>
        <w:sectPr>
          <w:pgSz w:w="12240" w:h="15840" w:orient="portrait"/>
          <w:cols w:equalWidth="0" w:num="1">
            <w:col w:w="9360"/>
          </w:cols>
          <w:pgMar w:left="1440" w:top="1440" w:right="1440" w:bottom="610" w:gutter="0" w:footer="0" w:header="0"/>
          <w:type w:val="continuous"/>
        </w:sectPr>
      </w:pPr>
    </w:p>
    <w:bookmarkStart w:id="101" w:name="page102"/>
    <w:bookmarkEnd w:id="101"/>
    <w:p>
      <w:pPr>
        <w:spacing w:after="0" w:line="352" w:lineRule="exact"/>
        <w:rPr>
          <w:sz w:val="20"/>
          <w:szCs w:val="20"/>
          <w:color w:val="auto"/>
        </w:rPr>
      </w:pPr>
    </w:p>
    <w:p>
      <w:pPr>
        <w:ind w:left="120" w:right="300"/>
        <w:spacing w:after="0" w:line="327" w:lineRule="auto"/>
        <w:rPr>
          <w:sz w:val="20"/>
          <w:szCs w:val="20"/>
          <w:color w:val="auto"/>
        </w:rPr>
      </w:pPr>
      <w:r>
        <w:rPr>
          <w:rFonts w:ascii="Arial" w:cs="Arial" w:eastAsia="Arial" w:hAnsi="Arial"/>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pacing w:after="0" w:line="111" w:lineRule="exact"/>
        <w:rPr>
          <w:sz w:val="20"/>
          <w:szCs w:val="20"/>
          <w:color w:val="auto"/>
        </w:rPr>
      </w:pPr>
    </w:p>
    <w:p>
      <w:pPr>
        <w:ind w:left="120" w:right="300"/>
        <w:spacing w:after="0" w:line="334" w:lineRule="auto"/>
        <w:rPr>
          <w:sz w:val="20"/>
          <w:szCs w:val="20"/>
          <w:color w:val="auto"/>
        </w:rPr>
      </w:pPr>
      <w:r>
        <w:rPr>
          <w:rFonts w:ascii="Arial" w:cs="Arial" w:eastAsia="Arial" w:hAnsi="Arial"/>
          <w:sz w:val="17"/>
          <w:szCs w:val="17"/>
          <w:color w:val="auto"/>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Starting in January 2025, we renewed the agreement under an extended term through December 2027. Following this extended term, the agreement will automatically renew annually for a maximum of two one-year renewal periods. Hamilton has represented to us that it maintains ISO 9001 and ISO 13485 certifications.</w:t>
      </w:r>
    </w:p>
    <w:p>
      <w:pPr>
        <w:spacing w:after="0" w:line="101" w:lineRule="exact"/>
        <w:rPr>
          <w:sz w:val="20"/>
          <w:szCs w:val="20"/>
          <w:color w:val="auto"/>
        </w:rPr>
      </w:pPr>
    </w:p>
    <w:p>
      <w:pPr>
        <w:ind w:left="120" w:right="480"/>
        <w:spacing w:after="0" w:line="343" w:lineRule="auto"/>
        <w:rPr>
          <w:sz w:val="20"/>
          <w:szCs w:val="20"/>
          <w:color w:val="auto"/>
        </w:rPr>
      </w:pPr>
      <w:r>
        <w:rPr>
          <w:rFonts w:ascii="Arial" w:cs="Arial" w:eastAsia="Arial" w:hAnsi="Arial"/>
          <w:sz w:val="17"/>
          <w:szCs w:val="17"/>
          <w:color w:val="auto"/>
        </w:rPr>
        <w:t>During the years ended December 31, 2024 and 2023, we incurred a net loss of $86.6 million and $86.3 million and used $46.1 million and $59.1 million of cash in operations, respectively. As of December 31, 2024, we had an accumulated deficit of $392.4 million and cash, cash equivalents, and investments of $299.5 million. We expect to continue to incur significant losses and do not expect positive cash flows from operations for the foreseeable future.</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Our expenses may increase in connection with our ongoing activities, as we:</w:t>
      </w:r>
    </w:p>
    <w:p>
      <w:pPr>
        <w:spacing w:after="0" w:line="21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broadly commercialize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attract, hire and retain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right="1060"/>
        <w:spacing w:after="0" w:line="326" w:lineRule="auto"/>
        <w:rPr>
          <w:sz w:val="20"/>
          <w:szCs w:val="20"/>
          <w:color w:val="auto"/>
        </w:rPr>
      </w:pPr>
      <w:r>
        <w:rPr>
          <w:rFonts w:ascii="Arial" w:cs="Arial" w:eastAsia="Arial" w:hAnsi="Arial"/>
          <w:sz w:val="19"/>
          <w:szCs w:val="19"/>
          <w:color w:val="auto"/>
        </w:rPr>
        <w:t>continue to build our sales, marketing, service, support and distribution infrastructure as part of our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-320675</wp:posOffset>
            </wp:positionV>
            <wp:extent cx="67945" cy="679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build-out and expand our in-house NP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right="700"/>
        <w:spacing w:after="0" w:line="324" w:lineRule="auto"/>
        <w:rPr>
          <w:sz w:val="20"/>
          <w:szCs w:val="20"/>
          <w:color w:val="auto"/>
        </w:rPr>
      </w:pPr>
      <w:r>
        <w:rPr>
          <w:rFonts w:ascii="Arial" w:cs="Arial" w:eastAsia="Arial" w:hAnsi="Arial"/>
          <w:sz w:val="19"/>
          <w:szCs w:val="19"/>
          <w:color w:val="auto"/>
        </w:rPr>
        <w:t>continue to engage in research and development of other products and enhancements to the Proteograph Product Suite;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-318135</wp:posOffset>
            </wp:positionV>
            <wp:extent cx="67945" cy="679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implement operational, financial and management information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67945" cy="679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obtain, maintain, expand, and protect our intellectual property portfolio;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build the infrastructure to operate and scale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-81915</wp:posOffset>
            </wp:positionV>
            <wp:extent cx="67945" cy="679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95</w:t>
      </w:r>
    </w:p>
    <w:p>
      <w:pPr>
        <w:sectPr>
          <w:pgSz w:w="12240" w:h="15840" w:orient="portrait"/>
          <w:cols w:equalWidth="0" w:num="1">
            <w:col w:w="9360"/>
          </w:cols>
          <w:pgMar w:left="1440" w:top="1440" w:right="1440" w:bottom="610" w:gutter="0" w:footer="0" w:header="0"/>
          <w:type w:val="continuous"/>
        </w:sectPr>
      </w:pPr>
    </w:p>
    <w:bookmarkStart w:id="102" w:name="page103"/>
    <w:bookmarkEnd w:id="102"/>
    <w:p>
      <w:pPr>
        <w:spacing w:after="0" w:line="3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Components of Results of Operations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Revenue</w:t>
      </w:r>
    </w:p>
    <w:p>
      <w:pPr>
        <w:spacing w:after="0" w:line="209" w:lineRule="exact"/>
        <w:rPr>
          <w:sz w:val="20"/>
          <w:szCs w:val="20"/>
          <w:color w:val="auto"/>
        </w:rPr>
      </w:pPr>
    </w:p>
    <w:p>
      <w:pPr>
        <w:ind w:left="120" w:right="340"/>
        <w:spacing w:after="0" w:line="312" w:lineRule="auto"/>
        <w:rPr>
          <w:sz w:val="20"/>
          <w:szCs w:val="20"/>
          <w:color w:val="auto"/>
        </w:rPr>
      </w:pPr>
      <w:r>
        <w:rPr>
          <w:rFonts w:ascii="Arial" w:cs="Arial" w:eastAsia="Arial" w:hAnsi="Arial"/>
          <w:sz w:val="18"/>
          <w:szCs w:val="18"/>
          <w:color w:val="auto"/>
        </w:rPr>
        <w:t>Our product revenue consists of an instrument with embedded software essential to the instrument’s functionality and consumables. Our service revenue primarily consists of revenue received from the generation and analysis of proteomic data on behalf of customers. Our related party revenue is comprised of both product sales and services performed for related parties. Our grant and other revenue consists of research-related grants, lease arrangements, and shipping revenue. Our revenue is primarily generated domestically. We intend to focus our commercial efforts in the United States and expect to grow our international presence.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Cost of Revenue</w:t>
      </w:r>
    </w:p>
    <w:p>
      <w:pPr>
        <w:spacing w:after="0" w:line="209" w:lineRule="exact"/>
        <w:rPr>
          <w:sz w:val="20"/>
          <w:szCs w:val="20"/>
          <w:color w:val="auto"/>
        </w:rPr>
      </w:pPr>
    </w:p>
    <w:p>
      <w:pPr>
        <w:ind w:left="120" w:right="280"/>
        <w:spacing w:after="0" w:line="311" w:lineRule="auto"/>
        <w:rPr>
          <w:sz w:val="20"/>
          <w:szCs w:val="20"/>
          <w:color w:val="auto"/>
        </w:rPr>
      </w:pPr>
      <w:r>
        <w:rPr>
          <w:rFonts w:ascii="Arial" w:cs="Arial" w:eastAsia="Arial" w:hAnsi="Arial"/>
          <w:sz w:val="18"/>
          <w:szCs w:val="18"/>
          <w:color w:val="auto"/>
        </w:rPr>
        <w:t>We utilize third-party manufacturers for production of our SP100 instrument and we manufacture our NPs and assemble our assay kits internally. Cost of revenue consists primarily of costs of the components of the Proteograph Product Suite, including the SP100 instrument and consumables, cost of services related to the generation and analysis of proteomic data on behalf of our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Research and Development Expenses</w:t>
      </w:r>
    </w:p>
    <w:p>
      <w:pPr>
        <w:spacing w:after="0" w:line="211" w:lineRule="exact"/>
        <w:rPr>
          <w:sz w:val="20"/>
          <w:szCs w:val="20"/>
          <w:color w:val="auto"/>
        </w:rPr>
      </w:pPr>
    </w:p>
    <w:p>
      <w:pPr>
        <w:ind w:left="120" w:right="260"/>
        <w:spacing w:after="0" w:line="298" w:lineRule="auto"/>
        <w:rPr>
          <w:sz w:val="20"/>
          <w:szCs w:val="20"/>
          <w:color w:val="auto"/>
        </w:rPr>
      </w:pPr>
      <w:r>
        <w:rPr>
          <w:rFonts w:ascii="Arial" w:cs="Arial" w:eastAsia="Arial" w:hAnsi="Arial"/>
          <w:sz w:val="19"/>
          <w:szCs w:val="19"/>
          <w:color w:val="auto"/>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Selling, General and Administrative Expenses</w:t>
      </w:r>
    </w:p>
    <w:p>
      <w:pPr>
        <w:spacing w:after="0" w:line="209" w:lineRule="exact"/>
        <w:rPr>
          <w:sz w:val="20"/>
          <w:szCs w:val="20"/>
          <w:color w:val="auto"/>
        </w:rPr>
      </w:pPr>
    </w:p>
    <w:p>
      <w:pPr>
        <w:ind w:left="120" w:right="320"/>
        <w:spacing w:after="0" w:line="299" w:lineRule="auto"/>
        <w:rPr>
          <w:sz w:val="20"/>
          <w:szCs w:val="20"/>
          <w:color w:val="auto"/>
        </w:rPr>
      </w:pPr>
      <w:r>
        <w:rPr>
          <w:rFonts w:ascii="Arial" w:cs="Arial" w:eastAsia="Arial" w:hAnsi="Arial"/>
          <w:sz w:val="19"/>
          <w:szCs w:val="19"/>
          <w:color w:val="auto"/>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Other Income (Expense)</w:t>
      </w:r>
    </w:p>
    <w:p>
      <w:pPr>
        <w:spacing w:after="0" w:line="211" w:lineRule="exact"/>
        <w:rPr>
          <w:sz w:val="20"/>
          <w:szCs w:val="20"/>
          <w:color w:val="auto"/>
        </w:rPr>
      </w:pPr>
    </w:p>
    <w:p>
      <w:pPr>
        <w:ind w:left="120" w:right="380"/>
        <w:spacing w:after="0" w:line="305" w:lineRule="auto"/>
        <w:rPr>
          <w:sz w:val="20"/>
          <w:szCs w:val="20"/>
          <w:color w:val="auto"/>
        </w:rPr>
      </w:pPr>
      <w:r>
        <w:rPr>
          <w:rFonts w:ascii="Arial" w:cs="Arial" w:eastAsia="Arial" w:hAnsi="Arial"/>
          <w:sz w:val="19"/>
          <w:szCs w:val="19"/>
          <w:color w:val="auto"/>
        </w:rPr>
        <w:t>Other income (expense) consists primarily of interest income earned on cash, cash equivalents and investments, asset disposals, realized and unrealized gains and losses on foreign currency transactions, and loss in the equity method investment.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Provision for Income Taxes</w:t>
      </w:r>
    </w:p>
    <w:p>
      <w:pPr>
        <w:spacing w:after="0" w:line="209" w:lineRule="exact"/>
        <w:rPr>
          <w:sz w:val="20"/>
          <w:szCs w:val="20"/>
          <w:color w:val="auto"/>
        </w:rPr>
      </w:pPr>
    </w:p>
    <w:p>
      <w:pPr>
        <w:jc w:val="both"/>
        <w:ind w:left="120" w:right="480"/>
        <w:spacing w:after="0" w:line="305" w:lineRule="auto"/>
        <w:rPr>
          <w:sz w:val="20"/>
          <w:szCs w:val="20"/>
          <w:color w:val="auto"/>
        </w:rPr>
      </w:pPr>
      <w:r>
        <w:rPr>
          <w:rFonts w:ascii="Arial" w:cs="Arial" w:eastAsia="Arial" w:hAnsi="Arial"/>
          <w:sz w:val="19"/>
          <w:szCs w:val="19"/>
          <w:color w:val="auto"/>
        </w:rPr>
        <w:t>Income tax expense results from our wholly-owned foreign subsidiaries. We maintain a full valuation allowance on our domestic deferred tax assets as we have concluded that it is more likely than not that the deferred assets will not be realized.</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96</w:t>
      </w:r>
    </w:p>
    <w:p>
      <w:pPr>
        <w:sectPr>
          <w:pgSz w:w="12240" w:h="15840" w:orient="portrait"/>
          <w:cols w:equalWidth="0" w:num="1">
            <w:col w:w="9360"/>
          </w:cols>
          <w:pgMar w:left="1440" w:top="1440" w:right="1440" w:bottom="610" w:gutter="0" w:footer="0" w:header="0"/>
          <w:type w:val="continuous"/>
        </w:sectPr>
      </w:pPr>
    </w:p>
    <w:bookmarkStart w:id="103" w:name="page104"/>
    <w:bookmarkEnd w:id="103"/>
    <w:p>
      <w:pPr>
        <w:spacing w:after="0" w:line="3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Results of Operations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Comparisons of the Years Ended December 31, 2024 and 2023</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following table summarizes our results of operations for the periods presented:</w:t>
      </w:r>
    </w:p>
    <w:p>
      <w:pPr>
        <w:spacing w:after="0" w:line="28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62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020" w:type="dxa"/>
            <w:vAlign w:val="bottom"/>
            <w:gridSpan w:val="5"/>
            <w:shd w:val="clear" w:color="auto" w:fill="FDFDFD"/>
          </w:tcPr>
          <w:p>
            <w:pPr>
              <w:ind w:left="60"/>
              <w:spacing w:after="0"/>
              <w:rPr>
                <w:sz w:val="20"/>
                <w:szCs w:val="20"/>
                <w:color w:val="auto"/>
              </w:rPr>
            </w:pPr>
            <w:r>
              <w:rPr>
                <w:rFonts w:ascii="Arial" w:cs="Arial" w:eastAsia="Arial" w:hAnsi="Arial"/>
                <w:sz w:val="15"/>
                <w:szCs w:val="15"/>
                <w:b w:val="1"/>
                <w:bCs w:val="1"/>
                <w:color w:val="auto"/>
              </w:rPr>
              <w:t>Year ended December 31,</w:t>
            </w:r>
          </w:p>
        </w:tc>
        <w:tc>
          <w:tcPr>
            <w:tcW w:w="100" w:type="dxa"/>
            <w:vAlign w:val="bottom"/>
            <w:tcBorders>
              <w:right w:val="single" w:sz="8" w:color="FDFDFD"/>
            </w:tcBorders>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80" w:type="dxa"/>
            <w:vAlign w:val="bottom"/>
            <w:gridSpan w:val="3"/>
            <w:shd w:val="clear" w:color="auto" w:fill="FDFDFD"/>
          </w:tcPr>
          <w:p>
            <w:pPr>
              <w:ind w:left="580"/>
              <w:spacing w:after="0"/>
              <w:rPr>
                <w:sz w:val="20"/>
                <w:szCs w:val="20"/>
                <w:color w:val="auto"/>
              </w:rPr>
            </w:pPr>
            <w:r>
              <w:rPr>
                <w:rFonts w:ascii="Arial" w:cs="Arial" w:eastAsia="Arial" w:hAnsi="Arial"/>
                <w:sz w:val="15"/>
                <w:szCs w:val="15"/>
                <w:b w:val="1"/>
                <w:bCs w:val="1"/>
                <w:color w:val="auto"/>
              </w:rPr>
              <w:t>Change</w:t>
            </w:r>
          </w:p>
        </w:tc>
        <w:tc>
          <w:tcPr>
            <w:tcW w:w="600" w:type="dxa"/>
            <w:vAlign w:val="bottom"/>
            <w:shd w:val="clear" w:color="auto" w:fill="FDFDFD"/>
          </w:tcPr>
          <w:p>
            <w:pPr>
              <w:spacing w:after="0"/>
              <w:rPr>
                <w:sz w:val="16"/>
                <w:szCs w:val="16"/>
                <w:color w:val="auto"/>
              </w:rPr>
            </w:pPr>
          </w:p>
        </w:tc>
        <w:tc>
          <w:tcPr>
            <w:tcW w:w="2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20" w:type="dxa"/>
            <w:vAlign w:val="bottom"/>
            <w:tcBorders>
              <w:top w:val="single" w:sz="8" w:color="FDFDFD"/>
              <w:bottom w:val="single" w:sz="8" w:color="FDFDFD"/>
            </w:tcBorders>
            <w:shd w:val="clear" w:color="auto" w:fill="FDFDFD"/>
          </w:tcPr>
          <w:p>
            <w:pPr>
              <w:spacing w:after="0"/>
              <w:rPr>
                <w:sz w:val="15"/>
                <w:szCs w:val="15"/>
                <w:color w:val="auto"/>
              </w:rPr>
            </w:pPr>
          </w:p>
        </w:tc>
        <w:tc>
          <w:tcPr>
            <w:tcW w:w="120" w:type="dxa"/>
            <w:vAlign w:val="bottom"/>
            <w:tcBorders>
              <w:top w:val="single" w:sz="8" w:color="auto"/>
              <w:bottom w:val="single" w:sz="8" w:color="auto"/>
            </w:tcBorders>
            <w:shd w:val="clear" w:color="auto" w:fill="FDFDFD"/>
          </w:tcPr>
          <w:p>
            <w:pPr>
              <w:spacing w:after="0"/>
              <w:rPr>
                <w:sz w:val="15"/>
                <w:szCs w:val="15"/>
                <w:color w:val="auto"/>
              </w:rPr>
            </w:pPr>
          </w:p>
        </w:tc>
        <w:tc>
          <w:tcPr>
            <w:tcW w:w="820" w:type="dxa"/>
            <w:vAlign w:val="bottom"/>
            <w:tcBorders>
              <w:top w:val="single" w:sz="8" w:color="auto"/>
              <w:bottom w:val="single" w:sz="8" w:color="auto"/>
              <w:right w:val="single" w:sz="8" w:color="FDFDFD"/>
            </w:tcBorders>
            <w:shd w:val="clear" w:color="auto" w:fill="FDFDFD"/>
          </w:tcPr>
          <w:p>
            <w:pPr>
              <w:jc w:val="right"/>
              <w:ind w:right="228"/>
              <w:spacing w:after="0"/>
              <w:rPr>
                <w:sz w:val="20"/>
                <w:szCs w:val="20"/>
                <w:color w:val="auto"/>
              </w:rPr>
            </w:pPr>
            <w:r>
              <w:rPr>
                <w:rFonts w:ascii="Arial" w:cs="Arial" w:eastAsia="Arial" w:hAnsi="Arial"/>
                <w:sz w:val="15"/>
                <w:szCs w:val="15"/>
                <w:b w:val="1"/>
                <w:bCs w:val="1"/>
                <w:color w:val="auto"/>
              </w:rPr>
              <w:t>2024</w:t>
            </w:r>
          </w:p>
        </w:tc>
        <w:tc>
          <w:tcPr>
            <w:tcW w:w="180" w:type="dxa"/>
            <w:vAlign w:val="bottom"/>
            <w:tcBorders>
              <w:top w:val="single" w:sz="8" w:color="auto"/>
              <w:bottom w:val="single" w:sz="8" w:color="FDFDFD"/>
              <w:right w:val="single" w:sz="8" w:color="FDFDFD"/>
            </w:tcBorders>
            <w:shd w:val="clear" w:color="auto" w:fill="FDFDFD"/>
          </w:tcPr>
          <w:p>
            <w:pPr>
              <w:spacing w:after="0"/>
              <w:rPr>
                <w:sz w:val="15"/>
                <w:szCs w:val="15"/>
                <w:color w:val="auto"/>
              </w:rPr>
            </w:pPr>
          </w:p>
        </w:tc>
        <w:tc>
          <w:tcPr>
            <w:tcW w:w="110" w:type="dxa"/>
            <w:vAlign w:val="bottom"/>
            <w:tcBorders>
              <w:top w:val="single" w:sz="8" w:color="auto"/>
              <w:bottom w:val="single" w:sz="8" w:color="auto"/>
            </w:tcBorders>
            <w:shd w:val="clear" w:color="auto" w:fill="FDFDFD"/>
          </w:tcPr>
          <w:p>
            <w:pPr>
              <w:spacing w:after="0"/>
              <w:rPr>
                <w:sz w:val="15"/>
                <w:szCs w:val="15"/>
                <w:color w:val="auto"/>
              </w:rPr>
            </w:pPr>
          </w:p>
        </w:tc>
        <w:tc>
          <w:tcPr>
            <w:tcW w:w="810" w:type="dxa"/>
            <w:vAlign w:val="bottom"/>
            <w:tcBorders>
              <w:top w:val="single" w:sz="8" w:color="auto"/>
              <w:bottom w:val="single" w:sz="8" w:color="auto"/>
              <w:right w:val="single" w:sz="8" w:color="FDFDFD"/>
            </w:tcBorders>
            <w:shd w:val="clear" w:color="auto" w:fill="FDFDFD"/>
          </w:tcPr>
          <w:p>
            <w:pPr>
              <w:jc w:val="right"/>
              <w:ind w:right="228"/>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FDFDFD"/>
              <w:bottom w:val="single" w:sz="8" w:color="FDFDFD"/>
            </w:tcBorders>
            <w:shd w:val="clear" w:color="auto" w:fill="FDFDFD"/>
          </w:tcPr>
          <w:p>
            <w:pPr>
              <w:spacing w:after="0"/>
              <w:rPr>
                <w:sz w:val="15"/>
                <w:szCs w:val="15"/>
                <w:color w:val="auto"/>
              </w:rPr>
            </w:pPr>
          </w:p>
        </w:tc>
        <w:tc>
          <w:tcPr>
            <w:tcW w:w="100" w:type="dxa"/>
            <w:vAlign w:val="bottom"/>
            <w:tcBorders>
              <w:top w:val="single" w:sz="8" w:color="FDFDFD"/>
              <w:bottom w:val="single" w:sz="8" w:color="FDFDFD"/>
              <w:right w:val="single" w:sz="8" w:color="FDFDFD"/>
            </w:tcBorders>
            <w:shd w:val="clear" w:color="auto" w:fill="FDFDFD"/>
          </w:tcPr>
          <w:p>
            <w:pPr>
              <w:spacing w:after="0"/>
              <w:rPr>
                <w:sz w:val="15"/>
                <w:szCs w:val="15"/>
                <w:color w:val="auto"/>
              </w:rPr>
            </w:pPr>
          </w:p>
        </w:tc>
        <w:tc>
          <w:tcPr>
            <w:tcW w:w="100" w:type="dxa"/>
            <w:vAlign w:val="bottom"/>
            <w:tcBorders>
              <w:top w:val="single" w:sz="8" w:color="auto"/>
              <w:bottom w:val="single" w:sz="8" w:color="auto"/>
            </w:tcBorders>
            <w:shd w:val="clear" w:color="auto" w:fill="FDFDFD"/>
          </w:tcPr>
          <w:p>
            <w:pPr>
              <w:spacing w:after="0"/>
              <w:rPr>
                <w:sz w:val="15"/>
                <w:szCs w:val="15"/>
                <w:color w:val="auto"/>
              </w:rPr>
            </w:pPr>
          </w:p>
        </w:tc>
        <w:tc>
          <w:tcPr>
            <w:tcW w:w="820" w:type="dxa"/>
            <w:vAlign w:val="bottom"/>
            <w:tcBorders>
              <w:top w:val="single" w:sz="8" w:color="auto"/>
              <w:bottom w:val="single" w:sz="8" w:color="auto"/>
              <w:right w:val="single" w:sz="8" w:color="FDFDFD"/>
            </w:tcBorders>
            <w:shd w:val="clear" w:color="auto" w:fill="FDFDFD"/>
          </w:tcPr>
          <w:p>
            <w:pPr>
              <w:jc w:val="right"/>
              <w:ind w:right="128"/>
              <w:spacing w:after="0"/>
              <w:rPr>
                <w:sz w:val="20"/>
                <w:szCs w:val="20"/>
                <w:color w:val="auto"/>
              </w:rPr>
            </w:pPr>
            <w:r>
              <w:rPr>
                <w:rFonts w:ascii="Arial" w:cs="Arial" w:eastAsia="Arial" w:hAnsi="Arial"/>
                <w:sz w:val="15"/>
                <w:szCs w:val="15"/>
                <w:b w:val="1"/>
                <w:bCs w:val="1"/>
                <w:color w:val="auto"/>
              </w:rPr>
              <w:t>Amount</w:t>
            </w:r>
          </w:p>
        </w:tc>
        <w:tc>
          <w:tcPr>
            <w:tcW w:w="160" w:type="dxa"/>
            <w:vAlign w:val="bottom"/>
            <w:tcBorders>
              <w:top w:val="single" w:sz="8" w:color="auto"/>
              <w:left w:val="single" w:sz="8" w:color="FDFDFD"/>
              <w:bottom w:val="single" w:sz="8" w:color="FDFDFD"/>
              <w:right w:val="single" w:sz="8" w:color="FDFDFD"/>
            </w:tcBorders>
            <w:shd w:val="clear" w:color="auto" w:fill="FDFDFD"/>
          </w:tcPr>
          <w:p>
            <w:pPr>
              <w:spacing w:after="0"/>
              <w:rPr>
                <w:sz w:val="15"/>
                <w:szCs w:val="15"/>
                <w:color w:val="auto"/>
              </w:rPr>
            </w:pPr>
          </w:p>
        </w:tc>
        <w:tc>
          <w:tcPr>
            <w:tcW w:w="200" w:type="dxa"/>
            <w:vAlign w:val="bottom"/>
            <w:tcBorders>
              <w:top w:val="single" w:sz="8" w:color="auto"/>
              <w:bottom w:val="single" w:sz="8" w:color="auto"/>
            </w:tcBorders>
            <w:shd w:val="clear" w:color="auto" w:fill="FDFDFD"/>
          </w:tcPr>
          <w:p>
            <w:pPr>
              <w:spacing w:after="0"/>
              <w:rPr>
                <w:sz w:val="15"/>
                <w:szCs w:val="15"/>
                <w:color w:val="auto"/>
              </w:rPr>
            </w:pPr>
          </w:p>
        </w:tc>
        <w:tc>
          <w:tcPr>
            <w:tcW w:w="600" w:type="dxa"/>
            <w:vAlign w:val="bottom"/>
            <w:tcBorders>
              <w:top w:val="single" w:sz="8" w:color="auto"/>
              <w:bottom w:val="single" w:sz="8" w:color="auto"/>
            </w:tcBorders>
            <w:shd w:val="clear" w:color="auto" w:fill="FDFDFD"/>
          </w:tcPr>
          <w:p>
            <w:pPr>
              <w:jc w:val="right"/>
              <w:ind w:right="247"/>
              <w:spacing w:after="0"/>
              <w:rPr>
                <w:sz w:val="20"/>
                <w:szCs w:val="20"/>
                <w:color w:val="auto"/>
              </w:rPr>
            </w:pPr>
            <w:r>
              <w:rPr>
                <w:rFonts w:ascii="Arial" w:cs="Arial" w:eastAsia="Arial" w:hAnsi="Arial"/>
                <w:sz w:val="15"/>
                <w:szCs w:val="15"/>
                <w:b w:val="1"/>
                <w:bCs w:val="1"/>
                <w:color w:val="auto"/>
              </w:rPr>
              <w:t>%</w:t>
            </w:r>
          </w:p>
        </w:tc>
        <w:tc>
          <w:tcPr>
            <w:tcW w:w="20" w:type="dxa"/>
            <w:vAlign w:val="bottom"/>
            <w:tcBorders>
              <w:top w:val="single" w:sz="8" w:color="FDFDFD"/>
              <w:bottom w:val="single" w:sz="8" w:color="FDFDFD"/>
            </w:tcBorders>
            <w:shd w:val="clear" w:color="auto" w:fill="FDFDFD"/>
          </w:tcPr>
          <w:p>
            <w:pPr>
              <w:spacing w:after="0"/>
              <w:rPr>
                <w:sz w:val="15"/>
                <w:szCs w:val="15"/>
                <w:color w:val="auto"/>
              </w:rPr>
            </w:pPr>
          </w:p>
        </w:tc>
        <w:tc>
          <w:tcPr>
            <w:tcW w:w="220" w:type="dxa"/>
            <w:vAlign w:val="bottom"/>
            <w:tcBorders>
              <w:top w:val="single" w:sz="8" w:color="FDFDFD"/>
              <w:bottom w:val="single" w:sz="8" w:color="FDFDFD"/>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620" w:type="dxa"/>
            <w:vAlign w:val="bottom"/>
            <w:shd w:val="clear" w:color="auto" w:fill="FDFDFD"/>
          </w:tcPr>
          <w:p>
            <w:pPr>
              <w:spacing w:after="0"/>
              <w:rPr>
                <w:sz w:val="14"/>
                <w:szCs w:val="14"/>
                <w:color w:val="auto"/>
              </w:rPr>
            </w:pPr>
          </w:p>
        </w:tc>
        <w:tc>
          <w:tcPr>
            <w:tcW w:w="120" w:type="dxa"/>
            <w:vAlign w:val="bottom"/>
            <w:shd w:val="clear" w:color="auto" w:fill="FDFDFD"/>
          </w:tcPr>
          <w:p>
            <w:pPr>
              <w:spacing w:after="0"/>
              <w:rPr>
                <w:sz w:val="14"/>
                <w:szCs w:val="14"/>
                <w:color w:val="auto"/>
              </w:rPr>
            </w:pPr>
          </w:p>
        </w:tc>
        <w:tc>
          <w:tcPr>
            <w:tcW w:w="820" w:type="dxa"/>
            <w:vAlign w:val="bottom"/>
            <w:tcBorders>
              <w:right w:val="single" w:sz="8" w:color="FDFDFD"/>
            </w:tcBorders>
            <w:shd w:val="clear" w:color="auto" w:fill="FDFDFD"/>
          </w:tcPr>
          <w:p>
            <w:pPr>
              <w:spacing w:after="0"/>
              <w:rPr>
                <w:sz w:val="14"/>
                <w:szCs w:val="14"/>
                <w:color w:val="auto"/>
              </w:rPr>
            </w:pPr>
          </w:p>
        </w:tc>
        <w:tc>
          <w:tcPr>
            <w:tcW w:w="180" w:type="dxa"/>
            <w:vAlign w:val="bottom"/>
            <w:tcBorders>
              <w:right w:val="single" w:sz="8" w:color="FDFDFD"/>
            </w:tcBorders>
            <w:shd w:val="clear" w:color="auto" w:fill="FDFDFD"/>
          </w:tcPr>
          <w:p>
            <w:pPr>
              <w:spacing w:after="0"/>
              <w:rPr>
                <w:sz w:val="14"/>
                <w:szCs w:val="14"/>
                <w:color w:val="auto"/>
              </w:rPr>
            </w:pPr>
          </w:p>
        </w:tc>
        <w:tc>
          <w:tcPr>
            <w:tcW w:w="110" w:type="dxa"/>
            <w:vAlign w:val="bottom"/>
            <w:shd w:val="clear" w:color="auto" w:fill="FDFDFD"/>
          </w:tcPr>
          <w:p>
            <w:pPr>
              <w:spacing w:after="0"/>
              <w:rPr>
                <w:sz w:val="14"/>
                <w:szCs w:val="14"/>
                <w:color w:val="auto"/>
              </w:rPr>
            </w:pPr>
          </w:p>
        </w:tc>
        <w:tc>
          <w:tcPr>
            <w:tcW w:w="810" w:type="dxa"/>
            <w:vAlign w:val="bottom"/>
            <w:tcBorders>
              <w:right w:val="single" w:sz="8" w:color="FDFDFD"/>
            </w:tcBorders>
            <w:shd w:val="clear" w:color="auto" w:fill="FDFDFD"/>
          </w:tcPr>
          <w:p>
            <w:pPr>
              <w:jc w:val="right"/>
              <w:spacing w:after="0" w:line="166" w:lineRule="exact"/>
              <w:rPr>
                <w:sz w:val="20"/>
                <w:szCs w:val="20"/>
                <w:color w:val="auto"/>
              </w:rPr>
            </w:pPr>
            <w:r>
              <w:rPr>
                <w:rFonts w:ascii="Arial" w:cs="Arial" w:eastAsia="Arial" w:hAnsi="Arial"/>
                <w:sz w:val="15"/>
                <w:szCs w:val="15"/>
                <w:color w:val="auto"/>
              </w:rPr>
              <w:t>(dollars in</w:t>
            </w:r>
          </w:p>
        </w:tc>
        <w:tc>
          <w:tcPr>
            <w:tcW w:w="1120" w:type="dxa"/>
            <w:vAlign w:val="bottom"/>
            <w:tcBorders>
              <w:right w:val="single" w:sz="8" w:color="FDFDFD"/>
            </w:tcBorders>
            <w:gridSpan w:val="4"/>
            <w:shd w:val="clear" w:color="auto" w:fill="FDFDFD"/>
          </w:tcPr>
          <w:p>
            <w:pPr>
              <w:jc w:val="right"/>
              <w:ind w:right="348"/>
              <w:spacing w:after="0" w:line="166" w:lineRule="exact"/>
              <w:rPr>
                <w:sz w:val="20"/>
                <w:szCs w:val="20"/>
                <w:color w:val="auto"/>
              </w:rPr>
            </w:pPr>
            <w:r>
              <w:rPr>
                <w:rFonts w:ascii="Arial" w:cs="Arial" w:eastAsia="Arial" w:hAnsi="Arial"/>
                <w:sz w:val="15"/>
                <w:szCs w:val="15"/>
                <w:color w:val="auto"/>
                <w:w w:val="88"/>
              </w:rPr>
              <w:t>thousands)</w:t>
            </w:r>
          </w:p>
        </w:tc>
        <w:tc>
          <w:tcPr>
            <w:tcW w:w="160" w:type="dxa"/>
            <w:vAlign w:val="bottom"/>
            <w:tcBorders>
              <w:left w:val="single" w:sz="8" w:color="FDFDFD"/>
              <w:right w:val="single" w:sz="8" w:color="FDFDFD"/>
            </w:tcBorders>
            <w:shd w:val="clear" w:color="auto" w:fill="FDFDFD"/>
          </w:tcPr>
          <w:p>
            <w:pPr>
              <w:spacing w:after="0"/>
              <w:rPr>
                <w:sz w:val="14"/>
                <w:szCs w:val="14"/>
                <w:color w:val="auto"/>
              </w:rPr>
            </w:pPr>
          </w:p>
        </w:tc>
        <w:tc>
          <w:tcPr>
            <w:tcW w:w="200" w:type="dxa"/>
            <w:vAlign w:val="bottom"/>
            <w:shd w:val="clear" w:color="auto" w:fill="FDFDFD"/>
          </w:tcPr>
          <w:p>
            <w:pPr>
              <w:spacing w:after="0"/>
              <w:rPr>
                <w:sz w:val="14"/>
                <w:szCs w:val="14"/>
                <w:color w:val="auto"/>
              </w:rPr>
            </w:pPr>
          </w:p>
        </w:tc>
        <w:tc>
          <w:tcPr>
            <w:tcW w:w="600" w:type="dxa"/>
            <w:vAlign w:val="bottom"/>
            <w:shd w:val="clear" w:color="auto" w:fill="FDFDFD"/>
          </w:tcPr>
          <w:p>
            <w:pPr>
              <w:spacing w:after="0"/>
              <w:rPr>
                <w:sz w:val="14"/>
                <w:szCs w:val="14"/>
                <w:color w:val="auto"/>
              </w:rPr>
            </w:pPr>
          </w:p>
        </w:tc>
        <w:tc>
          <w:tcPr>
            <w:tcW w:w="20" w:type="dxa"/>
            <w:vAlign w:val="bottom"/>
            <w:shd w:val="clear" w:color="auto" w:fill="FDFDFD"/>
          </w:tcPr>
          <w:p>
            <w:pPr>
              <w:spacing w:after="0"/>
              <w:rPr>
                <w:sz w:val="14"/>
                <w:szCs w:val="14"/>
                <w:color w:val="auto"/>
              </w:rPr>
            </w:pPr>
          </w:p>
        </w:tc>
        <w:tc>
          <w:tcPr>
            <w:tcW w:w="220" w:type="dxa"/>
            <w:vAlign w:val="bottom"/>
            <w:shd w:val="clear" w:color="auto" w:fill="FDFDFD"/>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D3ECED"/>
          </w:tcPr>
          <w:p>
            <w:pPr>
              <w:spacing w:after="0"/>
              <w:rPr>
                <w:sz w:val="20"/>
                <w:szCs w:val="20"/>
                <w:color w:val="auto"/>
              </w:rPr>
            </w:pPr>
            <w:r>
              <w:rPr>
                <w:rFonts w:ascii="Arial" w:cs="Arial" w:eastAsia="Arial" w:hAnsi="Arial"/>
                <w:sz w:val="19"/>
                <w:szCs w:val="19"/>
                <w:color w:val="auto"/>
              </w:rPr>
              <w:t>Revenue:</w:t>
            </w:r>
          </w:p>
        </w:tc>
        <w:tc>
          <w:tcPr>
            <w:tcW w:w="120" w:type="dxa"/>
            <w:vAlign w:val="bottom"/>
            <w:shd w:val="clear" w:color="auto" w:fill="D3ECED"/>
          </w:tcPr>
          <w:p>
            <w:pPr>
              <w:spacing w:after="0"/>
              <w:rPr>
                <w:sz w:val="20"/>
                <w:szCs w:val="20"/>
                <w:color w:val="auto"/>
              </w:rPr>
            </w:pPr>
          </w:p>
        </w:tc>
        <w:tc>
          <w:tcPr>
            <w:tcW w:w="820" w:type="dxa"/>
            <w:vAlign w:val="bottom"/>
            <w:tcBorders>
              <w:right w:val="single" w:sz="8" w:color="D3ECED"/>
            </w:tcBorders>
            <w:shd w:val="clear" w:color="auto" w:fill="D3ECED"/>
          </w:tcPr>
          <w:p>
            <w:pPr>
              <w:spacing w:after="0"/>
              <w:rPr>
                <w:sz w:val="20"/>
                <w:szCs w:val="20"/>
                <w:color w:val="auto"/>
              </w:rPr>
            </w:pPr>
          </w:p>
        </w:tc>
        <w:tc>
          <w:tcPr>
            <w:tcW w:w="180" w:type="dxa"/>
            <w:vAlign w:val="bottom"/>
            <w:tcBorders>
              <w:right w:val="single" w:sz="8" w:color="D3ECED"/>
            </w:tcBorders>
            <w:shd w:val="clear" w:color="auto" w:fill="D3ECED"/>
          </w:tcPr>
          <w:p>
            <w:pPr>
              <w:spacing w:after="0"/>
              <w:rPr>
                <w:sz w:val="20"/>
                <w:szCs w:val="20"/>
                <w:color w:val="auto"/>
              </w:rPr>
            </w:pPr>
          </w:p>
        </w:tc>
        <w:tc>
          <w:tcPr>
            <w:tcW w:w="110" w:type="dxa"/>
            <w:vAlign w:val="bottom"/>
            <w:shd w:val="clear" w:color="auto" w:fill="D3ECED"/>
          </w:tcPr>
          <w:p>
            <w:pPr>
              <w:spacing w:after="0"/>
              <w:rPr>
                <w:sz w:val="20"/>
                <w:szCs w:val="20"/>
                <w:color w:val="auto"/>
              </w:rPr>
            </w:pPr>
          </w:p>
        </w:tc>
        <w:tc>
          <w:tcPr>
            <w:tcW w:w="810" w:type="dxa"/>
            <w:vAlign w:val="bottom"/>
            <w:tcBorders>
              <w:right w:val="single" w:sz="8" w:color="D3ECED"/>
            </w:tcBorders>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100" w:type="dxa"/>
            <w:vAlign w:val="bottom"/>
            <w:tcBorders>
              <w:right w:val="single" w:sz="8" w:color="D3ECED"/>
            </w:tcBorders>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20" w:type="dxa"/>
            <w:vAlign w:val="bottom"/>
            <w:tcBorders>
              <w:right w:val="single" w:sz="8" w:color="D3ECED"/>
            </w:tcBorders>
            <w:shd w:val="clear" w:color="auto" w:fill="D3ECED"/>
          </w:tcPr>
          <w:p>
            <w:pPr>
              <w:spacing w:after="0"/>
              <w:rPr>
                <w:sz w:val="20"/>
                <w:szCs w:val="20"/>
                <w:color w:val="auto"/>
              </w:rPr>
            </w:pPr>
          </w:p>
        </w:tc>
        <w:tc>
          <w:tcPr>
            <w:tcW w:w="160" w:type="dxa"/>
            <w:vAlign w:val="bottom"/>
            <w:tcBorders>
              <w:left w:val="single" w:sz="8" w:color="D3ECED"/>
              <w:right w:val="single" w:sz="8" w:color="D3ECED"/>
            </w:tcBorders>
            <w:shd w:val="clear" w:color="auto" w:fill="D3ECED"/>
          </w:tcPr>
          <w:p>
            <w:pPr>
              <w:spacing w:after="0"/>
              <w:rPr>
                <w:sz w:val="20"/>
                <w:szCs w:val="20"/>
                <w:color w:val="auto"/>
              </w:rPr>
            </w:pPr>
          </w:p>
        </w:tc>
        <w:tc>
          <w:tcPr>
            <w:tcW w:w="200" w:type="dxa"/>
            <w:vAlign w:val="bottom"/>
            <w:shd w:val="clear" w:color="auto" w:fill="D3ECED"/>
          </w:tcPr>
          <w:p>
            <w:pPr>
              <w:spacing w:after="0"/>
              <w:rPr>
                <w:sz w:val="20"/>
                <w:szCs w:val="20"/>
                <w:color w:val="auto"/>
              </w:rPr>
            </w:pPr>
          </w:p>
        </w:tc>
        <w:tc>
          <w:tcPr>
            <w:tcW w:w="60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220" w:type="dxa"/>
            <w:vAlign w:val="bottom"/>
            <w:shd w:val="clear" w:color="auto" w:fill="D3ECED"/>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D3ECED"/>
            </w:tcBorders>
            <w:shd w:val="clear" w:color="auto" w:fill="FDFDFD"/>
          </w:tcPr>
          <w:p>
            <w:pPr>
              <w:ind w:left="200"/>
              <w:spacing w:after="0"/>
              <w:rPr>
                <w:sz w:val="20"/>
                <w:szCs w:val="20"/>
                <w:color w:val="auto"/>
              </w:rPr>
            </w:pPr>
            <w:r>
              <w:rPr>
                <w:rFonts w:ascii="Arial" w:cs="Arial" w:eastAsia="Arial" w:hAnsi="Arial"/>
                <w:sz w:val="19"/>
                <w:szCs w:val="19"/>
                <w:color w:val="auto"/>
              </w:rPr>
              <w:t>Product</w:t>
            </w:r>
          </w:p>
        </w:tc>
        <w:tc>
          <w:tcPr>
            <w:tcW w:w="120" w:type="dxa"/>
            <w:vAlign w:val="bottom"/>
            <w:tcBorders>
              <w:bottom w:val="single" w:sz="8" w:color="D3ECED"/>
            </w:tcBorders>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tcBorders>
              <w:bottom w:val="single" w:sz="8" w:color="D3ECED"/>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8,695</w:t>
            </w:r>
          </w:p>
        </w:tc>
        <w:tc>
          <w:tcPr>
            <w:tcW w:w="290" w:type="dxa"/>
            <w:vAlign w:val="bottom"/>
            <w:tcBorders>
              <w:bottom w:val="single" w:sz="8" w:color="D3ECED"/>
            </w:tcBorders>
            <w:gridSpan w:val="2"/>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810" w:type="dxa"/>
            <w:vAlign w:val="bottom"/>
            <w:tcBorders>
              <w:bottom w:val="single" w:sz="8" w:color="D3ECED"/>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8,506</w:t>
            </w:r>
          </w:p>
        </w:tc>
        <w:tc>
          <w:tcPr>
            <w:tcW w:w="100" w:type="dxa"/>
            <w:vAlign w:val="bottom"/>
            <w:tcBorders>
              <w:bottom w:val="single" w:sz="8" w:color="D3ECED"/>
            </w:tcBorders>
            <w:shd w:val="clear" w:color="auto" w:fill="FDFDFD"/>
          </w:tcPr>
          <w:p>
            <w:pPr>
              <w:spacing w:after="0"/>
              <w:rPr>
                <w:sz w:val="20"/>
                <w:szCs w:val="20"/>
                <w:color w:val="auto"/>
              </w:rPr>
            </w:pPr>
          </w:p>
        </w:tc>
        <w:tc>
          <w:tcPr>
            <w:tcW w:w="200" w:type="dxa"/>
            <w:vAlign w:val="bottom"/>
            <w:tcBorders>
              <w:bottom w:val="single" w:sz="8" w:color="D3ECED"/>
            </w:tcBorders>
            <w:gridSpan w:val="2"/>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820" w:type="dxa"/>
            <w:vAlign w:val="bottom"/>
            <w:tcBorders>
              <w:bottom w:val="single" w:sz="8" w:color="D3ECED"/>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189</w:t>
            </w:r>
          </w:p>
        </w:tc>
        <w:tc>
          <w:tcPr>
            <w:tcW w:w="160" w:type="dxa"/>
            <w:vAlign w:val="bottom"/>
            <w:tcBorders>
              <w:left w:val="single" w:sz="8" w:color="FDFDFD"/>
              <w:bottom w:val="single" w:sz="8" w:color="FDFDFD"/>
              <w:right w:val="single" w:sz="8" w:color="FDFDFD"/>
            </w:tcBorders>
            <w:shd w:val="clear" w:color="auto" w:fill="FDFDFD"/>
          </w:tcPr>
          <w:p>
            <w:pPr>
              <w:spacing w:after="0"/>
              <w:rPr>
                <w:sz w:val="20"/>
                <w:szCs w:val="20"/>
                <w:color w:val="auto"/>
              </w:rPr>
            </w:pPr>
          </w:p>
        </w:tc>
        <w:tc>
          <w:tcPr>
            <w:tcW w:w="200" w:type="dxa"/>
            <w:vAlign w:val="bottom"/>
            <w:tcBorders>
              <w:bottom w:val="single" w:sz="8" w:color="FDFDFD"/>
            </w:tcBorders>
            <w:shd w:val="clear" w:color="auto" w:fill="FDFDFD"/>
          </w:tcPr>
          <w:p>
            <w:pPr>
              <w:spacing w:after="0"/>
              <w:rPr>
                <w:sz w:val="20"/>
                <w:szCs w:val="20"/>
                <w:color w:val="auto"/>
              </w:rPr>
            </w:pPr>
          </w:p>
        </w:tc>
        <w:tc>
          <w:tcPr>
            <w:tcW w:w="60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2</w:t>
            </w:r>
          </w:p>
        </w:tc>
        <w:tc>
          <w:tcPr>
            <w:tcW w:w="240" w:type="dxa"/>
            <w:vAlign w:val="bottom"/>
            <w:tcBorders>
              <w:bottom w:val="single" w:sz="8" w:color="FDFDFD"/>
            </w:tcBorders>
            <w:gridSpan w:val="2"/>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0"/>
        </w:trPr>
        <w:tc>
          <w:tcPr>
            <w:tcW w:w="4620" w:type="dxa"/>
            <w:vAlign w:val="bottom"/>
            <w:shd w:val="clear" w:color="auto" w:fill="D3ECED"/>
          </w:tcPr>
          <w:p>
            <w:pPr>
              <w:ind w:left="200"/>
              <w:spacing w:after="0" w:line="211" w:lineRule="exact"/>
              <w:rPr>
                <w:sz w:val="20"/>
                <w:szCs w:val="20"/>
                <w:color w:val="auto"/>
              </w:rPr>
            </w:pPr>
            <w:r>
              <w:rPr>
                <w:rFonts w:ascii="Arial" w:cs="Arial" w:eastAsia="Arial" w:hAnsi="Arial"/>
                <w:sz w:val="19"/>
                <w:szCs w:val="19"/>
                <w:color w:val="auto"/>
              </w:rPr>
              <w:t>Service</w:t>
            </w:r>
          </w:p>
        </w:tc>
        <w:tc>
          <w:tcPr>
            <w:tcW w:w="120" w:type="dxa"/>
            <w:vAlign w:val="bottom"/>
            <w:shd w:val="clear" w:color="auto" w:fill="D3ECED"/>
          </w:tcPr>
          <w:p>
            <w:pPr>
              <w:spacing w:after="0"/>
              <w:rPr>
                <w:sz w:val="18"/>
                <w:szCs w:val="18"/>
                <w:color w:val="auto"/>
              </w:rPr>
            </w:pPr>
          </w:p>
        </w:tc>
        <w:tc>
          <w:tcPr>
            <w:tcW w:w="82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2,960</w:t>
            </w:r>
          </w:p>
        </w:tc>
        <w:tc>
          <w:tcPr>
            <w:tcW w:w="180" w:type="dxa"/>
            <w:vAlign w:val="bottom"/>
            <w:tcBorders>
              <w:right w:val="single" w:sz="8" w:color="D3ECED"/>
            </w:tcBorders>
            <w:shd w:val="clear" w:color="auto" w:fill="D3ECED"/>
          </w:tcPr>
          <w:p>
            <w:pPr>
              <w:spacing w:after="0"/>
              <w:rPr>
                <w:sz w:val="18"/>
                <w:szCs w:val="18"/>
                <w:color w:val="auto"/>
              </w:rPr>
            </w:pPr>
          </w:p>
        </w:tc>
        <w:tc>
          <w:tcPr>
            <w:tcW w:w="110" w:type="dxa"/>
            <w:vAlign w:val="bottom"/>
            <w:shd w:val="clear" w:color="auto" w:fill="D3ECED"/>
          </w:tcPr>
          <w:p>
            <w:pPr>
              <w:spacing w:after="0"/>
              <w:rPr>
                <w:sz w:val="18"/>
                <w:szCs w:val="18"/>
                <w:color w:val="auto"/>
              </w:rPr>
            </w:pPr>
          </w:p>
        </w:tc>
        <w:tc>
          <w:tcPr>
            <w:tcW w:w="81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2,016</w:t>
            </w:r>
          </w:p>
        </w:tc>
        <w:tc>
          <w:tcPr>
            <w:tcW w:w="100" w:type="dxa"/>
            <w:vAlign w:val="bottom"/>
            <w:shd w:val="clear" w:color="auto" w:fill="D3ECED"/>
          </w:tcPr>
          <w:p>
            <w:pPr>
              <w:spacing w:after="0"/>
              <w:rPr>
                <w:sz w:val="18"/>
                <w:szCs w:val="18"/>
                <w:color w:val="auto"/>
              </w:rPr>
            </w:pPr>
          </w:p>
        </w:tc>
        <w:tc>
          <w:tcPr>
            <w:tcW w:w="100" w:type="dxa"/>
            <w:vAlign w:val="bottom"/>
            <w:tcBorders>
              <w:right w:val="single" w:sz="8" w:color="D3ECED"/>
            </w:tcBorders>
            <w:shd w:val="clear" w:color="auto" w:fill="D3ECED"/>
          </w:tcPr>
          <w:p>
            <w:pPr>
              <w:spacing w:after="0"/>
              <w:rPr>
                <w:sz w:val="18"/>
                <w:szCs w:val="18"/>
                <w:color w:val="auto"/>
              </w:rPr>
            </w:pPr>
          </w:p>
        </w:tc>
        <w:tc>
          <w:tcPr>
            <w:tcW w:w="100" w:type="dxa"/>
            <w:vAlign w:val="bottom"/>
            <w:shd w:val="clear" w:color="auto" w:fill="D3ECED"/>
          </w:tcPr>
          <w:p>
            <w:pPr>
              <w:spacing w:after="0"/>
              <w:rPr>
                <w:sz w:val="18"/>
                <w:szCs w:val="18"/>
                <w:color w:val="auto"/>
              </w:rPr>
            </w:pPr>
          </w:p>
        </w:tc>
        <w:tc>
          <w:tcPr>
            <w:tcW w:w="82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944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spacing w:after="0" w:line="211" w:lineRule="exact"/>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230"/>
        </w:trPr>
        <w:tc>
          <w:tcPr>
            <w:tcW w:w="4620" w:type="dxa"/>
            <w:vAlign w:val="bottom"/>
            <w:shd w:val="clear" w:color="auto" w:fill="FDFDFD"/>
          </w:tcPr>
          <w:p>
            <w:pPr>
              <w:ind w:left="200"/>
              <w:spacing w:after="0"/>
              <w:rPr>
                <w:sz w:val="20"/>
                <w:szCs w:val="20"/>
                <w:color w:val="auto"/>
              </w:rPr>
            </w:pPr>
            <w:r>
              <w:rPr>
                <w:rFonts w:ascii="Arial" w:cs="Arial" w:eastAsia="Arial" w:hAnsi="Arial"/>
                <w:sz w:val="19"/>
                <w:szCs w:val="19"/>
                <w:color w:val="auto"/>
              </w:rPr>
              <w:t>Related party</w:t>
            </w:r>
          </w:p>
        </w:tc>
        <w:tc>
          <w:tcPr>
            <w:tcW w:w="120" w:type="dxa"/>
            <w:vAlign w:val="bottom"/>
            <w:shd w:val="clear" w:color="auto" w:fill="FDFDFD"/>
          </w:tcPr>
          <w:p>
            <w:pPr>
              <w:spacing w:after="0"/>
              <w:rPr>
                <w:sz w:val="20"/>
                <w:szCs w:val="20"/>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2,292</w:t>
            </w:r>
          </w:p>
        </w:tc>
        <w:tc>
          <w:tcPr>
            <w:tcW w:w="180" w:type="dxa"/>
            <w:vAlign w:val="bottom"/>
            <w:tcBorders>
              <w:right w:val="single" w:sz="8" w:color="FDFDFD"/>
            </w:tcBorders>
            <w:shd w:val="clear" w:color="auto" w:fill="FDFDFD"/>
          </w:tcPr>
          <w:p>
            <w:pPr>
              <w:spacing w:after="0"/>
              <w:rPr>
                <w:sz w:val="20"/>
                <w:szCs w:val="20"/>
                <w:color w:val="auto"/>
              </w:rPr>
            </w:pPr>
          </w:p>
        </w:tc>
        <w:tc>
          <w:tcPr>
            <w:tcW w:w="110" w:type="dxa"/>
            <w:vAlign w:val="bottom"/>
            <w:shd w:val="clear" w:color="auto" w:fill="FDFDFD"/>
          </w:tcPr>
          <w:p>
            <w:pPr>
              <w:spacing w:after="0"/>
              <w:rPr>
                <w:sz w:val="20"/>
                <w:szCs w:val="20"/>
                <w:color w:val="auto"/>
              </w:rPr>
            </w:pPr>
          </w:p>
        </w:tc>
        <w:tc>
          <w:tcPr>
            <w:tcW w:w="81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4,660</w:t>
            </w:r>
          </w:p>
        </w:tc>
        <w:tc>
          <w:tcPr>
            <w:tcW w:w="100" w:type="dxa"/>
            <w:vAlign w:val="bottom"/>
            <w:shd w:val="clear" w:color="auto" w:fill="FDFDFD"/>
          </w:tcPr>
          <w:p>
            <w:pPr>
              <w:spacing w:after="0"/>
              <w:rPr>
                <w:sz w:val="20"/>
                <w:szCs w:val="20"/>
                <w:color w:val="auto"/>
              </w:rPr>
            </w:pPr>
          </w:p>
        </w:tc>
        <w:tc>
          <w:tcPr>
            <w:tcW w:w="100" w:type="dxa"/>
            <w:vAlign w:val="bottom"/>
            <w:tcBorders>
              <w:right w:val="single" w:sz="8" w:color="FDFDFD"/>
            </w:tcBorders>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(2,368)</w:t>
            </w:r>
          </w:p>
        </w:tc>
        <w:tc>
          <w:tcPr>
            <w:tcW w:w="160" w:type="dxa"/>
            <w:vAlign w:val="bottom"/>
            <w:tcBorders>
              <w:left w:val="single" w:sz="8" w:color="FDFDFD"/>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30"/>
        </w:trPr>
        <w:tc>
          <w:tcPr>
            <w:tcW w:w="4620" w:type="dxa"/>
            <w:vAlign w:val="bottom"/>
            <w:shd w:val="clear" w:color="auto" w:fill="D3ECED"/>
          </w:tcPr>
          <w:p>
            <w:pPr>
              <w:ind w:left="200"/>
              <w:spacing w:after="0"/>
              <w:rPr>
                <w:sz w:val="20"/>
                <w:szCs w:val="20"/>
                <w:color w:val="auto"/>
              </w:rPr>
            </w:pPr>
            <w:r>
              <w:rPr>
                <w:rFonts w:ascii="Arial" w:cs="Arial" w:eastAsia="Arial" w:hAnsi="Arial"/>
                <w:sz w:val="19"/>
                <w:szCs w:val="19"/>
                <w:color w:val="auto"/>
              </w:rPr>
              <w:t>Grant and other</w:t>
            </w:r>
          </w:p>
        </w:tc>
        <w:tc>
          <w:tcPr>
            <w:tcW w:w="120" w:type="dxa"/>
            <w:vAlign w:val="bottom"/>
            <w:shd w:val="clear" w:color="auto" w:fill="D3ECED"/>
          </w:tcPr>
          <w:p>
            <w:pPr>
              <w:spacing w:after="0"/>
              <w:rPr>
                <w:sz w:val="20"/>
                <w:szCs w:val="20"/>
                <w:color w:val="auto"/>
              </w:rPr>
            </w:pP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223</w:t>
            </w:r>
          </w:p>
        </w:tc>
        <w:tc>
          <w:tcPr>
            <w:tcW w:w="180" w:type="dxa"/>
            <w:vAlign w:val="bottom"/>
            <w:tcBorders>
              <w:right w:val="single" w:sz="8" w:color="D3ECED"/>
            </w:tcBorders>
            <w:shd w:val="clear" w:color="auto" w:fill="D3ECED"/>
          </w:tcPr>
          <w:p>
            <w:pPr>
              <w:spacing w:after="0"/>
              <w:rPr>
                <w:sz w:val="20"/>
                <w:szCs w:val="20"/>
                <w:color w:val="auto"/>
              </w:rPr>
            </w:pPr>
          </w:p>
        </w:tc>
        <w:tc>
          <w:tcPr>
            <w:tcW w:w="110" w:type="dxa"/>
            <w:vAlign w:val="bottom"/>
            <w:shd w:val="clear" w:color="auto" w:fill="D3ECED"/>
          </w:tcPr>
          <w:p>
            <w:pPr>
              <w:spacing w:after="0"/>
              <w:rPr>
                <w:sz w:val="20"/>
                <w:szCs w:val="20"/>
                <w:color w:val="auto"/>
              </w:rPr>
            </w:pPr>
          </w:p>
        </w:tc>
        <w:tc>
          <w:tcPr>
            <w:tcW w:w="81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1,479</w:t>
            </w:r>
          </w:p>
        </w:tc>
        <w:tc>
          <w:tcPr>
            <w:tcW w:w="100" w:type="dxa"/>
            <w:vAlign w:val="bottom"/>
            <w:shd w:val="clear" w:color="auto" w:fill="D3ECED"/>
          </w:tcPr>
          <w:p>
            <w:pPr>
              <w:spacing w:after="0"/>
              <w:rPr>
                <w:sz w:val="20"/>
                <w:szCs w:val="20"/>
                <w:color w:val="auto"/>
              </w:rPr>
            </w:pPr>
          </w:p>
        </w:tc>
        <w:tc>
          <w:tcPr>
            <w:tcW w:w="100" w:type="dxa"/>
            <w:vAlign w:val="bottom"/>
            <w:tcBorders>
              <w:right w:val="single" w:sz="8" w:color="D3ECED"/>
            </w:tcBorders>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(1,256)</w:t>
            </w:r>
          </w:p>
        </w:tc>
        <w:tc>
          <w:tcPr>
            <w:tcW w:w="160" w:type="dxa"/>
            <w:vAlign w:val="bottom"/>
            <w:tcBorders>
              <w:left w:val="single" w:sz="8" w:color="D3ECED"/>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(85)%</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FDFDFD"/>
          </w:tcPr>
          <w:p>
            <w:pPr>
              <w:ind w:left="380"/>
              <w:spacing w:after="0"/>
              <w:rPr>
                <w:sz w:val="20"/>
                <w:szCs w:val="20"/>
                <w:color w:val="auto"/>
              </w:rPr>
            </w:pPr>
            <w:r>
              <w:rPr>
                <w:rFonts w:ascii="Arial" w:cs="Arial" w:eastAsia="Arial" w:hAnsi="Arial"/>
                <w:sz w:val="19"/>
                <w:szCs w:val="19"/>
                <w:color w:val="auto"/>
              </w:rPr>
              <w:t>Total revenue</w:t>
            </w: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FDFDFD"/>
            </w:tcBorders>
            <w:shd w:val="clear" w:color="auto" w:fill="FDFDFD"/>
          </w:tcPr>
          <w:p>
            <w:pPr>
              <w:spacing w:after="0" w:line="20" w:lineRule="exact"/>
              <w:rPr>
                <w:sz w:val="1"/>
                <w:szCs w:val="1"/>
                <w:color w:val="auto"/>
              </w:rPr>
            </w:pPr>
          </w:p>
        </w:tc>
        <w:tc>
          <w:tcPr>
            <w:tcW w:w="110" w:type="dxa"/>
            <w:vAlign w:val="bottom"/>
            <w:shd w:val="clear" w:color="auto" w:fill="000000"/>
          </w:tcPr>
          <w:p>
            <w:pPr>
              <w:spacing w:after="0" w:line="20" w:lineRule="exact"/>
              <w:rPr>
                <w:sz w:val="1"/>
                <w:szCs w:val="1"/>
                <w:color w:val="auto"/>
              </w:rPr>
            </w:pPr>
          </w:p>
        </w:tc>
        <w:tc>
          <w:tcPr>
            <w:tcW w:w="81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FDFDFD"/>
          </w:tcPr>
          <w:p>
            <w:pPr>
              <w:spacing w:after="0" w:line="20" w:lineRule="exact"/>
              <w:rPr>
                <w:sz w:val="1"/>
                <w:szCs w:val="1"/>
                <w:color w:val="auto"/>
              </w:rPr>
            </w:pPr>
          </w:p>
        </w:tc>
        <w:tc>
          <w:tcPr>
            <w:tcW w:w="100" w:type="dxa"/>
            <w:vAlign w:val="bottom"/>
            <w:tcBorders>
              <w:right w:val="single" w:sz="8" w:color="FDFDFD"/>
            </w:tcBorders>
            <w:shd w:val="clear" w:color="auto" w:fill="FDFDF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FDFDFD"/>
              <w:right w:val="single" w:sz="8" w:color="auto"/>
            </w:tcBorders>
            <w:shd w:val="clear" w:color="auto" w:fill="FDFDF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vMerge w:val="continue"/>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14,170</w:t>
            </w:r>
          </w:p>
        </w:tc>
        <w:tc>
          <w:tcPr>
            <w:tcW w:w="180" w:type="dxa"/>
            <w:vAlign w:val="bottom"/>
            <w:tcBorders>
              <w:right w:val="single" w:sz="8" w:color="FDFDFD"/>
            </w:tcBorders>
            <w:shd w:val="clear" w:color="auto" w:fill="FDFDFD"/>
          </w:tcPr>
          <w:p>
            <w:pPr>
              <w:spacing w:after="0"/>
              <w:rPr>
                <w:sz w:val="19"/>
                <w:szCs w:val="19"/>
                <w:color w:val="auto"/>
              </w:rPr>
            </w:pPr>
          </w:p>
        </w:tc>
        <w:tc>
          <w:tcPr>
            <w:tcW w:w="110" w:type="dxa"/>
            <w:vAlign w:val="bottom"/>
            <w:shd w:val="clear" w:color="auto" w:fill="FDFDFD"/>
          </w:tcPr>
          <w:p>
            <w:pPr>
              <w:spacing w:after="0"/>
              <w:rPr>
                <w:sz w:val="19"/>
                <w:szCs w:val="19"/>
                <w:color w:val="auto"/>
              </w:rPr>
            </w:pPr>
          </w:p>
        </w:tc>
        <w:tc>
          <w:tcPr>
            <w:tcW w:w="81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16,661</w:t>
            </w:r>
          </w:p>
        </w:tc>
        <w:tc>
          <w:tcPr>
            <w:tcW w:w="100" w:type="dxa"/>
            <w:vAlign w:val="bottom"/>
            <w:shd w:val="clear" w:color="auto" w:fill="FDFDFD"/>
          </w:tcPr>
          <w:p>
            <w:pPr>
              <w:spacing w:after="0"/>
              <w:rPr>
                <w:sz w:val="19"/>
                <w:szCs w:val="19"/>
                <w:color w:val="auto"/>
              </w:rPr>
            </w:pPr>
          </w:p>
        </w:tc>
        <w:tc>
          <w:tcPr>
            <w:tcW w:w="100" w:type="dxa"/>
            <w:vAlign w:val="bottom"/>
            <w:tcBorders>
              <w:right w:val="single" w:sz="8" w:color="FDFDFD"/>
            </w:tcBorders>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(2,491)</w:t>
            </w:r>
          </w:p>
        </w:tc>
        <w:tc>
          <w:tcPr>
            <w:tcW w:w="160" w:type="dxa"/>
            <w:vAlign w:val="bottom"/>
            <w:tcBorders>
              <w:left w:val="single" w:sz="8" w:color="FDFDFD"/>
              <w:right w:val="single" w:sz="8" w:color="FDFDFD"/>
            </w:tcBorders>
            <w:shd w:val="clear" w:color="auto" w:fill="FDFDFD"/>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FDFDFD"/>
            </w:tcBorders>
            <w:shd w:val="clear" w:color="auto" w:fill="D3ECED"/>
          </w:tcPr>
          <w:p>
            <w:pPr>
              <w:spacing w:after="0"/>
              <w:rPr>
                <w:sz w:val="20"/>
                <w:szCs w:val="20"/>
                <w:color w:val="auto"/>
              </w:rPr>
            </w:pPr>
            <w:r>
              <w:rPr>
                <w:rFonts w:ascii="Arial" w:cs="Arial" w:eastAsia="Arial" w:hAnsi="Arial"/>
                <w:sz w:val="19"/>
                <w:szCs w:val="19"/>
                <w:color w:val="auto"/>
              </w:rPr>
              <w:t>Cost of revenue:</w:t>
            </w:r>
          </w:p>
        </w:tc>
        <w:tc>
          <w:tcPr>
            <w:tcW w:w="120" w:type="dxa"/>
            <w:vAlign w:val="bottom"/>
            <w:tcBorders>
              <w:bottom w:val="single" w:sz="8" w:color="FDFDFD"/>
            </w:tcBorders>
            <w:shd w:val="clear" w:color="auto" w:fill="D3ECED"/>
          </w:tcPr>
          <w:p>
            <w:pPr>
              <w:spacing w:after="0"/>
              <w:rPr>
                <w:sz w:val="20"/>
                <w:szCs w:val="20"/>
                <w:color w:val="auto"/>
              </w:rPr>
            </w:pPr>
          </w:p>
        </w:tc>
        <w:tc>
          <w:tcPr>
            <w:tcW w:w="820" w:type="dxa"/>
            <w:vAlign w:val="bottom"/>
            <w:tcBorders>
              <w:bottom w:val="single" w:sz="8" w:color="FDFDFD"/>
              <w:right w:val="single" w:sz="8" w:color="D3ECED"/>
            </w:tcBorders>
            <w:shd w:val="clear" w:color="auto" w:fill="D3ECED"/>
          </w:tcPr>
          <w:p>
            <w:pPr>
              <w:spacing w:after="0"/>
              <w:rPr>
                <w:sz w:val="20"/>
                <w:szCs w:val="20"/>
                <w:color w:val="auto"/>
              </w:rPr>
            </w:pPr>
          </w:p>
        </w:tc>
        <w:tc>
          <w:tcPr>
            <w:tcW w:w="180" w:type="dxa"/>
            <w:vAlign w:val="bottom"/>
            <w:tcBorders>
              <w:bottom w:val="single" w:sz="8" w:color="FDFDFD"/>
              <w:right w:val="single" w:sz="8" w:color="D3ECED"/>
            </w:tcBorders>
            <w:shd w:val="clear" w:color="auto" w:fill="D3ECED"/>
          </w:tcPr>
          <w:p>
            <w:pPr>
              <w:spacing w:after="0"/>
              <w:rPr>
                <w:sz w:val="20"/>
                <w:szCs w:val="20"/>
                <w:color w:val="auto"/>
              </w:rPr>
            </w:pPr>
          </w:p>
        </w:tc>
        <w:tc>
          <w:tcPr>
            <w:tcW w:w="110" w:type="dxa"/>
            <w:vAlign w:val="bottom"/>
            <w:tcBorders>
              <w:bottom w:val="single" w:sz="8" w:color="FDFDFD"/>
            </w:tcBorders>
            <w:shd w:val="clear" w:color="auto" w:fill="D3ECED"/>
          </w:tcPr>
          <w:p>
            <w:pPr>
              <w:spacing w:after="0"/>
              <w:rPr>
                <w:sz w:val="20"/>
                <w:szCs w:val="20"/>
                <w:color w:val="auto"/>
              </w:rPr>
            </w:pPr>
          </w:p>
        </w:tc>
        <w:tc>
          <w:tcPr>
            <w:tcW w:w="810" w:type="dxa"/>
            <w:vAlign w:val="bottom"/>
            <w:tcBorders>
              <w:bottom w:val="single" w:sz="8" w:color="FDFDFD"/>
              <w:right w:val="single" w:sz="8" w:color="D3ECED"/>
            </w:tcBorders>
            <w:shd w:val="clear" w:color="auto" w:fill="D3ECED"/>
          </w:tcPr>
          <w:p>
            <w:pPr>
              <w:spacing w:after="0"/>
              <w:rPr>
                <w:sz w:val="20"/>
                <w:szCs w:val="20"/>
                <w:color w:val="auto"/>
              </w:rPr>
            </w:pPr>
          </w:p>
        </w:tc>
        <w:tc>
          <w:tcPr>
            <w:tcW w:w="10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FDFDFD"/>
              <w:right w:val="single" w:sz="8" w:color="D3ECED"/>
            </w:tcBorders>
            <w:shd w:val="clear" w:color="auto" w:fill="D3ECED"/>
          </w:tcPr>
          <w:p>
            <w:pPr>
              <w:spacing w:after="0"/>
              <w:rPr>
                <w:sz w:val="20"/>
                <w:szCs w:val="20"/>
                <w:color w:val="auto"/>
              </w:rPr>
            </w:pPr>
          </w:p>
        </w:tc>
        <w:tc>
          <w:tcPr>
            <w:tcW w:w="100" w:type="dxa"/>
            <w:vAlign w:val="bottom"/>
            <w:tcBorders>
              <w:bottom w:val="single" w:sz="8" w:color="FDFDFD"/>
            </w:tcBorders>
            <w:shd w:val="clear" w:color="auto" w:fill="D3ECED"/>
          </w:tcPr>
          <w:p>
            <w:pPr>
              <w:spacing w:after="0"/>
              <w:rPr>
                <w:sz w:val="20"/>
                <w:szCs w:val="20"/>
                <w:color w:val="auto"/>
              </w:rPr>
            </w:pPr>
          </w:p>
        </w:tc>
        <w:tc>
          <w:tcPr>
            <w:tcW w:w="820" w:type="dxa"/>
            <w:vAlign w:val="bottom"/>
            <w:tcBorders>
              <w:bottom w:val="single" w:sz="8" w:color="FDFDFD"/>
              <w:right w:val="single" w:sz="8" w:color="D3ECED"/>
            </w:tcBorders>
            <w:shd w:val="clear" w:color="auto" w:fill="D3ECED"/>
          </w:tcPr>
          <w:p>
            <w:pPr>
              <w:spacing w:after="0"/>
              <w:rPr>
                <w:sz w:val="20"/>
                <w:szCs w:val="20"/>
                <w:color w:val="auto"/>
              </w:rPr>
            </w:pPr>
          </w:p>
        </w:tc>
        <w:tc>
          <w:tcPr>
            <w:tcW w:w="160" w:type="dxa"/>
            <w:vAlign w:val="bottom"/>
            <w:tcBorders>
              <w:left w:val="single" w:sz="8" w:color="D3ECED"/>
              <w:bottom w:val="single" w:sz="8" w:color="D3ECED"/>
              <w:right w:val="single" w:sz="8" w:color="D3ECED"/>
            </w:tcBorders>
            <w:shd w:val="clear" w:color="auto" w:fill="D3ECED"/>
          </w:tcPr>
          <w:p>
            <w:pPr>
              <w:spacing w:after="0"/>
              <w:rPr>
                <w:sz w:val="20"/>
                <w:szCs w:val="20"/>
                <w:color w:val="auto"/>
              </w:rPr>
            </w:pPr>
          </w:p>
        </w:tc>
        <w:tc>
          <w:tcPr>
            <w:tcW w:w="200" w:type="dxa"/>
            <w:vAlign w:val="bottom"/>
            <w:tcBorders>
              <w:bottom w:val="single" w:sz="8" w:color="D3ECED"/>
            </w:tcBorders>
            <w:shd w:val="clear" w:color="auto" w:fill="D3ECED"/>
          </w:tcPr>
          <w:p>
            <w:pPr>
              <w:spacing w:after="0"/>
              <w:rPr>
                <w:sz w:val="20"/>
                <w:szCs w:val="20"/>
                <w:color w:val="auto"/>
              </w:rPr>
            </w:pPr>
          </w:p>
        </w:tc>
        <w:tc>
          <w:tcPr>
            <w:tcW w:w="600" w:type="dxa"/>
            <w:vAlign w:val="bottom"/>
            <w:tcBorders>
              <w:bottom w:val="single" w:sz="8" w:color="D3ECED"/>
            </w:tcBorders>
            <w:shd w:val="clear" w:color="auto" w:fill="D3ECED"/>
          </w:tcPr>
          <w:p>
            <w:pPr>
              <w:spacing w:after="0"/>
              <w:rPr>
                <w:sz w:val="20"/>
                <w:szCs w:val="20"/>
                <w:color w:val="auto"/>
              </w:rPr>
            </w:pPr>
          </w:p>
        </w:tc>
        <w:tc>
          <w:tcPr>
            <w:tcW w:w="20" w:type="dxa"/>
            <w:vAlign w:val="bottom"/>
            <w:tcBorders>
              <w:bottom w:val="single" w:sz="8" w:color="D3ECED"/>
            </w:tcBorders>
            <w:shd w:val="clear" w:color="auto" w:fill="D3ECED"/>
          </w:tcPr>
          <w:p>
            <w:pPr>
              <w:spacing w:after="0"/>
              <w:rPr>
                <w:sz w:val="20"/>
                <w:szCs w:val="20"/>
                <w:color w:val="auto"/>
              </w:rPr>
            </w:pPr>
          </w:p>
        </w:tc>
        <w:tc>
          <w:tcPr>
            <w:tcW w:w="220" w:type="dxa"/>
            <w:vAlign w:val="bottom"/>
            <w:tcBorders>
              <w:bottom w:val="single" w:sz="8" w:color="D3ECED"/>
            </w:tcBorders>
            <w:shd w:val="clear" w:color="auto" w:fill="D3ECED"/>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D3ECED"/>
            </w:tcBorders>
            <w:shd w:val="clear" w:color="auto" w:fill="FDFDFD"/>
          </w:tcPr>
          <w:p>
            <w:pPr>
              <w:ind w:left="200"/>
              <w:spacing w:after="0" w:line="211" w:lineRule="exact"/>
              <w:rPr>
                <w:sz w:val="20"/>
                <w:szCs w:val="20"/>
                <w:color w:val="auto"/>
              </w:rPr>
            </w:pPr>
            <w:r>
              <w:rPr>
                <w:rFonts w:ascii="Arial" w:cs="Arial" w:eastAsia="Arial" w:hAnsi="Arial"/>
                <w:sz w:val="19"/>
                <w:szCs w:val="19"/>
                <w:color w:val="auto"/>
              </w:rPr>
              <w:t>Product</w:t>
            </w:r>
          </w:p>
        </w:tc>
        <w:tc>
          <w:tcPr>
            <w:tcW w:w="120" w:type="dxa"/>
            <w:vAlign w:val="bottom"/>
            <w:tcBorders>
              <w:bottom w:val="single" w:sz="8" w:color="D3ECED"/>
            </w:tcBorders>
            <w:shd w:val="clear" w:color="auto" w:fill="FDFDFD"/>
          </w:tcPr>
          <w:p>
            <w:pPr>
              <w:spacing w:after="0"/>
              <w:rPr>
                <w:sz w:val="18"/>
                <w:szCs w:val="18"/>
                <w:color w:val="auto"/>
              </w:rPr>
            </w:pPr>
          </w:p>
        </w:tc>
        <w:tc>
          <w:tcPr>
            <w:tcW w:w="820" w:type="dxa"/>
            <w:vAlign w:val="bottom"/>
            <w:tcBorders>
              <w:bottom w:val="single" w:sz="8" w:color="D3ECED"/>
              <w:right w:val="single" w:sz="8" w:color="FDFDFD"/>
            </w:tcBorders>
            <w:shd w:val="clear" w:color="auto" w:fill="FDFDFD"/>
          </w:tcPr>
          <w:p>
            <w:pPr>
              <w:jc w:val="right"/>
              <w:spacing w:after="0" w:line="211" w:lineRule="exact"/>
              <w:rPr>
                <w:sz w:val="20"/>
                <w:szCs w:val="20"/>
                <w:color w:val="auto"/>
              </w:rPr>
            </w:pPr>
            <w:r>
              <w:rPr>
                <w:rFonts w:ascii="Arial" w:cs="Arial" w:eastAsia="Arial" w:hAnsi="Arial"/>
                <w:sz w:val="19"/>
                <w:szCs w:val="19"/>
                <w:color w:val="auto"/>
              </w:rPr>
              <w:t>4,402</w:t>
            </w:r>
          </w:p>
        </w:tc>
        <w:tc>
          <w:tcPr>
            <w:tcW w:w="180" w:type="dxa"/>
            <w:vAlign w:val="bottom"/>
            <w:tcBorders>
              <w:bottom w:val="single" w:sz="8" w:color="D3ECED"/>
              <w:right w:val="single" w:sz="8" w:color="FDFDFD"/>
            </w:tcBorders>
            <w:shd w:val="clear" w:color="auto" w:fill="FDFDFD"/>
          </w:tcPr>
          <w:p>
            <w:pPr>
              <w:spacing w:after="0"/>
              <w:rPr>
                <w:sz w:val="18"/>
                <w:szCs w:val="18"/>
                <w:color w:val="auto"/>
              </w:rPr>
            </w:pPr>
          </w:p>
        </w:tc>
        <w:tc>
          <w:tcPr>
            <w:tcW w:w="110" w:type="dxa"/>
            <w:vAlign w:val="bottom"/>
            <w:tcBorders>
              <w:bottom w:val="single" w:sz="8" w:color="D3ECED"/>
            </w:tcBorders>
            <w:shd w:val="clear" w:color="auto" w:fill="FDFDFD"/>
          </w:tcPr>
          <w:p>
            <w:pPr>
              <w:spacing w:after="0"/>
              <w:rPr>
                <w:sz w:val="18"/>
                <w:szCs w:val="18"/>
                <w:color w:val="auto"/>
              </w:rPr>
            </w:pPr>
          </w:p>
        </w:tc>
        <w:tc>
          <w:tcPr>
            <w:tcW w:w="810" w:type="dxa"/>
            <w:vAlign w:val="bottom"/>
            <w:tcBorders>
              <w:bottom w:val="single" w:sz="8" w:color="D3ECED"/>
              <w:right w:val="single" w:sz="8" w:color="FDFDFD"/>
            </w:tcBorders>
            <w:shd w:val="clear" w:color="auto" w:fill="FDFDFD"/>
          </w:tcPr>
          <w:p>
            <w:pPr>
              <w:jc w:val="right"/>
              <w:spacing w:after="0" w:line="211" w:lineRule="exact"/>
              <w:rPr>
                <w:sz w:val="20"/>
                <w:szCs w:val="20"/>
                <w:color w:val="auto"/>
              </w:rPr>
            </w:pPr>
            <w:r>
              <w:rPr>
                <w:rFonts w:ascii="Arial" w:cs="Arial" w:eastAsia="Arial" w:hAnsi="Arial"/>
                <w:sz w:val="19"/>
                <w:szCs w:val="19"/>
                <w:color w:val="auto"/>
              </w:rPr>
              <w:t>5,398</w:t>
            </w:r>
          </w:p>
        </w:tc>
        <w:tc>
          <w:tcPr>
            <w:tcW w:w="100" w:type="dxa"/>
            <w:vAlign w:val="bottom"/>
            <w:tcBorders>
              <w:bottom w:val="single" w:sz="8" w:color="D3ECED"/>
            </w:tcBorders>
            <w:shd w:val="clear" w:color="auto" w:fill="FDFDFD"/>
          </w:tcPr>
          <w:p>
            <w:pPr>
              <w:spacing w:after="0"/>
              <w:rPr>
                <w:sz w:val="18"/>
                <w:szCs w:val="18"/>
                <w:color w:val="auto"/>
              </w:rPr>
            </w:pPr>
          </w:p>
        </w:tc>
        <w:tc>
          <w:tcPr>
            <w:tcW w:w="100" w:type="dxa"/>
            <w:vAlign w:val="bottom"/>
            <w:tcBorders>
              <w:bottom w:val="single" w:sz="8" w:color="D3ECED"/>
              <w:right w:val="single" w:sz="8" w:color="FDFDFD"/>
            </w:tcBorders>
            <w:shd w:val="clear" w:color="auto" w:fill="FDFDFD"/>
          </w:tcPr>
          <w:p>
            <w:pPr>
              <w:spacing w:after="0"/>
              <w:rPr>
                <w:sz w:val="18"/>
                <w:szCs w:val="18"/>
                <w:color w:val="auto"/>
              </w:rPr>
            </w:pPr>
          </w:p>
        </w:tc>
        <w:tc>
          <w:tcPr>
            <w:tcW w:w="100" w:type="dxa"/>
            <w:vAlign w:val="bottom"/>
            <w:tcBorders>
              <w:bottom w:val="single" w:sz="8" w:color="D3ECED"/>
            </w:tcBorders>
            <w:shd w:val="clear" w:color="auto" w:fill="FDFDFD"/>
          </w:tcPr>
          <w:p>
            <w:pPr>
              <w:spacing w:after="0"/>
              <w:rPr>
                <w:sz w:val="18"/>
                <w:szCs w:val="18"/>
                <w:color w:val="auto"/>
              </w:rPr>
            </w:pPr>
          </w:p>
        </w:tc>
        <w:tc>
          <w:tcPr>
            <w:tcW w:w="820" w:type="dxa"/>
            <w:vAlign w:val="bottom"/>
            <w:tcBorders>
              <w:bottom w:val="single" w:sz="8" w:color="D3ECED"/>
              <w:right w:val="single" w:sz="8" w:color="FDFDFD"/>
            </w:tcBorders>
            <w:shd w:val="clear" w:color="auto" w:fill="FDFDFD"/>
          </w:tcPr>
          <w:p>
            <w:pPr>
              <w:jc w:val="right"/>
              <w:spacing w:after="0" w:line="211" w:lineRule="exact"/>
              <w:rPr>
                <w:sz w:val="20"/>
                <w:szCs w:val="20"/>
                <w:color w:val="auto"/>
              </w:rPr>
            </w:pPr>
            <w:r>
              <w:rPr>
                <w:rFonts w:ascii="Arial" w:cs="Arial" w:eastAsia="Arial" w:hAnsi="Arial"/>
                <w:sz w:val="19"/>
                <w:szCs w:val="19"/>
                <w:color w:val="auto"/>
              </w:rPr>
              <w:t>(996)</w:t>
            </w:r>
          </w:p>
        </w:tc>
        <w:tc>
          <w:tcPr>
            <w:tcW w:w="160" w:type="dxa"/>
            <w:vAlign w:val="bottom"/>
            <w:tcBorders>
              <w:left w:val="single" w:sz="8" w:color="FDFDFD"/>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spacing w:after="0" w:line="211" w:lineRule="exact"/>
              <w:rPr>
                <w:sz w:val="20"/>
                <w:szCs w:val="20"/>
                <w:color w:val="auto"/>
              </w:rPr>
            </w:pPr>
            <w:r>
              <w:rPr>
                <w:rFonts w:ascii="Arial" w:cs="Arial" w:eastAsia="Arial" w:hAnsi="Arial"/>
                <w:sz w:val="19"/>
                <w:szCs w:val="19"/>
                <w:color w:val="auto"/>
              </w:rPr>
              <w:t>(18)%</w:t>
            </w:r>
          </w:p>
        </w:tc>
        <w:tc>
          <w:tcPr>
            <w:tcW w:w="0" w:type="dxa"/>
            <w:vAlign w:val="bottom"/>
          </w:tcPr>
          <w:p>
            <w:pPr>
              <w:spacing w:after="0"/>
              <w:rPr>
                <w:sz w:val="1"/>
                <w:szCs w:val="1"/>
                <w:color w:val="auto"/>
              </w:rPr>
            </w:pPr>
          </w:p>
        </w:tc>
      </w:tr>
      <w:tr>
        <w:trPr>
          <w:trHeight w:val="210"/>
        </w:trPr>
        <w:tc>
          <w:tcPr>
            <w:tcW w:w="4620" w:type="dxa"/>
            <w:vAlign w:val="bottom"/>
            <w:shd w:val="clear" w:color="auto" w:fill="D3ECED"/>
          </w:tcPr>
          <w:p>
            <w:pPr>
              <w:ind w:left="200"/>
              <w:spacing w:after="0" w:line="211" w:lineRule="exact"/>
              <w:rPr>
                <w:sz w:val="20"/>
                <w:szCs w:val="20"/>
                <w:color w:val="auto"/>
              </w:rPr>
            </w:pPr>
            <w:r>
              <w:rPr>
                <w:rFonts w:ascii="Arial" w:cs="Arial" w:eastAsia="Arial" w:hAnsi="Arial"/>
                <w:sz w:val="19"/>
                <w:szCs w:val="19"/>
                <w:color w:val="auto"/>
              </w:rPr>
              <w:t>Service</w:t>
            </w:r>
          </w:p>
        </w:tc>
        <w:tc>
          <w:tcPr>
            <w:tcW w:w="120" w:type="dxa"/>
            <w:vAlign w:val="bottom"/>
            <w:shd w:val="clear" w:color="auto" w:fill="D3ECED"/>
          </w:tcPr>
          <w:p>
            <w:pPr>
              <w:spacing w:after="0"/>
              <w:rPr>
                <w:sz w:val="18"/>
                <w:szCs w:val="18"/>
                <w:color w:val="auto"/>
              </w:rPr>
            </w:pPr>
          </w:p>
        </w:tc>
        <w:tc>
          <w:tcPr>
            <w:tcW w:w="82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1,465</w:t>
            </w:r>
          </w:p>
        </w:tc>
        <w:tc>
          <w:tcPr>
            <w:tcW w:w="180" w:type="dxa"/>
            <w:vAlign w:val="bottom"/>
            <w:tcBorders>
              <w:right w:val="single" w:sz="8" w:color="D3ECED"/>
            </w:tcBorders>
            <w:shd w:val="clear" w:color="auto" w:fill="D3ECED"/>
          </w:tcPr>
          <w:p>
            <w:pPr>
              <w:spacing w:after="0"/>
              <w:rPr>
                <w:sz w:val="18"/>
                <w:szCs w:val="18"/>
                <w:color w:val="auto"/>
              </w:rPr>
            </w:pPr>
          </w:p>
        </w:tc>
        <w:tc>
          <w:tcPr>
            <w:tcW w:w="110" w:type="dxa"/>
            <w:vAlign w:val="bottom"/>
            <w:shd w:val="clear" w:color="auto" w:fill="D3ECED"/>
          </w:tcPr>
          <w:p>
            <w:pPr>
              <w:spacing w:after="0"/>
              <w:rPr>
                <w:sz w:val="18"/>
                <w:szCs w:val="18"/>
                <w:color w:val="auto"/>
              </w:rPr>
            </w:pPr>
          </w:p>
        </w:tc>
        <w:tc>
          <w:tcPr>
            <w:tcW w:w="81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685</w:t>
            </w:r>
          </w:p>
        </w:tc>
        <w:tc>
          <w:tcPr>
            <w:tcW w:w="100" w:type="dxa"/>
            <w:vAlign w:val="bottom"/>
            <w:shd w:val="clear" w:color="auto" w:fill="D3ECED"/>
          </w:tcPr>
          <w:p>
            <w:pPr>
              <w:spacing w:after="0"/>
              <w:rPr>
                <w:sz w:val="18"/>
                <w:szCs w:val="18"/>
                <w:color w:val="auto"/>
              </w:rPr>
            </w:pPr>
          </w:p>
        </w:tc>
        <w:tc>
          <w:tcPr>
            <w:tcW w:w="100" w:type="dxa"/>
            <w:vAlign w:val="bottom"/>
            <w:tcBorders>
              <w:right w:val="single" w:sz="8" w:color="D3ECED"/>
            </w:tcBorders>
            <w:shd w:val="clear" w:color="auto" w:fill="D3ECED"/>
          </w:tcPr>
          <w:p>
            <w:pPr>
              <w:spacing w:after="0"/>
              <w:rPr>
                <w:sz w:val="18"/>
                <w:szCs w:val="18"/>
                <w:color w:val="auto"/>
              </w:rPr>
            </w:pPr>
          </w:p>
        </w:tc>
        <w:tc>
          <w:tcPr>
            <w:tcW w:w="100" w:type="dxa"/>
            <w:vAlign w:val="bottom"/>
            <w:shd w:val="clear" w:color="auto" w:fill="D3ECED"/>
          </w:tcPr>
          <w:p>
            <w:pPr>
              <w:spacing w:after="0"/>
              <w:rPr>
                <w:sz w:val="18"/>
                <w:szCs w:val="18"/>
                <w:color w:val="auto"/>
              </w:rPr>
            </w:pPr>
          </w:p>
        </w:tc>
        <w:tc>
          <w:tcPr>
            <w:tcW w:w="82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780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spacing w:after="0" w:line="211" w:lineRule="exact"/>
              <w:rPr>
                <w:sz w:val="20"/>
                <w:szCs w:val="20"/>
                <w:color w:val="auto"/>
              </w:rPr>
            </w:pPr>
            <w:r>
              <w:rPr>
                <w:rFonts w:ascii="Arial" w:cs="Arial" w:eastAsia="Arial" w:hAnsi="Arial"/>
                <w:sz w:val="19"/>
                <w:szCs w:val="19"/>
                <w:color w:val="auto"/>
              </w:rPr>
              <w:t>114%</w:t>
            </w:r>
          </w:p>
        </w:tc>
        <w:tc>
          <w:tcPr>
            <w:tcW w:w="0" w:type="dxa"/>
            <w:vAlign w:val="bottom"/>
          </w:tcPr>
          <w:p>
            <w:pPr>
              <w:spacing w:after="0"/>
              <w:rPr>
                <w:sz w:val="1"/>
                <w:szCs w:val="1"/>
                <w:color w:val="auto"/>
              </w:rPr>
            </w:pPr>
          </w:p>
        </w:tc>
      </w:tr>
      <w:tr>
        <w:trPr>
          <w:trHeight w:val="230"/>
        </w:trPr>
        <w:tc>
          <w:tcPr>
            <w:tcW w:w="4620" w:type="dxa"/>
            <w:vAlign w:val="bottom"/>
            <w:shd w:val="clear" w:color="auto" w:fill="FDFDFD"/>
          </w:tcPr>
          <w:p>
            <w:pPr>
              <w:ind w:left="200"/>
              <w:spacing w:after="0"/>
              <w:rPr>
                <w:sz w:val="20"/>
                <w:szCs w:val="20"/>
                <w:color w:val="auto"/>
              </w:rPr>
            </w:pPr>
            <w:r>
              <w:rPr>
                <w:rFonts w:ascii="Arial" w:cs="Arial" w:eastAsia="Arial" w:hAnsi="Arial"/>
                <w:sz w:val="19"/>
                <w:szCs w:val="19"/>
                <w:color w:val="auto"/>
              </w:rPr>
              <w:t>Related party</w:t>
            </w:r>
          </w:p>
        </w:tc>
        <w:tc>
          <w:tcPr>
            <w:tcW w:w="120" w:type="dxa"/>
            <w:vAlign w:val="bottom"/>
            <w:shd w:val="clear" w:color="auto" w:fill="FDFDFD"/>
          </w:tcPr>
          <w:p>
            <w:pPr>
              <w:spacing w:after="0"/>
              <w:rPr>
                <w:sz w:val="20"/>
                <w:szCs w:val="20"/>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712</w:t>
            </w:r>
          </w:p>
        </w:tc>
        <w:tc>
          <w:tcPr>
            <w:tcW w:w="180" w:type="dxa"/>
            <w:vAlign w:val="bottom"/>
            <w:tcBorders>
              <w:right w:val="single" w:sz="8" w:color="FDFDFD"/>
            </w:tcBorders>
            <w:shd w:val="clear" w:color="auto" w:fill="FDFDFD"/>
          </w:tcPr>
          <w:p>
            <w:pPr>
              <w:spacing w:after="0"/>
              <w:rPr>
                <w:sz w:val="20"/>
                <w:szCs w:val="20"/>
                <w:color w:val="auto"/>
              </w:rPr>
            </w:pPr>
          </w:p>
        </w:tc>
        <w:tc>
          <w:tcPr>
            <w:tcW w:w="110" w:type="dxa"/>
            <w:vAlign w:val="bottom"/>
            <w:shd w:val="clear" w:color="auto" w:fill="FDFDFD"/>
          </w:tcPr>
          <w:p>
            <w:pPr>
              <w:spacing w:after="0"/>
              <w:rPr>
                <w:sz w:val="20"/>
                <w:szCs w:val="20"/>
                <w:color w:val="auto"/>
              </w:rPr>
            </w:pPr>
          </w:p>
        </w:tc>
        <w:tc>
          <w:tcPr>
            <w:tcW w:w="81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1,430</w:t>
            </w:r>
          </w:p>
        </w:tc>
        <w:tc>
          <w:tcPr>
            <w:tcW w:w="100" w:type="dxa"/>
            <w:vAlign w:val="bottom"/>
            <w:shd w:val="clear" w:color="auto" w:fill="FDFDFD"/>
          </w:tcPr>
          <w:p>
            <w:pPr>
              <w:spacing w:after="0"/>
              <w:rPr>
                <w:sz w:val="20"/>
                <w:szCs w:val="20"/>
                <w:color w:val="auto"/>
              </w:rPr>
            </w:pPr>
          </w:p>
        </w:tc>
        <w:tc>
          <w:tcPr>
            <w:tcW w:w="100" w:type="dxa"/>
            <w:vAlign w:val="bottom"/>
            <w:tcBorders>
              <w:right w:val="single" w:sz="8" w:color="FDFDFD"/>
            </w:tcBorders>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(718)</w:t>
            </w:r>
          </w:p>
        </w:tc>
        <w:tc>
          <w:tcPr>
            <w:tcW w:w="160" w:type="dxa"/>
            <w:vAlign w:val="bottom"/>
            <w:tcBorders>
              <w:left w:val="single" w:sz="8" w:color="FDFDFD"/>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230"/>
        </w:trPr>
        <w:tc>
          <w:tcPr>
            <w:tcW w:w="4620" w:type="dxa"/>
            <w:vAlign w:val="bottom"/>
            <w:shd w:val="clear" w:color="auto" w:fill="D3ECED"/>
          </w:tcPr>
          <w:p>
            <w:pPr>
              <w:ind w:left="200"/>
              <w:spacing w:after="0"/>
              <w:rPr>
                <w:sz w:val="20"/>
                <w:szCs w:val="20"/>
                <w:color w:val="auto"/>
              </w:rPr>
            </w:pPr>
            <w:r>
              <w:rPr>
                <w:rFonts w:ascii="Arial" w:cs="Arial" w:eastAsia="Arial" w:hAnsi="Arial"/>
                <w:sz w:val="19"/>
                <w:szCs w:val="19"/>
                <w:color w:val="auto"/>
              </w:rPr>
              <w:t>Grant and other</w:t>
            </w:r>
          </w:p>
        </w:tc>
        <w:tc>
          <w:tcPr>
            <w:tcW w:w="120" w:type="dxa"/>
            <w:vAlign w:val="bottom"/>
            <w:shd w:val="clear" w:color="auto" w:fill="D3ECED"/>
          </w:tcPr>
          <w:p>
            <w:pPr>
              <w:spacing w:after="0"/>
              <w:rPr>
                <w:sz w:val="20"/>
                <w:szCs w:val="20"/>
                <w:color w:val="auto"/>
              </w:rPr>
            </w:pP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536</w:t>
            </w:r>
          </w:p>
        </w:tc>
        <w:tc>
          <w:tcPr>
            <w:tcW w:w="180" w:type="dxa"/>
            <w:vAlign w:val="bottom"/>
            <w:tcBorders>
              <w:right w:val="single" w:sz="8" w:color="D3ECED"/>
            </w:tcBorders>
            <w:shd w:val="clear" w:color="auto" w:fill="D3ECED"/>
          </w:tcPr>
          <w:p>
            <w:pPr>
              <w:spacing w:after="0"/>
              <w:rPr>
                <w:sz w:val="20"/>
                <w:szCs w:val="20"/>
                <w:color w:val="auto"/>
              </w:rPr>
            </w:pPr>
          </w:p>
        </w:tc>
        <w:tc>
          <w:tcPr>
            <w:tcW w:w="110" w:type="dxa"/>
            <w:vAlign w:val="bottom"/>
            <w:shd w:val="clear" w:color="auto" w:fill="D3ECED"/>
          </w:tcPr>
          <w:p>
            <w:pPr>
              <w:spacing w:after="0"/>
              <w:rPr>
                <w:sz w:val="20"/>
                <w:szCs w:val="20"/>
                <w:color w:val="auto"/>
              </w:rPr>
            </w:pPr>
          </w:p>
        </w:tc>
        <w:tc>
          <w:tcPr>
            <w:tcW w:w="81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642</w:t>
            </w:r>
          </w:p>
        </w:tc>
        <w:tc>
          <w:tcPr>
            <w:tcW w:w="100" w:type="dxa"/>
            <w:vAlign w:val="bottom"/>
            <w:shd w:val="clear" w:color="auto" w:fill="D3ECED"/>
          </w:tcPr>
          <w:p>
            <w:pPr>
              <w:spacing w:after="0"/>
              <w:rPr>
                <w:sz w:val="20"/>
                <w:szCs w:val="20"/>
                <w:color w:val="auto"/>
              </w:rPr>
            </w:pPr>
          </w:p>
        </w:tc>
        <w:tc>
          <w:tcPr>
            <w:tcW w:w="100" w:type="dxa"/>
            <w:vAlign w:val="bottom"/>
            <w:tcBorders>
              <w:right w:val="single" w:sz="8" w:color="D3ECED"/>
            </w:tcBorders>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(106)</w:t>
            </w:r>
          </w:p>
        </w:tc>
        <w:tc>
          <w:tcPr>
            <w:tcW w:w="160" w:type="dxa"/>
            <w:vAlign w:val="bottom"/>
            <w:tcBorders>
              <w:left w:val="single" w:sz="8" w:color="D3ECED"/>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FDFDFD"/>
          </w:tcPr>
          <w:p>
            <w:pPr>
              <w:ind w:left="380"/>
              <w:spacing w:after="0"/>
              <w:rPr>
                <w:sz w:val="20"/>
                <w:szCs w:val="20"/>
                <w:color w:val="auto"/>
              </w:rPr>
            </w:pPr>
            <w:r>
              <w:rPr>
                <w:rFonts w:ascii="Arial" w:cs="Arial" w:eastAsia="Arial" w:hAnsi="Arial"/>
                <w:sz w:val="19"/>
                <w:szCs w:val="19"/>
                <w:color w:val="auto"/>
              </w:rPr>
              <w:t>Total cost of revenue</w:t>
            </w: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FDFDFD"/>
            </w:tcBorders>
            <w:shd w:val="clear" w:color="auto" w:fill="FDFDFD"/>
          </w:tcPr>
          <w:p>
            <w:pPr>
              <w:spacing w:after="0" w:line="20" w:lineRule="exact"/>
              <w:rPr>
                <w:sz w:val="1"/>
                <w:szCs w:val="1"/>
                <w:color w:val="auto"/>
              </w:rPr>
            </w:pPr>
          </w:p>
        </w:tc>
        <w:tc>
          <w:tcPr>
            <w:tcW w:w="110" w:type="dxa"/>
            <w:vAlign w:val="bottom"/>
            <w:shd w:val="clear" w:color="auto" w:fill="000000"/>
          </w:tcPr>
          <w:p>
            <w:pPr>
              <w:spacing w:after="0" w:line="20" w:lineRule="exact"/>
              <w:rPr>
                <w:sz w:val="1"/>
                <w:szCs w:val="1"/>
                <w:color w:val="auto"/>
              </w:rPr>
            </w:pPr>
          </w:p>
        </w:tc>
        <w:tc>
          <w:tcPr>
            <w:tcW w:w="81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FDFDFD"/>
          </w:tcPr>
          <w:p>
            <w:pPr>
              <w:spacing w:after="0" w:line="20" w:lineRule="exact"/>
              <w:rPr>
                <w:sz w:val="1"/>
                <w:szCs w:val="1"/>
                <w:color w:val="auto"/>
              </w:rPr>
            </w:pPr>
          </w:p>
        </w:tc>
        <w:tc>
          <w:tcPr>
            <w:tcW w:w="100" w:type="dxa"/>
            <w:vAlign w:val="bottom"/>
            <w:tcBorders>
              <w:right w:val="single" w:sz="8" w:color="FDFDFD"/>
            </w:tcBorders>
            <w:shd w:val="clear" w:color="auto" w:fill="FDFDF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FDFDFD"/>
              <w:right w:val="single" w:sz="8" w:color="auto"/>
            </w:tcBorders>
            <w:shd w:val="clear" w:color="auto" w:fill="FDFDF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vMerge w:val="continue"/>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7,115</w:t>
            </w:r>
          </w:p>
        </w:tc>
        <w:tc>
          <w:tcPr>
            <w:tcW w:w="180" w:type="dxa"/>
            <w:vAlign w:val="bottom"/>
            <w:tcBorders>
              <w:right w:val="single" w:sz="8" w:color="FDFDFD"/>
            </w:tcBorders>
            <w:shd w:val="clear" w:color="auto" w:fill="FDFDFD"/>
          </w:tcPr>
          <w:p>
            <w:pPr>
              <w:spacing w:after="0"/>
              <w:rPr>
                <w:sz w:val="19"/>
                <w:szCs w:val="19"/>
                <w:color w:val="auto"/>
              </w:rPr>
            </w:pPr>
          </w:p>
        </w:tc>
        <w:tc>
          <w:tcPr>
            <w:tcW w:w="110" w:type="dxa"/>
            <w:vAlign w:val="bottom"/>
            <w:shd w:val="clear" w:color="auto" w:fill="FDFDFD"/>
          </w:tcPr>
          <w:p>
            <w:pPr>
              <w:spacing w:after="0"/>
              <w:rPr>
                <w:sz w:val="19"/>
                <w:szCs w:val="19"/>
                <w:color w:val="auto"/>
              </w:rPr>
            </w:pPr>
          </w:p>
        </w:tc>
        <w:tc>
          <w:tcPr>
            <w:tcW w:w="81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8,155</w:t>
            </w:r>
          </w:p>
        </w:tc>
        <w:tc>
          <w:tcPr>
            <w:tcW w:w="100" w:type="dxa"/>
            <w:vAlign w:val="bottom"/>
            <w:shd w:val="clear" w:color="auto" w:fill="FDFDFD"/>
          </w:tcPr>
          <w:p>
            <w:pPr>
              <w:spacing w:after="0"/>
              <w:rPr>
                <w:sz w:val="19"/>
                <w:szCs w:val="19"/>
                <w:color w:val="auto"/>
              </w:rPr>
            </w:pPr>
          </w:p>
        </w:tc>
        <w:tc>
          <w:tcPr>
            <w:tcW w:w="100" w:type="dxa"/>
            <w:vAlign w:val="bottom"/>
            <w:tcBorders>
              <w:right w:val="single" w:sz="8" w:color="FDFDFD"/>
            </w:tcBorders>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(1,040)</w:t>
            </w:r>
          </w:p>
        </w:tc>
        <w:tc>
          <w:tcPr>
            <w:tcW w:w="160" w:type="dxa"/>
            <w:vAlign w:val="bottom"/>
            <w:tcBorders>
              <w:left w:val="single" w:sz="8" w:color="FDFDFD"/>
              <w:right w:val="single" w:sz="8" w:color="FDFDFD"/>
            </w:tcBorders>
            <w:shd w:val="clear" w:color="auto" w:fill="FDFDFD"/>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D3ECED"/>
          </w:tcPr>
          <w:p>
            <w:pPr>
              <w:spacing w:after="0"/>
              <w:rPr>
                <w:sz w:val="20"/>
                <w:szCs w:val="20"/>
                <w:color w:val="auto"/>
              </w:rPr>
            </w:pPr>
            <w:r>
              <w:rPr>
                <w:rFonts w:ascii="Arial" w:cs="Arial" w:eastAsia="Arial" w:hAnsi="Arial"/>
                <w:sz w:val="19"/>
                <w:szCs w:val="19"/>
                <w:color w:val="auto"/>
              </w:rPr>
              <w:t>Gross profit</w:t>
            </w: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D3ECED"/>
            </w:tcBorders>
            <w:shd w:val="clear" w:color="auto" w:fill="D3ECED"/>
          </w:tcPr>
          <w:p>
            <w:pPr>
              <w:spacing w:after="0" w:line="20" w:lineRule="exact"/>
              <w:rPr>
                <w:sz w:val="1"/>
                <w:szCs w:val="1"/>
                <w:color w:val="auto"/>
              </w:rPr>
            </w:pPr>
          </w:p>
        </w:tc>
        <w:tc>
          <w:tcPr>
            <w:tcW w:w="110" w:type="dxa"/>
            <w:vAlign w:val="bottom"/>
            <w:shd w:val="clear" w:color="auto" w:fill="000000"/>
          </w:tcPr>
          <w:p>
            <w:pPr>
              <w:spacing w:after="0" w:line="20" w:lineRule="exact"/>
              <w:rPr>
                <w:sz w:val="1"/>
                <w:szCs w:val="1"/>
                <w:color w:val="auto"/>
              </w:rPr>
            </w:pPr>
          </w:p>
        </w:tc>
        <w:tc>
          <w:tcPr>
            <w:tcW w:w="81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D3ECED"/>
          </w:tcPr>
          <w:p>
            <w:pPr>
              <w:spacing w:after="0" w:line="20" w:lineRule="exact"/>
              <w:rPr>
                <w:sz w:val="1"/>
                <w:szCs w:val="1"/>
                <w:color w:val="auto"/>
              </w:rPr>
            </w:pPr>
          </w:p>
        </w:tc>
        <w:tc>
          <w:tcPr>
            <w:tcW w:w="100" w:type="dxa"/>
            <w:vAlign w:val="bottom"/>
            <w:tcBorders>
              <w:right w:val="single" w:sz="8" w:color="D3ECED"/>
            </w:tcBorders>
            <w:shd w:val="clear" w:color="auto" w:fill="D3ECE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D3ECED"/>
              <w:right w:val="single" w:sz="8" w:color="auto"/>
            </w:tcBorders>
            <w:shd w:val="clear" w:color="auto" w:fill="D3ECE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vMerge w:val="continue"/>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7,055</w:t>
            </w:r>
          </w:p>
        </w:tc>
        <w:tc>
          <w:tcPr>
            <w:tcW w:w="180" w:type="dxa"/>
            <w:vAlign w:val="bottom"/>
            <w:tcBorders>
              <w:right w:val="single" w:sz="8" w:color="D3ECED"/>
            </w:tcBorders>
            <w:shd w:val="clear" w:color="auto" w:fill="D3ECED"/>
          </w:tcPr>
          <w:p>
            <w:pPr>
              <w:spacing w:after="0"/>
              <w:rPr>
                <w:sz w:val="19"/>
                <w:szCs w:val="19"/>
                <w:color w:val="auto"/>
              </w:rPr>
            </w:pPr>
          </w:p>
        </w:tc>
        <w:tc>
          <w:tcPr>
            <w:tcW w:w="110" w:type="dxa"/>
            <w:vAlign w:val="bottom"/>
            <w:shd w:val="clear" w:color="auto" w:fill="D3ECED"/>
          </w:tcPr>
          <w:p>
            <w:pPr>
              <w:spacing w:after="0"/>
              <w:rPr>
                <w:sz w:val="19"/>
                <w:szCs w:val="19"/>
                <w:color w:val="auto"/>
              </w:rPr>
            </w:pPr>
          </w:p>
        </w:tc>
        <w:tc>
          <w:tcPr>
            <w:tcW w:w="81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8,506</w:t>
            </w:r>
          </w:p>
        </w:tc>
        <w:tc>
          <w:tcPr>
            <w:tcW w:w="100" w:type="dxa"/>
            <w:vAlign w:val="bottom"/>
            <w:shd w:val="clear" w:color="auto" w:fill="D3ECED"/>
          </w:tcPr>
          <w:p>
            <w:pPr>
              <w:spacing w:after="0"/>
              <w:rPr>
                <w:sz w:val="19"/>
                <w:szCs w:val="19"/>
                <w:color w:val="auto"/>
              </w:rPr>
            </w:pPr>
          </w:p>
        </w:tc>
        <w:tc>
          <w:tcPr>
            <w:tcW w:w="100" w:type="dxa"/>
            <w:vAlign w:val="bottom"/>
            <w:tcBorders>
              <w:right w:val="single" w:sz="8" w:color="D3ECED"/>
            </w:tcBorders>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(1,451)</w:t>
            </w:r>
          </w:p>
        </w:tc>
        <w:tc>
          <w:tcPr>
            <w:tcW w:w="160" w:type="dxa"/>
            <w:vAlign w:val="bottom"/>
            <w:tcBorders>
              <w:left w:val="single" w:sz="8" w:color="D3ECED"/>
              <w:right w:val="single" w:sz="8" w:color="D3ECED"/>
            </w:tcBorders>
            <w:shd w:val="clear" w:color="auto" w:fill="D3ECED"/>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20"/>
        </w:trPr>
        <w:tc>
          <w:tcPr>
            <w:tcW w:w="4620" w:type="dxa"/>
            <w:vAlign w:val="bottom"/>
            <w:tcBorders>
              <w:top w:val="single" w:sz="8" w:color="FDFDFD"/>
              <w:bottom w:val="single" w:sz="8" w:color="D3ECED"/>
            </w:tcBorders>
            <w:shd w:val="clear" w:color="auto" w:fill="FDFDFD"/>
          </w:tcPr>
          <w:p>
            <w:pPr>
              <w:spacing w:after="0"/>
              <w:rPr>
                <w:sz w:val="20"/>
                <w:szCs w:val="20"/>
                <w:color w:val="auto"/>
              </w:rPr>
            </w:pPr>
            <w:r>
              <w:rPr>
                <w:rFonts w:ascii="Arial" w:cs="Arial" w:eastAsia="Arial" w:hAnsi="Arial"/>
                <w:sz w:val="19"/>
                <w:szCs w:val="19"/>
                <w:color w:val="auto"/>
              </w:rPr>
              <w:t>Operating expenses:</w:t>
            </w:r>
          </w:p>
        </w:tc>
        <w:tc>
          <w:tcPr>
            <w:tcW w:w="120" w:type="dxa"/>
            <w:vAlign w:val="bottom"/>
            <w:tcBorders>
              <w:top w:val="single" w:sz="8" w:color="auto"/>
              <w:bottom w:val="single" w:sz="8" w:color="D3ECED"/>
            </w:tcBorders>
            <w:shd w:val="clear" w:color="auto" w:fill="FDFDFD"/>
          </w:tcPr>
          <w:p>
            <w:pPr>
              <w:spacing w:after="0"/>
              <w:rPr>
                <w:sz w:val="19"/>
                <w:szCs w:val="19"/>
                <w:color w:val="auto"/>
              </w:rPr>
            </w:pPr>
          </w:p>
        </w:tc>
        <w:tc>
          <w:tcPr>
            <w:tcW w:w="820" w:type="dxa"/>
            <w:vAlign w:val="bottom"/>
            <w:tcBorders>
              <w:top w:val="single" w:sz="8" w:color="auto"/>
              <w:bottom w:val="single" w:sz="8" w:color="D3ECED"/>
              <w:right w:val="single" w:sz="8" w:color="FDFDFD"/>
            </w:tcBorders>
            <w:shd w:val="clear" w:color="auto" w:fill="FDFDFD"/>
          </w:tcPr>
          <w:p>
            <w:pPr>
              <w:spacing w:after="0"/>
              <w:rPr>
                <w:sz w:val="19"/>
                <w:szCs w:val="19"/>
                <w:color w:val="auto"/>
              </w:rPr>
            </w:pPr>
          </w:p>
        </w:tc>
        <w:tc>
          <w:tcPr>
            <w:tcW w:w="180" w:type="dxa"/>
            <w:vAlign w:val="bottom"/>
            <w:tcBorders>
              <w:top w:val="single" w:sz="8" w:color="FDFDFD"/>
              <w:bottom w:val="single" w:sz="8" w:color="D3ECED"/>
              <w:right w:val="single" w:sz="8" w:color="FDFDFD"/>
            </w:tcBorders>
            <w:shd w:val="clear" w:color="auto" w:fill="FDFDFD"/>
          </w:tcPr>
          <w:p>
            <w:pPr>
              <w:spacing w:after="0"/>
              <w:rPr>
                <w:sz w:val="19"/>
                <w:szCs w:val="19"/>
                <w:color w:val="auto"/>
              </w:rPr>
            </w:pPr>
          </w:p>
        </w:tc>
        <w:tc>
          <w:tcPr>
            <w:tcW w:w="110" w:type="dxa"/>
            <w:vAlign w:val="bottom"/>
            <w:tcBorders>
              <w:top w:val="single" w:sz="8" w:color="auto"/>
              <w:bottom w:val="single" w:sz="8" w:color="D3ECED"/>
            </w:tcBorders>
            <w:shd w:val="clear" w:color="auto" w:fill="FDFDFD"/>
          </w:tcPr>
          <w:p>
            <w:pPr>
              <w:spacing w:after="0"/>
              <w:rPr>
                <w:sz w:val="19"/>
                <w:szCs w:val="19"/>
                <w:color w:val="auto"/>
              </w:rPr>
            </w:pPr>
          </w:p>
        </w:tc>
        <w:tc>
          <w:tcPr>
            <w:tcW w:w="810" w:type="dxa"/>
            <w:vAlign w:val="bottom"/>
            <w:tcBorders>
              <w:top w:val="single" w:sz="8" w:color="auto"/>
              <w:bottom w:val="single" w:sz="8" w:color="D3ECED"/>
              <w:right w:val="single" w:sz="8" w:color="FDFDFD"/>
            </w:tcBorders>
            <w:shd w:val="clear" w:color="auto" w:fill="FDFDFD"/>
          </w:tcPr>
          <w:p>
            <w:pPr>
              <w:spacing w:after="0"/>
              <w:rPr>
                <w:sz w:val="19"/>
                <w:szCs w:val="19"/>
                <w:color w:val="auto"/>
              </w:rPr>
            </w:pPr>
          </w:p>
        </w:tc>
        <w:tc>
          <w:tcPr>
            <w:tcW w:w="100" w:type="dxa"/>
            <w:vAlign w:val="bottom"/>
            <w:tcBorders>
              <w:top w:val="single" w:sz="8" w:color="FDFDFD"/>
              <w:bottom w:val="single" w:sz="8" w:color="D3ECED"/>
            </w:tcBorders>
            <w:shd w:val="clear" w:color="auto" w:fill="FDFDFD"/>
          </w:tcPr>
          <w:p>
            <w:pPr>
              <w:spacing w:after="0"/>
              <w:rPr>
                <w:sz w:val="19"/>
                <w:szCs w:val="19"/>
                <w:color w:val="auto"/>
              </w:rPr>
            </w:pPr>
          </w:p>
        </w:tc>
        <w:tc>
          <w:tcPr>
            <w:tcW w:w="100" w:type="dxa"/>
            <w:vAlign w:val="bottom"/>
            <w:tcBorders>
              <w:top w:val="single" w:sz="8" w:color="FDFDFD"/>
              <w:bottom w:val="single" w:sz="8" w:color="D3ECED"/>
              <w:right w:val="single" w:sz="8" w:color="FDFDFD"/>
            </w:tcBorders>
            <w:shd w:val="clear" w:color="auto" w:fill="FDFDFD"/>
          </w:tcPr>
          <w:p>
            <w:pPr>
              <w:spacing w:after="0"/>
              <w:rPr>
                <w:sz w:val="19"/>
                <w:szCs w:val="19"/>
                <w:color w:val="auto"/>
              </w:rPr>
            </w:pPr>
          </w:p>
        </w:tc>
        <w:tc>
          <w:tcPr>
            <w:tcW w:w="100" w:type="dxa"/>
            <w:vAlign w:val="bottom"/>
            <w:tcBorders>
              <w:top w:val="single" w:sz="8" w:color="auto"/>
              <w:bottom w:val="single" w:sz="8" w:color="D3ECED"/>
            </w:tcBorders>
            <w:shd w:val="clear" w:color="auto" w:fill="FDFDFD"/>
          </w:tcPr>
          <w:p>
            <w:pPr>
              <w:spacing w:after="0"/>
              <w:rPr>
                <w:sz w:val="19"/>
                <w:szCs w:val="19"/>
                <w:color w:val="auto"/>
              </w:rPr>
            </w:pPr>
          </w:p>
        </w:tc>
        <w:tc>
          <w:tcPr>
            <w:tcW w:w="820" w:type="dxa"/>
            <w:vAlign w:val="bottom"/>
            <w:tcBorders>
              <w:top w:val="single" w:sz="8" w:color="auto"/>
              <w:bottom w:val="single" w:sz="8" w:color="D3ECED"/>
              <w:right w:val="single" w:sz="8" w:color="FDFDFD"/>
            </w:tcBorders>
            <w:shd w:val="clear" w:color="auto" w:fill="FDFDFD"/>
          </w:tcPr>
          <w:p>
            <w:pPr>
              <w:spacing w:after="0"/>
              <w:rPr>
                <w:sz w:val="19"/>
                <w:szCs w:val="19"/>
                <w:color w:val="auto"/>
              </w:rPr>
            </w:pPr>
          </w:p>
        </w:tc>
        <w:tc>
          <w:tcPr>
            <w:tcW w:w="160" w:type="dxa"/>
            <w:vAlign w:val="bottom"/>
            <w:tcBorders>
              <w:top w:val="single" w:sz="8" w:color="FDFDFD"/>
              <w:left w:val="single" w:sz="8" w:color="FDFDFD"/>
              <w:bottom w:val="single" w:sz="8" w:color="FDFDFD"/>
              <w:right w:val="single" w:sz="8" w:color="FDFDFD"/>
            </w:tcBorders>
            <w:shd w:val="clear" w:color="auto" w:fill="FDFDFD"/>
          </w:tcPr>
          <w:p>
            <w:pPr>
              <w:spacing w:after="0"/>
              <w:rPr>
                <w:sz w:val="19"/>
                <w:szCs w:val="19"/>
                <w:color w:val="auto"/>
              </w:rPr>
            </w:pPr>
          </w:p>
        </w:tc>
        <w:tc>
          <w:tcPr>
            <w:tcW w:w="200" w:type="dxa"/>
            <w:vAlign w:val="bottom"/>
            <w:tcBorders>
              <w:top w:val="single" w:sz="8" w:color="auto"/>
              <w:bottom w:val="single" w:sz="8" w:color="FDFDFD"/>
            </w:tcBorders>
            <w:shd w:val="clear" w:color="auto" w:fill="FDFDFD"/>
          </w:tcPr>
          <w:p>
            <w:pPr>
              <w:spacing w:after="0"/>
              <w:rPr>
                <w:sz w:val="19"/>
                <w:szCs w:val="19"/>
                <w:color w:val="auto"/>
              </w:rPr>
            </w:pPr>
          </w:p>
        </w:tc>
        <w:tc>
          <w:tcPr>
            <w:tcW w:w="600" w:type="dxa"/>
            <w:vAlign w:val="bottom"/>
            <w:tcBorders>
              <w:top w:val="single" w:sz="8" w:color="auto"/>
              <w:bottom w:val="single" w:sz="8" w:color="FDFDFD"/>
            </w:tcBorders>
            <w:shd w:val="clear" w:color="auto" w:fill="FDFDFD"/>
          </w:tcPr>
          <w:p>
            <w:pPr>
              <w:spacing w:after="0"/>
              <w:rPr>
                <w:sz w:val="19"/>
                <w:szCs w:val="19"/>
                <w:color w:val="auto"/>
              </w:rPr>
            </w:pPr>
          </w:p>
        </w:tc>
        <w:tc>
          <w:tcPr>
            <w:tcW w:w="20" w:type="dxa"/>
            <w:vAlign w:val="bottom"/>
            <w:tcBorders>
              <w:top w:val="single" w:sz="8" w:color="FDFDFD"/>
              <w:bottom w:val="single" w:sz="8" w:color="FDFDFD"/>
            </w:tcBorders>
            <w:shd w:val="clear" w:color="auto" w:fill="FDFDFD"/>
          </w:tcPr>
          <w:p>
            <w:pPr>
              <w:spacing w:after="0"/>
              <w:rPr>
                <w:sz w:val="19"/>
                <w:szCs w:val="19"/>
                <w:color w:val="auto"/>
              </w:rPr>
            </w:pPr>
          </w:p>
        </w:tc>
        <w:tc>
          <w:tcPr>
            <w:tcW w:w="220" w:type="dxa"/>
            <w:vAlign w:val="bottom"/>
            <w:tcBorders>
              <w:top w:val="single" w:sz="8" w:color="FDFDFD"/>
              <w:bottom w:val="single" w:sz="8" w:color="FDFDFD"/>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D3ECED"/>
          </w:tcPr>
          <w:p>
            <w:pPr>
              <w:ind w:left="200"/>
              <w:spacing w:after="0" w:line="211" w:lineRule="exact"/>
              <w:rPr>
                <w:sz w:val="20"/>
                <w:szCs w:val="20"/>
                <w:color w:val="auto"/>
              </w:rPr>
            </w:pPr>
            <w:r>
              <w:rPr>
                <w:rFonts w:ascii="Arial" w:cs="Arial" w:eastAsia="Arial" w:hAnsi="Arial"/>
                <w:sz w:val="19"/>
                <w:szCs w:val="19"/>
                <w:color w:val="auto"/>
              </w:rPr>
              <w:t>Research and development</w:t>
            </w:r>
          </w:p>
        </w:tc>
        <w:tc>
          <w:tcPr>
            <w:tcW w:w="120" w:type="dxa"/>
            <w:vAlign w:val="bottom"/>
            <w:shd w:val="clear" w:color="auto" w:fill="D3ECED"/>
          </w:tcPr>
          <w:p>
            <w:pPr>
              <w:spacing w:after="0"/>
              <w:rPr>
                <w:sz w:val="18"/>
                <w:szCs w:val="18"/>
                <w:color w:val="auto"/>
              </w:rPr>
            </w:pPr>
          </w:p>
        </w:tc>
        <w:tc>
          <w:tcPr>
            <w:tcW w:w="82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50,585</w:t>
            </w:r>
          </w:p>
        </w:tc>
        <w:tc>
          <w:tcPr>
            <w:tcW w:w="180" w:type="dxa"/>
            <w:vAlign w:val="bottom"/>
            <w:tcBorders>
              <w:right w:val="single" w:sz="8" w:color="D3ECED"/>
            </w:tcBorders>
            <w:shd w:val="clear" w:color="auto" w:fill="D3ECED"/>
          </w:tcPr>
          <w:p>
            <w:pPr>
              <w:spacing w:after="0"/>
              <w:rPr>
                <w:sz w:val="18"/>
                <w:szCs w:val="18"/>
                <w:color w:val="auto"/>
              </w:rPr>
            </w:pPr>
          </w:p>
        </w:tc>
        <w:tc>
          <w:tcPr>
            <w:tcW w:w="110" w:type="dxa"/>
            <w:vAlign w:val="bottom"/>
            <w:shd w:val="clear" w:color="auto" w:fill="D3ECED"/>
          </w:tcPr>
          <w:p>
            <w:pPr>
              <w:spacing w:after="0"/>
              <w:rPr>
                <w:sz w:val="18"/>
                <w:szCs w:val="18"/>
                <w:color w:val="auto"/>
              </w:rPr>
            </w:pPr>
          </w:p>
        </w:tc>
        <w:tc>
          <w:tcPr>
            <w:tcW w:w="81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53,019</w:t>
            </w:r>
          </w:p>
        </w:tc>
        <w:tc>
          <w:tcPr>
            <w:tcW w:w="100" w:type="dxa"/>
            <w:vAlign w:val="bottom"/>
            <w:shd w:val="clear" w:color="auto" w:fill="D3ECED"/>
          </w:tcPr>
          <w:p>
            <w:pPr>
              <w:spacing w:after="0"/>
              <w:rPr>
                <w:sz w:val="18"/>
                <w:szCs w:val="18"/>
                <w:color w:val="auto"/>
              </w:rPr>
            </w:pPr>
          </w:p>
        </w:tc>
        <w:tc>
          <w:tcPr>
            <w:tcW w:w="100" w:type="dxa"/>
            <w:vAlign w:val="bottom"/>
            <w:tcBorders>
              <w:right w:val="single" w:sz="8" w:color="D3ECED"/>
            </w:tcBorders>
            <w:shd w:val="clear" w:color="auto" w:fill="D3ECED"/>
          </w:tcPr>
          <w:p>
            <w:pPr>
              <w:spacing w:after="0"/>
              <w:rPr>
                <w:sz w:val="18"/>
                <w:szCs w:val="18"/>
                <w:color w:val="auto"/>
              </w:rPr>
            </w:pPr>
          </w:p>
        </w:tc>
        <w:tc>
          <w:tcPr>
            <w:tcW w:w="100" w:type="dxa"/>
            <w:vAlign w:val="bottom"/>
            <w:shd w:val="clear" w:color="auto" w:fill="D3ECED"/>
          </w:tcPr>
          <w:p>
            <w:pPr>
              <w:spacing w:after="0"/>
              <w:rPr>
                <w:sz w:val="18"/>
                <w:szCs w:val="18"/>
                <w:color w:val="auto"/>
              </w:rPr>
            </w:pPr>
          </w:p>
        </w:tc>
        <w:tc>
          <w:tcPr>
            <w:tcW w:w="82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(2,434)</w:t>
            </w:r>
          </w:p>
        </w:tc>
        <w:tc>
          <w:tcPr>
            <w:tcW w:w="160" w:type="dxa"/>
            <w:vAlign w:val="bottom"/>
            <w:tcBorders>
              <w:left w:val="single" w:sz="8" w:color="D3ECED"/>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spacing w:after="0" w:line="211" w:lineRule="exact"/>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30"/>
        </w:trPr>
        <w:tc>
          <w:tcPr>
            <w:tcW w:w="4620" w:type="dxa"/>
            <w:vAlign w:val="bottom"/>
            <w:shd w:val="clear" w:color="auto" w:fill="FDFDFD"/>
          </w:tcPr>
          <w:p>
            <w:pPr>
              <w:ind w:left="200"/>
              <w:spacing w:after="0"/>
              <w:rPr>
                <w:sz w:val="20"/>
                <w:szCs w:val="20"/>
                <w:color w:val="auto"/>
              </w:rPr>
            </w:pPr>
            <w:r>
              <w:rPr>
                <w:rFonts w:ascii="Arial" w:cs="Arial" w:eastAsia="Arial" w:hAnsi="Arial"/>
                <w:sz w:val="19"/>
                <w:szCs w:val="19"/>
                <w:color w:val="auto"/>
              </w:rPr>
              <w:t>Selling, general and administrative</w:t>
            </w:r>
          </w:p>
        </w:tc>
        <w:tc>
          <w:tcPr>
            <w:tcW w:w="120" w:type="dxa"/>
            <w:vAlign w:val="bottom"/>
            <w:shd w:val="clear" w:color="auto" w:fill="FDFDFD"/>
          </w:tcPr>
          <w:p>
            <w:pPr>
              <w:spacing w:after="0"/>
              <w:rPr>
                <w:sz w:val="20"/>
                <w:szCs w:val="20"/>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56,571</w:t>
            </w:r>
          </w:p>
        </w:tc>
        <w:tc>
          <w:tcPr>
            <w:tcW w:w="180" w:type="dxa"/>
            <w:vAlign w:val="bottom"/>
            <w:tcBorders>
              <w:right w:val="single" w:sz="8" w:color="FDFDFD"/>
            </w:tcBorders>
            <w:shd w:val="clear" w:color="auto" w:fill="FDFDFD"/>
          </w:tcPr>
          <w:p>
            <w:pPr>
              <w:spacing w:after="0"/>
              <w:rPr>
                <w:sz w:val="20"/>
                <w:szCs w:val="20"/>
                <w:color w:val="auto"/>
              </w:rPr>
            </w:pPr>
          </w:p>
        </w:tc>
        <w:tc>
          <w:tcPr>
            <w:tcW w:w="110" w:type="dxa"/>
            <w:vAlign w:val="bottom"/>
            <w:shd w:val="clear" w:color="auto" w:fill="FDFDFD"/>
          </w:tcPr>
          <w:p>
            <w:pPr>
              <w:spacing w:after="0"/>
              <w:rPr>
                <w:sz w:val="20"/>
                <w:szCs w:val="20"/>
                <w:color w:val="auto"/>
              </w:rPr>
            </w:pPr>
          </w:p>
        </w:tc>
        <w:tc>
          <w:tcPr>
            <w:tcW w:w="81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58,950</w:t>
            </w:r>
          </w:p>
        </w:tc>
        <w:tc>
          <w:tcPr>
            <w:tcW w:w="100" w:type="dxa"/>
            <w:vAlign w:val="bottom"/>
            <w:shd w:val="clear" w:color="auto" w:fill="FDFDFD"/>
          </w:tcPr>
          <w:p>
            <w:pPr>
              <w:spacing w:after="0"/>
              <w:rPr>
                <w:sz w:val="20"/>
                <w:szCs w:val="20"/>
                <w:color w:val="auto"/>
              </w:rPr>
            </w:pPr>
          </w:p>
        </w:tc>
        <w:tc>
          <w:tcPr>
            <w:tcW w:w="100" w:type="dxa"/>
            <w:vAlign w:val="bottom"/>
            <w:tcBorders>
              <w:right w:val="single" w:sz="8" w:color="FDFDFD"/>
            </w:tcBorders>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(2,379)</w:t>
            </w:r>
          </w:p>
        </w:tc>
        <w:tc>
          <w:tcPr>
            <w:tcW w:w="160" w:type="dxa"/>
            <w:vAlign w:val="bottom"/>
            <w:tcBorders>
              <w:left w:val="single" w:sz="8" w:color="FDFDFD"/>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D3ECED"/>
          </w:tcPr>
          <w:p>
            <w:pPr>
              <w:ind w:left="380"/>
              <w:spacing w:after="0"/>
              <w:rPr>
                <w:sz w:val="20"/>
                <w:szCs w:val="20"/>
                <w:color w:val="auto"/>
              </w:rPr>
            </w:pPr>
            <w:r>
              <w:rPr>
                <w:rFonts w:ascii="Arial" w:cs="Arial" w:eastAsia="Arial" w:hAnsi="Arial"/>
                <w:sz w:val="19"/>
                <w:szCs w:val="19"/>
                <w:color w:val="auto"/>
              </w:rPr>
              <w:t>Total operating expenses</w:t>
            </w: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D3ECED"/>
            </w:tcBorders>
            <w:shd w:val="clear" w:color="auto" w:fill="D3ECED"/>
          </w:tcPr>
          <w:p>
            <w:pPr>
              <w:spacing w:after="0" w:line="20" w:lineRule="exact"/>
              <w:rPr>
                <w:sz w:val="1"/>
                <w:szCs w:val="1"/>
                <w:color w:val="auto"/>
              </w:rPr>
            </w:pPr>
          </w:p>
        </w:tc>
        <w:tc>
          <w:tcPr>
            <w:tcW w:w="110" w:type="dxa"/>
            <w:vAlign w:val="bottom"/>
            <w:shd w:val="clear" w:color="auto" w:fill="000000"/>
          </w:tcPr>
          <w:p>
            <w:pPr>
              <w:spacing w:after="0" w:line="20" w:lineRule="exact"/>
              <w:rPr>
                <w:sz w:val="1"/>
                <w:szCs w:val="1"/>
                <w:color w:val="auto"/>
              </w:rPr>
            </w:pPr>
          </w:p>
        </w:tc>
        <w:tc>
          <w:tcPr>
            <w:tcW w:w="81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D3ECED"/>
          </w:tcPr>
          <w:p>
            <w:pPr>
              <w:spacing w:after="0" w:line="20" w:lineRule="exact"/>
              <w:rPr>
                <w:sz w:val="1"/>
                <w:szCs w:val="1"/>
                <w:color w:val="auto"/>
              </w:rPr>
            </w:pPr>
          </w:p>
        </w:tc>
        <w:tc>
          <w:tcPr>
            <w:tcW w:w="100" w:type="dxa"/>
            <w:vAlign w:val="bottom"/>
            <w:tcBorders>
              <w:right w:val="single" w:sz="8" w:color="D3ECED"/>
            </w:tcBorders>
            <w:shd w:val="clear" w:color="auto" w:fill="D3ECE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D3ECED"/>
              <w:right w:val="single" w:sz="8" w:color="auto"/>
            </w:tcBorders>
            <w:shd w:val="clear" w:color="auto" w:fill="D3ECE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vMerge w:val="continue"/>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107,156</w:t>
            </w:r>
          </w:p>
        </w:tc>
        <w:tc>
          <w:tcPr>
            <w:tcW w:w="180" w:type="dxa"/>
            <w:vAlign w:val="bottom"/>
            <w:tcBorders>
              <w:right w:val="single" w:sz="8" w:color="D3ECED"/>
            </w:tcBorders>
            <w:shd w:val="clear" w:color="auto" w:fill="D3ECED"/>
          </w:tcPr>
          <w:p>
            <w:pPr>
              <w:spacing w:after="0"/>
              <w:rPr>
                <w:sz w:val="19"/>
                <w:szCs w:val="19"/>
                <w:color w:val="auto"/>
              </w:rPr>
            </w:pPr>
          </w:p>
        </w:tc>
        <w:tc>
          <w:tcPr>
            <w:tcW w:w="110" w:type="dxa"/>
            <w:vAlign w:val="bottom"/>
            <w:shd w:val="clear" w:color="auto" w:fill="D3ECED"/>
          </w:tcPr>
          <w:p>
            <w:pPr>
              <w:spacing w:after="0"/>
              <w:rPr>
                <w:sz w:val="19"/>
                <w:szCs w:val="19"/>
                <w:color w:val="auto"/>
              </w:rPr>
            </w:pPr>
          </w:p>
        </w:tc>
        <w:tc>
          <w:tcPr>
            <w:tcW w:w="81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111,969</w:t>
            </w:r>
          </w:p>
        </w:tc>
        <w:tc>
          <w:tcPr>
            <w:tcW w:w="100" w:type="dxa"/>
            <w:vAlign w:val="bottom"/>
            <w:shd w:val="clear" w:color="auto" w:fill="D3ECED"/>
          </w:tcPr>
          <w:p>
            <w:pPr>
              <w:spacing w:after="0"/>
              <w:rPr>
                <w:sz w:val="19"/>
                <w:szCs w:val="19"/>
                <w:color w:val="auto"/>
              </w:rPr>
            </w:pPr>
          </w:p>
        </w:tc>
        <w:tc>
          <w:tcPr>
            <w:tcW w:w="100" w:type="dxa"/>
            <w:vAlign w:val="bottom"/>
            <w:tcBorders>
              <w:right w:val="single" w:sz="8" w:color="D3ECED"/>
            </w:tcBorders>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(4,813)</w:t>
            </w:r>
          </w:p>
        </w:tc>
        <w:tc>
          <w:tcPr>
            <w:tcW w:w="160" w:type="dxa"/>
            <w:vAlign w:val="bottom"/>
            <w:tcBorders>
              <w:left w:val="single" w:sz="8" w:color="D3ECED"/>
              <w:right w:val="single" w:sz="8" w:color="D3ECED"/>
            </w:tcBorders>
            <w:shd w:val="clear" w:color="auto" w:fill="D3ECED"/>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FDFDFD"/>
          </w:tcPr>
          <w:p>
            <w:pPr>
              <w:spacing w:after="0"/>
              <w:rPr>
                <w:sz w:val="20"/>
                <w:szCs w:val="20"/>
                <w:color w:val="auto"/>
              </w:rPr>
            </w:pPr>
            <w:r>
              <w:rPr>
                <w:rFonts w:ascii="Arial" w:cs="Arial" w:eastAsia="Arial" w:hAnsi="Arial"/>
                <w:sz w:val="19"/>
                <w:szCs w:val="19"/>
                <w:color w:val="auto"/>
              </w:rPr>
              <w:t>Loss from operations</w:t>
            </w: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FDFDFD"/>
            </w:tcBorders>
            <w:shd w:val="clear" w:color="auto" w:fill="FDFDFD"/>
          </w:tcPr>
          <w:p>
            <w:pPr>
              <w:spacing w:after="0" w:line="20" w:lineRule="exact"/>
              <w:rPr>
                <w:sz w:val="1"/>
                <w:szCs w:val="1"/>
                <w:color w:val="auto"/>
              </w:rPr>
            </w:pPr>
          </w:p>
        </w:tc>
        <w:tc>
          <w:tcPr>
            <w:tcW w:w="110" w:type="dxa"/>
            <w:vAlign w:val="bottom"/>
            <w:shd w:val="clear" w:color="auto" w:fill="000000"/>
          </w:tcPr>
          <w:p>
            <w:pPr>
              <w:spacing w:after="0" w:line="20" w:lineRule="exact"/>
              <w:rPr>
                <w:sz w:val="1"/>
                <w:szCs w:val="1"/>
                <w:color w:val="auto"/>
              </w:rPr>
            </w:pPr>
          </w:p>
        </w:tc>
        <w:tc>
          <w:tcPr>
            <w:tcW w:w="81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FDFDFD"/>
          </w:tcPr>
          <w:p>
            <w:pPr>
              <w:spacing w:after="0" w:line="20" w:lineRule="exact"/>
              <w:rPr>
                <w:sz w:val="1"/>
                <w:szCs w:val="1"/>
                <w:color w:val="auto"/>
              </w:rPr>
            </w:pPr>
          </w:p>
        </w:tc>
        <w:tc>
          <w:tcPr>
            <w:tcW w:w="100" w:type="dxa"/>
            <w:vAlign w:val="bottom"/>
            <w:tcBorders>
              <w:right w:val="single" w:sz="8" w:color="FDFDFD"/>
            </w:tcBorders>
            <w:shd w:val="clear" w:color="auto" w:fill="FDFDF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FDFDFD"/>
              <w:right w:val="single" w:sz="8" w:color="auto"/>
            </w:tcBorders>
            <w:shd w:val="clear" w:color="auto" w:fill="FDFDF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vMerge w:val="continue"/>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w w:val="95"/>
              </w:rPr>
              <w:t>(100,101)</w:t>
            </w:r>
          </w:p>
        </w:tc>
        <w:tc>
          <w:tcPr>
            <w:tcW w:w="180" w:type="dxa"/>
            <w:vAlign w:val="bottom"/>
            <w:tcBorders>
              <w:right w:val="single" w:sz="8" w:color="FDFDFD"/>
            </w:tcBorders>
            <w:shd w:val="clear" w:color="auto" w:fill="FDFDFD"/>
          </w:tcPr>
          <w:p>
            <w:pPr>
              <w:spacing w:after="0"/>
              <w:rPr>
                <w:sz w:val="19"/>
                <w:szCs w:val="19"/>
                <w:color w:val="auto"/>
              </w:rPr>
            </w:pPr>
          </w:p>
        </w:tc>
        <w:tc>
          <w:tcPr>
            <w:tcW w:w="110" w:type="dxa"/>
            <w:vAlign w:val="bottom"/>
            <w:shd w:val="clear" w:color="auto" w:fill="FDFDFD"/>
          </w:tcPr>
          <w:p>
            <w:pPr>
              <w:spacing w:after="0"/>
              <w:rPr>
                <w:sz w:val="19"/>
                <w:szCs w:val="19"/>
                <w:color w:val="auto"/>
              </w:rPr>
            </w:pPr>
          </w:p>
        </w:tc>
        <w:tc>
          <w:tcPr>
            <w:tcW w:w="81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w w:val="95"/>
              </w:rPr>
              <w:t>(103,463)</w:t>
            </w:r>
          </w:p>
        </w:tc>
        <w:tc>
          <w:tcPr>
            <w:tcW w:w="100" w:type="dxa"/>
            <w:vAlign w:val="bottom"/>
            <w:shd w:val="clear" w:color="auto" w:fill="FDFDFD"/>
          </w:tcPr>
          <w:p>
            <w:pPr>
              <w:spacing w:after="0"/>
              <w:rPr>
                <w:sz w:val="19"/>
                <w:szCs w:val="19"/>
                <w:color w:val="auto"/>
              </w:rPr>
            </w:pPr>
          </w:p>
        </w:tc>
        <w:tc>
          <w:tcPr>
            <w:tcW w:w="100" w:type="dxa"/>
            <w:vAlign w:val="bottom"/>
            <w:tcBorders>
              <w:right w:val="single" w:sz="8" w:color="FDFDFD"/>
            </w:tcBorders>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82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3,362</w:t>
            </w:r>
          </w:p>
        </w:tc>
        <w:tc>
          <w:tcPr>
            <w:tcW w:w="160" w:type="dxa"/>
            <w:vAlign w:val="bottom"/>
            <w:tcBorders>
              <w:left w:val="single" w:sz="8" w:color="FDFDFD"/>
              <w:right w:val="single" w:sz="8" w:color="FDFDFD"/>
            </w:tcBorders>
            <w:shd w:val="clear" w:color="auto" w:fill="FDFDFD"/>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FDFDFD"/>
            </w:tcBorders>
            <w:shd w:val="clear" w:color="auto" w:fill="D3ECED"/>
          </w:tcPr>
          <w:p>
            <w:pPr>
              <w:spacing w:after="0"/>
              <w:rPr>
                <w:sz w:val="20"/>
                <w:szCs w:val="20"/>
                <w:color w:val="auto"/>
              </w:rPr>
            </w:pPr>
            <w:r>
              <w:rPr>
                <w:rFonts w:ascii="Arial" w:cs="Arial" w:eastAsia="Arial" w:hAnsi="Arial"/>
                <w:sz w:val="19"/>
                <w:szCs w:val="19"/>
                <w:color w:val="auto"/>
              </w:rPr>
              <w:t>Other income (expense):</w:t>
            </w:r>
          </w:p>
        </w:tc>
        <w:tc>
          <w:tcPr>
            <w:tcW w:w="120" w:type="dxa"/>
            <w:vAlign w:val="bottom"/>
            <w:tcBorders>
              <w:bottom w:val="single" w:sz="8" w:color="FDFDFD"/>
            </w:tcBorders>
            <w:shd w:val="clear" w:color="auto" w:fill="D3ECED"/>
          </w:tcPr>
          <w:p>
            <w:pPr>
              <w:spacing w:after="0"/>
              <w:rPr>
                <w:sz w:val="20"/>
                <w:szCs w:val="20"/>
                <w:color w:val="auto"/>
              </w:rPr>
            </w:pPr>
          </w:p>
        </w:tc>
        <w:tc>
          <w:tcPr>
            <w:tcW w:w="820" w:type="dxa"/>
            <w:vAlign w:val="bottom"/>
            <w:tcBorders>
              <w:bottom w:val="single" w:sz="8" w:color="FDFDFD"/>
              <w:right w:val="single" w:sz="8" w:color="D3ECED"/>
            </w:tcBorders>
            <w:shd w:val="clear" w:color="auto" w:fill="D3ECED"/>
          </w:tcPr>
          <w:p>
            <w:pPr>
              <w:spacing w:after="0"/>
              <w:rPr>
                <w:sz w:val="20"/>
                <w:szCs w:val="20"/>
                <w:color w:val="auto"/>
              </w:rPr>
            </w:pPr>
          </w:p>
        </w:tc>
        <w:tc>
          <w:tcPr>
            <w:tcW w:w="180" w:type="dxa"/>
            <w:vAlign w:val="bottom"/>
            <w:tcBorders>
              <w:bottom w:val="single" w:sz="8" w:color="FDFDFD"/>
              <w:right w:val="single" w:sz="8" w:color="D3ECED"/>
            </w:tcBorders>
            <w:shd w:val="clear" w:color="auto" w:fill="D3ECED"/>
          </w:tcPr>
          <w:p>
            <w:pPr>
              <w:spacing w:after="0"/>
              <w:rPr>
                <w:sz w:val="20"/>
                <w:szCs w:val="20"/>
                <w:color w:val="auto"/>
              </w:rPr>
            </w:pPr>
          </w:p>
        </w:tc>
        <w:tc>
          <w:tcPr>
            <w:tcW w:w="110" w:type="dxa"/>
            <w:vAlign w:val="bottom"/>
            <w:tcBorders>
              <w:bottom w:val="single" w:sz="8" w:color="FDFDFD"/>
            </w:tcBorders>
            <w:shd w:val="clear" w:color="auto" w:fill="D3ECED"/>
          </w:tcPr>
          <w:p>
            <w:pPr>
              <w:spacing w:after="0"/>
              <w:rPr>
                <w:sz w:val="20"/>
                <w:szCs w:val="20"/>
                <w:color w:val="auto"/>
              </w:rPr>
            </w:pPr>
          </w:p>
        </w:tc>
        <w:tc>
          <w:tcPr>
            <w:tcW w:w="810" w:type="dxa"/>
            <w:vAlign w:val="bottom"/>
            <w:tcBorders>
              <w:bottom w:val="single" w:sz="8" w:color="FDFDFD"/>
              <w:right w:val="single" w:sz="8" w:color="D3ECED"/>
            </w:tcBorders>
            <w:shd w:val="clear" w:color="auto" w:fill="D3ECED"/>
          </w:tcPr>
          <w:p>
            <w:pPr>
              <w:spacing w:after="0"/>
              <w:rPr>
                <w:sz w:val="20"/>
                <w:szCs w:val="20"/>
                <w:color w:val="auto"/>
              </w:rPr>
            </w:pPr>
          </w:p>
        </w:tc>
        <w:tc>
          <w:tcPr>
            <w:tcW w:w="10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FDFDFD"/>
              <w:right w:val="single" w:sz="8" w:color="D3ECED"/>
            </w:tcBorders>
            <w:shd w:val="clear" w:color="auto" w:fill="D3ECED"/>
          </w:tcPr>
          <w:p>
            <w:pPr>
              <w:spacing w:after="0"/>
              <w:rPr>
                <w:sz w:val="20"/>
                <w:szCs w:val="20"/>
                <w:color w:val="auto"/>
              </w:rPr>
            </w:pPr>
          </w:p>
        </w:tc>
        <w:tc>
          <w:tcPr>
            <w:tcW w:w="100" w:type="dxa"/>
            <w:vAlign w:val="bottom"/>
            <w:tcBorders>
              <w:bottom w:val="single" w:sz="8" w:color="FDFDFD"/>
            </w:tcBorders>
            <w:shd w:val="clear" w:color="auto" w:fill="D3ECED"/>
          </w:tcPr>
          <w:p>
            <w:pPr>
              <w:spacing w:after="0"/>
              <w:rPr>
                <w:sz w:val="20"/>
                <w:szCs w:val="20"/>
                <w:color w:val="auto"/>
              </w:rPr>
            </w:pPr>
          </w:p>
        </w:tc>
        <w:tc>
          <w:tcPr>
            <w:tcW w:w="820" w:type="dxa"/>
            <w:vAlign w:val="bottom"/>
            <w:tcBorders>
              <w:bottom w:val="single" w:sz="8" w:color="FDFDFD"/>
              <w:right w:val="single" w:sz="8" w:color="D3ECED"/>
            </w:tcBorders>
            <w:shd w:val="clear" w:color="auto" w:fill="D3ECED"/>
          </w:tcPr>
          <w:p>
            <w:pPr>
              <w:spacing w:after="0"/>
              <w:rPr>
                <w:sz w:val="20"/>
                <w:szCs w:val="20"/>
                <w:color w:val="auto"/>
              </w:rPr>
            </w:pPr>
          </w:p>
        </w:tc>
        <w:tc>
          <w:tcPr>
            <w:tcW w:w="160" w:type="dxa"/>
            <w:vAlign w:val="bottom"/>
            <w:tcBorders>
              <w:left w:val="single" w:sz="8" w:color="D3ECED"/>
              <w:bottom w:val="single" w:sz="8" w:color="D3ECED"/>
              <w:right w:val="single" w:sz="8" w:color="D3ECED"/>
            </w:tcBorders>
            <w:shd w:val="clear" w:color="auto" w:fill="D3ECED"/>
          </w:tcPr>
          <w:p>
            <w:pPr>
              <w:spacing w:after="0"/>
              <w:rPr>
                <w:sz w:val="20"/>
                <w:szCs w:val="20"/>
                <w:color w:val="auto"/>
              </w:rPr>
            </w:pPr>
          </w:p>
        </w:tc>
        <w:tc>
          <w:tcPr>
            <w:tcW w:w="200" w:type="dxa"/>
            <w:vAlign w:val="bottom"/>
            <w:tcBorders>
              <w:bottom w:val="single" w:sz="8" w:color="D3ECED"/>
            </w:tcBorders>
            <w:shd w:val="clear" w:color="auto" w:fill="D3ECED"/>
          </w:tcPr>
          <w:p>
            <w:pPr>
              <w:spacing w:after="0"/>
              <w:rPr>
                <w:sz w:val="20"/>
                <w:szCs w:val="20"/>
                <w:color w:val="auto"/>
              </w:rPr>
            </w:pPr>
          </w:p>
        </w:tc>
        <w:tc>
          <w:tcPr>
            <w:tcW w:w="600" w:type="dxa"/>
            <w:vAlign w:val="bottom"/>
            <w:tcBorders>
              <w:bottom w:val="single" w:sz="8" w:color="D3ECED"/>
            </w:tcBorders>
            <w:shd w:val="clear" w:color="auto" w:fill="D3ECED"/>
          </w:tcPr>
          <w:p>
            <w:pPr>
              <w:spacing w:after="0"/>
              <w:rPr>
                <w:sz w:val="20"/>
                <w:szCs w:val="20"/>
                <w:color w:val="auto"/>
              </w:rPr>
            </w:pPr>
          </w:p>
        </w:tc>
        <w:tc>
          <w:tcPr>
            <w:tcW w:w="20" w:type="dxa"/>
            <w:vAlign w:val="bottom"/>
            <w:tcBorders>
              <w:bottom w:val="single" w:sz="8" w:color="D3ECED"/>
            </w:tcBorders>
            <w:shd w:val="clear" w:color="auto" w:fill="D3ECED"/>
          </w:tcPr>
          <w:p>
            <w:pPr>
              <w:spacing w:after="0"/>
              <w:rPr>
                <w:sz w:val="20"/>
                <w:szCs w:val="20"/>
                <w:color w:val="auto"/>
              </w:rPr>
            </w:pPr>
          </w:p>
        </w:tc>
        <w:tc>
          <w:tcPr>
            <w:tcW w:w="220" w:type="dxa"/>
            <w:vAlign w:val="bottom"/>
            <w:tcBorders>
              <w:bottom w:val="single" w:sz="8" w:color="D3ECED"/>
            </w:tcBorders>
            <w:shd w:val="clear" w:color="auto" w:fill="D3ECED"/>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FDFDFD"/>
          </w:tcPr>
          <w:p>
            <w:pPr>
              <w:ind w:left="200"/>
              <w:spacing w:after="0" w:line="211" w:lineRule="exact"/>
              <w:rPr>
                <w:sz w:val="20"/>
                <w:szCs w:val="20"/>
                <w:color w:val="auto"/>
              </w:rPr>
            </w:pPr>
            <w:r>
              <w:rPr>
                <w:rFonts w:ascii="Arial" w:cs="Arial" w:eastAsia="Arial" w:hAnsi="Arial"/>
                <w:sz w:val="19"/>
                <w:szCs w:val="19"/>
                <w:color w:val="auto"/>
              </w:rPr>
              <w:t>Interest income</w:t>
            </w:r>
          </w:p>
        </w:tc>
        <w:tc>
          <w:tcPr>
            <w:tcW w:w="120" w:type="dxa"/>
            <w:vAlign w:val="bottom"/>
            <w:shd w:val="clear" w:color="auto" w:fill="FDFDFD"/>
          </w:tcPr>
          <w:p>
            <w:pPr>
              <w:spacing w:after="0"/>
              <w:rPr>
                <w:sz w:val="18"/>
                <w:szCs w:val="18"/>
                <w:color w:val="auto"/>
              </w:rPr>
            </w:pPr>
          </w:p>
        </w:tc>
        <w:tc>
          <w:tcPr>
            <w:tcW w:w="820" w:type="dxa"/>
            <w:vAlign w:val="bottom"/>
            <w:tcBorders>
              <w:right w:val="single" w:sz="8" w:color="FDFDFD"/>
            </w:tcBorders>
            <w:shd w:val="clear" w:color="auto" w:fill="FDFDFD"/>
          </w:tcPr>
          <w:p>
            <w:pPr>
              <w:jc w:val="right"/>
              <w:spacing w:after="0" w:line="211" w:lineRule="exact"/>
              <w:rPr>
                <w:sz w:val="20"/>
                <w:szCs w:val="20"/>
                <w:color w:val="auto"/>
              </w:rPr>
            </w:pPr>
            <w:r>
              <w:rPr>
                <w:rFonts w:ascii="Arial" w:cs="Arial" w:eastAsia="Arial" w:hAnsi="Arial"/>
                <w:sz w:val="19"/>
                <w:szCs w:val="19"/>
                <w:color w:val="auto"/>
              </w:rPr>
              <w:t>16,666</w:t>
            </w:r>
          </w:p>
        </w:tc>
        <w:tc>
          <w:tcPr>
            <w:tcW w:w="180" w:type="dxa"/>
            <w:vAlign w:val="bottom"/>
            <w:tcBorders>
              <w:right w:val="single" w:sz="8" w:color="FDFDFD"/>
            </w:tcBorders>
            <w:shd w:val="clear" w:color="auto" w:fill="FDFDFD"/>
          </w:tcPr>
          <w:p>
            <w:pPr>
              <w:spacing w:after="0"/>
              <w:rPr>
                <w:sz w:val="18"/>
                <w:szCs w:val="18"/>
                <w:color w:val="auto"/>
              </w:rPr>
            </w:pPr>
          </w:p>
        </w:tc>
        <w:tc>
          <w:tcPr>
            <w:tcW w:w="110" w:type="dxa"/>
            <w:vAlign w:val="bottom"/>
            <w:shd w:val="clear" w:color="auto" w:fill="FDFDFD"/>
          </w:tcPr>
          <w:p>
            <w:pPr>
              <w:spacing w:after="0"/>
              <w:rPr>
                <w:sz w:val="18"/>
                <w:szCs w:val="18"/>
                <w:color w:val="auto"/>
              </w:rPr>
            </w:pPr>
          </w:p>
        </w:tc>
        <w:tc>
          <w:tcPr>
            <w:tcW w:w="810" w:type="dxa"/>
            <w:vAlign w:val="bottom"/>
            <w:tcBorders>
              <w:right w:val="single" w:sz="8" w:color="FDFDFD"/>
            </w:tcBorders>
            <w:shd w:val="clear" w:color="auto" w:fill="FDFDFD"/>
          </w:tcPr>
          <w:p>
            <w:pPr>
              <w:jc w:val="right"/>
              <w:spacing w:after="0" w:line="211" w:lineRule="exact"/>
              <w:rPr>
                <w:sz w:val="20"/>
                <w:szCs w:val="20"/>
                <w:color w:val="auto"/>
              </w:rPr>
            </w:pPr>
            <w:r>
              <w:rPr>
                <w:rFonts w:ascii="Arial" w:cs="Arial" w:eastAsia="Arial" w:hAnsi="Arial"/>
                <w:sz w:val="19"/>
                <w:szCs w:val="19"/>
                <w:color w:val="auto"/>
              </w:rPr>
              <w:t>17,764</w:t>
            </w:r>
          </w:p>
        </w:tc>
        <w:tc>
          <w:tcPr>
            <w:tcW w:w="100" w:type="dxa"/>
            <w:vAlign w:val="bottom"/>
            <w:shd w:val="clear" w:color="auto" w:fill="FDFDFD"/>
          </w:tcPr>
          <w:p>
            <w:pPr>
              <w:spacing w:after="0"/>
              <w:rPr>
                <w:sz w:val="18"/>
                <w:szCs w:val="18"/>
                <w:color w:val="auto"/>
              </w:rPr>
            </w:pPr>
          </w:p>
        </w:tc>
        <w:tc>
          <w:tcPr>
            <w:tcW w:w="100" w:type="dxa"/>
            <w:vAlign w:val="bottom"/>
            <w:tcBorders>
              <w:right w:val="single" w:sz="8" w:color="FDFDFD"/>
            </w:tcBorders>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820" w:type="dxa"/>
            <w:vAlign w:val="bottom"/>
            <w:tcBorders>
              <w:right w:val="single" w:sz="8" w:color="FDFDFD"/>
            </w:tcBorders>
            <w:shd w:val="clear" w:color="auto" w:fill="FDFDFD"/>
          </w:tcPr>
          <w:p>
            <w:pPr>
              <w:jc w:val="right"/>
              <w:spacing w:after="0" w:line="211" w:lineRule="exact"/>
              <w:rPr>
                <w:sz w:val="20"/>
                <w:szCs w:val="20"/>
                <w:color w:val="auto"/>
              </w:rPr>
            </w:pPr>
            <w:r>
              <w:rPr>
                <w:rFonts w:ascii="Arial" w:cs="Arial" w:eastAsia="Arial" w:hAnsi="Arial"/>
                <w:sz w:val="19"/>
                <w:szCs w:val="19"/>
                <w:color w:val="auto"/>
              </w:rPr>
              <w:t>(1,098)</w:t>
            </w:r>
          </w:p>
        </w:tc>
        <w:tc>
          <w:tcPr>
            <w:tcW w:w="160" w:type="dxa"/>
            <w:vAlign w:val="bottom"/>
            <w:tcBorders>
              <w:left w:val="single" w:sz="8" w:color="FDFDFD"/>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spacing w:after="0" w:line="211" w:lineRule="exact"/>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FDFDFD"/>
            </w:tcBorders>
            <w:shd w:val="clear" w:color="auto" w:fill="D3ECED"/>
          </w:tcPr>
          <w:p>
            <w:pPr>
              <w:ind w:left="200"/>
              <w:spacing w:after="0"/>
              <w:rPr>
                <w:sz w:val="20"/>
                <w:szCs w:val="20"/>
                <w:color w:val="auto"/>
              </w:rPr>
            </w:pPr>
            <w:r>
              <w:rPr>
                <w:rFonts w:ascii="Arial" w:cs="Arial" w:eastAsia="Arial" w:hAnsi="Arial"/>
                <w:sz w:val="19"/>
                <w:szCs w:val="19"/>
                <w:color w:val="auto"/>
              </w:rPr>
              <w:t>Loss on equity method investment</w:t>
            </w:r>
          </w:p>
        </w:tc>
        <w:tc>
          <w:tcPr>
            <w:tcW w:w="120" w:type="dxa"/>
            <w:vAlign w:val="bottom"/>
            <w:tcBorders>
              <w:bottom w:val="single" w:sz="8" w:color="FDFDFD"/>
            </w:tcBorders>
            <w:shd w:val="clear" w:color="auto" w:fill="D3ECED"/>
          </w:tcPr>
          <w:p>
            <w:pPr>
              <w:spacing w:after="0"/>
              <w:rPr>
                <w:sz w:val="20"/>
                <w:szCs w:val="20"/>
                <w:color w:val="auto"/>
              </w:rPr>
            </w:pPr>
          </w:p>
        </w:tc>
        <w:tc>
          <w:tcPr>
            <w:tcW w:w="820" w:type="dxa"/>
            <w:vAlign w:val="bottom"/>
            <w:tcBorders>
              <w:bottom w:val="single" w:sz="8" w:color="FDFDFD"/>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(2,649)</w:t>
            </w:r>
          </w:p>
        </w:tc>
        <w:tc>
          <w:tcPr>
            <w:tcW w:w="180" w:type="dxa"/>
            <w:vAlign w:val="bottom"/>
            <w:tcBorders>
              <w:bottom w:val="single" w:sz="8" w:color="FDFDFD"/>
              <w:right w:val="single" w:sz="8" w:color="D3ECED"/>
            </w:tcBorders>
            <w:shd w:val="clear" w:color="auto" w:fill="D3ECED"/>
          </w:tcPr>
          <w:p>
            <w:pPr>
              <w:spacing w:after="0"/>
              <w:rPr>
                <w:sz w:val="20"/>
                <w:szCs w:val="20"/>
                <w:color w:val="auto"/>
              </w:rPr>
            </w:pPr>
          </w:p>
        </w:tc>
        <w:tc>
          <w:tcPr>
            <w:tcW w:w="110" w:type="dxa"/>
            <w:vAlign w:val="bottom"/>
            <w:tcBorders>
              <w:bottom w:val="single" w:sz="8" w:color="FDFDFD"/>
            </w:tcBorders>
            <w:shd w:val="clear" w:color="auto" w:fill="D3ECED"/>
          </w:tcPr>
          <w:p>
            <w:pPr>
              <w:spacing w:after="0"/>
              <w:rPr>
                <w:sz w:val="20"/>
                <w:szCs w:val="20"/>
                <w:color w:val="auto"/>
              </w:rPr>
            </w:pPr>
          </w:p>
        </w:tc>
        <w:tc>
          <w:tcPr>
            <w:tcW w:w="810" w:type="dxa"/>
            <w:vAlign w:val="bottom"/>
            <w:tcBorders>
              <w:bottom w:val="single" w:sz="8" w:color="FDFDFD"/>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0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FDFDFD"/>
              <w:right w:val="single" w:sz="8" w:color="D3ECED"/>
            </w:tcBorders>
            <w:shd w:val="clear" w:color="auto" w:fill="D3ECED"/>
          </w:tcPr>
          <w:p>
            <w:pPr>
              <w:spacing w:after="0"/>
              <w:rPr>
                <w:sz w:val="20"/>
                <w:szCs w:val="20"/>
                <w:color w:val="auto"/>
              </w:rPr>
            </w:pPr>
          </w:p>
        </w:tc>
        <w:tc>
          <w:tcPr>
            <w:tcW w:w="100" w:type="dxa"/>
            <w:vAlign w:val="bottom"/>
            <w:tcBorders>
              <w:bottom w:val="single" w:sz="8" w:color="FDFDFD"/>
            </w:tcBorders>
            <w:shd w:val="clear" w:color="auto" w:fill="D3ECED"/>
          </w:tcPr>
          <w:p>
            <w:pPr>
              <w:spacing w:after="0"/>
              <w:rPr>
                <w:sz w:val="20"/>
                <w:szCs w:val="20"/>
                <w:color w:val="auto"/>
              </w:rPr>
            </w:pPr>
          </w:p>
        </w:tc>
        <w:tc>
          <w:tcPr>
            <w:tcW w:w="820" w:type="dxa"/>
            <w:vAlign w:val="bottom"/>
            <w:tcBorders>
              <w:bottom w:val="single" w:sz="8" w:color="FDFDFD"/>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(2,649)</w:t>
            </w:r>
          </w:p>
        </w:tc>
        <w:tc>
          <w:tcPr>
            <w:tcW w:w="160" w:type="dxa"/>
            <w:vAlign w:val="bottom"/>
            <w:tcBorders>
              <w:left w:val="single" w:sz="8" w:color="D3ECED"/>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10"/>
        </w:trPr>
        <w:tc>
          <w:tcPr>
            <w:tcW w:w="4620" w:type="dxa"/>
            <w:vAlign w:val="bottom"/>
            <w:shd w:val="clear" w:color="auto" w:fill="FDFDFD"/>
          </w:tcPr>
          <w:p>
            <w:pPr>
              <w:ind w:left="200"/>
              <w:spacing w:after="0" w:line="211" w:lineRule="exact"/>
              <w:rPr>
                <w:sz w:val="20"/>
                <w:szCs w:val="20"/>
                <w:color w:val="auto"/>
              </w:rPr>
            </w:pPr>
            <w:r>
              <w:rPr>
                <w:rFonts w:ascii="Arial" w:cs="Arial" w:eastAsia="Arial" w:hAnsi="Arial"/>
                <w:sz w:val="19"/>
                <w:szCs w:val="19"/>
                <w:color w:val="auto"/>
              </w:rPr>
              <w:t>Other expense</w:t>
            </w:r>
          </w:p>
        </w:tc>
        <w:tc>
          <w:tcPr>
            <w:tcW w:w="120" w:type="dxa"/>
            <w:vAlign w:val="bottom"/>
            <w:shd w:val="clear" w:color="auto" w:fill="FDFDFD"/>
          </w:tcPr>
          <w:p>
            <w:pPr>
              <w:spacing w:after="0"/>
              <w:rPr>
                <w:sz w:val="18"/>
                <w:szCs w:val="18"/>
                <w:color w:val="auto"/>
              </w:rPr>
            </w:pPr>
          </w:p>
        </w:tc>
        <w:tc>
          <w:tcPr>
            <w:tcW w:w="820" w:type="dxa"/>
            <w:vAlign w:val="bottom"/>
            <w:tcBorders>
              <w:right w:val="single" w:sz="8" w:color="FDFDFD"/>
            </w:tcBorders>
            <w:shd w:val="clear" w:color="auto" w:fill="FDFDFD"/>
          </w:tcPr>
          <w:p>
            <w:pPr>
              <w:jc w:val="right"/>
              <w:spacing w:after="0" w:line="211" w:lineRule="exact"/>
              <w:rPr>
                <w:sz w:val="20"/>
                <w:szCs w:val="20"/>
                <w:color w:val="auto"/>
              </w:rPr>
            </w:pPr>
            <w:r>
              <w:rPr>
                <w:rFonts w:ascii="Arial" w:cs="Arial" w:eastAsia="Arial" w:hAnsi="Arial"/>
                <w:sz w:val="19"/>
                <w:szCs w:val="19"/>
                <w:color w:val="auto"/>
              </w:rPr>
              <w:t>(417)</w:t>
            </w:r>
          </w:p>
        </w:tc>
        <w:tc>
          <w:tcPr>
            <w:tcW w:w="180" w:type="dxa"/>
            <w:vAlign w:val="bottom"/>
            <w:tcBorders>
              <w:right w:val="single" w:sz="8" w:color="FDFDFD"/>
            </w:tcBorders>
            <w:shd w:val="clear" w:color="auto" w:fill="FDFDFD"/>
          </w:tcPr>
          <w:p>
            <w:pPr>
              <w:spacing w:after="0"/>
              <w:rPr>
                <w:sz w:val="18"/>
                <w:szCs w:val="18"/>
                <w:color w:val="auto"/>
              </w:rPr>
            </w:pPr>
          </w:p>
        </w:tc>
        <w:tc>
          <w:tcPr>
            <w:tcW w:w="110" w:type="dxa"/>
            <w:vAlign w:val="bottom"/>
            <w:shd w:val="clear" w:color="auto" w:fill="FDFDFD"/>
          </w:tcPr>
          <w:p>
            <w:pPr>
              <w:spacing w:after="0"/>
              <w:rPr>
                <w:sz w:val="18"/>
                <w:szCs w:val="18"/>
                <w:color w:val="auto"/>
              </w:rPr>
            </w:pPr>
          </w:p>
        </w:tc>
        <w:tc>
          <w:tcPr>
            <w:tcW w:w="810" w:type="dxa"/>
            <w:vAlign w:val="bottom"/>
            <w:tcBorders>
              <w:right w:val="single" w:sz="8" w:color="FDFDFD"/>
            </w:tcBorders>
            <w:shd w:val="clear" w:color="auto" w:fill="FDFDFD"/>
          </w:tcPr>
          <w:p>
            <w:pPr>
              <w:jc w:val="right"/>
              <w:spacing w:after="0" w:line="211" w:lineRule="exact"/>
              <w:rPr>
                <w:sz w:val="20"/>
                <w:szCs w:val="20"/>
                <w:color w:val="auto"/>
              </w:rPr>
            </w:pPr>
            <w:r>
              <w:rPr>
                <w:rFonts w:ascii="Arial" w:cs="Arial" w:eastAsia="Arial" w:hAnsi="Arial"/>
                <w:sz w:val="19"/>
                <w:szCs w:val="19"/>
                <w:color w:val="auto"/>
              </w:rPr>
              <w:t>(578)</w:t>
            </w:r>
          </w:p>
        </w:tc>
        <w:tc>
          <w:tcPr>
            <w:tcW w:w="100" w:type="dxa"/>
            <w:vAlign w:val="bottom"/>
            <w:shd w:val="clear" w:color="auto" w:fill="FDFDFD"/>
          </w:tcPr>
          <w:p>
            <w:pPr>
              <w:spacing w:after="0"/>
              <w:rPr>
                <w:sz w:val="18"/>
                <w:szCs w:val="18"/>
                <w:color w:val="auto"/>
              </w:rPr>
            </w:pPr>
          </w:p>
        </w:tc>
        <w:tc>
          <w:tcPr>
            <w:tcW w:w="100" w:type="dxa"/>
            <w:vAlign w:val="bottom"/>
            <w:tcBorders>
              <w:right w:val="single" w:sz="8" w:color="FDFDFD"/>
            </w:tcBorders>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820" w:type="dxa"/>
            <w:vAlign w:val="bottom"/>
            <w:tcBorders>
              <w:right w:val="single" w:sz="8" w:color="FDFDFD"/>
            </w:tcBorders>
            <w:shd w:val="clear" w:color="auto" w:fill="FDFDFD"/>
          </w:tcPr>
          <w:p>
            <w:pPr>
              <w:jc w:val="right"/>
              <w:spacing w:after="0" w:line="211" w:lineRule="exact"/>
              <w:rPr>
                <w:sz w:val="20"/>
                <w:szCs w:val="20"/>
                <w:color w:val="auto"/>
              </w:rPr>
            </w:pPr>
            <w:r>
              <w:rPr>
                <w:rFonts w:ascii="Arial" w:cs="Arial" w:eastAsia="Arial" w:hAnsi="Arial"/>
                <w:sz w:val="19"/>
                <w:szCs w:val="19"/>
                <w:color w:val="auto"/>
              </w:rPr>
              <w:t>161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spacing w:after="0" w:line="211" w:lineRule="exact"/>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D3ECED"/>
          </w:tcPr>
          <w:p>
            <w:pPr>
              <w:ind w:left="380"/>
              <w:spacing w:after="0"/>
              <w:rPr>
                <w:sz w:val="20"/>
                <w:szCs w:val="20"/>
                <w:color w:val="auto"/>
              </w:rPr>
            </w:pPr>
            <w:r>
              <w:rPr>
                <w:rFonts w:ascii="Arial" w:cs="Arial" w:eastAsia="Arial" w:hAnsi="Arial"/>
                <w:sz w:val="19"/>
                <w:szCs w:val="19"/>
                <w:color w:val="auto"/>
              </w:rPr>
              <w:t>Total other income</w:t>
            </w: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D3ECED"/>
            </w:tcBorders>
            <w:shd w:val="clear" w:color="auto" w:fill="D3ECED"/>
          </w:tcPr>
          <w:p>
            <w:pPr>
              <w:spacing w:after="0" w:line="20" w:lineRule="exact"/>
              <w:rPr>
                <w:sz w:val="1"/>
                <w:szCs w:val="1"/>
                <w:color w:val="auto"/>
              </w:rPr>
            </w:pPr>
          </w:p>
        </w:tc>
        <w:tc>
          <w:tcPr>
            <w:tcW w:w="110" w:type="dxa"/>
            <w:vAlign w:val="bottom"/>
            <w:shd w:val="clear" w:color="auto" w:fill="000000"/>
          </w:tcPr>
          <w:p>
            <w:pPr>
              <w:spacing w:after="0" w:line="20" w:lineRule="exact"/>
              <w:rPr>
                <w:sz w:val="1"/>
                <w:szCs w:val="1"/>
                <w:color w:val="auto"/>
              </w:rPr>
            </w:pPr>
          </w:p>
        </w:tc>
        <w:tc>
          <w:tcPr>
            <w:tcW w:w="81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D3ECED"/>
          </w:tcPr>
          <w:p>
            <w:pPr>
              <w:spacing w:after="0" w:line="20" w:lineRule="exact"/>
              <w:rPr>
                <w:sz w:val="1"/>
                <w:szCs w:val="1"/>
                <w:color w:val="auto"/>
              </w:rPr>
            </w:pPr>
          </w:p>
        </w:tc>
        <w:tc>
          <w:tcPr>
            <w:tcW w:w="100" w:type="dxa"/>
            <w:vAlign w:val="bottom"/>
            <w:tcBorders>
              <w:right w:val="single" w:sz="8" w:color="D3ECED"/>
            </w:tcBorders>
            <w:shd w:val="clear" w:color="auto" w:fill="D3ECE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D3ECED"/>
              <w:right w:val="single" w:sz="8" w:color="auto"/>
            </w:tcBorders>
            <w:shd w:val="clear" w:color="auto" w:fill="D3ECE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vMerge w:val="continue"/>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13,600</w:t>
            </w:r>
          </w:p>
        </w:tc>
        <w:tc>
          <w:tcPr>
            <w:tcW w:w="180" w:type="dxa"/>
            <w:vAlign w:val="bottom"/>
            <w:tcBorders>
              <w:right w:val="single" w:sz="8" w:color="D3ECED"/>
            </w:tcBorders>
            <w:shd w:val="clear" w:color="auto" w:fill="D3ECED"/>
          </w:tcPr>
          <w:p>
            <w:pPr>
              <w:spacing w:after="0"/>
              <w:rPr>
                <w:sz w:val="19"/>
                <w:szCs w:val="19"/>
                <w:color w:val="auto"/>
              </w:rPr>
            </w:pPr>
          </w:p>
        </w:tc>
        <w:tc>
          <w:tcPr>
            <w:tcW w:w="110" w:type="dxa"/>
            <w:vAlign w:val="bottom"/>
            <w:shd w:val="clear" w:color="auto" w:fill="D3ECED"/>
          </w:tcPr>
          <w:p>
            <w:pPr>
              <w:spacing w:after="0"/>
              <w:rPr>
                <w:sz w:val="19"/>
                <w:szCs w:val="19"/>
                <w:color w:val="auto"/>
              </w:rPr>
            </w:pPr>
          </w:p>
        </w:tc>
        <w:tc>
          <w:tcPr>
            <w:tcW w:w="81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17,186</w:t>
            </w:r>
          </w:p>
        </w:tc>
        <w:tc>
          <w:tcPr>
            <w:tcW w:w="100" w:type="dxa"/>
            <w:vAlign w:val="bottom"/>
            <w:shd w:val="clear" w:color="auto" w:fill="D3ECED"/>
          </w:tcPr>
          <w:p>
            <w:pPr>
              <w:spacing w:after="0"/>
              <w:rPr>
                <w:sz w:val="19"/>
                <w:szCs w:val="19"/>
                <w:color w:val="auto"/>
              </w:rPr>
            </w:pPr>
          </w:p>
        </w:tc>
        <w:tc>
          <w:tcPr>
            <w:tcW w:w="100" w:type="dxa"/>
            <w:vAlign w:val="bottom"/>
            <w:tcBorders>
              <w:right w:val="single" w:sz="8" w:color="D3ECED"/>
            </w:tcBorders>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(3,586)</w:t>
            </w:r>
          </w:p>
        </w:tc>
        <w:tc>
          <w:tcPr>
            <w:tcW w:w="160" w:type="dxa"/>
            <w:vAlign w:val="bottom"/>
            <w:tcBorders>
              <w:left w:val="single" w:sz="8" w:color="D3ECED"/>
              <w:right w:val="single" w:sz="8" w:color="D3ECED"/>
            </w:tcBorders>
            <w:shd w:val="clear" w:color="auto" w:fill="D3ECED"/>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FDFDFD"/>
          </w:tcPr>
          <w:p>
            <w:pPr>
              <w:spacing w:after="0"/>
              <w:rPr>
                <w:sz w:val="20"/>
                <w:szCs w:val="20"/>
                <w:color w:val="auto"/>
              </w:rPr>
            </w:pPr>
            <w:r>
              <w:rPr>
                <w:rFonts w:ascii="Arial" w:cs="Arial" w:eastAsia="Arial" w:hAnsi="Arial"/>
                <w:sz w:val="19"/>
                <w:szCs w:val="19"/>
                <w:color w:val="auto"/>
              </w:rPr>
              <w:t>Loss before provision for income taxes</w:t>
            </w: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FDFDFD"/>
            </w:tcBorders>
            <w:shd w:val="clear" w:color="auto" w:fill="FDFDFD"/>
          </w:tcPr>
          <w:p>
            <w:pPr>
              <w:spacing w:after="0" w:line="20" w:lineRule="exact"/>
              <w:rPr>
                <w:sz w:val="1"/>
                <w:szCs w:val="1"/>
                <w:color w:val="auto"/>
              </w:rPr>
            </w:pPr>
          </w:p>
        </w:tc>
        <w:tc>
          <w:tcPr>
            <w:tcW w:w="110" w:type="dxa"/>
            <w:vAlign w:val="bottom"/>
            <w:shd w:val="clear" w:color="auto" w:fill="000000"/>
          </w:tcPr>
          <w:p>
            <w:pPr>
              <w:spacing w:after="0" w:line="20" w:lineRule="exact"/>
              <w:rPr>
                <w:sz w:val="1"/>
                <w:szCs w:val="1"/>
                <w:color w:val="auto"/>
              </w:rPr>
            </w:pPr>
          </w:p>
        </w:tc>
        <w:tc>
          <w:tcPr>
            <w:tcW w:w="81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FDFDFD"/>
          </w:tcPr>
          <w:p>
            <w:pPr>
              <w:spacing w:after="0" w:line="20" w:lineRule="exact"/>
              <w:rPr>
                <w:sz w:val="1"/>
                <w:szCs w:val="1"/>
                <w:color w:val="auto"/>
              </w:rPr>
            </w:pPr>
          </w:p>
        </w:tc>
        <w:tc>
          <w:tcPr>
            <w:tcW w:w="100" w:type="dxa"/>
            <w:vAlign w:val="bottom"/>
            <w:tcBorders>
              <w:right w:val="single" w:sz="8" w:color="FDFDFD"/>
            </w:tcBorders>
            <w:shd w:val="clear" w:color="auto" w:fill="FDFDFD"/>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FDFDFD"/>
              <w:right w:val="single" w:sz="8" w:color="auto"/>
            </w:tcBorders>
            <w:shd w:val="clear" w:color="auto" w:fill="FDFDFD"/>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tcBorders>
              <w:bottom w:val="single" w:sz="8" w:color="D3ECED"/>
            </w:tcBorders>
            <w:vMerge w:val="continue"/>
            <w:shd w:val="clear" w:color="auto" w:fill="FDFDFD"/>
          </w:tcPr>
          <w:p>
            <w:pPr>
              <w:spacing w:after="0"/>
              <w:rPr>
                <w:sz w:val="19"/>
                <w:szCs w:val="19"/>
                <w:color w:val="auto"/>
              </w:rPr>
            </w:pPr>
          </w:p>
        </w:tc>
        <w:tc>
          <w:tcPr>
            <w:tcW w:w="120" w:type="dxa"/>
            <w:vAlign w:val="bottom"/>
            <w:tcBorders>
              <w:bottom w:val="single" w:sz="8" w:color="D3ECED"/>
            </w:tcBorders>
            <w:shd w:val="clear" w:color="auto" w:fill="FDFDFD"/>
          </w:tcPr>
          <w:p>
            <w:pPr>
              <w:spacing w:after="0"/>
              <w:rPr>
                <w:sz w:val="19"/>
                <w:szCs w:val="19"/>
                <w:color w:val="auto"/>
              </w:rPr>
            </w:pPr>
          </w:p>
        </w:tc>
        <w:tc>
          <w:tcPr>
            <w:tcW w:w="820" w:type="dxa"/>
            <w:vAlign w:val="bottom"/>
            <w:tcBorders>
              <w:bottom w:val="single" w:sz="8" w:color="D3ECED"/>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(86,501)</w:t>
            </w:r>
          </w:p>
        </w:tc>
        <w:tc>
          <w:tcPr>
            <w:tcW w:w="180" w:type="dxa"/>
            <w:vAlign w:val="bottom"/>
            <w:tcBorders>
              <w:bottom w:val="single" w:sz="8" w:color="D3ECED"/>
              <w:right w:val="single" w:sz="8" w:color="FDFDFD"/>
            </w:tcBorders>
            <w:shd w:val="clear" w:color="auto" w:fill="FDFDFD"/>
          </w:tcPr>
          <w:p>
            <w:pPr>
              <w:spacing w:after="0"/>
              <w:rPr>
                <w:sz w:val="19"/>
                <w:szCs w:val="19"/>
                <w:color w:val="auto"/>
              </w:rPr>
            </w:pPr>
          </w:p>
        </w:tc>
        <w:tc>
          <w:tcPr>
            <w:tcW w:w="110" w:type="dxa"/>
            <w:vAlign w:val="bottom"/>
            <w:tcBorders>
              <w:bottom w:val="single" w:sz="8" w:color="D3ECED"/>
            </w:tcBorders>
            <w:shd w:val="clear" w:color="auto" w:fill="FDFDFD"/>
          </w:tcPr>
          <w:p>
            <w:pPr>
              <w:spacing w:after="0"/>
              <w:rPr>
                <w:sz w:val="19"/>
                <w:szCs w:val="19"/>
                <w:color w:val="auto"/>
              </w:rPr>
            </w:pPr>
          </w:p>
        </w:tc>
        <w:tc>
          <w:tcPr>
            <w:tcW w:w="810" w:type="dxa"/>
            <w:vAlign w:val="bottom"/>
            <w:tcBorders>
              <w:bottom w:val="single" w:sz="8" w:color="D3ECED"/>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(86,277)</w:t>
            </w:r>
          </w:p>
        </w:tc>
        <w:tc>
          <w:tcPr>
            <w:tcW w:w="10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D3ECED"/>
              <w:right w:val="single" w:sz="8" w:color="FDFDFD"/>
            </w:tcBorders>
            <w:shd w:val="clear" w:color="auto" w:fill="FDFDFD"/>
          </w:tcPr>
          <w:p>
            <w:pPr>
              <w:spacing w:after="0"/>
              <w:rPr>
                <w:sz w:val="19"/>
                <w:szCs w:val="19"/>
                <w:color w:val="auto"/>
              </w:rPr>
            </w:pPr>
          </w:p>
        </w:tc>
        <w:tc>
          <w:tcPr>
            <w:tcW w:w="100" w:type="dxa"/>
            <w:vAlign w:val="bottom"/>
            <w:tcBorders>
              <w:bottom w:val="single" w:sz="8" w:color="D3ECED"/>
            </w:tcBorders>
            <w:shd w:val="clear" w:color="auto" w:fill="FDFDFD"/>
          </w:tcPr>
          <w:p>
            <w:pPr>
              <w:spacing w:after="0"/>
              <w:rPr>
                <w:sz w:val="19"/>
                <w:szCs w:val="19"/>
                <w:color w:val="auto"/>
              </w:rPr>
            </w:pPr>
          </w:p>
        </w:tc>
        <w:tc>
          <w:tcPr>
            <w:tcW w:w="820" w:type="dxa"/>
            <w:vAlign w:val="bottom"/>
            <w:tcBorders>
              <w:bottom w:val="single" w:sz="8" w:color="D3ECED"/>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(224)</w:t>
            </w:r>
          </w:p>
        </w:tc>
        <w:tc>
          <w:tcPr>
            <w:tcW w:w="160" w:type="dxa"/>
            <w:vAlign w:val="bottom"/>
            <w:tcBorders>
              <w:left w:val="single" w:sz="8" w:color="FDFDFD"/>
              <w:bottom w:val="single" w:sz="8" w:color="FDFDFD"/>
              <w:right w:val="single" w:sz="8" w:color="FDFDFD"/>
            </w:tcBorders>
            <w:shd w:val="clear" w:color="auto" w:fill="FDFDFD"/>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10"/>
        </w:trPr>
        <w:tc>
          <w:tcPr>
            <w:tcW w:w="4620" w:type="dxa"/>
            <w:vAlign w:val="bottom"/>
            <w:shd w:val="clear" w:color="auto" w:fill="D3ECED"/>
          </w:tcPr>
          <w:p>
            <w:pPr>
              <w:spacing w:after="0" w:line="211" w:lineRule="exact"/>
              <w:rPr>
                <w:sz w:val="20"/>
                <w:szCs w:val="20"/>
                <w:color w:val="auto"/>
              </w:rPr>
            </w:pPr>
            <w:r>
              <w:rPr>
                <w:rFonts w:ascii="Arial" w:cs="Arial" w:eastAsia="Arial" w:hAnsi="Arial"/>
                <w:sz w:val="19"/>
                <w:szCs w:val="19"/>
                <w:color w:val="auto"/>
              </w:rPr>
              <w:t>Provision for income taxes</w:t>
            </w:r>
          </w:p>
        </w:tc>
        <w:tc>
          <w:tcPr>
            <w:tcW w:w="120" w:type="dxa"/>
            <w:vAlign w:val="bottom"/>
            <w:shd w:val="clear" w:color="auto" w:fill="D3ECED"/>
          </w:tcPr>
          <w:p>
            <w:pPr>
              <w:spacing w:after="0"/>
              <w:rPr>
                <w:sz w:val="18"/>
                <w:szCs w:val="18"/>
                <w:color w:val="auto"/>
              </w:rPr>
            </w:pPr>
          </w:p>
        </w:tc>
        <w:tc>
          <w:tcPr>
            <w:tcW w:w="82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98</w:t>
            </w:r>
          </w:p>
        </w:tc>
        <w:tc>
          <w:tcPr>
            <w:tcW w:w="180" w:type="dxa"/>
            <w:vAlign w:val="bottom"/>
            <w:tcBorders>
              <w:right w:val="single" w:sz="8" w:color="D3ECED"/>
            </w:tcBorders>
            <w:shd w:val="clear" w:color="auto" w:fill="D3ECED"/>
          </w:tcPr>
          <w:p>
            <w:pPr>
              <w:spacing w:after="0"/>
              <w:rPr>
                <w:sz w:val="18"/>
                <w:szCs w:val="18"/>
                <w:color w:val="auto"/>
              </w:rPr>
            </w:pPr>
          </w:p>
        </w:tc>
        <w:tc>
          <w:tcPr>
            <w:tcW w:w="110" w:type="dxa"/>
            <w:vAlign w:val="bottom"/>
            <w:shd w:val="clear" w:color="auto" w:fill="D3ECED"/>
          </w:tcPr>
          <w:p>
            <w:pPr>
              <w:spacing w:after="0"/>
              <w:rPr>
                <w:sz w:val="18"/>
                <w:szCs w:val="18"/>
                <w:color w:val="auto"/>
              </w:rPr>
            </w:pPr>
          </w:p>
        </w:tc>
        <w:tc>
          <w:tcPr>
            <w:tcW w:w="81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w:t>
            </w:r>
          </w:p>
        </w:tc>
        <w:tc>
          <w:tcPr>
            <w:tcW w:w="100" w:type="dxa"/>
            <w:vAlign w:val="bottom"/>
            <w:shd w:val="clear" w:color="auto" w:fill="D3ECED"/>
          </w:tcPr>
          <w:p>
            <w:pPr>
              <w:spacing w:after="0"/>
              <w:rPr>
                <w:sz w:val="18"/>
                <w:szCs w:val="18"/>
                <w:color w:val="auto"/>
              </w:rPr>
            </w:pPr>
          </w:p>
        </w:tc>
        <w:tc>
          <w:tcPr>
            <w:tcW w:w="100" w:type="dxa"/>
            <w:vAlign w:val="bottom"/>
            <w:tcBorders>
              <w:right w:val="single" w:sz="8" w:color="D3ECED"/>
            </w:tcBorders>
            <w:shd w:val="clear" w:color="auto" w:fill="D3ECED"/>
          </w:tcPr>
          <w:p>
            <w:pPr>
              <w:spacing w:after="0"/>
              <w:rPr>
                <w:sz w:val="18"/>
                <w:szCs w:val="18"/>
                <w:color w:val="auto"/>
              </w:rPr>
            </w:pPr>
          </w:p>
        </w:tc>
        <w:tc>
          <w:tcPr>
            <w:tcW w:w="100" w:type="dxa"/>
            <w:vAlign w:val="bottom"/>
            <w:shd w:val="clear" w:color="auto" w:fill="D3ECED"/>
          </w:tcPr>
          <w:p>
            <w:pPr>
              <w:spacing w:after="0"/>
              <w:rPr>
                <w:sz w:val="18"/>
                <w:szCs w:val="18"/>
                <w:color w:val="auto"/>
              </w:rPr>
            </w:pPr>
          </w:p>
        </w:tc>
        <w:tc>
          <w:tcPr>
            <w:tcW w:w="820" w:type="dxa"/>
            <w:vAlign w:val="bottom"/>
            <w:tcBorders>
              <w:right w:val="single" w:sz="8" w:color="D3ECED"/>
            </w:tcBorders>
            <w:shd w:val="clear" w:color="auto" w:fill="D3ECED"/>
          </w:tcPr>
          <w:p>
            <w:pPr>
              <w:jc w:val="right"/>
              <w:spacing w:after="0" w:line="211" w:lineRule="exact"/>
              <w:rPr>
                <w:sz w:val="20"/>
                <w:szCs w:val="20"/>
                <w:color w:val="auto"/>
              </w:rPr>
            </w:pPr>
            <w:r>
              <w:rPr>
                <w:rFonts w:ascii="Arial" w:cs="Arial" w:eastAsia="Arial" w:hAnsi="Arial"/>
                <w:sz w:val="19"/>
                <w:szCs w:val="19"/>
                <w:color w:val="auto"/>
              </w:rPr>
              <w:t>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spacing w:after="0" w:line="211" w:lineRule="exact"/>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22"/>
        </w:trPr>
        <w:tc>
          <w:tcPr>
            <w:tcW w:w="4620" w:type="dxa"/>
            <w:vAlign w:val="bottom"/>
            <w:tcBorders>
              <w:top w:val="single" w:sz="8" w:color="FDFDFD"/>
            </w:tcBorders>
            <w:shd w:val="clear" w:color="auto" w:fill="FDFDFD"/>
          </w:tcPr>
          <w:p>
            <w:pPr>
              <w:spacing w:after="0"/>
              <w:rPr>
                <w:sz w:val="20"/>
                <w:szCs w:val="20"/>
                <w:color w:val="auto"/>
              </w:rPr>
            </w:pPr>
            <w:r>
              <w:rPr>
                <w:rFonts w:ascii="Arial" w:cs="Arial" w:eastAsia="Arial" w:hAnsi="Arial"/>
                <w:sz w:val="19"/>
                <w:szCs w:val="19"/>
                <w:color w:val="auto"/>
              </w:rPr>
              <w:t>Net loss</w:t>
            </w:r>
          </w:p>
        </w:tc>
        <w:tc>
          <w:tcPr>
            <w:tcW w:w="120" w:type="dxa"/>
            <w:vAlign w:val="bottom"/>
            <w:tcBorders>
              <w:top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highlight w:val="white"/>
                <w:w w:val="75"/>
              </w:rPr>
              <w:t>$</w:t>
            </w:r>
          </w:p>
        </w:tc>
        <w:tc>
          <w:tcPr>
            <w:tcW w:w="820" w:type="dxa"/>
            <w:vAlign w:val="bottom"/>
            <w:tcBorders>
              <w:top w:val="single" w:sz="8" w:color="auto"/>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(86,599)</w:t>
            </w:r>
          </w:p>
        </w:tc>
        <w:tc>
          <w:tcPr>
            <w:tcW w:w="180" w:type="dxa"/>
            <w:vAlign w:val="bottom"/>
            <w:tcBorders>
              <w:top w:val="single" w:sz="8" w:color="FDFDFD"/>
              <w:right w:val="single" w:sz="8" w:color="FDFDFD"/>
            </w:tcBorders>
            <w:shd w:val="clear" w:color="auto" w:fill="FDFDFD"/>
          </w:tcPr>
          <w:p>
            <w:pPr>
              <w:spacing w:after="0"/>
              <w:rPr>
                <w:sz w:val="19"/>
                <w:szCs w:val="19"/>
                <w:color w:val="auto"/>
              </w:rPr>
            </w:pPr>
          </w:p>
        </w:tc>
        <w:tc>
          <w:tcPr>
            <w:tcW w:w="110" w:type="dxa"/>
            <w:vAlign w:val="bottom"/>
            <w:tcBorders>
              <w:top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highlight w:val="white"/>
                <w:w w:val="75"/>
              </w:rPr>
              <w:t>$</w:t>
            </w:r>
          </w:p>
        </w:tc>
        <w:tc>
          <w:tcPr>
            <w:tcW w:w="810" w:type="dxa"/>
            <w:vAlign w:val="bottom"/>
            <w:tcBorders>
              <w:top w:val="single" w:sz="8" w:color="auto"/>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(86,277)</w:t>
            </w:r>
          </w:p>
        </w:tc>
        <w:tc>
          <w:tcPr>
            <w:tcW w:w="100" w:type="dxa"/>
            <w:vAlign w:val="bottom"/>
            <w:tcBorders>
              <w:top w:val="single" w:sz="8" w:color="FDFDFD"/>
            </w:tcBorders>
            <w:shd w:val="clear" w:color="auto" w:fill="FDFDFD"/>
          </w:tcPr>
          <w:p>
            <w:pPr>
              <w:spacing w:after="0"/>
              <w:rPr>
                <w:sz w:val="19"/>
                <w:szCs w:val="19"/>
                <w:color w:val="auto"/>
              </w:rPr>
            </w:pPr>
          </w:p>
        </w:tc>
        <w:tc>
          <w:tcPr>
            <w:tcW w:w="100" w:type="dxa"/>
            <w:vAlign w:val="bottom"/>
            <w:tcBorders>
              <w:top w:val="single" w:sz="8" w:color="FDFDFD"/>
              <w:right w:val="single" w:sz="8" w:color="FDFDFD"/>
            </w:tcBorders>
            <w:shd w:val="clear" w:color="auto" w:fill="FDFDFD"/>
          </w:tcPr>
          <w:p>
            <w:pPr>
              <w:spacing w:after="0"/>
              <w:rPr>
                <w:sz w:val="19"/>
                <w:szCs w:val="19"/>
                <w:color w:val="auto"/>
              </w:rPr>
            </w:pPr>
          </w:p>
        </w:tc>
        <w:tc>
          <w:tcPr>
            <w:tcW w:w="100" w:type="dxa"/>
            <w:vAlign w:val="bottom"/>
            <w:tcBorders>
              <w:top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highlight w:val="white"/>
                <w:w w:val="75"/>
              </w:rPr>
              <w:t>$</w:t>
            </w:r>
          </w:p>
        </w:tc>
        <w:tc>
          <w:tcPr>
            <w:tcW w:w="820" w:type="dxa"/>
            <w:vAlign w:val="bottom"/>
            <w:tcBorders>
              <w:top w:val="single" w:sz="8" w:color="auto"/>
              <w:right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(322)</w:t>
            </w:r>
          </w:p>
        </w:tc>
        <w:tc>
          <w:tcPr>
            <w:tcW w:w="160" w:type="dxa"/>
            <w:vAlign w:val="bottom"/>
            <w:tcBorders>
              <w:top w:val="single" w:sz="8" w:color="FDFDFD"/>
              <w:left w:val="single" w:sz="8" w:color="FDFDFD"/>
              <w:right w:val="single" w:sz="8" w:color="FDFDFD"/>
            </w:tcBorders>
            <w:shd w:val="clear" w:color="auto" w:fill="FDFDFD"/>
          </w:tcPr>
          <w:p>
            <w:pPr>
              <w:spacing w:after="0"/>
              <w:rPr>
                <w:sz w:val="19"/>
                <w:szCs w:val="19"/>
                <w:color w:val="auto"/>
              </w:rPr>
            </w:pPr>
          </w:p>
        </w:tc>
        <w:tc>
          <w:tcPr>
            <w:tcW w:w="200" w:type="dxa"/>
            <w:vAlign w:val="bottom"/>
            <w:tcBorders>
              <w:top w:val="single" w:sz="8" w:color="auto"/>
            </w:tcBorders>
            <w:shd w:val="clear" w:color="auto" w:fill="FDFDFD"/>
          </w:tcPr>
          <w:p>
            <w:pPr>
              <w:spacing w:after="0"/>
              <w:rPr>
                <w:sz w:val="19"/>
                <w:szCs w:val="19"/>
                <w:color w:val="auto"/>
              </w:rPr>
            </w:pPr>
          </w:p>
        </w:tc>
        <w:tc>
          <w:tcPr>
            <w:tcW w:w="600" w:type="dxa"/>
            <w:vAlign w:val="bottom"/>
            <w:tcBorders>
              <w:top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0</w:t>
            </w:r>
          </w:p>
        </w:tc>
        <w:tc>
          <w:tcPr>
            <w:tcW w:w="240" w:type="dxa"/>
            <w:vAlign w:val="bottom"/>
            <w:tcBorders>
              <w:top w:val="single" w:sz="8" w:color="FDFDFD"/>
            </w:tcBorders>
            <w:gridSpan w:val="2"/>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509"/>
        </w:trPr>
        <w:tc>
          <w:tcPr>
            <w:tcW w:w="4620" w:type="dxa"/>
            <w:vAlign w:val="bottom"/>
          </w:tcPr>
          <w:p>
            <w:pPr>
              <w:ind w:left="340"/>
              <w:spacing w:after="0"/>
              <w:rPr>
                <w:sz w:val="20"/>
                <w:szCs w:val="20"/>
                <w:color w:val="auto"/>
              </w:rPr>
            </w:pPr>
            <w:r>
              <w:rPr>
                <w:rFonts w:ascii="Arial" w:cs="Arial" w:eastAsia="Arial" w:hAnsi="Arial"/>
                <w:sz w:val="19"/>
                <w:szCs w:val="19"/>
                <w:b w:val="1"/>
                <w:bCs w:val="1"/>
                <w:color w:val="auto"/>
              </w:rPr>
              <w:t>Revenue</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81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46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2020" w:type="dxa"/>
            <w:vAlign w:val="bottom"/>
            <w:gridSpan w:val="5"/>
            <w:shd w:val="clear" w:color="auto" w:fill="FDFDFD"/>
          </w:tcPr>
          <w:p>
            <w:pPr>
              <w:ind w:left="60"/>
              <w:spacing w:after="0"/>
              <w:rPr>
                <w:sz w:val="20"/>
                <w:szCs w:val="20"/>
                <w:color w:val="auto"/>
              </w:rPr>
            </w:pPr>
            <w:r>
              <w:rPr>
                <w:rFonts w:ascii="Arial" w:cs="Arial" w:eastAsia="Arial" w:hAnsi="Arial"/>
                <w:sz w:val="15"/>
                <w:szCs w:val="15"/>
                <w:b w:val="1"/>
                <w:bCs w:val="1"/>
                <w:color w:val="auto"/>
              </w:rPr>
              <w:t>Year ended December 31,</w:t>
            </w:r>
          </w:p>
        </w:tc>
        <w:tc>
          <w:tcPr>
            <w:tcW w:w="100" w:type="dxa"/>
            <w:vAlign w:val="bottom"/>
            <w:tcBorders>
              <w:right w:val="single" w:sz="8" w:color="FDFDFD"/>
            </w:tcBorders>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180" w:type="dxa"/>
            <w:vAlign w:val="bottom"/>
            <w:gridSpan w:val="3"/>
            <w:shd w:val="clear" w:color="auto" w:fill="FDFDFD"/>
          </w:tcPr>
          <w:p>
            <w:pPr>
              <w:ind w:left="580"/>
              <w:spacing w:after="0"/>
              <w:rPr>
                <w:sz w:val="20"/>
                <w:szCs w:val="20"/>
                <w:color w:val="auto"/>
              </w:rPr>
            </w:pPr>
            <w:r>
              <w:rPr>
                <w:rFonts w:ascii="Arial" w:cs="Arial" w:eastAsia="Arial" w:hAnsi="Arial"/>
                <w:sz w:val="15"/>
                <w:szCs w:val="15"/>
                <w:b w:val="1"/>
                <w:bCs w:val="1"/>
                <w:color w:val="auto"/>
              </w:rPr>
              <w:t>Change</w:t>
            </w:r>
          </w:p>
        </w:tc>
        <w:tc>
          <w:tcPr>
            <w:tcW w:w="600" w:type="dxa"/>
            <w:vAlign w:val="bottom"/>
            <w:shd w:val="clear" w:color="auto" w:fill="FDFDFD"/>
          </w:tcPr>
          <w:p>
            <w:pPr>
              <w:spacing w:after="0"/>
              <w:rPr>
                <w:sz w:val="15"/>
                <w:szCs w:val="15"/>
                <w:color w:val="auto"/>
              </w:rPr>
            </w:pPr>
          </w:p>
        </w:tc>
        <w:tc>
          <w:tcPr>
            <w:tcW w:w="2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20" w:type="dxa"/>
            <w:vAlign w:val="bottom"/>
            <w:tcBorders>
              <w:top w:val="single" w:sz="8" w:color="FDFDFD"/>
              <w:bottom w:val="single" w:sz="8" w:color="FDFDFD"/>
            </w:tcBorders>
            <w:shd w:val="clear" w:color="auto" w:fill="FDFDFD"/>
          </w:tcPr>
          <w:p>
            <w:pPr>
              <w:spacing w:after="0"/>
              <w:rPr>
                <w:sz w:val="14"/>
                <w:szCs w:val="14"/>
                <w:color w:val="auto"/>
              </w:rPr>
            </w:pPr>
          </w:p>
        </w:tc>
        <w:tc>
          <w:tcPr>
            <w:tcW w:w="120" w:type="dxa"/>
            <w:vAlign w:val="bottom"/>
            <w:tcBorders>
              <w:top w:val="single" w:sz="8" w:color="auto"/>
              <w:bottom w:val="single" w:sz="8" w:color="auto"/>
            </w:tcBorders>
            <w:shd w:val="clear" w:color="auto" w:fill="FDFDFD"/>
          </w:tcPr>
          <w:p>
            <w:pPr>
              <w:spacing w:after="0"/>
              <w:rPr>
                <w:sz w:val="14"/>
                <w:szCs w:val="14"/>
                <w:color w:val="auto"/>
              </w:rPr>
            </w:pPr>
          </w:p>
        </w:tc>
        <w:tc>
          <w:tcPr>
            <w:tcW w:w="820" w:type="dxa"/>
            <w:vAlign w:val="bottom"/>
            <w:tcBorders>
              <w:top w:val="single" w:sz="8" w:color="auto"/>
              <w:bottom w:val="single" w:sz="8" w:color="auto"/>
              <w:right w:val="single" w:sz="8" w:color="FDFDFD"/>
            </w:tcBorders>
            <w:shd w:val="clear" w:color="auto" w:fill="FDFDFD"/>
          </w:tcPr>
          <w:p>
            <w:pPr>
              <w:jc w:val="right"/>
              <w:ind w:right="248"/>
              <w:spacing w:after="0" w:line="164" w:lineRule="exact"/>
              <w:rPr>
                <w:sz w:val="20"/>
                <w:szCs w:val="20"/>
                <w:color w:val="auto"/>
              </w:rPr>
            </w:pPr>
            <w:r>
              <w:rPr>
                <w:rFonts w:ascii="Arial" w:cs="Arial" w:eastAsia="Arial" w:hAnsi="Arial"/>
                <w:sz w:val="15"/>
                <w:szCs w:val="15"/>
                <w:b w:val="1"/>
                <w:bCs w:val="1"/>
                <w:color w:val="auto"/>
              </w:rPr>
              <w:t>2024</w:t>
            </w:r>
          </w:p>
        </w:tc>
        <w:tc>
          <w:tcPr>
            <w:tcW w:w="180" w:type="dxa"/>
            <w:vAlign w:val="bottom"/>
            <w:tcBorders>
              <w:top w:val="single" w:sz="8" w:color="auto"/>
              <w:bottom w:val="single" w:sz="8" w:color="FDFDFD"/>
              <w:right w:val="single" w:sz="8" w:color="FDFDFD"/>
            </w:tcBorders>
            <w:shd w:val="clear" w:color="auto" w:fill="FDFDFD"/>
          </w:tcPr>
          <w:p>
            <w:pPr>
              <w:spacing w:after="0"/>
              <w:rPr>
                <w:sz w:val="14"/>
                <w:szCs w:val="14"/>
                <w:color w:val="auto"/>
              </w:rPr>
            </w:pPr>
          </w:p>
        </w:tc>
        <w:tc>
          <w:tcPr>
            <w:tcW w:w="110" w:type="dxa"/>
            <w:vAlign w:val="bottom"/>
            <w:tcBorders>
              <w:top w:val="single" w:sz="8" w:color="auto"/>
              <w:bottom w:val="single" w:sz="8" w:color="auto"/>
            </w:tcBorders>
            <w:shd w:val="clear" w:color="auto" w:fill="FDFDFD"/>
          </w:tcPr>
          <w:p>
            <w:pPr>
              <w:spacing w:after="0"/>
              <w:rPr>
                <w:sz w:val="14"/>
                <w:szCs w:val="14"/>
                <w:color w:val="auto"/>
              </w:rPr>
            </w:pPr>
          </w:p>
        </w:tc>
        <w:tc>
          <w:tcPr>
            <w:tcW w:w="810" w:type="dxa"/>
            <w:vAlign w:val="bottom"/>
            <w:tcBorders>
              <w:top w:val="single" w:sz="8" w:color="auto"/>
              <w:bottom w:val="single" w:sz="8" w:color="auto"/>
              <w:right w:val="single" w:sz="8" w:color="FDFDFD"/>
            </w:tcBorders>
            <w:shd w:val="clear" w:color="auto" w:fill="FDFDFD"/>
          </w:tcPr>
          <w:p>
            <w:pPr>
              <w:jc w:val="right"/>
              <w:ind w:right="248"/>
              <w:spacing w:after="0" w:line="164" w:lineRule="exact"/>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FDFDFD"/>
              <w:bottom w:val="single" w:sz="8" w:color="FDFDFD"/>
            </w:tcBorders>
            <w:shd w:val="clear" w:color="auto" w:fill="FDFDFD"/>
          </w:tcPr>
          <w:p>
            <w:pPr>
              <w:spacing w:after="0"/>
              <w:rPr>
                <w:sz w:val="14"/>
                <w:szCs w:val="14"/>
                <w:color w:val="auto"/>
              </w:rPr>
            </w:pPr>
          </w:p>
        </w:tc>
        <w:tc>
          <w:tcPr>
            <w:tcW w:w="100" w:type="dxa"/>
            <w:vAlign w:val="bottom"/>
            <w:tcBorders>
              <w:top w:val="single" w:sz="8" w:color="FDFDFD"/>
              <w:bottom w:val="single" w:sz="8" w:color="FDFDFD"/>
              <w:right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spacing w:after="0"/>
              <w:rPr>
                <w:sz w:val="14"/>
                <w:szCs w:val="14"/>
                <w:color w:val="auto"/>
              </w:rPr>
            </w:pPr>
          </w:p>
        </w:tc>
        <w:tc>
          <w:tcPr>
            <w:tcW w:w="820" w:type="dxa"/>
            <w:vAlign w:val="bottom"/>
            <w:tcBorders>
              <w:top w:val="single" w:sz="8" w:color="auto"/>
              <w:bottom w:val="single" w:sz="8" w:color="auto"/>
              <w:right w:val="single" w:sz="8" w:color="FDFDFD"/>
            </w:tcBorders>
            <w:shd w:val="clear" w:color="auto" w:fill="FDFDFD"/>
          </w:tcPr>
          <w:p>
            <w:pPr>
              <w:jc w:val="right"/>
              <w:ind w:right="168"/>
              <w:spacing w:after="0" w:line="164" w:lineRule="exact"/>
              <w:rPr>
                <w:sz w:val="20"/>
                <w:szCs w:val="20"/>
                <w:color w:val="auto"/>
              </w:rPr>
            </w:pPr>
            <w:r>
              <w:rPr>
                <w:rFonts w:ascii="Arial" w:cs="Arial" w:eastAsia="Arial" w:hAnsi="Arial"/>
                <w:sz w:val="15"/>
                <w:szCs w:val="15"/>
                <w:b w:val="1"/>
                <w:bCs w:val="1"/>
                <w:color w:val="auto"/>
                <w:w w:val="95"/>
              </w:rPr>
              <w:t>Amount</w:t>
            </w:r>
          </w:p>
        </w:tc>
        <w:tc>
          <w:tcPr>
            <w:tcW w:w="160" w:type="dxa"/>
            <w:vAlign w:val="bottom"/>
            <w:tcBorders>
              <w:top w:val="single" w:sz="8" w:color="auto"/>
              <w:left w:val="single" w:sz="8" w:color="FDFDFD"/>
              <w:bottom w:val="single" w:sz="8" w:color="FDFDFD"/>
              <w:right w:val="single" w:sz="8" w:color="FDFDFD"/>
            </w:tcBorders>
            <w:shd w:val="clear" w:color="auto" w:fill="FDFDFD"/>
          </w:tcPr>
          <w:p>
            <w:pPr>
              <w:spacing w:after="0"/>
              <w:rPr>
                <w:sz w:val="14"/>
                <w:szCs w:val="14"/>
                <w:color w:val="auto"/>
              </w:rPr>
            </w:pPr>
          </w:p>
        </w:tc>
        <w:tc>
          <w:tcPr>
            <w:tcW w:w="200" w:type="dxa"/>
            <w:vAlign w:val="bottom"/>
            <w:tcBorders>
              <w:top w:val="single" w:sz="8" w:color="auto"/>
              <w:bottom w:val="single" w:sz="8" w:color="auto"/>
            </w:tcBorders>
            <w:shd w:val="clear" w:color="auto" w:fill="FDFDFD"/>
          </w:tcPr>
          <w:p>
            <w:pPr>
              <w:spacing w:after="0"/>
              <w:rPr>
                <w:sz w:val="14"/>
                <w:szCs w:val="14"/>
                <w:color w:val="auto"/>
              </w:rPr>
            </w:pPr>
          </w:p>
        </w:tc>
        <w:tc>
          <w:tcPr>
            <w:tcW w:w="600" w:type="dxa"/>
            <w:vAlign w:val="bottom"/>
            <w:tcBorders>
              <w:top w:val="single" w:sz="8" w:color="auto"/>
              <w:bottom w:val="single" w:sz="8" w:color="auto"/>
            </w:tcBorders>
            <w:shd w:val="clear" w:color="auto" w:fill="FDFDFD"/>
          </w:tcPr>
          <w:p>
            <w:pPr>
              <w:jc w:val="right"/>
              <w:ind w:right="247"/>
              <w:spacing w:after="0" w:line="164" w:lineRule="exact"/>
              <w:rPr>
                <w:sz w:val="20"/>
                <w:szCs w:val="20"/>
                <w:color w:val="auto"/>
              </w:rPr>
            </w:pPr>
            <w:r>
              <w:rPr>
                <w:rFonts w:ascii="Arial" w:cs="Arial" w:eastAsia="Arial" w:hAnsi="Arial"/>
                <w:sz w:val="15"/>
                <w:szCs w:val="15"/>
                <w:b w:val="1"/>
                <w:bCs w:val="1"/>
                <w:color w:val="auto"/>
              </w:rPr>
              <w:t>%</w:t>
            </w:r>
          </w:p>
        </w:tc>
        <w:tc>
          <w:tcPr>
            <w:tcW w:w="20" w:type="dxa"/>
            <w:vAlign w:val="bottom"/>
            <w:tcBorders>
              <w:top w:val="single" w:sz="8" w:color="auto"/>
              <w:bottom w:val="single" w:sz="8" w:color="auto"/>
            </w:tcBorders>
            <w:shd w:val="clear" w:color="auto" w:fill="FDFDFD"/>
          </w:tcPr>
          <w:p>
            <w:pPr>
              <w:spacing w:after="0"/>
              <w:rPr>
                <w:sz w:val="14"/>
                <w:szCs w:val="14"/>
                <w:color w:val="auto"/>
              </w:rPr>
            </w:pPr>
          </w:p>
        </w:tc>
        <w:tc>
          <w:tcPr>
            <w:tcW w:w="220" w:type="dxa"/>
            <w:vAlign w:val="bottom"/>
            <w:tcBorders>
              <w:top w:val="single" w:sz="8" w:color="FDFDFD"/>
              <w:bottom w:val="single" w:sz="8" w:color="FDFDFD"/>
            </w:tcBorders>
            <w:shd w:val="clear" w:color="auto" w:fill="FDFDF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FDFDFD"/>
          </w:tcPr>
          <w:p>
            <w:pPr>
              <w:spacing w:after="0"/>
              <w:rPr>
                <w:sz w:val="14"/>
                <w:szCs w:val="14"/>
                <w:color w:val="auto"/>
              </w:rPr>
            </w:pPr>
          </w:p>
        </w:tc>
        <w:tc>
          <w:tcPr>
            <w:tcW w:w="120" w:type="dxa"/>
            <w:vAlign w:val="bottom"/>
            <w:shd w:val="clear" w:color="auto" w:fill="FDFDFD"/>
          </w:tcPr>
          <w:p>
            <w:pPr>
              <w:spacing w:after="0"/>
              <w:rPr>
                <w:sz w:val="14"/>
                <w:szCs w:val="14"/>
                <w:color w:val="auto"/>
              </w:rPr>
            </w:pPr>
          </w:p>
        </w:tc>
        <w:tc>
          <w:tcPr>
            <w:tcW w:w="820" w:type="dxa"/>
            <w:vAlign w:val="bottom"/>
            <w:tcBorders>
              <w:right w:val="single" w:sz="8" w:color="FDFDFD"/>
            </w:tcBorders>
            <w:shd w:val="clear" w:color="auto" w:fill="FDFDFD"/>
          </w:tcPr>
          <w:p>
            <w:pPr>
              <w:spacing w:after="0"/>
              <w:rPr>
                <w:sz w:val="14"/>
                <w:szCs w:val="14"/>
                <w:color w:val="auto"/>
              </w:rPr>
            </w:pPr>
          </w:p>
        </w:tc>
        <w:tc>
          <w:tcPr>
            <w:tcW w:w="180" w:type="dxa"/>
            <w:vAlign w:val="bottom"/>
            <w:tcBorders>
              <w:right w:val="single" w:sz="8" w:color="FDFDFD"/>
            </w:tcBorders>
            <w:shd w:val="clear" w:color="auto" w:fill="FDFDFD"/>
          </w:tcPr>
          <w:p>
            <w:pPr>
              <w:spacing w:after="0"/>
              <w:rPr>
                <w:sz w:val="14"/>
                <w:szCs w:val="14"/>
                <w:color w:val="auto"/>
              </w:rPr>
            </w:pPr>
          </w:p>
        </w:tc>
        <w:tc>
          <w:tcPr>
            <w:tcW w:w="110" w:type="dxa"/>
            <w:vAlign w:val="bottom"/>
            <w:shd w:val="clear" w:color="auto" w:fill="FDFDFD"/>
          </w:tcPr>
          <w:p>
            <w:pPr>
              <w:spacing w:after="0"/>
              <w:rPr>
                <w:sz w:val="14"/>
                <w:szCs w:val="14"/>
                <w:color w:val="auto"/>
              </w:rPr>
            </w:pPr>
          </w:p>
        </w:tc>
        <w:tc>
          <w:tcPr>
            <w:tcW w:w="810" w:type="dxa"/>
            <w:vAlign w:val="bottom"/>
            <w:tcBorders>
              <w:right w:val="single" w:sz="8" w:color="FDFDFD"/>
            </w:tcBorders>
            <w:shd w:val="clear" w:color="auto" w:fill="FDFDFD"/>
          </w:tcPr>
          <w:p>
            <w:pPr>
              <w:jc w:val="right"/>
              <w:spacing w:after="0" w:line="162" w:lineRule="exact"/>
              <w:rPr>
                <w:sz w:val="20"/>
                <w:szCs w:val="20"/>
                <w:color w:val="auto"/>
              </w:rPr>
            </w:pPr>
            <w:r>
              <w:rPr>
                <w:rFonts w:ascii="Arial" w:cs="Arial" w:eastAsia="Arial" w:hAnsi="Arial"/>
                <w:sz w:val="15"/>
                <w:szCs w:val="15"/>
                <w:color w:val="auto"/>
              </w:rPr>
              <w:t>(dollars in</w:t>
            </w:r>
          </w:p>
        </w:tc>
        <w:tc>
          <w:tcPr>
            <w:tcW w:w="100" w:type="dxa"/>
            <w:vAlign w:val="bottom"/>
            <w:shd w:val="clear" w:color="auto" w:fill="FDFDFD"/>
          </w:tcPr>
          <w:p>
            <w:pPr>
              <w:spacing w:after="0"/>
              <w:rPr>
                <w:sz w:val="14"/>
                <w:szCs w:val="14"/>
                <w:color w:val="auto"/>
              </w:rPr>
            </w:pPr>
          </w:p>
        </w:tc>
        <w:tc>
          <w:tcPr>
            <w:tcW w:w="100" w:type="dxa"/>
            <w:vAlign w:val="bottom"/>
            <w:tcBorders>
              <w:right w:val="single" w:sz="8" w:color="FDFDFD"/>
            </w:tcBorders>
            <w:shd w:val="clear" w:color="auto" w:fill="FDFDFD"/>
          </w:tcPr>
          <w:p>
            <w:pPr>
              <w:spacing w:after="0"/>
              <w:rPr>
                <w:sz w:val="14"/>
                <w:szCs w:val="14"/>
                <w:color w:val="auto"/>
              </w:rPr>
            </w:pPr>
          </w:p>
        </w:tc>
        <w:tc>
          <w:tcPr>
            <w:tcW w:w="920" w:type="dxa"/>
            <w:vAlign w:val="bottom"/>
            <w:tcBorders>
              <w:right w:val="single" w:sz="8" w:color="FDFDFD"/>
            </w:tcBorders>
            <w:gridSpan w:val="2"/>
            <w:shd w:val="clear" w:color="auto" w:fill="FDFDFD"/>
          </w:tcPr>
          <w:p>
            <w:pPr>
              <w:spacing w:after="0" w:line="162" w:lineRule="exact"/>
              <w:rPr>
                <w:sz w:val="20"/>
                <w:szCs w:val="20"/>
                <w:color w:val="auto"/>
              </w:rPr>
            </w:pPr>
            <w:r>
              <w:rPr>
                <w:rFonts w:ascii="Arial" w:cs="Arial" w:eastAsia="Arial" w:hAnsi="Arial"/>
                <w:sz w:val="15"/>
                <w:szCs w:val="15"/>
                <w:color w:val="auto"/>
              </w:rPr>
              <w:t>thousands)</w:t>
            </w:r>
          </w:p>
        </w:tc>
        <w:tc>
          <w:tcPr>
            <w:tcW w:w="160" w:type="dxa"/>
            <w:vAlign w:val="bottom"/>
            <w:tcBorders>
              <w:left w:val="single" w:sz="8" w:color="FDFDFD"/>
              <w:right w:val="single" w:sz="8" w:color="FDFDFD"/>
            </w:tcBorders>
            <w:shd w:val="clear" w:color="auto" w:fill="FDFDFD"/>
          </w:tcPr>
          <w:p>
            <w:pPr>
              <w:spacing w:after="0"/>
              <w:rPr>
                <w:sz w:val="14"/>
                <w:szCs w:val="14"/>
                <w:color w:val="auto"/>
              </w:rPr>
            </w:pPr>
          </w:p>
        </w:tc>
        <w:tc>
          <w:tcPr>
            <w:tcW w:w="200" w:type="dxa"/>
            <w:vAlign w:val="bottom"/>
            <w:shd w:val="clear" w:color="auto" w:fill="FDFDFD"/>
          </w:tcPr>
          <w:p>
            <w:pPr>
              <w:spacing w:after="0"/>
              <w:rPr>
                <w:sz w:val="14"/>
                <w:szCs w:val="14"/>
                <w:color w:val="auto"/>
              </w:rPr>
            </w:pPr>
          </w:p>
        </w:tc>
        <w:tc>
          <w:tcPr>
            <w:tcW w:w="600" w:type="dxa"/>
            <w:vAlign w:val="bottom"/>
            <w:shd w:val="clear" w:color="auto" w:fill="FDFDFD"/>
          </w:tcPr>
          <w:p>
            <w:pPr>
              <w:spacing w:after="0"/>
              <w:rPr>
                <w:sz w:val="14"/>
                <w:szCs w:val="14"/>
                <w:color w:val="auto"/>
              </w:rPr>
            </w:pPr>
          </w:p>
        </w:tc>
        <w:tc>
          <w:tcPr>
            <w:tcW w:w="20" w:type="dxa"/>
            <w:vAlign w:val="bottom"/>
            <w:shd w:val="clear" w:color="auto" w:fill="FDFDFD"/>
          </w:tcPr>
          <w:p>
            <w:pPr>
              <w:spacing w:after="0"/>
              <w:rPr>
                <w:sz w:val="14"/>
                <w:szCs w:val="14"/>
                <w:color w:val="auto"/>
              </w:rPr>
            </w:pPr>
          </w:p>
        </w:tc>
        <w:tc>
          <w:tcPr>
            <w:tcW w:w="220" w:type="dxa"/>
            <w:vAlign w:val="bottom"/>
            <w:shd w:val="clear" w:color="auto" w:fill="FDFDFD"/>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620" w:type="dxa"/>
            <w:vAlign w:val="bottom"/>
            <w:shd w:val="clear" w:color="auto" w:fill="D3ECED"/>
          </w:tcPr>
          <w:p>
            <w:pPr>
              <w:spacing w:after="0"/>
              <w:rPr>
                <w:sz w:val="20"/>
                <w:szCs w:val="20"/>
                <w:color w:val="auto"/>
              </w:rPr>
            </w:pPr>
            <w:r>
              <w:rPr>
                <w:rFonts w:ascii="Arial" w:cs="Arial" w:eastAsia="Arial" w:hAnsi="Arial"/>
                <w:sz w:val="19"/>
                <w:szCs w:val="19"/>
                <w:color w:val="auto"/>
              </w:rPr>
              <w:t>Revenue</w:t>
            </w: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14,170</w:t>
            </w:r>
          </w:p>
        </w:tc>
        <w:tc>
          <w:tcPr>
            <w:tcW w:w="29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1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16,661</w:t>
            </w:r>
          </w:p>
        </w:tc>
        <w:tc>
          <w:tcPr>
            <w:tcW w:w="100" w:type="dxa"/>
            <w:vAlign w:val="bottom"/>
            <w:shd w:val="clear" w:color="auto" w:fill="D3ECED"/>
          </w:tcPr>
          <w:p>
            <w:pPr>
              <w:spacing w:after="0"/>
              <w:rPr>
                <w:sz w:val="18"/>
                <w:szCs w:val="18"/>
                <w:color w:val="auto"/>
              </w:rPr>
            </w:pPr>
          </w:p>
        </w:tc>
        <w:tc>
          <w:tcPr>
            <w:tcW w:w="200" w:type="dxa"/>
            <w:vAlign w:val="bottom"/>
            <w:gridSpan w:val="2"/>
            <w:shd w:val="clear" w:color="auto" w:fill="D3ECED"/>
          </w:tcPr>
          <w:p>
            <w:pPr>
              <w:ind w:left="60"/>
              <w:spacing w:after="0"/>
              <w:rPr>
                <w:sz w:val="20"/>
                <w:szCs w:val="20"/>
                <w:color w:val="auto"/>
              </w:rPr>
            </w:pPr>
            <w:r>
              <w:rPr>
                <w:rFonts w:ascii="Arial" w:cs="Arial" w:eastAsia="Arial" w:hAnsi="Arial"/>
                <w:sz w:val="19"/>
                <w:szCs w:val="19"/>
                <w:color w:val="auto"/>
              </w:rPr>
              <w:t>$</w:t>
            </w:r>
          </w:p>
        </w:tc>
        <w:tc>
          <w:tcPr>
            <w:tcW w:w="82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(2,491)</w:t>
            </w:r>
          </w:p>
        </w:tc>
        <w:tc>
          <w:tcPr>
            <w:tcW w:w="160" w:type="dxa"/>
            <w:vAlign w:val="bottom"/>
            <w:tcBorders>
              <w:left w:val="single" w:sz="8" w:color="D3ECED"/>
              <w:right w:val="single" w:sz="8" w:color="D3ECED"/>
            </w:tcBorders>
            <w:shd w:val="clear" w:color="auto" w:fill="D3ECED"/>
          </w:tcPr>
          <w:p>
            <w:pPr>
              <w:spacing w:after="0"/>
              <w:rPr>
                <w:sz w:val="18"/>
                <w:szCs w:val="18"/>
                <w:color w:val="auto"/>
              </w:rPr>
            </w:pPr>
          </w:p>
        </w:tc>
        <w:tc>
          <w:tcPr>
            <w:tcW w:w="200" w:type="dxa"/>
            <w:vAlign w:val="bottom"/>
            <w:shd w:val="clear" w:color="auto" w:fill="D3ECED"/>
          </w:tcPr>
          <w:p>
            <w:pPr>
              <w:spacing w:after="0"/>
              <w:rPr>
                <w:sz w:val="18"/>
                <w:szCs w:val="18"/>
                <w:color w:val="auto"/>
              </w:rPr>
            </w:pPr>
          </w:p>
        </w:tc>
        <w:tc>
          <w:tcPr>
            <w:tcW w:w="62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(15)</w:t>
            </w:r>
          </w:p>
        </w:tc>
        <w:tc>
          <w:tcPr>
            <w:tcW w:w="2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5001260</wp:posOffset>
                </wp:positionH>
                <wp:positionV relativeFrom="paragraph">
                  <wp:posOffset>-4538345</wp:posOffset>
                </wp:positionV>
                <wp:extent cx="629920" cy="147955"/>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920" cy="147955"/>
                        </a:xfrm>
                        <a:prstGeom prst="rect">
                          <a:avLst/>
                        </a:prstGeom>
                        <a:solidFill>
                          <a:srgbClr val="D3ECED"/>
                        </a:solidFill>
                      </wps:spPr>
                      <wps:bodyPr/>
                    </wps:wsp>
                  </a:graphicData>
                </a:graphic>
              </wp:anchor>
            </w:drawing>
          </mc:Choice>
          <mc:Fallback>
            <w:pict>
              <v:rect id="Shape 259" o:spid="_x0000_s1284" style="position:absolute;margin-left:393.8pt;margin-top:-357.3499pt;width:49.6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5629275</wp:posOffset>
                </wp:positionH>
                <wp:positionV relativeFrom="paragraph">
                  <wp:posOffset>-4538345</wp:posOffset>
                </wp:positionV>
                <wp:extent cx="149225" cy="147955"/>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225" cy="147955"/>
                        </a:xfrm>
                        <a:prstGeom prst="rect">
                          <a:avLst/>
                        </a:prstGeom>
                        <a:solidFill>
                          <a:srgbClr val="D3ECED"/>
                        </a:solidFill>
                      </wps:spPr>
                      <wps:bodyPr/>
                    </wps:wsp>
                  </a:graphicData>
                </a:graphic>
              </wp:anchor>
            </w:drawing>
          </mc:Choice>
          <mc:Fallback>
            <w:pict>
              <v:rect id="Shape 260" o:spid="_x0000_s1285" style="position:absolute;margin-left:443.25pt;margin-top:-357.3499pt;width:11.7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-4391660</wp:posOffset>
                </wp:positionV>
                <wp:extent cx="574675" cy="14732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675" cy="147320"/>
                        </a:xfrm>
                        <a:prstGeom prst="rect">
                          <a:avLst/>
                        </a:prstGeom>
                        <a:solidFill>
                          <a:srgbClr val="FDFDFD"/>
                        </a:solidFill>
                      </wps:spPr>
                      <wps:bodyPr/>
                    </wps:wsp>
                  </a:graphicData>
                </a:graphic>
              </wp:anchor>
            </w:drawing>
          </mc:Choice>
          <mc:Fallback>
            <w:pict>
              <v:rect id="Shape 261" o:spid="_x0000_s1286" style="position:absolute;margin-left:398.15pt;margin-top:-345.7999pt;width:45.2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-4245610</wp:posOffset>
                </wp:positionV>
                <wp:extent cx="574675" cy="147955"/>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675" cy="147955"/>
                        </a:xfrm>
                        <a:prstGeom prst="rect">
                          <a:avLst/>
                        </a:prstGeom>
                        <a:solidFill>
                          <a:srgbClr val="D3ECED"/>
                        </a:solidFill>
                      </wps:spPr>
                      <wps:bodyPr/>
                    </wps:wsp>
                  </a:graphicData>
                </a:graphic>
              </wp:anchor>
            </w:drawing>
          </mc:Choice>
          <mc:Fallback>
            <w:pict>
              <v:rect id="Shape 262" o:spid="_x0000_s1287" style="position:absolute;margin-left:398.15pt;margin-top:-334.2999pt;width:45.2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5111115</wp:posOffset>
                </wp:positionH>
                <wp:positionV relativeFrom="paragraph">
                  <wp:posOffset>-4093210</wp:posOffset>
                </wp:positionV>
                <wp:extent cx="520065" cy="147955"/>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065" cy="147955"/>
                        </a:xfrm>
                        <a:prstGeom prst="rect">
                          <a:avLst/>
                        </a:prstGeom>
                        <a:solidFill>
                          <a:srgbClr val="FDFDFD"/>
                        </a:solidFill>
                      </wps:spPr>
                      <wps:bodyPr/>
                    </wps:wsp>
                  </a:graphicData>
                </a:graphic>
              </wp:anchor>
            </w:drawing>
          </mc:Choice>
          <mc:Fallback>
            <w:pict>
              <v:rect id="Shape 263" o:spid="_x0000_s1288" style="position:absolute;margin-left:402.45pt;margin-top:-322.2999pt;width:40.9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-3800475</wp:posOffset>
                </wp:positionV>
                <wp:extent cx="574675" cy="147955"/>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675" cy="147955"/>
                        </a:xfrm>
                        <a:prstGeom prst="rect">
                          <a:avLst/>
                        </a:prstGeom>
                        <a:solidFill>
                          <a:srgbClr val="FDFDFD"/>
                        </a:solidFill>
                      </wps:spPr>
                      <wps:bodyPr/>
                    </wps:wsp>
                  </a:graphicData>
                </a:graphic>
              </wp:anchor>
            </w:drawing>
          </mc:Choice>
          <mc:Fallback>
            <w:pict>
              <v:rect id="Shape 264" o:spid="_x0000_s1289" style="position:absolute;margin-left:398.15pt;margin-top:-299.2499pt;width:45.2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5001260</wp:posOffset>
                </wp:positionH>
                <wp:positionV relativeFrom="paragraph">
                  <wp:posOffset>-3654425</wp:posOffset>
                </wp:positionV>
                <wp:extent cx="629920" cy="147955"/>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920" cy="147955"/>
                        </a:xfrm>
                        <a:prstGeom prst="rect">
                          <a:avLst/>
                        </a:prstGeom>
                        <a:solidFill>
                          <a:srgbClr val="D3ECED"/>
                        </a:solidFill>
                      </wps:spPr>
                      <wps:bodyPr/>
                    </wps:wsp>
                  </a:graphicData>
                </a:graphic>
              </wp:anchor>
            </w:drawing>
          </mc:Choice>
          <mc:Fallback>
            <w:pict>
              <v:rect id="Shape 265" o:spid="_x0000_s1290" style="position:absolute;margin-left:393.8pt;margin-top:-287.7499pt;width:49.6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5629275</wp:posOffset>
                </wp:positionH>
                <wp:positionV relativeFrom="paragraph">
                  <wp:posOffset>-3654425</wp:posOffset>
                </wp:positionV>
                <wp:extent cx="149225" cy="147955"/>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225" cy="147955"/>
                        </a:xfrm>
                        <a:prstGeom prst="rect">
                          <a:avLst/>
                        </a:prstGeom>
                        <a:solidFill>
                          <a:srgbClr val="D3ECED"/>
                        </a:solidFill>
                      </wps:spPr>
                      <wps:bodyPr/>
                    </wps:wsp>
                  </a:graphicData>
                </a:graphic>
              </wp:anchor>
            </w:drawing>
          </mc:Choice>
          <mc:Fallback>
            <w:pict>
              <v:rect id="Shape 266" o:spid="_x0000_s1291" style="position:absolute;margin-left:443.25pt;margin-top:-287.7499pt;width:11.7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-3507740</wp:posOffset>
                </wp:positionV>
                <wp:extent cx="574675" cy="14732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675" cy="147320"/>
                        </a:xfrm>
                        <a:prstGeom prst="rect">
                          <a:avLst/>
                        </a:prstGeom>
                        <a:solidFill>
                          <a:srgbClr val="FDFDFD"/>
                        </a:solidFill>
                      </wps:spPr>
                      <wps:bodyPr/>
                    </wps:wsp>
                  </a:graphicData>
                </a:graphic>
              </wp:anchor>
            </w:drawing>
          </mc:Choice>
          <mc:Fallback>
            <w:pict>
              <v:rect id="Shape 267" o:spid="_x0000_s1292" style="position:absolute;margin-left:398.15pt;margin-top:-276.1999pt;width:45.2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-3361690</wp:posOffset>
                </wp:positionV>
                <wp:extent cx="574675" cy="147955"/>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675" cy="147955"/>
                        </a:xfrm>
                        <a:prstGeom prst="rect">
                          <a:avLst/>
                        </a:prstGeom>
                        <a:solidFill>
                          <a:srgbClr val="D3ECED"/>
                        </a:solidFill>
                      </wps:spPr>
                      <wps:bodyPr/>
                    </wps:wsp>
                  </a:graphicData>
                </a:graphic>
              </wp:anchor>
            </w:drawing>
          </mc:Choice>
          <mc:Fallback>
            <w:pict>
              <v:rect id="Shape 268" o:spid="_x0000_s1293" style="position:absolute;margin-left:398.15pt;margin-top:-264.6999pt;width:45.2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5111115</wp:posOffset>
                </wp:positionH>
                <wp:positionV relativeFrom="paragraph">
                  <wp:posOffset>-3209290</wp:posOffset>
                </wp:positionV>
                <wp:extent cx="520065" cy="147955"/>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065" cy="147955"/>
                        </a:xfrm>
                        <a:prstGeom prst="rect">
                          <a:avLst/>
                        </a:prstGeom>
                        <a:solidFill>
                          <a:srgbClr val="FDFDFD"/>
                        </a:solidFill>
                      </wps:spPr>
                      <wps:bodyPr/>
                    </wps:wsp>
                  </a:graphicData>
                </a:graphic>
              </wp:anchor>
            </w:drawing>
          </mc:Choice>
          <mc:Fallback>
            <w:pict>
              <v:rect id="Shape 269" o:spid="_x0000_s1294" style="position:absolute;margin-left:402.45pt;margin-top:-252.6999pt;width:40.9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5111115</wp:posOffset>
                </wp:positionH>
                <wp:positionV relativeFrom="paragraph">
                  <wp:posOffset>-3056890</wp:posOffset>
                </wp:positionV>
                <wp:extent cx="520065" cy="147955"/>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065" cy="147955"/>
                        </a:xfrm>
                        <a:prstGeom prst="rect">
                          <a:avLst/>
                        </a:prstGeom>
                        <a:solidFill>
                          <a:srgbClr val="D3ECED"/>
                        </a:solidFill>
                      </wps:spPr>
                      <wps:bodyPr/>
                    </wps:wsp>
                  </a:graphicData>
                </a:graphic>
              </wp:anchor>
            </w:drawing>
          </mc:Choice>
          <mc:Fallback>
            <w:pict>
              <v:rect id="Shape 270" o:spid="_x0000_s1295" style="position:absolute;margin-left:402.45pt;margin-top:-240.6999pt;width:40.9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-2758440</wp:posOffset>
                </wp:positionV>
                <wp:extent cx="574675" cy="147955"/>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675" cy="147955"/>
                        </a:xfrm>
                        <a:prstGeom prst="rect">
                          <a:avLst/>
                        </a:prstGeom>
                        <a:solidFill>
                          <a:srgbClr val="D3ECED"/>
                        </a:solidFill>
                      </wps:spPr>
                      <wps:bodyPr/>
                    </wps:wsp>
                  </a:graphicData>
                </a:graphic>
              </wp:anchor>
            </w:drawing>
          </mc:Choice>
          <mc:Fallback>
            <w:pict>
              <v:rect id="Shape 271" o:spid="_x0000_s1296" style="position:absolute;margin-left:398.15pt;margin-top:-217.1999pt;width:45.2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-2611755</wp:posOffset>
                </wp:positionV>
                <wp:extent cx="574675" cy="147955"/>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675" cy="147955"/>
                        </a:xfrm>
                        <a:prstGeom prst="rect">
                          <a:avLst/>
                        </a:prstGeom>
                        <a:solidFill>
                          <a:srgbClr val="FDFDFD"/>
                        </a:solidFill>
                      </wps:spPr>
                      <wps:bodyPr/>
                    </wps:wsp>
                  </a:graphicData>
                </a:graphic>
              </wp:anchor>
            </w:drawing>
          </mc:Choice>
          <mc:Fallback>
            <w:pict>
              <v:rect id="Shape 272" o:spid="_x0000_s1297" style="position:absolute;margin-left:398.15pt;margin-top:-205.6499pt;width:45.2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5111115</wp:posOffset>
                </wp:positionH>
                <wp:positionV relativeFrom="paragraph">
                  <wp:posOffset>-2459355</wp:posOffset>
                </wp:positionV>
                <wp:extent cx="520065" cy="147955"/>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065" cy="147955"/>
                        </a:xfrm>
                        <a:prstGeom prst="rect">
                          <a:avLst/>
                        </a:prstGeom>
                        <a:solidFill>
                          <a:srgbClr val="D3ECED"/>
                        </a:solidFill>
                      </wps:spPr>
                      <wps:bodyPr/>
                    </wps:wsp>
                  </a:graphicData>
                </a:graphic>
              </wp:anchor>
            </w:drawing>
          </mc:Choice>
          <mc:Fallback>
            <w:pict>
              <v:rect id="Shape 273" o:spid="_x0000_s1298" style="position:absolute;margin-left:402.45pt;margin-top:-193.6499pt;width:40.9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5111115</wp:posOffset>
                </wp:positionH>
                <wp:positionV relativeFrom="paragraph">
                  <wp:posOffset>-2306955</wp:posOffset>
                </wp:positionV>
                <wp:extent cx="520065" cy="147955"/>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065" cy="147955"/>
                        </a:xfrm>
                        <a:prstGeom prst="rect">
                          <a:avLst/>
                        </a:prstGeom>
                        <a:solidFill>
                          <a:srgbClr val="FDFDFD"/>
                        </a:solidFill>
                      </wps:spPr>
                      <wps:bodyPr/>
                    </wps:wsp>
                  </a:graphicData>
                </a:graphic>
              </wp:anchor>
            </w:drawing>
          </mc:Choice>
          <mc:Fallback>
            <w:pict>
              <v:rect id="Shape 274" o:spid="_x0000_s1299" style="position:absolute;margin-left:402.45pt;margin-top:-181.6499pt;width:40.9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-2014220</wp:posOffset>
                </wp:positionV>
                <wp:extent cx="574675" cy="14732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675" cy="147320"/>
                        </a:xfrm>
                        <a:prstGeom prst="rect">
                          <a:avLst/>
                        </a:prstGeom>
                        <a:solidFill>
                          <a:srgbClr val="FDFDFD"/>
                        </a:solidFill>
                      </wps:spPr>
                      <wps:bodyPr/>
                    </wps:wsp>
                  </a:graphicData>
                </a:graphic>
              </wp:anchor>
            </w:drawing>
          </mc:Choice>
          <mc:Fallback>
            <w:pict>
              <v:rect id="Shape 275" o:spid="_x0000_s1300" style="position:absolute;margin-left:398.15pt;margin-top:-158.5999pt;width:45.2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5056505</wp:posOffset>
                </wp:positionH>
                <wp:positionV relativeFrom="paragraph">
                  <wp:posOffset>-1868170</wp:posOffset>
                </wp:positionV>
                <wp:extent cx="574675" cy="147955"/>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675" cy="147955"/>
                        </a:xfrm>
                        <a:prstGeom prst="rect">
                          <a:avLst/>
                        </a:prstGeom>
                        <a:solidFill>
                          <a:srgbClr val="D3ECED"/>
                        </a:solidFill>
                      </wps:spPr>
                      <wps:bodyPr/>
                    </wps:wsp>
                  </a:graphicData>
                </a:graphic>
              </wp:anchor>
            </w:drawing>
          </mc:Choice>
          <mc:Fallback>
            <w:pict>
              <v:rect id="Shape 276" o:spid="_x0000_s1301" style="position:absolute;margin-left:398.15pt;margin-top:-147.0999pt;width:45.2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5629275</wp:posOffset>
                </wp:positionH>
                <wp:positionV relativeFrom="paragraph">
                  <wp:posOffset>-1868170</wp:posOffset>
                </wp:positionV>
                <wp:extent cx="149225" cy="147955"/>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225" cy="147955"/>
                        </a:xfrm>
                        <a:prstGeom prst="rect">
                          <a:avLst/>
                        </a:prstGeom>
                        <a:solidFill>
                          <a:srgbClr val="D3ECED"/>
                        </a:solidFill>
                      </wps:spPr>
                      <wps:bodyPr/>
                    </wps:wsp>
                  </a:graphicData>
                </a:graphic>
              </wp:anchor>
            </w:drawing>
          </mc:Choice>
          <mc:Fallback>
            <w:pict>
              <v:rect id="Shape 277" o:spid="_x0000_s1302" style="position:absolute;margin-left:443.25pt;margin-top:-147.0999pt;width:11.7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5001260</wp:posOffset>
                </wp:positionH>
                <wp:positionV relativeFrom="paragraph">
                  <wp:posOffset>-1722120</wp:posOffset>
                </wp:positionV>
                <wp:extent cx="629920" cy="147955"/>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920" cy="147955"/>
                        </a:xfrm>
                        <a:prstGeom prst="rect">
                          <a:avLst/>
                        </a:prstGeom>
                        <a:solidFill>
                          <a:srgbClr val="FDFDFD"/>
                        </a:solidFill>
                      </wps:spPr>
                      <wps:bodyPr/>
                    </wps:wsp>
                  </a:graphicData>
                </a:graphic>
              </wp:anchor>
            </w:drawing>
          </mc:Choice>
          <mc:Fallback>
            <w:pict>
              <v:rect id="Shape 278" o:spid="_x0000_s1303" style="position:absolute;margin-left:393.8pt;margin-top:-135.5999pt;width:49.6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5111115</wp:posOffset>
                </wp:positionH>
                <wp:positionV relativeFrom="paragraph">
                  <wp:posOffset>-1569720</wp:posOffset>
                </wp:positionV>
                <wp:extent cx="520065" cy="147955"/>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065" cy="147955"/>
                        </a:xfrm>
                        <a:prstGeom prst="rect">
                          <a:avLst/>
                        </a:prstGeom>
                        <a:solidFill>
                          <a:srgbClr val="D3ECED"/>
                        </a:solidFill>
                      </wps:spPr>
                      <wps:bodyPr/>
                    </wps:wsp>
                  </a:graphicData>
                </a:graphic>
              </wp:anchor>
            </w:drawing>
          </mc:Choice>
          <mc:Fallback>
            <w:pict>
              <v:rect id="Shape 279" o:spid="_x0000_s1304" style="position:absolute;margin-left:402.45pt;margin-top:-123.5999pt;width:40.9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5111115</wp:posOffset>
                </wp:positionH>
                <wp:positionV relativeFrom="paragraph">
                  <wp:posOffset>-1417320</wp:posOffset>
                </wp:positionV>
                <wp:extent cx="520065" cy="147955"/>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065" cy="147955"/>
                        </a:xfrm>
                        <a:prstGeom prst="rect">
                          <a:avLst/>
                        </a:prstGeom>
                        <a:solidFill>
                          <a:srgbClr val="FDFDFD"/>
                        </a:solidFill>
                      </wps:spPr>
                      <wps:bodyPr/>
                    </wps:wsp>
                  </a:graphicData>
                </a:graphic>
              </wp:anchor>
            </w:drawing>
          </mc:Choice>
          <mc:Fallback>
            <w:pict>
              <v:rect id="Shape 280" o:spid="_x0000_s1305" style="position:absolute;margin-left:402.45pt;margin-top:-111.5999pt;width:40.9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5629275</wp:posOffset>
                </wp:positionH>
                <wp:positionV relativeFrom="paragraph">
                  <wp:posOffset>-1423035</wp:posOffset>
                </wp:positionV>
                <wp:extent cx="149225" cy="15367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225" cy="153670"/>
                        </a:xfrm>
                        <a:prstGeom prst="rect">
                          <a:avLst/>
                        </a:prstGeom>
                        <a:solidFill>
                          <a:srgbClr val="FDFDFD"/>
                        </a:solidFill>
                      </wps:spPr>
                      <wps:bodyPr/>
                    </wps:wsp>
                  </a:graphicData>
                </a:graphic>
              </wp:anchor>
            </w:drawing>
          </mc:Choice>
          <mc:Fallback>
            <w:pict>
              <v:rect id="Shape 281" o:spid="_x0000_s1306" style="position:absolute;margin-left:443.25pt;margin-top:-112.0499pt;width:11.75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5001260</wp:posOffset>
                </wp:positionH>
                <wp:positionV relativeFrom="paragraph">
                  <wp:posOffset>-1270635</wp:posOffset>
                </wp:positionV>
                <wp:extent cx="629920" cy="147955"/>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920" cy="147955"/>
                        </a:xfrm>
                        <a:prstGeom prst="rect">
                          <a:avLst/>
                        </a:prstGeom>
                        <a:solidFill>
                          <a:srgbClr val="D3ECED"/>
                        </a:solidFill>
                      </wps:spPr>
                      <wps:bodyPr/>
                    </wps:wsp>
                  </a:graphicData>
                </a:graphic>
              </wp:anchor>
            </w:drawing>
          </mc:Choice>
          <mc:Fallback>
            <w:pict>
              <v:rect id="Shape 282" o:spid="_x0000_s1307" style="position:absolute;margin-left:393.8pt;margin-top:-100.0499pt;width:49.6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5629275</wp:posOffset>
                </wp:positionH>
                <wp:positionV relativeFrom="paragraph">
                  <wp:posOffset>-1270635</wp:posOffset>
                </wp:positionV>
                <wp:extent cx="149225" cy="147955"/>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225" cy="147955"/>
                        </a:xfrm>
                        <a:prstGeom prst="rect">
                          <a:avLst/>
                        </a:prstGeom>
                        <a:solidFill>
                          <a:srgbClr val="D3ECED"/>
                        </a:solidFill>
                      </wps:spPr>
                      <wps:bodyPr/>
                    </wps:wsp>
                  </a:graphicData>
                </a:graphic>
              </wp:anchor>
            </w:drawing>
          </mc:Choice>
          <mc:Fallback>
            <w:pict>
              <v:rect id="Shape 283" o:spid="_x0000_s1308" style="position:absolute;margin-left:443.25pt;margin-top:-100.0499pt;width:11.7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w:drawing>
          <wp:anchor simplePos="0" relativeHeight="251657728" behindDoc="1" locked="0" layoutInCell="0" allowOverlap="1">
            <wp:simplePos x="0" y="0"/>
            <wp:positionH relativeFrom="column">
              <wp:posOffset>3002280</wp:posOffset>
            </wp:positionH>
            <wp:positionV relativeFrom="paragraph">
              <wp:posOffset>-983615</wp:posOffset>
            </wp:positionV>
            <wp:extent cx="2640965" cy="533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63">
                      <a:extLst>
                        <a:ext uri="{28A0092B-C50C-407E-A947-70E740481C1C}"/>
                      </a:extLst>
                    </a:blip>
                    <a:srcRect/>
                    <a:stretch>
                      <a:fillRect/>
                    </a:stretch>
                  </pic:blipFill>
                  <pic:spPr bwMode="auto">
                    <a:xfrm>
                      <a:off x="0" y="0"/>
                      <a:ext cx="2640965" cy="53340"/>
                    </a:xfrm>
                    <a:prstGeom prst="rect">
                      <a:avLst/>
                    </a:prstGeom>
                    <a:noFill/>
                  </pic:spPr>
                </pic:pic>
              </a:graphicData>
            </a:graphic>
          </wp:anchor>
        </w:drawing>
      </w:r>
    </w:p>
    <w:p>
      <w:pPr>
        <w:spacing w:after="0" w:line="194" w:lineRule="exact"/>
        <w:rPr>
          <w:sz w:val="20"/>
          <w:szCs w:val="20"/>
          <w:color w:val="auto"/>
        </w:rPr>
      </w:pPr>
    </w:p>
    <w:p>
      <w:pPr>
        <w:jc w:val="both"/>
        <w:ind w:left="120" w:right="800"/>
        <w:spacing w:after="0" w:line="305" w:lineRule="auto"/>
        <w:rPr>
          <w:sz w:val="20"/>
          <w:szCs w:val="20"/>
          <w:color w:val="auto"/>
        </w:rPr>
      </w:pPr>
      <w:r>
        <w:rPr>
          <w:rFonts w:ascii="Arial" w:cs="Arial" w:eastAsia="Arial" w:hAnsi="Arial"/>
          <w:sz w:val="19"/>
          <w:szCs w:val="19"/>
          <w:color w:val="auto"/>
        </w:rPr>
        <w:t>Revenue in fiscal year 2024 decreased by $2.5 million, or 15% as compared to the prior year. The decrease was primarily due to lower related party product sales and no grant revenue being recognized during the period. The decrease was partially offset by an increase in service revenue.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Cost of Revenue</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46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2080" w:type="dxa"/>
            <w:vAlign w:val="bottom"/>
            <w:gridSpan w:val="5"/>
            <w:shd w:val="clear" w:color="auto" w:fill="FDFDFD"/>
          </w:tcPr>
          <w:p>
            <w:pPr>
              <w:ind w:left="60"/>
              <w:spacing w:after="0"/>
              <w:rPr>
                <w:sz w:val="20"/>
                <w:szCs w:val="20"/>
                <w:color w:val="auto"/>
              </w:rPr>
            </w:pPr>
            <w:r>
              <w:rPr>
                <w:rFonts w:ascii="Arial" w:cs="Arial" w:eastAsia="Arial" w:hAnsi="Arial"/>
                <w:sz w:val="15"/>
                <w:szCs w:val="15"/>
                <w:b w:val="1"/>
                <w:bCs w:val="1"/>
                <w:color w:val="auto"/>
              </w:rPr>
              <w:t>Year ended December 31,</w:t>
            </w:r>
          </w:p>
        </w:tc>
        <w:tc>
          <w:tcPr>
            <w:tcW w:w="100" w:type="dxa"/>
            <w:vAlign w:val="bottom"/>
            <w:shd w:val="clear" w:color="auto" w:fill="FDFDFD"/>
          </w:tcPr>
          <w:p>
            <w:pPr>
              <w:spacing w:after="0"/>
              <w:rPr>
                <w:sz w:val="15"/>
                <w:szCs w:val="15"/>
                <w:color w:val="auto"/>
              </w:rPr>
            </w:pPr>
          </w:p>
        </w:tc>
        <w:tc>
          <w:tcPr>
            <w:tcW w:w="1220" w:type="dxa"/>
            <w:vAlign w:val="bottom"/>
            <w:gridSpan w:val="3"/>
            <w:shd w:val="clear" w:color="auto" w:fill="FDFDFD"/>
          </w:tcPr>
          <w:p>
            <w:pPr>
              <w:ind w:left="620"/>
              <w:spacing w:after="0"/>
              <w:rPr>
                <w:sz w:val="20"/>
                <w:szCs w:val="20"/>
                <w:color w:val="auto"/>
              </w:rPr>
            </w:pPr>
            <w:r>
              <w:rPr>
                <w:rFonts w:ascii="Arial" w:cs="Arial" w:eastAsia="Arial" w:hAnsi="Arial"/>
                <w:sz w:val="15"/>
                <w:szCs w:val="15"/>
                <w:b w:val="1"/>
                <w:bCs w:val="1"/>
                <w:color w:val="auto"/>
              </w:rPr>
              <w:t>Change</w:t>
            </w:r>
          </w:p>
        </w:tc>
        <w:tc>
          <w:tcPr>
            <w:tcW w:w="62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r>
      <w:tr>
        <w:trPr>
          <w:trHeight w:val="164"/>
        </w:trPr>
        <w:tc>
          <w:tcPr>
            <w:tcW w:w="4620" w:type="dxa"/>
            <w:vAlign w:val="bottom"/>
            <w:tcBorders>
              <w:top w:val="single" w:sz="8" w:color="FDFDFD"/>
              <w:bottom w:val="single" w:sz="8" w:color="FDFDFD"/>
            </w:tcBorders>
            <w:shd w:val="clear" w:color="auto" w:fill="FDFDFD"/>
          </w:tcPr>
          <w:p>
            <w:pPr>
              <w:spacing w:after="0"/>
              <w:rPr>
                <w:sz w:val="14"/>
                <w:szCs w:val="14"/>
                <w:color w:val="auto"/>
              </w:rPr>
            </w:pPr>
          </w:p>
        </w:tc>
        <w:tc>
          <w:tcPr>
            <w:tcW w:w="120" w:type="dxa"/>
            <w:vAlign w:val="bottom"/>
            <w:tcBorders>
              <w:top w:val="single" w:sz="8" w:color="auto"/>
              <w:bottom w:val="single" w:sz="8" w:color="auto"/>
            </w:tcBorders>
            <w:shd w:val="clear" w:color="auto" w:fill="FDFDFD"/>
          </w:tcPr>
          <w:p>
            <w:pPr>
              <w:spacing w:after="0"/>
              <w:rPr>
                <w:sz w:val="14"/>
                <w:szCs w:val="14"/>
                <w:color w:val="auto"/>
              </w:rPr>
            </w:pPr>
          </w:p>
        </w:tc>
        <w:tc>
          <w:tcPr>
            <w:tcW w:w="800" w:type="dxa"/>
            <w:vAlign w:val="bottom"/>
            <w:tcBorders>
              <w:top w:val="single" w:sz="8" w:color="auto"/>
              <w:bottom w:val="single" w:sz="8" w:color="auto"/>
            </w:tcBorders>
            <w:shd w:val="clear" w:color="auto" w:fill="FDFDFD"/>
          </w:tcPr>
          <w:p>
            <w:pPr>
              <w:jc w:val="right"/>
              <w:ind w:right="238"/>
              <w:spacing w:after="0" w:line="164" w:lineRule="exact"/>
              <w:rPr>
                <w:sz w:val="20"/>
                <w:szCs w:val="20"/>
                <w:color w:val="auto"/>
              </w:rPr>
            </w:pPr>
            <w:r>
              <w:rPr>
                <w:rFonts w:ascii="Arial" w:cs="Arial" w:eastAsia="Arial" w:hAnsi="Arial"/>
                <w:sz w:val="15"/>
                <w:szCs w:val="15"/>
                <w:b w:val="1"/>
                <w:bCs w:val="1"/>
                <w:color w:val="auto"/>
              </w:rPr>
              <w:t>2024</w:t>
            </w:r>
          </w:p>
        </w:tc>
        <w:tc>
          <w:tcPr>
            <w:tcW w:w="180" w:type="dxa"/>
            <w:vAlign w:val="bottom"/>
            <w:tcBorders>
              <w:top w:val="single" w:sz="8" w:color="auto"/>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spacing w:after="0"/>
              <w:rPr>
                <w:sz w:val="14"/>
                <w:szCs w:val="14"/>
                <w:color w:val="auto"/>
              </w:rPr>
            </w:pPr>
          </w:p>
        </w:tc>
        <w:tc>
          <w:tcPr>
            <w:tcW w:w="820" w:type="dxa"/>
            <w:vAlign w:val="bottom"/>
            <w:tcBorders>
              <w:top w:val="single" w:sz="8" w:color="auto"/>
              <w:bottom w:val="single" w:sz="8" w:color="auto"/>
            </w:tcBorders>
            <w:shd w:val="clear" w:color="auto" w:fill="FDFDFD"/>
          </w:tcPr>
          <w:p>
            <w:pPr>
              <w:ind w:left="200"/>
              <w:spacing w:after="0" w:line="164" w:lineRule="exact"/>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FDFDFD"/>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spacing w:after="0"/>
              <w:rPr>
                <w:sz w:val="14"/>
                <w:szCs w:val="14"/>
                <w:color w:val="auto"/>
              </w:rPr>
            </w:pPr>
          </w:p>
        </w:tc>
        <w:tc>
          <w:tcPr>
            <w:tcW w:w="780" w:type="dxa"/>
            <w:vAlign w:val="bottom"/>
            <w:tcBorders>
              <w:top w:val="single" w:sz="8" w:color="auto"/>
              <w:bottom w:val="single" w:sz="8" w:color="auto"/>
            </w:tcBorders>
            <w:shd w:val="clear" w:color="auto" w:fill="FDFDFD"/>
          </w:tcPr>
          <w:p>
            <w:pPr>
              <w:jc w:val="right"/>
              <w:ind w:right="98"/>
              <w:spacing w:after="0" w:line="164" w:lineRule="exact"/>
              <w:rPr>
                <w:sz w:val="20"/>
                <w:szCs w:val="20"/>
                <w:color w:val="auto"/>
              </w:rPr>
            </w:pPr>
            <w:r>
              <w:rPr>
                <w:rFonts w:ascii="Arial" w:cs="Arial" w:eastAsia="Arial" w:hAnsi="Arial"/>
                <w:sz w:val="15"/>
                <w:szCs w:val="15"/>
                <w:b w:val="1"/>
                <w:bCs w:val="1"/>
                <w:color w:val="auto"/>
              </w:rPr>
              <w:t>Amount</w:t>
            </w:r>
          </w:p>
        </w:tc>
        <w:tc>
          <w:tcPr>
            <w:tcW w:w="180" w:type="dxa"/>
            <w:vAlign w:val="bottom"/>
            <w:tcBorders>
              <w:top w:val="single" w:sz="8" w:color="auto"/>
              <w:bottom w:val="single" w:sz="8" w:color="FDFDFD"/>
            </w:tcBorders>
            <w:shd w:val="clear" w:color="auto" w:fill="FDFDFD"/>
          </w:tcPr>
          <w:p>
            <w:pPr>
              <w:spacing w:after="0"/>
              <w:rPr>
                <w:sz w:val="14"/>
                <w:szCs w:val="14"/>
                <w:color w:val="auto"/>
              </w:rPr>
            </w:pPr>
          </w:p>
        </w:tc>
        <w:tc>
          <w:tcPr>
            <w:tcW w:w="260" w:type="dxa"/>
            <w:vAlign w:val="bottom"/>
            <w:tcBorders>
              <w:top w:val="single" w:sz="8" w:color="auto"/>
              <w:bottom w:val="single" w:sz="8" w:color="auto"/>
            </w:tcBorders>
            <w:shd w:val="clear" w:color="auto" w:fill="FDFDFD"/>
          </w:tcPr>
          <w:p>
            <w:pPr>
              <w:spacing w:after="0"/>
              <w:rPr>
                <w:sz w:val="14"/>
                <w:szCs w:val="14"/>
                <w:color w:val="auto"/>
              </w:rPr>
            </w:pPr>
          </w:p>
        </w:tc>
        <w:tc>
          <w:tcPr>
            <w:tcW w:w="620" w:type="dxa"/>
            <w:vAlign w:val="bottom"/>
            <w:tcBorders>
              <w:top w:val="single" w:sz="8" w:color="auto"/>
              <w:bottom w:val="single" w:sz="8" w:color="auto"/>
            </w:tcBorders>
            <w:shd w:val="clear" w:color="auto" w:fill="FDFDFD"/>
          </w:tcPr>
          <w:p>
            <w:pPr>
              <w:jc w:val="right"/>
              <w:ind w:right="275"/>
              <w:spacing w:after="0" w:line="164" w:lineRule="exact"/>
              <w:rPr>
                <w:sz w:val="20"/>
                <w:szCs w:val="20"/>
                <w:color w:val="auto"/>
              </w:rPr>
            </w:pPr>
            <w:r>
              <w:rPr>
                <w:rFonts w:ascii="Arial" w:cs="Arial" w:eastAsia="Arial" w:hAnsi="Arial"/>
                <w:sz w:val="15"/>
                <w:szCs w:val="15"/>
                <w:b w:val="1"/>
                <w:bCs w:val="1"/>
                <w:color w:val="auto"/>
              </w:rPr>
              <w:t>%</w:t>
            </w:r>
          </w:p>
        </w:tc>
        <w:tc>
          <w:tcPr>
            <w:tcW w:w="220" w:type="dxa"/>
            <w:vAlign w:val="bottom"/>
            <w:tcBorders>
              <w:top w:val="single" w:sz="8" w:color="FDFDFD"/>
              <w:bottom w:val="single" w:sz="8" w:color="FDFDFD"/>
            </w:tcBorders>
            <w:shd w:val="clear" w:color="auto" w:fill="FDFDFD"/>
          </w:tcPr>
          <w:p>
            <w:pPr>
              <w:spacing w:after="0"/>
              <w:rPr>
                <w:sz w:val="14"/>
                <w:szCs w:val="14"/>
                <w:color w:val="auto"/>
              </w:rPr>
            </w:pPr>
          </w:p>
        </w:tc>
      </w:tr>
      <w:tr>
        <w:trPr>
          <w:trHeight w:val="162"/>
        </w:trPr>
        <w:tc>
          <w:tcPr>
            <w:tcW w:w="4620" w:type="dxa"/>
            <w:vAlign w:val="bottom"/>
            <w:shd w:val="clear" w:color="auto" w:fill="FDFDFD"/>
          </w:tcPr>
          <w:p>
            <w:pPr>
              <w:spacing w:after="0"/>
              <w:rPr>
                <w:sz w:val="14"/>
                <w:szCs w:val="14"/>
                <w:color w:val="auto"/>
              </w:rPr>
            </w:pPr>
          </w:p>
        </w:tc>
        <w:tc>
          <w:tcPr>
            <w:tcW w:w="120" w:type="dxa"/>
            <w:vAlign w:val="bottom"/>
            <w:shd w:val="clear" w:color="auto" w:fill="FDFDFD"/>
          </w:tcPr>
          <w:p>
            <w:pPr>
              <w:spacing w:after="0"/>
              <w:rPr>
                <w:sz w:val="14"/>
                <w:szCs w:val="14"/>
                <w:color w:val="auto"/>
              </w:rPr>
            </w:pPr>
          </w:p>
        </w:tc>
        <w:tc>
          <w:tcPr>
            <w:tcW w:w="800" w:type="dxa"/>
            <w:vAlign w:val="bottom"/>
            <w:shd w:val="clear" w:color="auto" w:fill="FDFDFD"/>
          </w:tcPr>
          <w:p>
            <w:pPr>
              <w:spacing w:after="0"/>
              <w:rPr>
                <w:sz w:val="14"/>
                <w:szCs w:val="14"/>
                <w:color w:val="auto"/>
              </w:rPr>
            </w:pPr>
          </w:p>
        </w:tc>
        <w:tc>
          <w:tcPr>
            <w:tcW w:w="18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820" w:type="dxa"/>
            <w:vAlign w:val="bottom"/>
            <w:shd w:val="clear" w:color="auto" w:fill="FDFDFD"/>
          </w:tcPr>
          <w:p>
            <w:pPr>
              <w:ind w:left="200"/>
              <w:spacing w:after="0" w:line="162" w:lineRule="exact"/>
              <w:rPr>
                <w:sz w:val="20"/>
                <w:szCs w:val="20"/>
                <w:color w:val="auto"/>
              </w:rPr>
            </w:pPr>
            <w:r>
              <w:rPr>
                <w:rFonts w:ascii="Arial" w:cs="Arial" w:eastAsia="Arial" w:hAnsi="Arial"/>
                <w:sz w:val="15"/>
                <w:szCs w:val="15"/>
                <w:color w:val="auto"/>
                <w:w w:val="92"/>
              </w:rPr>
              <w:t>(dollars in</w:t>
            </w:r>
          </w:p>
        </w:tc>
        <w:tc>
          <w:tcPr>
            <w:tcW w:w="180" w:type="dxa"/>
            <w:vAlign w:val="bottom"/>
            <w:shd w:val="clear" w:color="auto" w:fill="FDFDFD"/>
          </w:tcPr>
          <w:p>
            <w:pPr>
              <w:spacing w:after="0"/>
              <w:rPr>
                <w:sz w:val="14"/>
                <w:szCs w:val="14"/>
                <w:color w:val="auto"/>
              </w:rPr>
            </w:pPr>
          </w:p>
        </w:tc>
        <w:tc>
          <w:tcPr>
            <w:tcW w:w="880" w:type="dxa"/>
            <w:vAlign w:val="bottom"/>
            <w:gridSpan w:val="2"/>
            <w:shd w:val="clear" w:color="auto" w:fill="FDFDFD"/>
          </w:tcPr>
          <w:p>
            <w:pPr>
              <w:spacing w:after="0" w:line="162" w:lineRule="exact"/>
              <w:rPr>
                <w:sz w:val="20"/>
                <w:szCs w:val="20"/>
                <w:color w:val="auto"/>
              </w:rPr>
            </w:pPr>
            <w:r>
              <w:rPr>
                <w:rFonts w:ascii="Arial" w:cs="Arial" w:eastAsia="Arial" w:hAnsi="Arial"/>
                <w:sz w:val="15"/>
                <w:szCs w:val="15"/>
                <w:color w:val="auto"/>
              </w:rPr>
              <w:t>thousands)</w:t>
            </w:r>
          </w:p>
        </w:tc>
        <w:tc>
          <w:tcPr>
            <w:tcW w:w="180" w:type="dxa"/>
            <w:vAlign w:val="bottom"/>
            <w:shd w:val="clear" w:color="auto" w:fill="FDFDFD"/>
          </w:tcPr>
          <w:p>
            <w:pPr>
              <w:spacing w:after="0"/>
              <w:rPr>
                <w:sz w:val="14"/>
                <w:szCs w:val="14"/>
                <w:color w:val="auto"/>
              </w:rPr>
            </w:pPr>
          </w:p>
        </w:tc>
        <w:tc>
          <w:tcPr>
            <w:tcW w:w="260" w:type="dxa"/>
            <w:vAlign w:val="bottom"/>
            <w:shd w:val="clear" w:color="auto" w:fill="FDFDFD"/>
          </w:tcPr>
          <w:p>
            <w:pPr>
              <w:spacing w:after="0"/>
              <w:rPr>
                <w:sz w:val="14"/>
                <w:szCs w:val="14"/>
                <w:color w:val="auto"/>
              </w:rPr>
            </w:pPr>
          </w:p>
        </w:tc>
        <w:tc>
          <w:tcPr>
            <w:tcW w:w="620" w:type="dxa"/>
            <w:vAlign w:val="bottom"/>
            <w:shd w:val="clear" w:color="auto" w:fill="FDFDFD"/>
          </w:tcPr>
          <w:p>
            <w:pPr>
              <w:spacing w:after="0"/>
              <w:rPr>
                <w:sz w:val="14"/>
                <w:szCs w:val="14"/>
                <w:color w:val="auto"/>
              </w:rPr>
            </w:pPr>
          </w:p>
        </w:tc>
        <w:tc>
          <w:tcPr>
            <w:tcW w:w="220" w:type="dxa"/>
            <w:vAlign w:val="bottom"/>
            <w:shd w:val="clear" w:color="auto" w:fill="FDFDFD"/>
          </w:tcPr>
          <w:p>
            <w:pPr>
              <w:spacing w:after="0"/>
              <w:rPr>
                <w:sz w:val="14"/>
                <w:szCs w:val="14"/>
                <w:color w:val="auto"/>
              </w:rPr>
            </w:pPr>
          </w:p>
        </w:tc>
      </w:tr>
      <w:tr>
        <w:trPr>
          <w:trHeight w:val="221"/>
        </w:trPr>
        <w:tc>
          <w:tcPr>
            <w:tcW w:w="4620" w:type="dxa"/>
            <w:vAlign w:val="bottom"/>
            <w:shd w:val="clear" w:color="auto" w:fill="D3ECED"/>
          </w:tcPr>
          <w:p>
            <w:pPr>
              <w:spacing w:after="0"/>
              <w:rPr>
                <w:sz w:val="20"/>
                <w:szCs w:val="20"/>
                <w:color w:val="auto"/>
              </w:rPr>
            </w:pPr>
            <w:r>
              <w:rPr>
                <w:rFonts w:ascii="Arial" w:cs="Arial" w:eastAsia="Arial" w:hAnsi="Arial"/>
                <w:sz w:val="19"/>
                <w:szCs w:val="19"/>
                <w:color w:val="auto"/>
              </w:rPr>
              <w:t>Cost of revenue</w:t>
            </w: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7,115</w:t>
            </w:r>
          </w:p>
        </w:tc>
        <w:tc>
          <w:tcPr>
            <w:tcW w:w="28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8,155</w:t>
            </w:r>
          </w:p>
        </w:tc>
        <w:tc>
          <w:tcPr>
            <w:tcW w:w="1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20"/>
                <w:szCs w:val="20"/>
                <w:color w:val="auto"/>
              </w:rPr>
            </w:pPr>
            <w:r>
              <w:rPr>
                <w:rFonts w:ascii="Arial" w:cs="Arial" w:eastAsia="Arial" w:hAnsi="Arial"/>
                <w:sz w:val="19"/>
                <w:szCs w:val="19"/>
                <w:color w:val="auto"/>
                <w:w w:val="75"/>
              </w:rPr>
              <w:t>$</w:t>
            </w:r>
          </w:p>
        </w:tc>
        <w:tc>
          <w:tcPr>
            <w:tcW w:w="7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(1,040)</w:t>
            </w:r>
          </w:p>
        </w:tc>
        <w:tc>
          <w:tcPr>
            <w:tcW w:w="180" w:type="dxa"/>
            <w:vAlign w:val="bottom"/>
            <w:shd w:val="clear" w:color="auto" w:fill="D3ECED"/>
          </w:tcPr>
          <w:p>
            <w:pPr>
              <w:spacing w:after="0"/>
              <w:rPr>
                <w:sz w:val="19"/>
                <w:szCs w:val="19"/>
                <w:color w:val="auto"/>
              </w:rPr>
            </w:pPr>
          </w:p>
        </w:tc>
        <w:tc>
          <w:tcPr>
            <w:tcW w:w="260" w:type="dxa"/>
            <w:vAlign w:val="bottom"/>
            <w:shd w:val="clear" w:color="auto" w:fill="D3ECED"/>
          </w:tcPr>
          <w:p>
            <w:pPr>
              <w:spacing w:after="0"/>
              <w:rPr>
                <w:sz w:val="19"/>
                <w:szCs w:val="19"/>
                <w:color w:val="auto"/>
              </w:rPr>
            </w:pPr>
          </w:p>
        </w:tc>
        <w:tc>
          <w:tcPr>
            <w:tcW w:w="6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(13)</w:t>
            </w:r>
          </w:p>
        </w:tc>
        <w:tc>
          <w:tcPr>
            <w:tcW w:w="2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r>
    </w:tbl>
    <w:p>
      <w:pPr>
        <w:spacing w:after="0" w:line="200" w:lineRule="exact"/>
        <w:rPr>
          <w:sz w:val="20"/>
          <w:szCs w:val="20"/>
          <w:color w:val="auto"/>
        </w:rPr>
      </w:pP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97</w:t>
      </w:r>
    </w:p>
    <w:p>
      <w:pPr>
        <w:sectPr>
          <w:pgSz w:w="12240" w:h="15840" w:orient="portrait"/>
          <w:cols w:equalWidth="0" w:num="1">
            <w:col w:w="9360"/>
          </w:cols>
          <w:pgMar w:left="1440" w:top="1440" w:right="1440" w:bottom="610" w:gutter="0" w:footer="0" w:header="0"/>
          <w:type w:val="continuous"/>
        </w:sectPr>
      </w:pPr>
    </w:p>
    <w:bookmarkStart w:id="104" w:name="page105"/>
    <w:bookmarkEnd w:id="104"/>
    <w:p>
      <w:pPr>
        <w:spacing w:after="0" w:line="352" w:lineRule="exact"/>
        <w:rPr>
          <w:sz w:val="20"/>
          <w:szCs w:val="20"/>
          <w:color w:val="auto"/>
        </w:rPr>
      </w:pPr>
    </w:p>
    <w:p>
      <w:pPr>
        <w:ind w:left="120" w:right="260"/>
        <w:spacing w:after="0" w:line="393" w:lineRule="auto"/>
        <w:rPr>
          <w:sz w:val="20"/>
          <w:szCs w:val="20"/>
          <w:color w:val="auto"/>
        </w:rPr>
      </w:pPr>
      <w:r>
        <w:rPr>
          <w:rFonts w:ascii="Arial" w:cs="Arial" w:eastAsia="Arial" w:hAnsi="Arial"/>
          <w:sz w:val="17"/>
          <w:szCs w:val="17"/>
          <w:color w:val="auto"/>
        </w:rPr>
        <w:t>Cost of revenue in fiscal year 2024 decreased by $1.0 million, or 13% as compared to the prior year. The decrease was primarily due to lower product revenue from fewer instrument sales, which has a higher cost of revenue.</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Research and Development</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6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40" w:type="dxa"/>
            <w:vAlign w:val="bottom"/>
            <w:shd w:val="clear" w:color="auto" w:fill="FDFDFD"/>
          </w:tcPr>
          <w:p>
            <w:pPr>
              <w:spacing w:after="0"/>
              <w:rPr>
                <w:sz w:val="15"/>
                <w:szCs w:val="15"/>
                <w:color w:val="auto"/>
              </w:rPr>
            </w:pPr>
          </w:p>
        </w:tc>
        <w:tc>
          <w:tcPr>
            <w:tcW w:w="2060" w:type="dxa"/>
            <w:vAlign w:val="bottom"/>
            <w:gridSpan w:val="5"/>
            <w:shd w:val="clear" w:color="auto" w:fill="FDFDFD"/>
          </w:tcPr>
          <w:p>
            <w:pPr>
              <w:ind w:left="40"/>
              <w:spacing w:after="0"/>
              <w:rPr>
                <w:sz w:val="20"/>
                <w:szCs w:val="20"/>
                <w:color w:val="auto"/>
              </w:rPr>
            </w:pPr>
            <w:r>
              <w:rPr>
                <w:rFonts w:ascii="Arial" w:cs="Arial" w:eastAsia="Arial" w:hAnsi="Arial"/>
                <w:sz w:val="15"/>
                <w:szCs w:val="15"/>
                <w:b w:val="1"/>
                <w:bCs w:val="1"/>
                <w:color w:val="auto"/>
              </w:rPr>
              <w:t>Year ended December 31,</w:t>
            </w:r>
          </w:p>
        </w:tc>
        <w:tc>
          <w:tcPr>
            <w:tcW w:w="100" w:type="dxa"/>
            <w:vAlign w:val="bottom"/>
            <w:shd w:val="clear" w:color="auto" w:fill="FDFDFD"/>
          </w:tcPr>
          <w:p>
            <w:pPr>
              <w:spacing w:after="0"/>
              <w:rPr>
                <w:sz w:val="15"/>
                <w:szCs w:val="15"/>
                <w:color w:val="auto"/>
              </w:rPr>
            </w:pPr>
          </w:p>
        </w:tc>
        <w:tc>
          <w:tcPr>
            <w:tcW w:w="1220" w:type="dxa"/>
            <w:vAlign w:val="bottom"/>
            <w:gridSpan w:val="4"/>
            <w:shd w:val="clear" w:color="auto" w:fill="FDFDFD"/>
          </w:tcPr>
          <w:p>
            <w:pPr>
              <w:ind w:left="620"/>
              <w:spacing w:after="0"/>
              <w:rPr>
                <w:sz w:val="20"/>
                <w:szCs w:val="20"/>
                <w:color w:val="auto"/>
              </w:rPr>
            </w:pPr>
            <w:r>
              <w:rPr>
                <w:rFonts w:ascii="Arial" w:cs="Arial" w:eastAsia="Arial" w:hAnsi="Arial"/>
                <w:sz w:val="15"/>
                <w:szCs w:val="15"/>
                <w:b w:val="1"/>
                <w:bCs w:val="1"/>
                <w:color w:val="auto"/>
              </w:rPr>
              <w:t>Change</w:t>
            </w:r>
          </w:p>
        </w:tc>
        <w:tc>
          <w:tcPr>
            <w:tcW w:w="62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r>
      <w:tr>
        <w:trPr>
          <w:trHeight w:val="163"/>
        </w:trPr>
        <w:tc>
          <w:tcPr>
            <w:tcW w:w="4620" w:type="dxa"/>
            <w:vAlign w:val="bottom"/>
            <w:tcBorders>
              <w:top w:val="single" w:sz="8" w:color="FDFDFD"/>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spacing w:after="0"/>
              <w:rPr>
                <w:sz w:val="14"/>
                <w:szCs w:val="14"/>
                <w:color w:val="auto"/>
              </w:rPr>
            </w:pPr>
          </w:p>
        </w:tc>
        <w:tc>
          <w:tcPr>
            <w:tcW w:w="40" w:type="dxa"/>
            <w:vAlign w:val="bottom"/>
            <w:tcBorders>
              <w:top w:val="single" w:sz="8" w:color="auto"/>
              <w:bottom w:val="single" w:sz="8" w:color="auto"/>
            </w:tcBorders>
            <w:shd w:val="clear" w:color="auto" w:fill="FDFDFD"/>
          </w:tcPr>
          <w:p>
            <w:pPr>
              <w:spacing w:after="0"/>
              <w:rPr>
                <w:sz w:val="14"/>
                <w:szCs w:val="14"/>
                <w:color w:val="auto"/>
              </w:rPr>
            </w:pPr>
          </w:p>
        </w:tc>
        <w:tc>
          <w:tcPr>
            <w:tcW w:w="780" w:type="dxa"/>
            <w:vAlign w:val="bottom"/>
            <w:tcBorders>
              <w:top w:val="single" w:sz="8" w:color="auto"/>
              <w:bottom w:val="single" w:sz="8" w:color="auto"/>
            </w:tcBorders>
            <w:shd w:val="clear" w:color="auto" w:fill="FDFDFD"/>
          </w:tcPr>
          <w:p>
            <w:pPr>
              <w:jc w:val="right"/>
              <w:ind w:right="238"/>
              <w:spacing w:after="0" w:line="163" w:lineRule="exact"/>
              <w:rPr>
                <w:sz w:val="20"/>
                <w:szCs w:val="20"/>
                <w:color w:val="auto"/>
              </w:rPr>
            </w:pPr>
            <w:r>
              <w:rPr>
                <w:rFonts w:ascii="Arial" w:cs="Arial" w:eastAsia="Arial" w:hAnsi="Arial"/>
                <w:sz w:val="15"/>
                <w:szCs w:val="15"/>
                <w:b w:val="1"/>
                <w:bCs w:val="1"/>
                <w:color w:val="auto"/>
              </w:rPr>
              <w:t>2024</w:t>
            </w:r>
          </w:p>
        </w:tc>
        <w:tc>
          <w:tcPr>
            <w:tcW w:w="180" w:type="dxa"/>
            <w:vAlign w:val="bottom"/>
            <w:tcBorders>
              <w:top w:val="single" w:sz="8" w:color="auto"/>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spacing w:after="0"/>
              <w:rPr>
                <w:sz w:val="14"/>
                <w:szCs w:val="14"/>
                <w:color w:val="auto"/>
              </w:rPr>
            </w:pPr>
          </w:p>
        </w:tc>
        <w:tc>
          <w:tcPr>
            <w:tcW w:w="820" w:type="dxa"/>
            <w:vAlign w:val="bottom"/>
            <w:tcBorders>
              <w:top w:val="single" w:sz="8" w:color="auto"/>
              <w:bottom w:val="single" w:sz="8" w:color="auto"/>
            </w:tcBorders>
            <w:shd w:val="clear" w:color="auto" w:fill="FDFDFD"/>
          </w:tcPr>
          <w:p>
            <w:pPr>
              <w:ind w:left="200"/>
              <w:spacing w:after="0" w:line="163" w:lineRule="exact"/>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FDFDFD"/>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spacing w:after="0"/>
              <w:rPr>
                <w:sz w:val="14"/>
                <w:szCs w:val="14"/>
                <w:color w:val="auto"/>
              </w:rPr>
            </w:pPr>
          </w:p>
        </w:tc>
        <w:tc>
          <w:tcPr>
            <w:tcW w:w="780" w:type="dxa"/>
            <w:vAlign w:val="bottom"/>
            <w:tcBorders>
              <w:top w:val="single" w:sz="8" w:color="auto"/>
              <w:bottom w:val="single" w:sz="8" w:color="auto"/>
            </w:tcBorders>
            <w:shd w:val="clear" w:color="auto" w:fill="FDFDFD"/>
          </w:tcPr>
          <w:p>
            <w:pPr>
              <w:jc w:val="right"/>
              <w:ind w:right="98"/>
              <w:spacing w:after="0" w:line="163" w:lineRule="exact"/>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bottom w:val="single" w:sz="8" w:color="FDFDFD"/>
            </w:tcBorders>
            <w:shd w:val="clear" w:color="auto" w:fill="FDFDFD"/>
          </w:tcPr>
          <w:p>
            <w:pPr>
              <w:spacing w:after="0"/>
              <w:rPr>
                <w:sz w:val="14"/>
                <w:szCs w:val="14"/>
                <w:color w:val="auto"/>
              </w:rPr>
            </w:pPr>
          </w:p>
        </w:tc>
        <w:tc>
          <w:tcPr>
            <w:tcW w:w="80" w:type="dxa"/>
            <w:vAlign w:val="bottom"/>
            <w:tcBorders>
              <w:top w:val="single" w:sz="8" w:color="auto"/>
              <w:bottom w:val="single" w:sz="8" w:color="FDFDFD"/>
            </w:tcBorders>
            <w:shd w:val="clear" w:color="auto" w:fill="FDFDFD"/>
          </w:tcPr>
          <w:p>
            <w:pPr>
              <w:spacing w:after="0"/>
              <w:rPr>
                <w:sz w:val="14"/>
                <w:szCs w:val="14"/>
                <w:color w:val="auto"/>
              </w:rPr>
            </w:pPr>
          </w:p>
        </w:tc>
        <w:tc>
          <w:tcPr>
            <w:tcW w:w="260" w:type="dxa"/>
            <w:vAlign w:val="bottom"/>
            <w:tcBorders>
              <w:top w:val="single" w:sz="8" w:color="auto"/>
              <w:bottom w:val="single" w:sz="8" w:color="auto"/>
            </w:tcBorders>
            <w:shd w:val="clear" w:color="auto" w:fill="FDFDFD"/>
          </w:tcPr>
          <w:p>
            <w:pPr>
              <w:spacing w:after="0"/>
              <w:rPr>
                <w:sz w:val="14"/>
                <w:szCs w:val="14"/>
                <w:color w:val="auto"/>
              </w:rPr>
            </w:pPr>
          </w:p>
        </w:tc>
        <w:tc>
          <w:tcPr>
            <w:tcW w:w="620" w:type="dxa"/>
            <w:vAlign w:val="bottom"/>
            <w:tcBorders>
              <w:top w:val="single" w:sz="8" w:color="auto"/>
              <w:bottom w:val="single" w:sz="8" w:color="auto"/>
            </w:tcBorders>
            <w:shd w:val="clear" w:color="auto" w:fill="FDFDFD"/>
          </w:tcPr>
          <w:p>
            <w:pPr>
              <w:jc w:val="right"/>
              <w:ind w:right="275"/>
              <w:spacing w:after="0" w:line="163" w:lineRule="exact"/>
              <w:rPr>
                <w:sz w:val="20"/>
                <w:szCs w:val="20"/>
                <w:color w:val="auto"/>
              </w:rPr>
            </w:pPr>
            <w:r>
              <w:rPr>
                <w:rFonts w:ascii="Arial" w:cs="Arial" w:eastAsia="Arial" w:hAnsi="Arial"/>
                <w:sz w:val="15"/>
                <w:szCs w:val="15"/>
                <w:b w:val="1"/>
                <w:bCs w:val="1"/>
                <w:color w:val="auto"/>
              </w:rPr>
              <w:t>%</w:t>
            </w:r>
          </w:p>
        </w:tc>
        <w:tc>
          <w:tcPr>
            <w:tcW w:w="220" w:type="dxa"/>
            <w:vAlign w:val="bottom"/>
            <w:tcBorders>
              <w:top w:val="single" w:sz="8" w:color="FDFDFD"/>
              <w:bottom w:val="single" w:sz="8" w:color="FDFDFD"/>
            </w:tcBorders>
            <w:shd w:val="clear" w:color="auto" w:fill="FDFDFD"/>
          </w:tcPr>
          <w:p>
            <w:pPr>
              <w:spacing w:after="0"/>
              <w:rPr>
                <w:sz w:val="14"/>
                <w:szCs w:val="14"/>
                <w:color w:val="auto"/>
              </w:rPr>
            </w:pPr>
          </w:p>
        </w:tc>
      </w:tr>
      <w:tr>
        <w:trPr>
          <w:trHeight w:val="162"/>
        </w:trPr>
        <w:tc>
          <w:tcPr>
            <w:tcW w:w="4620" w:type="dxa"/>
            <w:vAlign w:val="bottom"/>
            <w:tcBorders>
              <w:bottom w:val="single" w:sz="8" w:color="D3ECED"/>
            </w:tcBorders>
            <w:shd w:val="clear" w:color="auto" w:fill="FDFDFD"/>
          </w:tcPr>
          <w:p>
            <w:pPr>
              <w:spacing w:after="0"/>
              <w:rPr>
                <w:sz w:val="14"/>
                <w:szCs w:val="14"/>
                <w:color w:val="auto"/>
              </w:rPr>
            </w:pPr>
          </w:p>
        </w:tc>
        <w:tc>
          <w:tcPr>
            <w:tcW w:w="100" w:type="dxa"/>
            <w:vAlign w:val="bottom"/>
            <w:tcBorders>
              <w:bottom w:val="single" w:sz="8" w:color="D3ECED"/>
            </w:tcBorders>
            <w:shd w:val="clear" w:color="auto" w:fill="FDFDFD"/>
          </w:tcPr>
          <w:p>
            <w:pPr>
              <w:spacing w:after="0"/>
              <w:rPr>
                <w:sz w:val="14"/>
                <w:szCs w:val="14"/>
                <w:color w:val="auto"/>
              </w:rPr>
            </w:pPr>
          </w:p>
        </w:tc>
        <w:tc>
          <w:tcPr>
            <w:tcW w:w="40" w:type="dxa"/>
            <w:vAlign w:val="bottom"/>
            <w:tcBorders>
              <w:bottom w:val="single" w:sz="8" w:color="D3ECED"/>
            </w:tcBorders>
            <w:shd w:val="clear" w:color="auto" w:fill="FDFDFD"/>
          </w:tcPr>
          <w:p>
            <w:pPr>
              <w:spacing w:after="0"/>
              <w:rPr>
                <w:sz w:val="14"/>
                <w:szCs w:val="14"/>
                <w:color w:val="auto"/>
              </w:rPr>
            </w:pPr>
          </w:p>
        </w:tc>
        <w:tc>
          <w:tcPr>
            <w:tcW w:w="780" w:type="dxa"/>
            <w:vAlign w:val="bottom"/>
            <w:tcBorders>
              <w:bottom w:val="single" w:sz="8" w:color="D3ECED"/>
            </w:tcBorders>
            <w:shd w:val="clear" w:color="auto" w:fill="FDFDFD"/>
          </w:tcPr>
          <w:p>
            <w:pPr>
              <w:spacing w:after="0"/>
              <w:rPr>
                <w:sz w:val="14"/>
                <w:szCs w:val="14"/>
                <w:color w:val="auto"/>
              </w:rPr>
            </w:pPr>
          </w:p>
        </w:tc>
        <w:tc>
          <w:tcPr>
            <w:tcW w:w="180" w:type="dxa"/>
            <w:vAlign w:val="bottom"/>
            <w:tcBorders>
              <w:bottom w:val="single" w:sz="8" w:color="D3ECED"/>
            </w:tcBorders>
            <w:shd w:val="clear" w:color="auto" w:fill="FDFDFD"/>
          </w:tcPr>
          <w:p>
            <w:pPr>
              <w:spacing w:after="0"/>
              <w:rPr>
                <w:sz w:val="14"/>
                <w:szCs w:val="14"/>
                <w:color w:val="auto"/>
              </w:rPr>
            </w:pPr>
          </w:p>
        </w:tc>
        <w:tc>
          <w:tcPr>
            <w:tcW w:w="100" w:type="dxa"/>
            <w:vAlign w:val="bottom"/>
            <w:tcBorders>
              <w:bottom w:val="single" w:sz="8" w:color="D3ECED"/>
            </w:tcBorders>
            <w:shd w:val="clear" w:color="auto" w:fill="FDFDFD"/>
          </w:tcPr>
          <w:p>
            <w:pPr>
              <w:spacing w:after="0"/>
              <w:rPr>
                <w:sz w:val="14"/>
                <w:szCs w:val="14"/>
                <w:color w:val="auto"/>
              </w:rPr>
            </w:pPr>
          </w:p>
        </w:tc>
        <w:tc>
          <w:tcPr>
            <w:tcW w:w="820" w:type="dxa"/>
            <w:vAlign w:val="bottom"/>
            <w:tcBorders>
              <w:bottom w:val="single" w:sz="8" w:color="D3ECED"/>
            </w:tcBorders>
            <w:shd w:val="clear" w:color="auto" w:fill="FDFDFD"/>
          </w:tcPr>
          <w:p>
            <w:pPr>
              <w:ind w:left="200"/>
              <w:spacing w:after="0" w:line="162" w:lineRule="exact"/>
              <w:rPr>
                <w:sz w:val="20"/>
                <w:szCs w:val="20"/>
                <w:color w:val="auto"/>
              </w:rPr>
            </w:pPr>
            <w:r>
              <w:rPr>
                <w:rFonts w:ascii="Arial" w:cs="Arial" w:eastAsia="Arial" w:hAnsi="Arial"/>
                <w:sz w:val="15"/>
                <w:szCs w:val="15"/>
                <w:color w:val="auto"/>
                <w:w w:val="92"/>
              </w:rPr>
              <w:t>(dollars in</w:t>
            </w:r>
          </w:p>
        </w:tc>
        <w:tc>
          <w:tcPr>
            <w:tcW w:w="180" w:type="dxa"/>
            <w:vAlign w:val="bottom"/>
            <w:tcBorders>
              <w:bottom w:val="single" w:sz="8" w:color="D3ECED"/>
            </w:tcBorders>
            <w:shd w:val="clear" w:color="auto" w:fill="FDFDFD"/>
          </w:tcPr>
          <w:p>
            <w:pPr>
              <w:spacing w:after="0"/>
              <w:rPr>
                <w:sz w:val="14"/>
                <w:szCs w:val="14"/>
                <w:color w:val="auto"/>
              </w:rPr>
            </w:pPr>
          </w:p>
        </w:tc>
        <w:tc>
          <w:tcPr>
            <w:tcW w:w="880" w:type="dxa"/>
            <w:vAlign w:val="bottom"/>
            <w:tcBorders>
              <w:bottom w:val="single" w:sz="8" w:color="D3ECED"/>
            </w:tcBorders>
            <w:gridSpan w:val="2"/>
            <w:shd w:val="clear" w:color="auto" w:fill="FDFDFD"/>
          </w:tcPr>
          <w:p>
            <w:pPr>
              <w:spacing w:after="0" w:line="162" w:lineRule="exact"/>
              <w:rPr>
                <w:sz w:val="20"/>
                <w:szCs w:val="20"/>
                <w:color w:val="auto"/>
              </w:rPr>
            </w:pPr>
            <w:r>
              <w:rPr>
                <w:rFonts w:ascii="Arial" w:cs="Arial" w:eastAsia="Arial" w:hAnsi="Arial"/>
                <w:sz w:val="15"/>
                <w:szCs w:val="15"/>
                <w:color w:val="auto"/>
              </w:rPr>
              <w:t>thousands)</w:t>
            </w:r>
          </w:p>
        </w:tc>
        <w:tc>
          <w:tcPr>
            <w:tcW w:w="100" w:type="dxa"/>
            <w:vAlign w:val="bottom"/>
            <w:tcBorders>
              <w:bottom w:val="single" w:sz="8" w:color="D3ECED"/>
            </w:tcBorders>
            <w:shd w:val="clear" w:color="auto" w:fill="FDFDFD"/>
          </w:tcPr>
          <w:p>
            <w:pPr>
              <w:spacing w:after="0"/>
              <w:rPr>
                <w:sz w:val="14"/>
                <w:szCs w:val="14"/>
                <w:color w:val="auto"/>
              </w:rPr>
            </w:pPr>
          </w:p>
        </w:tc>
        <w:tc>
          <w:tcPr>
            <w:tcW w:w="80" w:type="dxa"/>
            <w:vAlign w:val="bottom"/>
            <w:tcBorders>
              <w:bottom w:val="single" w:sz="8" w:color="FDFDFD"/>
            </w:tcBorders>
            <w:shd w:val="clear" w:color="auto" w:fill="FDFDFD"/>
          </w:tcPr>
          <w:p>
            <w:pPr>
              <w:spacing w:after="0"/>
              <w:rPr>
                <w:sz w:val="14"/>
                <w:szCs w:val="14"/>
                <w:color w:val="auto"/>
              </w:rPr>
            </w:pPr>
          </w:p>
        </w:tc>
        <w:tc>
          <w:tcPr>
            <w:tcW w:w="260" w:type="dxa"/>
            <w:vAlign w:val="bottom"/>
            <w:tcBorders>
              <w:bottom w:val="single" w:sz="8" w:color="FDFDFD"/>
            </w:tcBorders>
            <w:shd w:val="clear" w:color="auto" w:fill="FDFDFD"/>
          </w:tcPr>
          <w:p>
            <w:pPr>
              <w:spacing w:after="0"/>
              <w:rPr>
                <w:sz w:val="14"/>
                <w:szCs w:val="14"/>
                <w:color w:val="auto"/>
              </w:rPr>
            </w:pPr>
          </w:p>
        </w:tc>
        <w:tc>
          <w:tcPr>
            <w:tcW w:w="620" w:type="dxa"/>
            <w:vAlign w:val="bottom"/>
            <w:tcBorders>
              <w:bottom w:val="single" w:sz="8" w:color="FDFDFD"/>
            </w:tcBorders>
            <w:shd w:val="clear" w:color="auto" w:fill="FDFDFD"/>
          </w:tcPr>
          <w:p>
            <w:pPr>
              <w:spacing w:after="0"/>
              <w:rPr>
                <w:sz w:val="14"/>
                <w:szCs w:val="14"/>
                <w:color w:val="auto"/>
              </w:rPr>
            </w:pPr>
          </w:p>
        </w:tc>
        <w:tc>
          <w:tcPr>
            <w:tcW w:w="220" w:type="dxa"/>
            <w:vAlign w:val="bottom"/>
            <w:tcBorders>
              <w:bottom w:val="single" w:sz="8" w:color="FDFDFD"/>
            </w:tcBorders>
            <w:shd w:val="clear" w:color="auto" w:fill="FDFDFD"/>
          </w:tcPr>
          <w:p>
            <w:pPr>
              <w:spacing w:after="0"/>
              <w:rPr>
                <w:sz w:val="14"/>
                <w:szCs w:val="14"/>
                <w:color w:val="auto"/>
              </w:rPr>
            </w:pPr>
          </w:p>
        </w:tc>
      </w:tr>
      <w:tr>
        <w:trPr>
          <w:trHeight w:val="198"/>
        </w:trPr>
        <w:tc>
          <w:tcPr>
            <w:tcW w:w="4620" w:type="dxa"/>
            <w:vAlign w:val="bottom"/>
            <w:shd w:val="clear" w:color="auto" w:fill="D3ECED"/>
          </w:tcPr>
          <w:p>
            <w:pPr>
              <w:spacing w:after="0" w:line="198" w:lineRule="exact"/>
              <w:rPr>
                <w:sz w:val="20"/>
                <w:szCs w:val="20"/>
                <w:color w:val="auto"/>
              </w:rPr>
            </w:pPr>
            <w:r>
              <w:rPr>
                <w:rFonts w:ascii="Arial" w:cs="Arial" w:eastAsia="Arial" w:hAnsi="Arial"/>
                <w:sz w:val="19"/>
                <w:szCs w:val="19"/>
                <w:color w:val="auto"/>
              </w:rPr>
              <w:t>Research and development</w:t>
            </w:r>
          </w:p>
        </w:tc>
        <w:tc>
          <w:tcPr>
            <w:tcW w:w="100" w:type="dxa"/>
            <w:vAlign w:val="bottom"/>
            <w:shd w:val="clear" w:color="auto" w:fill="D3ECED"/>
          </w:tcPr>
          <w:p>
            <w:pPr>
              <w:jc w:val="right"/>
              <w:spacing w:after="0" w:line="198" w:lineRule="exact"/>
              <w:rPr>
                <w:sz w:val="20"/>
                <w:szCs w:val="20"/>
                <w:color w:val="auto"/>
              </w:rPr>
            </w:pPr>
            <w:r>
              <w:rPr>
                <w:rFonts w:ascii="Arial" w:cs="Arial" w:eastAsia="Arial" w:hAnsi="Arial"/>
                <w:sz w:val="19"/>
                <w:szCs w:val="19"/>
                <w:color w:val="auto"/>
                <w:w w:val="75"/>
              </w:rPr>
              <w:t>$</w:t>
            </w:r>
          </w:p>
        </w:tc>
        <w:tc>
          <w:tcPr>
            <w:tcW w:w="40" w:type="dxa"/>
            <w:vAlign w:val="bottom"/>
            <w:shd w:val="clear" w:color="auto" w:fill="D3ECED"/>
          </w:tcPr>
          <w:p>
            <w:pPr>
              <w:spacing w:after="0"/>
              <w:rPr>
                <w:sz w:val="17"/>
                <w:szCs w:val="17"/>
                <w:color w:val="auto"/>
              </w:rPr>
            </w:pPr>
          </w:p>
        </w:tc>
        <w:tc>
          <w:tcPr>
            <w:tcW w:w="780" w:type="dxa"/>
            <w:vAlign w:val="bottom"/>
            <w:shd w:val="clear" w:color="auto" w:fill="D3ECED"/>
          </w:tcPr>
          <w:p>
            <w:pPr>
              <w:jc w:val="right"/>
              <w:spacing w:after="0" w:line="198" w:lineRule="exact"/>
              <w:rPr>
                <w:sz w:val="20"/>
                <w:szCs w:val="20"/>
                <w:color w:val="auto"/>
              </w:rPr>
            </w:pPr>
            <w:r>
              <w:rPr>
                <w:rFonts w:ascii="Arial" w:cs="Arial" w:eastAsia="Arial" w:hAnsi="Arial"/>
                <w:sz w:val="19"/>
                <w:szCs w:val="19"/>
                <w:color w:val="auto"/>
              </w:rPr>
              <w:t>50,585</w:t>
            </w:r>
          </w:p>
        </w:tc>
        <w:tc>
          <w:tcPr>
            <w:tcW w:w="280" w:type="dxa"/>
            <w:vAlign w:val="bottom"/>
            <w:gridSpan w:val="2"/>
            <w:shd w:val="clear" w:color="auto" w:fill="D3ECED"/>
          </w:tcPr>
          <w:p>
            <w:pPr>
              <w:jc w:val="right"/>
              <w:spacing w:after="0" w:line="198" w:lineRule="exact"/>
              <w:rPr>
                <w:sz w:val="20"/>
                <w:szCs w:val="20"/>
                <w:color w:val="auto"/>
              </w:rPr>
            </w:pPr>
            <w:r>
              <w:rPr>
                <w:rFonts w:ascii="Arial" w:cs="Arial" w:eastAsia="Arial" w:hAnsi="Arial"/>
                <w:sz w:val="19"/>
                <w:szCs w:val="19"/>
                <w:color w:val="auto"/>
              </w:rPr>
              <w:t>$</w:t>
            </w:r>
          </w:p>
        </w:tc>
        <w:tc>
          <w:tcPr>
            <w:tcW w:w="820" w:type="dxa"/>
            <w:vAlign w:val="bottom"/>
            <w:shd w:val="clear" w:color="auto" w:fill="D3ECED"/>
          </w:tcPr>
          <w:p>
            <w:pPr>
              <w:jc w:val="right"/>
              <w:spacing w:after="0" w:line="198" w:lineRule="exact"/>
              <w:rPr>
                <w:sz w:val="20"/>
                <w:szCs w:val="20"/>
                <w:color w:val="auto"/>
              </w:rPr>
            </w:pPr>
            <w:r>
              <w:rPr>
                <w:rFonts w:ascii="Arial" w:cs="Arial" w:eastAsia="Arial" w:hAnsi="Arial"/>
                <w:sz w:val="19"/>
                <w:szCs w:val="19"/>
                <w:color w:val="auto"/>
              </w:rPr>
              <w:t>53,019</w:t>
            </w:r>
          </w:p>
        </w:tc>
        <w:tc>
          <w:tcPr>
            <w:tcW w:w="180" w:type="dxa"/>
            <w:vAlign w:val="bottom"/>
            <w:shd w:val="clear" w:color="auto" w:fill="D3ECED"/>
          </w:tcPr>
          <w:p>
            <w:pPr>
              <w:spacing w:after="0"/>
              <w:rPr>
                <w:sz w:val="17"/>
                <w:szCs w:val="17"/>
                <w:color w:val="auto"/>
              </w:rPr>
            </w:pPr>
          </w:p>
        </w:tc>
        <w:tc>
          <w:tcPr>
            <w:tcW w:w="100" w:type="dxa"/>
            <w:vAlign w:val="bottom"/>
            <w:shd w:val="clear" w:color="auto" w:fill="D3ECED"/>
          </w:tcPr>
          <w:p>
            <w:pPr>
              <w:spacing w:after="0" w:line="198" w:lineRule="exact"/>
              <w:rPr>
                <w:sz w:val="20"/>
                <w:szCs w:val="20"/>
                <w:color w:val="auto"/>
              </w:rPr>
            </w:pPr>
            <w:r>
              <w:rPr>
                <w:rFonts w:ascii="Arial" w:cs="Arial" w:eastAsia="Arial" w:hAnsi="Arial"/>
                <w:sz w:val="19"/>
                <w:szCs w:val="19"/>
                <w:color w:val="auto"/>
                <w:w w:val="75"/>
              </w:rPr>
              <w:t>$</w:t>
            </w:r>
          </w:p>
        </w:tc>
        <w:tc>
          <w:tcPr>
            <w:tcW w:w="780" w:type="dxa"/>
            <w:vAlign w:val="bottom"/>
            <w:shd w:val="clear" w:color="auto" w:fill="D3ECED"/>
          </w:tcPr>
          <w:p>
            <w:pPr>
              <w:jc w:val="right"/>
              <w:spacing w:after="0" w:line="198" w:lineRule="exact"/>
              <w:rPr>
                <w:sz w:val="20"/>
                <w:szCs w:val="20"/>
                <w:color w:val="auto"/>
              </w:rPr>
            </w:pPr>
            <w:r>
              <w:rPr>
                <w:rFonts w:ascii="Arial" w:cs="Arial" w:eastAsia="Arial" w:hAnsi="Arial"/>
                <w:sz w:val="19"/>
                <w:szCs w:val="19"/>
                <w:color w:val="auto"/>
              </w:rPr>
              <w:t>(2,434)</w:t>
            </w:r>
          </w:p>
        </w:tc>
        <w:tc>
          <w:tcPr>
            <w:tcW w:w="100" w:type="dxa"/>
            <w:vAlign w:val="bottom"/>
            <w:shd w:val="clear" w:color="auto" w:fill="D3ECED"/>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spacing w:after="0" w:line="198" w:lineRule="exact"/>
              <w:rPr>
                <w:sz w:val="20"/>
                <w:szCs w:val="20"/>
                <w:color w:val="auto"/>
              </w:rPr>
            </w:pPr>
            <w:r>
              <w:rPr>
                <w:rFonts w:ascii="Arial" w:cs="Arial" w:eastAsia="Arial" w:hAnsi="Arial"/>
                <w:sz w:val="19"/>
                <w:szCs w:val="19"/>
                <w:color w:val="auto"/>
              </w:rPr>
              <w:t>(5)%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5024120</wp:posOffset>
                </wp:positionH>
                <wp:positionV relativeFrom="paragraph">
                  <wp:posOffset>-138430</wp:posOffset>
                </wp:positionV>
                <wp:extent cx="614680" cy="13843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680" cy="138430"/>
                        </a:xfrm>
                        <a:prstGeom prst="rect">
                          <a:avLst/>
                        </a:prstGeom>
                        <a:solidFill>
                          <a:srgbClr val="D3ECED"/>
                        </a:solidFill>
                      </wps:spPr>
                      <wps:bodyPr/>
                    </wps:wsp>
                  </a:graphicData>
                </a:graphic>
              </wp:anchor>
            </w:drawing>
          </mc:Choice>
          <mc:Fallback>
            <w:pict>
              <v:rect id="Shape 285" o:spid="_x0000_s1310" style="position:absolute;margin-left:395.6pt;margin-top:-10.8999pt;width:48.4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w:r>
    </w:p>
    <w:p>
      <w:pPr>
        <w:spacing w:after="0" w:line="194" w:lineRule="exact"/>
        <w:rPr>
          <w:sz w:val="20"/>
          <w:szCs w:val="20"/>
          <w:color w:val="auto"/>
        </w:rPr>
      </w:pPr>
    </w:p>
    <w:p>
      <w:pPr>
        <w:ind w:left="120" w:right="480"/>
        <w:spacing w:after="0" w:line="299" w:lineRule="auto"/>
        <w:rPr>
          <w:sz w:val="20"/>
          <w:szCs w:val="20"/>
          <w:color w:val="auto"/>
        </w:rPr>
      </w:pPr>
      <w:r>
        <w:rPr>
          <w:rFonts w:ascii="Arial" w:cs="Arial" w:eastAsia="Arial" w:hAnsi="Arial"/>
          <w:sz w:val="19"/>
          <w:szCs w:val="19"/>
          <w:color w:val="auto"/>
        </w:rPr>
        <w:t>Research and development expenses in fiscal year 2024 decreased by $2.4 million, or 5% as compared to the prior year. The decrease was primarily due to lower headcount which resulted in a decrease in employee compensation costs of $2.3 million and a decrease of $1.2 million in stock-based compensation. The decrease was offset by a $1.1 million increase in laboratory expenses.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Selling, General and Administrative</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6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40" w:type="dxa"/>
            <w:vAlign w:val="bottom"/>
            <w:shd w:val="clear" w:color="auto" w:fill="FDFDFD"/>
          </w:tcPr>
          <w:p>
            <w:pPr>
              <w:spacing w:after="0"/>
              <w:rPr>
                <w:sz w:val="15"/>
                <w:szCs w:val="15"/>
                <w:color w:val="auto"/>
              </w:rPr>
            </w:pPr>
          </w:p>
        </w:tc>
        <w:tc>
          <w:tcPr>
            <w:tcW w:w="2060" w:type="dxa"/>
            <w:vAlign w:val="bottom"/>
            <w:gridSpan w:val="5"/>
            <w:shd w:val="clear" w:color="auto" w:fill="FDFDFD"/>
          </w:tcPr>
          <w:p>
            <w:pPr>
              <w:ind w:left="40"/>
              <w:spacing w:after="0"/>
              <w:rPr>
                <w:sz w:val="20"/>
                <w:szCs w:val="20"/>
                <w:color w:val="auto"/>
              </w:rPr>
            </w:pPr>
            <w:r>
              <w:rPr>
                <w:rFonts w:ascii="Arial" w:cs="Arial" w:eastAsia="Arial" w:hAnsi="Arial"/>
                <w:sz w:val="15"/>
                <w:szCs w:val="15"/>
                <w:b w:val="1"/>
                <w:bCs w:val="1"/>
                <w:color w:val="auto"/>
              </w:rPr>
              <w:t>Year ended December 31,</w:t>
            </w:r>
          </w:p>
        </w:tc>
        <w:tc>
          <w:tcPr>
            <w:tcW w:w="100" w:type="dxa"/>
            <w:vAlign w:val="bottom"/>
            <w:shd w:val="clear" w:color="auto" w:fill="FDFDFD"/>
          </w:tcPr>
          <w:p>
            <w:pPr>
              <w:spacing w:after="0"/>
              <w:rPr>
                <w:sz w:val="15"/>
                <w:szCs w:val="15"/>
                <w:color w:val="auto"/>
              </w:rPr>
            </w:pPr>
          </w:p>
        </w:tc>
        <w:tc>
          <w:tcPr>
            <w:tcW w:w="1220" w:type="dxa"/>
            <w:vAlign w:val="bottom"/>
            <w:gridSpan w:val="4"/>
            <w:shd w:val="clear" w:color="auto" w:fill="FDFDFD"/>
          </w:tcPr>
          <w:p>
            <w:pPr>
              <w:ind w:left="620"/>
              <w:spacing w:after="0"/>
              <w:rPr>
                <w:sz w:val="20"/>
                <w:szCs w:val="20"/>
                <w:color w:val="auto"/>
              </w:rPr>
            </w:pPr>
            <w:r>
              <w:rPr>
                <w:rFonts w:ascii="Arial" w:cs="Arial" w:eastAsia="Arial" w:hAnsi="Arial"/>
                <w:sz w:val="15"/>
                <w:szCs w:val="15"/>
                <w:b w:val="1"/>
                <w:bCs w:val="1"/>
                <w:color w:val="auto"/>
              </w:rPr>
              <w:t>Change</w:t>
            </w:r>
          </w:p>
        </w:tc>
        <w:tc>
          <w:tcPr>
            <w:tcW w:w="62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r>
      <w:tr>
        <w:trPr>
          <w:trHeight w:val="162"/>
        </w:trPr>
        <w:tc>
          <w:tcPr>
            <w:tcW w:w="4620" w:type="dxa"/>
            <w:vAlign w:val="bottom"/>
            <w:tcBorders>
              <w:top w:val="single" w:sz="8" w:color="FDFDFD"/>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spacing w:after="0"/>
              <w:rPr>
                <w:sz w:val="14"/>
                <w:szCs w:val="14"/>
                <w:color w:val="auto"/>
              </w:rPr>
            </w:pPr>
          </w:p>
        </w:tc>
        <w:tc>
          <w:tcPr>
            <w:tcW w:w="40" w:type="dxa"/>
            <w:vAlign w:val="bottom"/>
            <w:tcBorders>
              <w:top w:val="single" w:sz="8" w:color="auto"/>
              <w:bottom w:val="single" w:sz="8" w:color="auto"/>
            </w:tcBorders>
            <w:shd w:val="clear" w:color="auto" w:fill="FDFDFD"/>
          </w:tcPr>
          <w:p>
            <w:pPr>
              <w:spacing w:after="0"/>
              <w:rPr>
                <w:sz w:val="14"/>
                <w:szCs w:val="14"/>
                <w:color w:val="auto"/>
              </w:rPr>
            </w:pPr>
          </w:p>
        </w:tc>
        <w:tc>
          <w:tcPr>
            <w:tcW w:w="780" w:type="dxa"/>
            <w:vAlign w:val="bottom"/>
            <w:tcBorders>
              <w:top w:val="single" w:sz="8" w:color="auto"/>
              <w:bottom w:val="single" w:sz="8" w:color="auto"/>
            </w:tcBorders>
            <w:shd w:val="clear" w:color="auto" w:fill="FDFDFD"/>
          </w:tcPr>
          <w:p>
            <w:pPr>
              <w:jc w:val="right"/>
              <w:ind w:right="238"/>
              <w:spacing w:after="0" w:line="162" w:lineRule="exact"/>
              <w:rPr>
                <w:sz w:val="20"/>
                <w:szCs w:val="20"/>
                <w:color w:val="auto"/>
              </w:rPr>
            </w:pPr>
            <w:r>
              <w:rPr>
                <w:rFonts w:ascii="Arial" w:cs="Arial" w:eastAsia="Arial" w:hAnsi="Arial"/>
                <w:sz w:val="15"/>
                <w:szCs w:val="15"/>
                <w:b w:val="1"/>
                <w:bCs w:val="1"/>
                <w:color w:val="auto"/>
              </w:rPr>
              <w:t>2024</w:t>
            </w:r>
          </w:p>
        </w:tc>
        <w:tc>
          <w:tcPr>
            <w:tcW w:w="180" w:type="dxa"/>
            <w:vAlign w:val="bottom"/>
            <w:tcBorders>
              <w:top w:val="single" w:sz="8" w:color="auto"/>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spacing w:after="0"/>
              <w:rPr>
                <w:sz w:val="14"/>
                <w:szCs w:val="14"/>
                <w:color w:val="auto"/>
              </w:rPr>
            </w:pPr>
          </w:p>
        </w:tc>
        <w:tc>
          <w:tcPr>
            <w:tcW w:w="820" w:type="dxa"/>
            <w:vAlign w:val="bottom"/>
            <w:tcBorders>
              <w:top w:val="single" w:sz="8" w:color="auto"/>
              <w:bottom w:val="single" w:sz="8" w:color="auto"/>
            </w:tcBorders>
            <w:shd w:val="clear" w:color="auto" w:fill="FDFDFD"/>
          </w:tcPr>
          <w:p>
            <w:pPr>
              <w:ind w:left="200"/>
              <w:spacing w:after="0" w:line="162" w:lineRule="exact"/>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FDFDFD"/>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spacing w:after="0"/>
              <w:rPr>
                <w:sz w:val="14"/>
                <w:szCs w:val="14"/>
                <w:color w:val="auto"/>
              </w:rPr>
            </w:pPr>
          </w:p>
        </w:tc>
        <w:tc>
          <w:tcPr>
            <w:tcW w:w="780" w:type="dxa"/>
            <w:vAlign w:val="bottom"/>
            <w:tcBorders>
              <w:top w:val="single" w:sz="8" w:color="auto"/>
              <w:bottom w:val="single" w:sz="8" w:color="auto"/>
            </w:tcBorders>
            <w:shd w:val="clear" w:color="auto" w:fill="FDFDFD"/>
          </w:tcPr>
          <w:p>
            <w:pPr>
              <w:jc w:val="right"/>
              <w:ind w:right="98"/>
              <w:spacing w:after="0" w:line="162" w:lineRule="exact"/>
              <w:rPr>
                <w:sz w:val="20"/>
                <w:szCs w:val="20"/>
                <w:color w:val="auto"/>
              </w:rPr>
            </w:pPr>
            <w:r>
              <w:rPr>
                <w:rFonts w:ascii="Arial" w:cs="Arial" w:eastAsia="Arial" w:hAnsi="Arial"/>
                <w:sz w:val="15"/>
                <w:szCs w:val="15"/>
                <w:b w:val="1"/>
                <w:bCs w:val="1"/>
                <w:color w:val="auto"/>
              </w:rPr>
              <w:t>Amount</w:t>
            </w:r>
          </w:p>
        </w:tc>
        <w:tc>
          <w:tcPr>
            <w:tcW w:w="100" w:type="dxa"/>
            <w:vAlign w:val="bottom"/>
            <w:tcBorders>
              <w:top w:val="single" w:sz="8" w:color="auto"/>
              <w:bottom w:val="single" w:sz="8" w:color="FDFDFD"/>
            </w:tcBorders>
            <w:shd w:val="clear" w:color="auto" w:fill="FDFDFD"/>
          </w:tcPr>
          <w:p>
            <w:pPr>
              <w:spacing w:after="0"/>
              <w:rPr>
                <w:sz w:val="14"/>
                <w:szCs w:val="14"/>
                <w:color w:val="auto"/>
              </w:rPr>
            </w:pPr>
          </w:p>
        </w:tc>
        <w:tc>
          <w:tcPr>
            <w:tcW w:w="80" w:type="dxa"/>
            <w:vAlign w:val="bottom"/>
            <w:tcBorders>
              <w:top w:val="single" w:sz="8" w:color="auto"/>
              <w:bottom w:val="single" w:sz="8" w:color="FDFDFD"/>
            </w:tcBorders>
            <w:shd w:val="clear" w:color="auto" w:fill="FDFDFD"/>
          </w:tcPr>
          <w:p>
            <w:pPr>
              <w:spacing w:after="0"/>
              <w:rPr>
                <w:sz w:val="14"/>
                <w:szCs w:val="14"/>
                <w:color w:val="auto"/>
              </w:rPr>
            </w:pPr>
          </w:p>
        </w:tc>
        <w:tc>
          <w:tcPr>
            <w:tcW w:w="260" w:type="dxa"/>
            <w:vAlign w:val="bottom"/>
            <w:tcBorders>
              <w:top w:val="single" w:sz="8" w:color="auto"/>
              <w:bottom w:val="single" w:sz="8" w:color="auto"/>
            </w:tcBorders>
            <w:shd w:val="clear" w:color="auto" w:fill="FDFDFD"/>
          </w:tcPr>
          <w:p>
            <w:pPr>
              <w:spacing w:after="0"/>
              <w:rPr>
                <w:sz w:val="14"/>
                <w:szCs w:val="14"/>
                <w:color w:val="auto"/>
              </w:rPr>
            </w:pPr>
          </w:p>
        </w:tc>
        <w:tc>
          <w:tcPr>
            <w:tcW w:w="620" w:type="dxa"/>
            <w:vAlign w:val="bottom"/>
            <w:tcBorders>
              <w:top w:val="single" w:sz="8" w:color="auto"/>
              <w:bottom w:val="single" w:sz="8" w:color="auto"/>
            </w:tcBorders>
            <w:shd w:val="clear" w:color="auto" w:fill="FDFDFD"/>
          </w:tcPr>
          <w:p>
            <w:pPr>
              <w:jc w:val="right"/>
              <w:ind w:right="275"/>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tcBorders>
              <w:top w:val="single" w:sz="8" w:color="FDFDFD"/>
              <w:bottom w:val="single" w:sz="8" w:color="FDFDFD"/>
            </w:tcBorders>
            <w:shd w:val="clear" w:color="auto" w:fill="FDFDFD"/>
          </w:tcPr>
          <w:p>
            <w:pPr>
              <w:spacing w:after="0"/>
              <w:rPr>
                <w:sz w:val="14"/>
                <w:szCs w:val="14"/>
                <w:color w:val="auto"/>
              </w:rPr>
            </w:pPr>
          </w:p>
        </w:tc>
      </w:tr>
      <w:tr>
        <w:trPr>
          <w:trHeight w:val="164"/>
        </w:trPr>
        <w:tc>
          <w:tcPr>
            <w:tcW w:w="4620" w:type="dxa"/>
            <w:vAlign w:val="bottom"/>
            <w:tcBorders>
              <w:bottom w:val="single" w:sz="8" w:color="D3ECED"/>
            </w:tcBorders>
            <w:shd w:val="clear" w:color="auto" w:fill="FDFDFD"/>
          </w:tcPr>
          <w:p>
            <w:pPr>
              <w:spacing w:after="0"/>
              <w:rPr>
                <w:sz w:val="14"/>
                <w:szCs w:val="14"/>
                <w:color w:val="auto"/>
              </w:rPr>
            </w:pPr>
          </w:p>
        </w:tc>
        <w:tc>
          <w:tcPr>
            <w:tcW w:w="100" w:type="dxa"/>
            <w:vAlign w:val="bottom"/>
            <w:tcBorders>
              <w:bottom w:val="single" w:sz="8" w:color="D3ECED"/>
            </w:tcBorders>
            <w:shd w:val="clear" w:color="auto" w:fill="FDFDFD"/>
          </w:tcPr>
          <w:p>
            <w:pPr>
              <w:spacing w:after="0"/>
              <w:rPr>
                <w:sz w:val="14"/>
                <w:szCs w:val="14"/>
                <w:color w:val="auto"/>
              </w:rPr>
            </w:pPr>
          </w:p>
        </w:tc>
        <w:tc>
          <w:tcPr>
            <w:tcW w:w="40" w:type="dxa"/>
            <w:vAlign w:val="bottom"/>
            <w:tcBorders>
              <w:bottom w:val="single" w:sz="8" w:color="D3ECED"/>
            </w:tcBorders>
            <w:shd w:val="clear" w:color="auto" w:fill="FDFDFD"/>
          </w:tcPr>
          <w:p>
            <w:pPr>
              <w:spacing w:after="0"/>
              <w:rPr>
                <w:sz w:val="14"/>
                <w:szCs w:val="14"/>
                <w:color w:val="auto"/>
              </w:rPr>
            </w:pPr>
          </w:p>
        </w:tc>
        <w:tc>
          <w:tcPr>
            <w:tcW w:w="780" w:type="dxa"/>
            <w:vAlign w:val="bottom"/>
            <w:tcBorders>
              <w:bottom w:val="single" w:sz="8" w:color="D3ECED"/>
            </w:tcBorders>
            <w:shd w:val="clear" w:color="auto" w:fill="FDFDFD"/>
          </w:tcPr>
          <w:p>
            <w:pPr>
              <w:spacing w:after="0"/>
              <w:rPr>
                <w:sz w:val="14"/>
                <w:szCs w:val="14"/>
                <w:color w:val="auto"/>
              </w:rPr>
            </w:pPr>
          </w:p>
        </w:tc>
        <w:tc>
          <w:tcPr>
            <w:tcW w:w="180" w:type="dxa"/>
            <w:vAlign w:val="bottom"/>
            <w:tcBorders>
              <w:bottom w:val="single" w:sz="8" w:color="D3ECED"/>
            </w:tcBorders>
            <w:shd w:val="clear" w:color="auto" w:fill="FDFDFD"/>
          </w:tcPr>
          <w:p>
            <w:pPr>
              <w:spacing w:after="0"/>
              <w:rPr>
                <w:sz w:val="14"/>
                <w:szCs w:val="14"/>
                <w:color w:val="auto"/>
              </w:rPr>
            </w:pPr>
          </w:p>
        </w:tc>
        <w:tc>
          <w:tcPr>
            <w:tcW w:w="100" w:type="dxa"/>
            <w:vAlign w:val="bottom"/>
            <w:tcBorders>
              <w:bottom w:val="single" w:sz="8" w:color="D3ECED"/>
            </w:tcBorders>
            <w:shd w:val="clear" w:color="auto" w:fill="FDFDFD"/>
          </w:tcPr>
          <w:p>
            <w:pPr>
              <w:spacing w:after="0"/>
              <w:rPr>
                <w:sz w:val="14"/>
                <w:szCs w:val="14"/>
                <w:color w:val="auto"/>
              </w:rPr>
            </w:pPr>
          </w:p>
        </w:tc>
        <w:tc>
          <w:tcPr>
            <w:tcW w:w="820" w:type="dxa"/>
            <w:vAlign w:val="bottom"/>
            <w:tcBorders>
              <w:bottom w:val="single" w:sz="8" w:color="D3ECED"/>
            </w:tcBorders>
            <w:shd w:val="clear" w:color="auto" w:fill="FDFDFD"/>
          </w:tcPr>
          <w:p>
            <w:pPr>
              <w:ind w:left="200"/>
              <w:spacing w:after="0" w:line="164" w:lineRule="exact"/>
              <w:rPr>
                <w:sz w:val="20"/>
                <w:szCs w:val="20"/>
                <w:color w:val="auto"/>
              </w:rPr>
            </w:pPr>
            <w:r>
              <w:rPr>
                <w:rFonts w:ascii="Arial" w:cs="Arial" w:eastAsia="Arial" w:hAnsi="Arial"/>
                <w:sz w:val="15"/>
                <w:szCs w:val="15"/>
                <w:color w:val="auto"/>
                <w:w w:val="92"/>
              </w:rPr>
              <w:t>(dollars in</w:t>
            </w:r>
          </w:p>
        </w:tc>
        <w:tc>
          <w:tcPr>
            <w:tcW w:w="180" w:type="dxa"/>
            <w:vAlign w:val="bottom"/>
            <w:tcBorders>
              <w:bottom w:val="single" w:sz="8" w:color="D3ECED"/>
            </w:tcBorders>
            <w:shd w:val="clear" w:color="auto" w:fill="FDFDFD"/>
          </w:tcPr>
          <w:p>
            <w:pPr>
              <w:spacing w:after="0"/>
              <w:rPr>
                <w:sz w:val="14"/>
                <w:szCs w:val="14"/>
                <w:color w:val="auto"/>
              </w:rPr>
            </w:pPr>
          </w:p>
        </w:tc>
        <w:tc>
          <w:tcPr>
            <w:tcW w:w="880" w:type="dxa"/>
            <w:vAlign w:val="bottom"/>
            <w:tcBorders>
              <w:bottom w:val="single" w:sz="8" w:color="D3ECED"/>
            </w:tcBorders>
            <w:gridSpan w:val="2"/>
            <w:shd w:val="clear" w:color="auto" w:fill="FDFDFD"/>
          </w:tcPr>
          <w:p>
            <w:pPr>
              <w:spacing w:after="0" w:line="164" w:lineRule="exact"/>
              <w:rPr>
                <w:sz w:val="20"/>
                <w:szCs w:val="20"/>
                <w:color w:val="auto"/>
              </w:rPr>
            </w:pPr>
            <w:r>
              <w:rPr>
                <w:rFonts w:ascii="Arial" w:cs="Arial" w:eastAsia="Arial" w:hAnsi="Arial"/>
                <w:sz w:val="15"/>
                <w:szCs w:val="15"/>
                <w:color w:val="auto"/>
              </w:rPr>
              <w:t>thousands)</w:t>
            </w:r>
          </w:p>
        </w:tc>
        <w:tc>
          <w:tcPr>
            <w:tcW w:w="100" w:type="dxa"/>
            <w:vAlign w:val="bottom"/>
            <w:tcBorders>
              <w:bottom w:val="single" w:sz="8" w:color="D3ECED"/>
            </w:tcBorders>
            <w:shd w:val="clear" w:color="auto" w:fill="FDFDFD"/>
          </w:tcPr>
          <w:p>
            <w:pPr>
              <w:spacing w:after="0"/>
              <w:rPr>
                <w:sz w:val="14"/>
                <w:szCs w:val="14"/>
                <w:color w:val="auto"/>
              </w:rPr>
            </w:pPr>
          </w:p>
        </w:tc>
        <w:tc>
          <w:tcPr>
            <w:tcW w:w="80" w:type="dxa"/>
            <w:vAlign w:val="bottom"/>
            <w:tcBorders>
              <w:bottom w:val="single" w:sz="8" w:color="FDFDFD"/>
            </w:tcBorders>
            <w:shd w:val="clear" w:color="auto" w:fill="FDFDFD"/>
          </w:tcPr>
          <w:p>
            <w:pPr>
              <w:spacing w:after="0"/>
              <w:rPr>
                <w:sz w:val="14"/>
                <w:szCs w:val="14"/>
                <w:color w:val="auto"/>
              </w:rPr>
            </w:pPr>
          </w:p>
        </w:tc>
        <w:tc>
          <w:tcPr>
            <w:tcW w:w="260" w:type="dxa"/>
            <w:vAlign w:val="bottom"/>
            <w:tcBorders>
              <w:bottom w:val="single" w:sz="8" w:color="FDFDFD"/>
            </w:tcBorders>
            <w:shd w:val="clear" w:color="auto" w:fill="FDFDFD"/>
          </w:tcPr>
          <w:p>
            <w:pPr>
              <w:spacing w:after="0"/>
              <w:rPr>
                <w:sz w:val="14"/>
                <w:szCs w:val="14"/>
                <w:color w:val="auto"/>
              </w:rPr>
            </w:pPr>
          </w:p>
        </w:tc>
        <w:tc>
          <w:tcPr>
            <w:tcW w:w="620" w:type="dxa"/>
            <w:vAlign w:val="bottom"/>
            <w:tcBorders>
              <w:bottom w:val="single" w:sz="8" w:color="FDFDFD"/>
            </w:tcBorders>
            <w:shd w:val="clear" w:color="auto" w:fill="FDFDFD"/>
          </w:tcPr>
          <w:p>
            <w:pPr>
              <w:spacing w:after="0"/>
              <w:rPr>
                <w:sz w:val="14"/>
                <w:szCs w:val="14"/>
                <w:color w:val="auto"/>
              </w:rPr>
            </w:pPr>
          </w:p>
        </w:tc>
        <w:tc>
          <w:tcPr>
            <w:tcW w:w="220" w:type="dxa"/>
            <w:vAlign w:val="bottom"/>
            <w:tcBorders>
              <w:bottom w:val="single" w:sz="8" w:color="FDFDFD"/>
            </w:tcBorders>
            <w:shd w:val="clear" w:color="auto" w:fill="FDFDFD"/>
          </w:tcPr>
          <w:p>
            <w:pPr>
              <w:spacing w:after="0"/>
              <w:rPr>
                <w:sz w:val="14"/>
                <w:szCs w:val="14"/>
                <w:color w:val="auto"/>
              </w:rPr>
            </w:pPr>
          </w:p>
        </w:tc>
      </w:tr>
      <w:tr>
        <w:trPr>
          <w:trHeight w:val="198"/>
        </w:trPr>
        <w:tc>
          <w:tcPr>
            <w:tcW w:w="4620" w:type="dxa"/>
            <w:vAlign w:val="bottom"/>
            <w:shd w:val="clear" w:color="auto" w:fill="D3ECED"/>
          </w:tcPr>
          <w:p>
            <w:pPr>
              <w:spacing w:after="0" w:line="198" w:lineRule="exact"/>
              <w:rPr>
                <w:sz w:val="20"/>
                <w:szCs w:val="20"/>
                <w:color w:val="auto"/>
              </w:rPr>
            </w:pPr>
            <w:r>
              <w:rPr>
                <w:rFonts w:ascii="Arial" w:cs="Arial" w:eastAsia="Arial" w:hAnsi="Arial"/>
                <w:sz w:val="19"/>
                <w:szCs w:val="19"/>
                <w:color w:val="auto"/>
              </w:rPr>
              <w:t>Selling, general and administrative</w:t>
            </w:r>
          </w:p>
        </w:tc>
        <w:tc>
          <w:tcPr>
            <w:tcW w:w="100" w:type="dxa"/>
            <w:vAlign w:val="bottom"/>
            <w:shd w:val="clear" w:color="auto" w:fill="D3ECED"/>
          </w:tcPr>
          <w:p>
            <w:pPr>
              <w:jc w:val="right"/>
              <w:spacing w:after="0" w:line="198" w:lineRule="exact"/>
              <w:rPr>
                <w:sz w:val="20"/>
                <w:szCs w:val="20"/>
                <w:color w:val="auto"/>
              </w:rPr>
            </w:pPr>
            <w:r>
              <w:rPr>
                <w:rFonts w:ascii="Arial" w:cs="Arial" w:eastAsia="Arial" w:hAnsi="Arial"/>
                <w:sz w:val="19"/>
                <w:szCs w:val="19"/>
                <w:color w:val="auto"/>
                <w:w w:val="75"/>
              </w:rPr>
              <w:t>$</w:t>
            </w:r>
          </w:p>
        </w:tc>
        <w:tc>
          <w:tcPr>
            <w:tcW w:w="40" w:type="dxa"/>
            <w:vAlign w:val="bottom"/>
            <w:shd w:val="clear" w:color="auto" w:fill="D3ECED"/>
          </w:tcPr>
          <w:p>
            <w:pPr>
              <w:spacing w:after="0"/>
              <w:rPr>
                <w:sz w:val="17"/>
                <w:szCs w:val="17"/>
                <w:color w:val="auto"/>
              </w:rPr>
            </w:pPr>
          </w:p>
        </w:tc>
        <w:tc>
          <w:tcPr>
            <w:tcW w:w="780" w:type="dxa"/>
            <w:vAlign w:val="bottom"/>
            <w:shd w:val="clear" w:color="auto" w:fill="D3ECED"/>
          </w:tcPr>
          <w:p>
            <w:pPr>
              <w:jc w:val="right"/>
              <w:spacing w:after="0" w:line="198" w:lineRule="exact"/>
              <w:rPr>
                <w:sz w:val="20"/>
                <w:szCs w:val="20"/>
                <w:color w:val="auto"/>
              </w:rPr>
            </w:pPr>
            <w:r>
              <w:rPr>
                <w:rFonts w:ascii="Arial" w:cs="Arial" w:eastAsia="Arial" w:hAnsi="Arial"/>
                <w:sz w:val="19"/>
                <w:szCs w:val="19"/>
                <w:color w:val="auto"/>
              </w:rPr>
              <w:t>56,571</w:t>
            </w:r>
          </w:p>
        </w:tc>
        <w:tc>
          <w:tcPr>
            <w:tcW w:w="280" w:type="dxa"/>
            <w:vAlign w:val="bottom"/>
            <w:gridSpan w:val="2"/>
            <w:shd w:val="clear" w:color="auto" w:fill="D3ECED"/>
          </w:tcPr>
          <w:p>
            <w:pPr>
              <w:jc w:val="right"/>
              <w:spacing w:after="0" w:line="198" w:lineRule="exact"/>
              <w:rPr>
                <w:sz w:val="20"/>
                <w:szCs w:val="20"/>
                <w:color w:val="auto"/>
              </w:rPr>
            </w:pPr>
            <w:r>
              <w:rPr>
                <w:rFonts w:ascii="Arial" w:cs="Arial" w:eastAsia="Arial" w:hAnsi="Arial"/>
                <w:sz w:val="19"/>
                <w:szCs w:val="19"/>
                <w:color w:val="auto"/>
              </w:rPr>
              <w:t>$</w:t>
            </w:r>
          </w:p>
        </w:tc>
        <w:tc>
          <w:tcPr>
            <w:tcW w:w="820" w:type="dxa"/>
            <w:vAlign w:val="bottom"/>
            <w:shd w:val="clear" w:color="auto" w:fill="D3ECED"/>
          </w:tcPr>
          <w:p>
            <w:pPr>
              <w:jc w:val="right"/>
              <w:spacing w:after="0" w:line="198" w:lineRule="exact"/>
              <w:rPr>
                <w:sz w:val="20"/>
                <w:szCs w:val="20"/>
                <w:color w:val="auto"/>
              </w:rPr>
            </w:pPr>
            <w:r>
              <w:rPr>
                <w:rFonts w:ascii="Arial" w:cs="Arial" w:eastAsia="Arial" w:hAnsi="Arial"/>
                <w:sz w:val="19"/>
                <w:szCs w:val="19"/>
                <w:color w:val="auto"/>
              </w:rPr>
              <w:t>58,950</w:t>
            </w:r>
          </w:p>
        </w:tc>
        <w:tc>
          <w:tcPr>
            <w:tcW w:w="180" w:type="dxa"/>
            <w:vAlign w:val="bottom"/>
            <w:shd w:val="clear" w:color="auto" w:fill="D3ECED"/>
          </w:tcPr>
          <w:p>
            <w:pPr>
              <w:spacing w:after="0"/>
              <w:rPr>
                <w:sz w:val="17"/>
                <w:szCs w:val="17"/>
                <w:color w:val="auto"/>
              </w:rPr>
            </w:pPr>
          </w:p>
        </w:tc>
        <w:tc>
          <w:tcPr>
            <w:tcW w:w="100" w:type="dxa"/>
            <w:vAlign w:val="bottom"/>
            <w:shd w:val="clear" w:color="auto" w:fill="D3ECED"/>
          </w:tcPr>
          <w:p>
            <w:pPr>
              <w:spacing w:after="0" w:line="198" w:lineRule="exact"/>
              <w:rPr>
                <w:sz w:val="20"/>
                <w:szCs w:val="20"/>
                <w:color w:val="auto"/>
              </w:rPr>
            </w:pPr>
            <w:r>
              <w:rPr>
                <w:rFonts w:ascii="Arial" w:cs="Arial" w:eastAsia="Arial" w:hAnsi="Arial"/>
                <w:sz w:val="19"/>
                <w:szCs w:val="19"/>
                <w:color w:val="auto"/>
                <w:w w:val="75"/>
              </w:rPr>
              <w:t>$</w:t>
            </w:r>
          </w:p>
        </w:tc>
        <w:tc>
          <w:tcPr>
            <w:tcW w:w="780" w:type="dxa"/>
            <w:vAlign w:val="bottom"/>
            <w:shd w:val="clear" w:color="auto" w:fill="D3ECED"/>
          </w:tcPr>
          <w:p>
            <w:pPr>
              <w:jc w:val="right"/>
              <w:spacing w:after="0" w:line="198" w:lineRule="exact"/>
              <w:rPr>
                <w:sz w:val="20"/>
                <w:szCs w:val="20"/>
                <w:color w:val="auto"/>
              </w:rPr>
            </w:pPr>
            <w:r>
              <w:rPr>
                <w:rFonts w:ascii="Arial" w:cs="Arial" w:eastAsia="Arial" w:hAnsi="Arial"/>
                <w:sz w:val="19"/>
                <w:szCs w:val="19"/>
                <w:color w:val="auto"/>
              </w:rPr>
              <w:t>(2,379)</w:t>
            </w:r>
          </w:p>
        </w:tc>
        <w:tc>
          <w:tcPr>
            <w:tcW w:w="100" w:type="dxa"/>
            <w:vAlign w:val="bottom"/>
            <w:shd w:val="clear" w:color="auto" w:fill="D3ECED"/>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spacing w:after="0" w:line="198" w:lineRule="exact"/>
              <w:rPr>
                <w:sz w:val="20"/>
                <w:szCs w:val="20"/>
                <w:color w:val="auto"/>
              </w:rPr>
            </w:pPr>
            <w:r>
              <w:rPr>
                <w:rFonts w:ascii="Arial" w:cs="Arial" w:eastAsia="Arial" w:hAnsi="Arial"/>
                <w:sz w:val="19"/>
                <w:szCs w:val="19"/>
                <w:color w:val="auto"/>
              </w:rPr>
              <w:t>(4)%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5024120</wp:posOffset>
                </wp:positionH>
                <wp:positionV relativeFrom="paragraph">
                  <wp:posOffset>-138430</wp:posOffset>
                </wp:positionV>
                <wp:extent cx="614680" cy="13843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4680" cy="138430"/>
                        </a:xfrm>
                        <a:prstGeom prst="rect">
                          <a:avLst/>
                        </a:prstGeom>
                        <a:solidFill>
                          <a:srgbClr val="D3ECED"/>
                        </a:solidFill>
                      </wps:spPr>
                      <wps:bodyPr/>
                    </wps:wsp>
                  </a:graphicData>
                </a:graphic>
              </wp:anchor>
            </w:drawing>
          </mc:Choice>
          <mc:Fallback>
            <w:pict>
              <v:rect id="Shape 286" o:spid="_x0000_s1311" style="position:absolute;margin-left:395.6pt;margin-top:-10.8999pt;width:48.4pt;height:10.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w:r>
    </w:p>
    <w:p>
      <w:pPr>
        <w:spacing w:after="0" w:line="194" w:lineRule="exact"/>
        <w:rPr>
          <w:sz w:val="20"/>
          <w:szCs w:val="20"/>
          <w:color w:val="auto"/>
        </w:rPr>
      </w:pPr>
    </w:p>
    <w:p>
      <w:pPr>
        <w:jc w:val="both"/>
        <w:ind w:left="120" w:right="360"/>
        <w:spacing w:after="0" w:line="299" w:lineRule="auto"/>
        <w:rPr>
          <w:sz w:val="20"/>
          <w:szCs w:val="20"/>
          <w:color w:val="auto"/>
        </w:rPr>
      </w:pPr>
      <w:r>
        <w:rPr>
          <w:rFonts w:ascii="Arial" w:cs="Arial" w:eastAsia="Arial" w:hAnsi="Arial"/>
          <w:sz w:val="19"/>
          <w:szCs w:val="19"/>
          <w:color w:val="auto"/>
        </w:rPr>
        <w:t>Selling, general and administrative expenses in fiscal year 2024 decreased by $2.4 million, or 4% as compared to the prior year. The decrease was primarily due to a $5.1 million decrease in stock-based compensation and a $2.3 million decrease in employee compensation costs. The decrease was offset by a $4.2 million increase in professional services and a $0.9 million increase in facility expenses.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Total Other Income</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2080" w:type="dxa"/>
            <w:vAlign w:val="bottom"/>
            <w:gridSpan w:val="5"/>
            <w:shd w:val="clear" w:color="auto" w:fill="FDFDFD"/>
          </w:tcPr>
          <w:p>
            <w:pPr>
              <w:ind w:left="60"/>
              <w:spacing w:after="0"/>
              <w:rPr>
                <w:sz w:val="20"/>
                <w:szCs w:val="20"/>
                <w:color w:val="auto"/>
              </w:rPr>
            </w:pPr>
            <w:r>
              <w:rPr>
                <w:rFonts w:ascii="Arial" w:cs="Arial" w:eastAsia="Arial" w:hAnsi="Arial"/>
                <w:sz w:val="15"/>
                <w:szCs w:val="15"/>
                <w:b w:val="1"/>
                <w:bCs w:val="1"/>
                <w:color w:val="auto"/>
              </w:rPr>
              <w:t>Year ended December 31,</w:t>
            </w:r>
          </w:p>
        </w:tc>
        <w:tc>
          <w:tcPr>
            <w:tcW w:w="100" w:type="dxa"/>
            <w:vAlign w:val="bottom"/>
            <w:shd w:val="clear" w:color="auto" w:fill="FDFDFD"/>
          </w:tcPr>
          <w:p>
            <w:pPr>
              <w:spacing w:after="0"/>
              <w:rPr>
                <w:sz w:val="15"/>
                <w:szCs w:val="15"/>
                <w:color w:val="auto"/>
              </w:rPr>
            </w:pPr>
          </w:p>
        </w:tc>
        <w:tc>
          <w:tcPr>
            <w:tcW w:w="1220" w:type="dxa"/>
            <w:vAlign w:val="bottom"/>
            <w:gridSpan w:val="3"/>
            <w:shd w:val="clear" w:color="auto" w:fill="FDFDFD"/>
          </w:tcPr>
          <w:p>
            <w:pPr>
              <w:ind w:left="620"/>
              <w:spacing w:after="0"/>
              <w:rPr>
                <w:sz w:val="20"/>
                <w:szCs w:val="20"/>
                <w:color w:val="auto"/>
              </w:rPr>
            </w:pPr>
            <w:r>
              <w:rPr>
                <w:rFonts w:ascii="Arial" w:cs="Arial" w:eastAsia="Arial" w:hAnsi="Arial"/>
                <w:sz w:val="15"/>
                <w:szCs w:val="15"/>
                <w:b w:val="1"/>
                <w:bCs w:val="1"/>
                <w:color w:val="auto"/>
              </w:rPr>
              <w:t>Change</w:t>
            </w:r>
          </w:p>
        </w:tc>
        <w:tc>
          <w:tcPr>
            <w:tcW w:w="62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r>
      <w:tr>
        <w:trPr>
          <w:trHeight w:val="164"/>
        </w:trPr>
        <w:tc>
          <w:tcPr>
            <w:tcW w:w="4620" w:type="dxa"/>
            <w:vAlign w:val="bottom"/>
            <w:tcBorders>
              <w:top w:val="single" w:sz="8" w:color="FDFDFD"/>
              <w:bottom w:val="single" w:sz="8" w:color="FDFDFD"/>
            </w:tcBorders>
            <w:shd w:val="clear" w:color="auto" w:fill="FDFDFD"/>
          </w:tcPr>
          <w:p>
            <w:pPr>
              <w:spacing w:after="0"/>
              <w:rPr>
                <w:sz w:val="14"/>
                <w:szCs w:val="14"/>
                <w:color w:val="auto"/>
              </w:rPr>
            </w:pPr>
          </w:p>
        </w:tc>
        <w:tc>
          <w:tcPr>
            <w:tcW w:w="120" w:type="dxa"/>
            <w:vAlign w:val="bottom"/>
            <w:tcBorders>
              <w:top w:val="single" w:sz="8" w:color="auto"/>
              <w:bottom w:val="single" w:sz="8" w:color="auto"/>
            </w:tcBorders>
            <w:shd w:val="clear" w:color="auto" w:fill="FDFDFD"/>
          </w:tcPr>
          <w:p>
            <w:pPr>
              <w:spacing w:after="0"/>
              <w:rPr>
                <w:sz w:val="14"/>
                <w:szCs w:val="14"/>
                <w:color w:val="auto"/>
              </w:rPr>
            </w:pPr>
          </w:p>
        </w:tc>
        <w:tc>
          <w:tcPr>
            <w:tcW w:w="800" w:type="dxa"/>
            <w:vAlign w:val="bottom"/>
            <w:tcBorders>
              <w:top w:val="single" w:sz="8" w:color="auto"/>
              <w:bottom w:val="single" w:sz="8" w:color="auto"/>
            </w:tcBorders>
            <w:shd w:val="clear" w:color="auto" w:fill="FDFDFD"/>
          </w:tcPr>
          <w:p>
            <w:pPr>
              <w:jc w:val="right"/>
              <w:ind w:right="238"/>
              <w:spacing w:after="0" w:line="164" w:lineRule="exact"/>
              <w:rPr>
                <w:sz w:val="20"/>
                <w:szCs w:val="20"/>
                <w:color w:val="auto"/>
              </w:rPr>
            </w:pPr>
            <w:r>
              <w:rPr>
                <w:rFonts w:ascii="Arial" w:cs="Arial" w:eastAsia="Arial" w:hAnsi="Arial"/>
                <w:sz w:val="15"/>
                <w:szCs w:val="15"/>
                <w:b w:val="1"/>
                <w:bCs w:val="1"/>
                <w:color w:val="auto"/>
              </w:rPr>
              <w:t>2024</w:t>
            </w:r>
          </w:p>
        </w:tc>
        <w:tc>
          <w:tcPr>
            <w:tcW w:w="180" w:type="dxa"/>
            <w:vAlign w:val="bottom"/>
            <w:tcBorders>
              <w:top w:val="single" w:sz="8" w:color="auto"/>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spacing w:after="0"/>
              <w:rPr>
                <w:sz w:val="14"/>
                <w:szCs w:val="14"/>
                <w:color w:val="auto"/>
              </w:rPr>
            </w:pPr>
          </w:p>
        </w:tc>
        <w:tc>
          <w:tcPr>
            <w:tcW w:w="820" w:type="dxa"/>
            <w:vAlign w:val="bottom"/>
            <w:tcBorders>
              <w:top w:val="single" w:sz="8" w:color="auto"/>
              <w:bottom w:val="single" w:sz="8" w:color="auto"/>
            </w:tcBorders>
            <w:shd w:val="clear" w:color="auto" w:fill="FDFDFD"/>
          </w:tcPr>
          <w:p>
            <w:pPr>
              <w:ind w:left="200"/>
              <w:spacing w:after="0" w:line="164" w:lineRule="exact"/>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FDFDFD"/>
              <w:bottom w:val="single" w:sz="8" w:color="FDFDFD"/>
            </w:tcBorders>
            <w:shd w:val="clear" w:color="auto" w:fill="FDFDFD"/>
          </w:tcPr>
          <w:p>
            <w:pPr>
              <w:spacing w:after="0"/>
              <w:rPr>
                <w:sz w:val="14"/>
                <w:szCs w:val="14"/>
                <w:color w:val="auto"/>
              </w:rPr>
            </w:pPr>
          </w:p>
        </w:tc>
        <w:tc>
          <w:tcPr>
            <w:tcW w:w="100" w:type="dxa"/>
            <w:vAlign w:val="bottom"/>
            <w:tcBorders>
              <w:top w:val="single" w:sz="8" w:color="auto"/>
              <w:bottom w:val="single" w:sz="8" w:color="auto"/>
            </w:tcBorders>
            <w:shd w:val="clear" w:color="auto" w:fill="FDFDFD"/>
          </w:tcPr>
          <w:p>
            <w:pPr>
              <w:spacing w:after="0"/>
              <w:rPr>
                <w:sz w:val="14"/>
                <w:szCs w:val="14"/>
                <w:color w:val="auto"/>
              </w:rPr>
            </w:pPr>
          </w:p>
        </w:tc>
        <w:tc>
          <w:tcPr>
            <w:tcW w:w="780" w:type="dxa"/>
            <w:vAlign w:val="bottom"/>
            <w:tcBorders>
              <w:top w:val="single" w:sz="8" w:color="auto"/>
              <w:bottom w:val="single" w:sz="8" w:color="auto"/>
            </w:tcBorders>
            <w:shd w:val="clear" w:color="auto" w:fill="FDFDFD"/>
          </w:tcPr>
          <w:p>
            <w:pPr>
              <w:jc w:val="right"/>
              <w:ind w:right="98"/>
              <w:spacing w:after="0" w:line="164" w:lineRule="exact"/>
              <w:rPr>
                <w:sz w:val="20"/>
                <w:szCs w:val="20"/>
                <w:color w:val="auto"/>
              </w:rPr>
            </w:pPr>
            <w:r>
              <w:rPr>
                <w:rFonts w:ascii="Arial" w:cs="Arial" w:eastAsia="Arial" w:hAnsi="Arial"/>
                <w:sz w:val="15"/>
                <w:szCs w:val="15"/>
                <w:b w:val="1"/>
                <w:bCs w:val="1"/>
                <w:color w:val="auto"/>
              </w:rPr>
              <w:t>Amount</w:t>
            </w:r>
          </w:p>
        </w:tc>
        <w:tc>
          <w:tcPr>
            <w:tcW w:w="180" w:type="dxa"/>
            <w:vAlign w:val="bottom"/>
            <w:tcBorders>
              <w:top w:val="single" w:sz="8" w:color="auto"/>
              <w:bottom w:val="single" w:sz="8" w:color="FDFDFD"/>
            </w:tcBorders>
            <w:shd w:val="clear" w:color="auto" w:fill="FDFDFD"/>
          </w:tcPr>
          <w:p>
            <w:pPr>
              <w:spacing w:after="0"/>
              <w:rPr>
                <w:sz w:val="14"/>
                <w:szCs w:val="14"/>
                <w:color w:val="auto"/>
              </w:rPr>
            </w:pPr>
          </w:p>
        </w:tc>
        <w:tc>
          <w:tcPr>
            <w:tcW w:w="260" w:type="dxa"/>
            <w:vAlign w:val="bottom"/>
            <w:tcBorders>
              <w:top w:val="single" w:sz="8" w:color="auto"/>
              <w:bottom w:val="single" w:sz="8" w:color="auto"/>
            </w:tcBorders>
            <w:shd w:val="clear" w:color="auto" w:fill="FDFDFD"/>
          </w:tcPr>
          <w:p>
            <w:pPr>
              <w:spacing w:after="0"/>
              <w:rPr>
                <w:sz w:val="14"/>
                <w:szCs w:val="14"/>
                <w:color w:val="auto"/>
              </w:rPr>
            </w:pPr>
          </w:p>
        </w:tc>
        <w:tc>
          <w:tcPr>
            <w:tcW w:w="620" w:type="dxa"/>
            <w:vAlign w:val="bottom"/>
            <w:tcBorders>
              <w:top w:val="single" w:sz="8" w:color="auto"/>
              <w:bottom w:val="single" w:sz="8" w:color="auto"/>
            </w:tcBorders>
            <w:shd w:val="clear" w:color="auto" w:fill="FDFDFD"/>
          </w:tcPr>
          <w:p>
            <w:pPr>
              <w:jc w:val="right"/>
              <w:ind w:right="275"/>
              <w:spacing w:after="0" w:line="164" w:lineRule="exact"/>
              <w:rPr>
                <w:sz w:val="20"/>
                <w:szCs w:val="20"/>
                <w:color w:val="auto"/>
              </w:rPr>
            </w:pPr>
            <w:r>
              <w:rPr>
                <w:rFonts w:ascii="Arial" w:cs="Arial" w:eastAsia="Arial" w:hAnsi="Arial"/>
                <w:sz w:val="15"/>
                <w:szCs w:val="15"/>
                <w:b w:val="1"/>
                <w:bCs w:val="1"/>
                <w:color w:val="auto"/>
              </w:rPr>
              <w:t>%</w:t>
            </w:r>
          </w:p>
        </w:tc>
        <w:tc>
          <w:tcPr>
            <w:tcW w:w="220" w:type="dxa"/>
            <w:vAlign w:val="bottom"/>
            <w:tcBorders>
              <w:top w:val="single" w:sz="8" w:color="FDFDFD"/>
              <w:bottom w:val="single" w:sz="8" w:color="FDFDFD"/>
            </w:tcBorders>
            <w:shd w:val="clear" w:color="auto" w:fill="FDFDFD"/>
          </w:tcPr>
          <w:p>
            <w:pPr>
              <w:spacing w:after="0"/>
              <w:rPr>
                <w:sz w:val="14"/>
                <w:szCs w:val="14"/>
                <w:color w:val="auto"/>
              </w:rPr>
            </w:pPr>
          </w:p>
        </w:tc>
      </w:tr>
      <w:tr>
        <w:trPr>
          <w:trHeight w:val="164"/>
        </w:trPr>
        <w:tc>
          <w:tcPr>
            <w:tcW w:w="4620" w:type="dxa"/>
            <w:vAlign w:val="bottom"/>
            <w:shd w:val="clear" w:color="auto" w:fill="FDFDFD"/>
          </w:tcPr>
          <w:p>
            <w:pPr>
              <w:spacing w:after="0"/>
              <w:rPr>
                <w:sz w:val="14"/>
                <w:szCs w:val="14"/>
                <w:color w:val="auto"/>
              </w:rPr>
            </w:pPr>
          </w:p>
        </w:tc>
        <w:tc>
          <w:tcPr>
            <w:tcW w:w="120" w:type="dxa"/>
            <w:vAlign w:val="bottom"/>
            <w:shd w:val="clear" w:color="auto" w:fill="FDFDFD"/>
          </w:tcPr>
          <w:p>
            <w:pPr>
              <w:spacing w:after="0"/>
              <w:rPr>
                <w:sz w:val="14"/>
                <w:szCs w:val="14"/>
                <w:color w:val="auto"/>
              </w:rPr>
            </w:pPr>
          </w:p>
        </w:tc>
        <w:tc>
          <w:tcPr>
            <w:tcW w:w="800" w:type="dxa"/>
            <w:vAlign w:val="bottom"/>
            <w:shd w:val="clear" w:color="auto" w:fill="FDFDFD"/>
          </w:tcPr>
          <w:p>
            <w:pPr>
              <w:spacing w:after="0"/>
              <w:rPr>
                <w:sz w:val="14"/>
                <w:szCs w:val="14"/>
                <w:color w:val="auto"/>
              </w:rPr>
            </w:pPr>
          </w:p>
        </w:tc>
        <w:tc>
          <w:tcPr>
            <w:tcW w:w="18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820" w:type="dxa"/>
            <w:vAlign w:val="bottom"/>
            <w:shd w:val="clear" w:color="auto" w:fill="FDFDFD"/>
          </w:tcPr>
          <w:p>
            <w:pPr>
              <w:ind w:left="200"/>
              <w:spacing w:after="0" w:line="164" w:lineRule="exact"/>
              <w:rPr>
                <w:sz w:val="20"/>
                <w:szCs w:val="20"/>
                <w:color w:val="auto"/>
              </w:rPr>
            </w:pPr>
            <w:r>
              <w:rPr>
                <w:rFonts w:ascii="Arial" w:cs="Arial" w:eastAsia="Arial" w:hAnsi="Arial"/>
                <w:sz w:val="15"/>
                <w:szCs w:val="15"/>
                <w:color w:val="auto"/>
                <w:w w:val="92"/>
              </w:rPr>
              <w:t>(dollars in</w:t>
            </w:r>
          </w:p>
        </w:tc>
        <w:tc>
          <w:tcPr>
            <w:tcW w:w="180" w:type="dxa"/>
            <w:vAlign w:val="bottom"/>
            <w:shd w:val="clear" w:color="auto" w:fill="FDFDFD"/>
          </w:tcPr>
          <w:p>
            <w:pPr>
              <w:spacing w:after="0"/>
              <w:rPr>
                <w:sz w:val="14"/>
                <w:szCs w:val="14"/>
                <w:color w:val="auto"/>
              </w:rPr>
            </w:pPr>
          </w:p>
        </w:tc>
        <w:tc>
          <w:tcPr>
            <w:tcW w:w="880" w:type="dxa"/>
            <w:vAlign w:val="bottom"/>
            <w:gridSpan w:val="2"/>
            <w:shd w:val="clear" w:color="auto" w:fill="FDFDFD"/>
          </w:tcPr>
          <w:p>
            <w:pPr>
              <w:spacing w:after="0" w:line="164" w:lineRule="exact"/>
              <w:rPr>
                <w:sz w:val="20"/>
                <w:szCs w:val="20"/>
                <w:color w:val="auto"/>
              </w:rPr>
            </w:pPr>
            <w:r>
              <w:rPr>
                <w:rFonts w:ascii="Arial" w:cs="Arial" w:eastAsia="Arial" w:hAnsi="Arial"/>
                <w:sz w:val="15"/>
                <w:szCs w:val="15"/>
                <w:color w:val="auto"/>
              </w:rPr>
              <w:t>thousands)</w:t>
            </w:r>
          </w:p>
        </w:tc>
        <w:tc>
          <w:tcPr>
            <w:tcW w:w="180" w:type="dxa"/>
            <w:vAlign w:val="bottom"/>
            <w:shd w:val="clear" w:color="auto" w:fill="FDFDFD"/>
          </w:tcPr>
          <w:p>
            <w:pPr>
              <w:spacing w:after="0"/>
              <w:rPr>
                <w:sz w:val="14"/>
                <w:szCs w:val="14"/>
                <w:color w:val="auto"/>
              </w:rPr>
            </w:pPr>
          </w:p>
        </w:tc>
        <w:tc>
          <w:tcPr>
            <w:tcW w:w="260" w:type="dxa"/>
            <w:vAlign w:val="bottom"/>
            <w:shd w:val="clear" w:color="auto" w:fill="FDFDFD"/>
          </w:tcPr>
          <w:p>
            <w:pPr>
              <w:spacing w:after="0"/>
              <w:rPr>
                <w:sz w:val="14"/>
                <w:szCs w:val="14"/>
                <w:color w:val="auto"/>
              </w:rPr>
            </w:pPr>
          </w:p>
        </w:tc>
        <w:tc>
          <w:tcPr>
            <w:tcW w:w="620" w:type="dxa"/>
            <w:vAlign w:val="bottom"/>
            <w:shd w:val="clear" w:color="auto" w:fill="FDFDFD"/>
          </w:tcPr>
          <w:p>
            <w:pPr>
              <w:spacing w:after="0"/>
              <w:rPr>
                <w:sz w:val="14"/>
                <w:szCs w:val="14"/>
                <w:color w:val="auto"/>
              </w:rPr>
            </w:pPr>
          </w:p>
        </w:tc>
        <w:tc>
          <w:tcPr>
            <w:tcW w:w="220" w:type="dxa"/>
            <w:vAlign w:val="bottom"/>
            <w:shd w:val="clear" w:color="auto" w:fill="FDFDFD"/>
          </w:tcPr>
          <w:p>
            <w:pPr>
              <w:spacing w:after="0"/>
              <w:rPr>
                <w:sz w:val="14"/>
                <w:szCs w:val="14"/>
                <w:color w:val="auto"/>
              </w:rPr>
            </w:pPr>
          </w:p>
        </w:tc>
      </w:tr>
      <w:tr>
        <w:trPr>
          <w:trHeight w:val="218"/>
        </w:trPr>
        <w:tc>
          <w:tcPr>
            <w:tcW w:w="4620" w:type="dxa"/>
            <w:vAlign w:val="bottom"/>
            <w:shd w:val="clear" w:color="auto" w:fill="D3ECED"/>
          </w:tcPr>
          <w:p>
            <w:pPr>
              <w:spacing w:after="0"/>
              <w:rPr>
                <w:sz w:val="20"/>
                <w:szCs w:val="20"/>
                <w:color w:val="auto"/>
              </w:rPr>
            </w:pPr>
            <w:r>
              <w:rPr>
                <w:rFonts w:ascii="Arial" w:cs="Arial" w:eastAsia="Arial" w:hAnsi="Arial"/>
                <w:sz w:val="19"/>
                <w:szCs w:val="19"/>
                <w:color w:val="auto"/>
              </w:rPr>
              <w:t>Total other income</w:t>
            </w: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13,600</w:t>
            </w:r>
          </w:p>
        </w:tc>
        <w:tc>
          <w:tcPr>
            <w:tcW w:w="28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17,186</w:t>
            </w:r>
          </w:p>
        </w:tc>
        <w:tc>
          <w:tcPr>
            <w:tcW w:w="180" w:type="dxa"/>
            <w:vAlign w:val="bottom"/>
            <w:shd w:val="clear" w:color="auto" w:fill="D3ECED"/>
          </w:tcPr>
          <w:p>
            <w:pPr>
              <w:spacing w:after="0"/>
              <w:rPr>
                <w:sz w:val="18"/>
                <w:szCs w:val="18"/>
                <w:color w:val="auto"/>
              </w:rPr>
            </w:pPr>
          </w:p>
        </w:tc>
        <w:tc>
          <w:tcPr>
            <w:tcW w:w="100" w:type="dxa"/>
            <w:vAlign w:val="bottom"/>
            <w:shd w:val="clear" w:color="auto" w:fill="D3ECED"/>
          </w:tcPr>
          <w:p>
            <w:pPr>
              <w:spacing w:after="0"/>
              <w:rPr>
                <w:sz w:val="20"/>
                <w:szCs w:val="20"/>
                <w:color w:val="auto"/>
              </w:rPr>
            </w:pPr>
            <w:r>
              <w:rPr>
                <w:rFonts w:ascii="Arial" w:cs="Arial" w:eastAsia="Arial" w:hAnsi="Arial"/>
                <w:sz w:val="19"/>
                <w:szCs w:val="19"/>
                <w:color w:val="auto"/>
                <w:w w:val="75"/>
              </w:rPr>
              <w:t>$</w:t>
            </w:r>
          </w:p>
        </w:tc>
        <w:tc>
          <w:tcPr>
            <w:tcW w:w="7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(3,586)</w:t>
            </w:r>
          </w:p>
        </w:tc>
        <w:tc>
          <w:tcPr>
            <w:tcW w:w="180" w:type="dxa"/>
            <w:vAlign w:val="bottom"/>
            <w:shd w:val="clear" w:color="auto" w:fill="D3ECED"/>
          </w:tcPr>
          <w:p>
            <w:pPr>
              <w:spacing w:after="0"/>
              <w:rPr>
                <w:sz w:val="18"/>
                <w:szCs w:val="18"/>
                <w:color w:val="auto"/>
              </w:rPr>
            </w:pPr>
          </w:p>
        </w:tc>
        <w:tc>
          <w:tcPr>
            <w:tcW w:w="260" w:type="dxa"/>
            <w:vAlign w:val="bottom"/>
            <w:shd w:val="clear" w:color="auto" w:fill="D3ECED"/>
          </w:tcPr>
          <w:p>
            <w:pPr>
              <w:spacing w:after="0"/>
              <w:rPr>
                <w:sz w:val="18"/>
                <w:szCs w:val="18"/>
                <w:color w:val="auto"/>
              </w:rPr>
            </w:pPr>
          </w:p>
        </w:tc>
        <w:tc>
          <w:tcPr>
            <w:tcW w:w="6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(21)</w:t>
            </w:r>
          </w:p>
        </w:tc>
        <w:tc>
          <w:tcPr>
            <w:tcW w:w="2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r>
    </w:tbl>
    <w:p>
      <w:pPr>
        <w:spacing w:after="0" w:line="214" w:lineRule="exact"/>
        <w:rPr>
          <w:sz w:val="20"/>
          <w:szCs w:val="20"/>
          <w:color w:val="auto"/>
        </w:rPr>
      </w:pPr>
    </w:p>
    <w:p>
      <w:pPr>
        <w:ind w:left="120" w:right="380"/>
        <w:spacing w:after="0" w:line="355" w:lineRule="auto"/>
        <w:rPr>
          <w:sz w:val="20"/>
          <w:szCs w:val="20"/>
          <w:color w:val="auto"/>
        </w:rPr>
      </w:pPr>
      <w:r>
        <w:rPr>
          <w:rFonts w:ascii="Arial" w:cs="Arial" w:eastAsia="Arial" w:hAnsi="Arial"/>
          <w:sz w:val="17"/>
          <w:szCs w:val="17"/>
          <w:color w:val="auto"/>
        </w:rPr>
        <w:t>Total other income in fiscal year 2024 decreased by $3.6 million, or 21% as compared to the prior year. The decrease was primarily due to the loss in the equity method investment and lower rates of interest earned on cash invested in money market funds, U.S. Treasury securities, commercial paper, and corporate debt securities.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Liquidity and Capital Resources</w:t>
      </w:r>
    </w:p>
    <w:p>
      <w:pPr>
        <w:spacing w:after="0" w:line="215" w:lineRule="exact"/>
        <w:rPr>
          <w:sz w:val="20"/>
          <w:szCs w:val="20"/>
          <w:color w:val="auto"/>
        </w:rPr>
      </w:pPr>
    </w:p>
    <w:p>
      <w:pPr>
        <w:ind w:left="120" w:right="500"/>
        <w:spacing w:after="0" w:line="308" w:lineRule="auto"/>
        <w:rPr>
          <w:sz w:val="20"/>
          <w:szCs w:val="20"/>
          <w:color w:val="auto"/>
        </w:rPr>
      </w:pPr>
      <w:r>
        <w:rPr>
          <w:rFonts w:ascii="Arial" w:cs="Arial" w:eastAsia="Arial" w:hAnsi="Arial"/>
          <w:sz w:val="18"/>
          <w:szCs w:val="18"/>
          <w:color w:val="auto"/>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Annual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spacing w:after="0" w:line="122" w:lineRule="exact"/>
        <w:rPr>
          <w:sz w:val="20"/>
          <w:szCs w:val="20"/>
          <w:color w:val="auto"/>
        </w:rPr>
      </w:pPr>
    </w:p>
    <w:p>
      <w:pPr>
        <w:ind w:left="120" w:right="340"/>
        <w:spacing w:after="0" w:line="305" w:lineRule="auto"/>
        <w:rPr>
          <w:sz w:val="20"/>
          <w:szCs w:val="20"/>
          <w:color w:val="auto"/>
        </w:rPr>
      </w:pPr>
      <w:r>
        <w:rPr>
          <w:rFonts w:ascii="Arial" w:cs="Arial" w:eastAsia="Arial" w:hAnsi="Arial"/>
          <w:sz w:val="19"/>
          <w:szCs w:val="19"/>
          <w:color w:val="auto"/>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sectPr>
          <w:pgSz w:w="12240" w:h="15840" w:orient="portrait"/>
          <w:cols w:equalWidth="0" w:num="1">
            <w:col w:w="9360"/>
          </w:cols>
          <w:pgMar w:left="1440" w:top="1440" w:right="1440" w:bottom="610" w:gutter="0" w:footer="0" w:header="0"/>
        </w:sectPr>
      </w:pPr>
    </w:p>
    <w:p>
      <w:pPr>
        <w:spacing w:after="0" w:line="39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98</w:t>
      </w:r>
    </w:p>
    <w:p>
      <w:pPr>
        <w:sectPr>
          <w:pgSz w:w="12240" w:h="15840" w:orient="portrait"/>
          <w:cols w:equalWidth="0" w:num="1">
            <w:col w:w="9360"/>
          </w:cols>
          <w:pgMar w:left="1440" w:top="1440" w:right="1440" w:bottom="610" w:gutter="0" w:footer="0" w:header="0"/>
          <w:type w:val="continuous"/>
        </w:sectPr>
      </w:pPr>
    </w:p>
    <w:bookmarkStart w:id="105" w:name="page106"/>
    <w:bookmarkEnd w:id="105"/>
    <w:p>
      <w:pPr>
        <w:spacing w:after="0" w:line="352" w:lineRule="exact"/>
        <w:rPr>
          <w:sz w:val="20"/>
          <w:szCs w:val="20"/>
          <w:color w:val="auto"/>
        </w:rPr>
      </w:pPr>
    </w:p>
    <w:p>
      <w:pPr>
        <w:ind w:left="120" w:right="420"/>
        <w:spacing w:after="0" w:line="332" w:lineRule="auto"/>
        <w:rPr>
          <w:sz w:val="20"/>
          <w:szCs w:val="20"/>
          <w:color w:val="auto"/>
        </w:rPr>
      </w:pPr>
      <w:r>
        <w:rPr>
          <w:rFonts w:ascii="Arial" w:cs="Arial" w:eastAsia="Arial" w:hAnsi="Arial"/>
          <w:sz w:val="17"/>
          <w:szCs w:val="17"/>
          <w:color w:val="auto"/>
        </w:rPr>
        <w:t>Our operating lease obligations reflect our lease obligations for our office and laboratory space in Redwood City, California and office space in San Diego,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each of December 31, 2024 and 2023, which is secured by restricted cash and is presented as noncurrent at each date based on the term of the underlying lease. We lease approximately 3,500 square feet of office space in San Diego, California under a lease that runs through July 2025.</w:t>
      </w:r>
    </w:p>
    <w:p>
      <w:pPr>
        <w:spacing w:after="0" w:line="100" w:lineRule="exact"/>
        <w:rPr>
          <w:sz w:val="20"/>
          <w:szCs w:val="20"/>
          <w:color w:val="auto"/>
        </w:rPr>
      </w:pPr>
    </w:p>
    <w:p>
      <w:pPr>
        <w:ind w:left="120" w:right="340"/>
        <w:spacing w:after="0" w:line="334" w:lineRule="auto"/>
        <w:rPr>
          <w:sz w:val="20"/>
          <w:szCs w:val="20"/>
          <w:color w:val="auto"/>
        </w:rPr>
      </w:pPr>
      <w:r>
        <w:rPr>
          <w:rFonts w:ascii="Arial" w:cs="Arial" w:eastAsia="Arial" w:hAnsi="Arial"/>
          <w:sz w:val="17"/>
          <w:szCs w:val="17"/>
          <w:color w:val="auto"/>
        </w:rPr>
        <w:t>We have certain purchase commitments related to our inventory management with certain manufacturing suppliers wherein we are required to purchase the amounts forecasted in a blanket purchase order within a certain time period. The Company also has certain contractual obligations for third-party technology used as part of its normal operations.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$4.5 million as of December 31, 2024.</w:t>
      </w:r>
    </w:p>
    <w:p>
      <w:pPr>
        <w:spacing w:after="0" w:line="101" w:lineRule="exact"/>
        <w:rPr>
          <w:sz w:val="20"/>
          <w:szCs w:val="20"/>
          <w:color w:val="auto"/>
        </w:rPr>
      </w:pPr>
    </w:p>
    <w:p>
      <w:pPr>
        <w:ind w:left="120" w:right="320"/>
        <w:spacing w:after="0" w:line="312" w:lineRule="auto"/>
        <w:rPr>
          <w:sz w:val="20"/>
          <w:szCs w:val="20"/>
          <w:color w:val="auto"/>
        </w:rPr>
      </w:pPr>
      <w:r>
        <w:rPr>
          <w:rFonts w:ascii="Arial" w:cs="Arial" w:eastAsia="Arial" w:hAnsi="Arial"/>
          <w:sz w:val="18"/>
          <w:szCs w:val="18"/>
          <w:color w:val="auto"/>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the expansion of sales and marketing and international activities and the extent and magnitude of our ongoing research and development programs.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Cash Flows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following table summarizes our cash flows for the periods indicated:</w:t>
      </w: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640" w:type="dxa"/>
            <w:vAlign w:val="bottom"/>
            <w:tcBorders>
              <w:bottom w:val="single" w:sz="8" w:color="FDFDFD"/>
            </w:tcBorders>
            <w:shd w:val="clear" w:color="auto" w:fill="FDFDFD"/>
          </w:tcPr>
          <w:p>
            <w:pPr>
              <w:spacing w:after="0"/>
              <w:rPr>
                <w:sz w:val="15"/>
                <w:szCs w:val="15"/>
                <w:color w:val="auto"/>
              </w:rPr>
            </w:pPr>
          </w:p>
        </w:tc>
        <w:tc>
          <w:tcPr>
            <w:tcW w:w="520" w:type="dxa"/>
            <w:vAlign w:val="bottom"/>
            <w:tcBorders>
              <w:bottom w:val="single" w:sz="8" w:color="FDFDFD"/>
            </w:tcBorders>
            <w:shd w:val="clear" w:color="auto" w:fill="FDFDFD"/>
          </w:tcPr>
          <w:p>
            <w:pPr>
              <w:spacing w:after="0"/>
              <w:rPr>
                <w:sz w:val="15"/>
                <w:szCs w:val="15"/>
                <w:color w:val="auto"/>
              </w:rPr>
            </w:pPr>
          </w:p>
        </w:tc>
        <w:tc>
          <w:tcPr>
            <w:tcW w:w="100" w:type="dxa"/>
            <w:vAlign w:val="bottom"/>
            <w:tcBorders>
              <w:bottom w:val="single" w:sz="8" w:color="auto"/>
            </w:tcBorders>
            <w:shd w:val="clear" w:color="auto" w:fill="FDFDFD"/>
          </w:tcPr>
          <w:p>
            <w:pPr>
              <w:spacing w:after="0"/>
              <w:rPr>
                <w:sz w:val="15"/>
                <w:szCs w:val="15"/>
                <w:color w:val="auto"/>
              </w:rPr>
            </w:pPr>
          </w:p>
        </w:tc>
        <w:tc>
          <w:tcPr>
            <w:tcW w:w="2720" w:type="dxa"/>
            <w:vAlign w:val="bottom"/>
            <w:tcBorders>
              <w:bottom w:val="single" w:sz="8" w:color="auto"/>
            </w:tcBorders>
            <w:gridSpan w:val="4"/>
            <w:shd w:val="clear" w:color="auto" w:fill="FDFDFD"/>
          </w:tcPr>
          <w:p>
            <w:pPr>
              <w:jc w:val="right"/>
              <w:ind w:right="529"/>
              <w:spacing w:after="0"/>
              <w:rPr>
                <w:sz w:val="20"/>
                <w:szCs w:val="20"/>
                <w:color w:val="auto"/>
              </w:rPr>
            </w:pPr>
            <w:r>
              <w:rPr>
                <w:rFonts w:ascii="Arial" w:cs="Arial" w:eastAsia="Arial" w:hAnsi="Arial"/>
                <w:sz w:val="15"/>
                <w:szCs w:val="15"/>
                <w:b w:val="1"/>
                <w:bCs w:val="1"/>
                <w:color w:val="auto"/>
              </w:rPr>
              <w:t>Year ended December 31,</w:t>
            </w:r>
          </w:p>
        </w:tc>
      </w:tr>
      <w:tr>
        <w:trPr>
          <w:trHeight w:val="162"/>
        </w:trPr>
        <w:tc>
          <w:tcPr>
            <w:tcW w:w="5640" w:type="dxa"/>
            <w:vAlign w:val="bottom"/>
            <w:tcBorders>
              <w:bottom w:val="single" w:sz="8" w:color="FDFDFD"/>
            </w:tcBorders>
            <w:shd w:val="clear" w:color="auto" w:fill="FDFDFD"/>
          </w:tcPr>
          <w:p>
            <w:pPr>
              <w:spacing w:after="0"/>
              <w:rPr>
                <w:sz w:val="14"/>
                <w:szCs w:val="14"/>
                <w:color w:val="auto"/>
              </w:rPr>
            </w:pPr>
          </w:p>
        </w:tc>
        <w:tc>
          <w:tcPr>
            <w:tcW w:w="520" w:type="dxa"/>
            <w:vAlign w:val="bottom"/>
            <w:tcBorders>
              <w:bottom w:val="single" w:sz="8" w:color="FDFDFD"/>
            </w:tcBorders>
            <w:shd w:val="clear" w:color="auto" w:fill="FDFDFD"/>
          </w:tcPr>
          <w:p>
            <w:pPr>
              <w:spacing w:after="0"/>
              <w:rPr>
                <w:sz w:val="14"/>
                <w:szCs w:val="14"/>
                <w:color w:val="auto"/>
              </w:rPr>
            </w:pPr>
          </w:p>
        </w:tc>
        <w:tc>
          <w:tcPr>
            <w:tcW w:w="100" w:type="dxa"/>
            <w:vAlign w:val="bottom"/>
            <w:tcBorders>
              <w:bottom w:val="single" w:sz="8" w:color="auto"/>
            </w:tcBorders>
            <w:shd w:val="clear" w:color="auto" w:fill="FDFDFD"/>
          </w:tcPr>
          <w:p>
            <w:pPr>
              <w:spacing w:after="0"/>
              <w:rPr>
                <w:sz w:val="14"/>
                <w:szCs w:val="14"/>
                <w:color w:val="auto"/>
              </w:rPr>
            </w:pPr>
          </w:p>
        </w:tc>
        <w:tc>
          <w:tcPr>
            <w:tcW w:w="1240" w:type="dxa"/>
            <w:vAlign w:val="bottom"/>
            <w:tcBorders>
              <w:bottom w:val="single" w:sz="8" w:color="auto"/>
            </w:tcBorders>
            <w:shd w:val="clear" w:color="auto" w:fill="FDFDFD"/>
          </w:tcPr>
          <w:p>
            <w:pPr>
              <w:jc w:val="right"/>
              <w:ind w:right="473"/>
              <w:spacing w:after="0" w:line="162" w:lineRule="exact"/>
              <w:rPr>
                <w:sz w:val="20"/>
                <w:szCs w:val="20"/>
                <w:color w:val="auto"/>
              </w:rPr>
            </w:pPr>
            <w:r>
              <w:rPr>
                <w:rFonts w:ascii="Arial" w:cs="Arial" w:eastAsia="Arial" w:hAnsi="Arial"/>
                <w:sz w:val="15"/>
                <w:szCs w:val="15"/>
                <w:b w:val="1"/>
                <w:bCs w:val="1"/>
                <w:color w:val="auto"/>
              </w:rPr>
              <w:t>2024</w:t>
            </w:r>
          </w:p>
        </w:tc>
        <w:tc>
          <w:tcPr>
            <w:tcW w:w="140" w:type="dxa"/>
            <w:vAlign w:val="bottom"/>
            <w:tcBorders>
              <w:bottom w:val="single" w:sz="8" w:color="FDFDFD"/>
            </w:tcBorders>
            <w:shd w:val="clear" w:color="auto" w:fill="FDFDFD"/>
          </w:tcPr>
          <w:p>
            <w:pPr>
              <w:spacing w:after="0"/>
              <w:rPr>
                <w:sz w:val="14"/>
                <w:szCs w:val="14"/>
                <w:color w:val="auto"/>
              </w:rPr>
            </w:pPr>
          </w:p>
        </w:tc>
        <w:tc>
          <w:tcPr>
            <w:tcW w:w="400" w:type="dxa"/>
            <w:vAlign w:val="bottom"/>
            <w:tcBorders>
              <w:bottom w:val="single" w:sz="8" w:color="auto"/>
            </w:tcBorders>
            <w:shd w:val="clear" w:color="auto" w:fill="FDFDFD"/>
          </w:tcPr>
          <w:p>
            <w:pPr>
              <w:spacing w:after="0"/>
              <w:rPr>
                <w:sz w:val="14"/>
                <w:szCs w:val="14"/>
                <w:color w:val="auto"/>
              </w:rPr>
            </w:pPr>
          </w:p>
        </w:tc>
        <w:tc>
          <w:tcPr>
            <w:tcW w:w="940" w:type="dxa"/>
            <w:vAlign w:val="bottom"/>
            <w:tcBorders>
              <w:bottom w:val="single" w:sz="8" w:color="auto"/>
            </w:tcBorders>
            <w:shd w:val="clear" w:color="auto" w:fill="FDFDFD"/>
          </w:tcPr>
          <w:p>
            <w:pPr>
              <w:jc w:val="right"/>
              <w:ind w:right="469"/>
              <w:spacing w:after="0" w:line="162" w:lineRule="exact"/>
              <w:rPr>
                <w:sz w:val="20"/>
                <w:szCs w:val="20"/>
                <w:color w:val="auto"/>
              </w:rPr>
            </w:pPr>
            <w:r>
              <w:rPr>
                <w:rFonts w:ascii="Arial" w:cs="Arial" w:eastAsia="Arial" w:hAnsi="Arial"/>
                <w:sz w:val="15"/>
                <w:szCs w:val="15"/>
                <w:b w:val="1"/>
                <w:bCs w:val="1"/>
                <w:color w:val="auto"/>
              </w:rPr>
              <w:t>2023</w:t>
            </w:r>
          </w:p>
        </w:tc>
      </w:tr>
      <w:tr>
        <w:trPr>
          <w:trHeight w:val="162"/>
        </w:trPr>
        <w:tc>
          <w:tcPr>
            <w:tcW w:w="5640" w:type="dxa"/>
            <w:vAlign w:val="bottom"/>
            <w:shd w:val="clear" w:color="auto" w:fill="FDFDFD"/>
          </w:tcPr>
          <w:p>
            <w:pPr>
              <w:spacing w:after="0"/>
              <w:rPr>
                <w:sz w:val="14"/>
                <w:szCs w:val="14"/>
                <w:color w:val="auto"/>
              </w:rPr>
            </w:pPr>
          </w:p>
        </w:tc>
        <w:tc>
          <w:tcPr>
            <w:tcW w:w="52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780" w:type="dxa"/>
            <w:vAlign w:val="bottom"/>
            <w:gridSpan w:val="3"/>
            <w:shd w:val="clear" w:color="auto" w:fill="FDFDFD"/>
          </w:tcPr>
          <w:p>
            <w:pPr>
              <w:jc w:val="right"/>
              <w:spacing w:after="0" w:line="162" w:lineRule="exact"/>
              <w:rPr>
                <w:sz w:val="20"/>
                <w:szCs w:val="20"/>
                <w:color w:val="auto"/>
              </w:rPr>
            </w:pPr>
            <w:r>
              <w:rPr>
                <w:rFonts w:ascii="Arial" w:cs="Arial" w:eastAsia="Arial" w:hAnsi="Arial"/>
                <w:sz w:val="15"/>
                <w:szCs w:val="15"/>
                <w:color w:val="auto"/>
              </w:rPr>
              <w:t>(in thousands)</w:t>
            </w:r>
          </w:p>
        </w:tc>
        <w:tc>
          <w:tcPr>
            <w:tcW w:w="940" w:type="dxa"/>
            <w:vAlign w:val="bottom"/>
            <w:shd w:val="clear" w:color="auto" w:fill="FDFDFD"/>
          </w:tcPr>
          <w:p>
            <w:pPr>
              <w:spacing w:after="0"/>
              <w:rPr>
                <w:sz w:val="14"/>
                <w:szCs w:val="14"/>
                <w:color w:val="auto"/>
              </w:rPr>
            </w:pPr>
          </w:p>
        </w:tc>
      </w:tr>
      <w:tr>
        <w:trPr>
          <w:trHeight w:val="218"/>
        </w:trPr>
        <w:tc>
          <w:tcPr>
            <w:tcW w:w="5640" w:type="dxa"/>
            <w:vAlign w:val="bottom"/>
            <w:shd w:val="clear" w:color="auto" w:fill="D3ECED"/>
          </w:tcPr>
          <w:p>
            <w:pPr>
              <w:spacing w:after="0"/>
              <w:rPr>
                <w:sz w:val="20"/>
                <w:szCs w:val="20"/>
                <w:color w:val="auto"/>
              </w:rPr>
            </w:pPr>
            <w:r>
              <w:rPr>
                <w:rFonts w:ascii="Arial" w:cs="Arial" w:eastAsia="Arial" w:hAnsi="Arial"/>
                <w:sz w:val="19"/>
                <w:szCs w:val="19"/>
                <w:color w:val="auto"/>
              </w:rPr>
              <w:t>Net cash used in operating activities</w:t>
            </w:r>
          </w:p>
        </w:tc>
        <w:tc>
          <w:tcPr>
            <w:tcW w:w="62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D3ECED"/>
          </w:tcPr>
          <w:p>
            <w:pPr>
              <w:jc w:val="right"/>
              <w:ind w:right="13"/>
              <w:spacing w:after="0"/>
              <w:rPr>
                <w:sz w:val="20"/>
                <w:szCs w:val="20"/>
                <w:color w:val="auto"/>
              </w:rPr>
            </w:pPr>
            <w:r>
              <w:rPr>
                <w:rFonts w:ascii="Arial" w:cs="Arial" w:eastAsia="Arial" w:hAnsi="Arial"/>
                <w:sz w:val="19"/>
                <w:szCs w:val="19"/>
                <w:color w:val="auto"/>
              </w:rPr>
              <w:t>(46,109)</w:t>
            </w:r>
          </w:p>
        </w:tc>
        <w:tc>
          <w:tcPr>
            <w:tcW w:w="540" w:type="dxa"/>
            <w:vAlign w:val="bottom"/>
            <w:gridSpan w:val="2"/>
            <w:shd w:val="clear" w:color="auto" w:fill="D3ECED"/>
          </w:tcPr>
          <w:p>
            <w:pPr>
              <w:jc w:val="right"/>
              <w:ind w:right="205"/>
              <w:spacing w:after="0"/>
              <w:rPr>
                <w:sz w:val="20"/>
                <w:szCs w:val="20"/>
                <w:color w:val="auto"/>
              </w:rPr>
            </w:pPr>
            <w:r>
              <w:rPr>
                <w:rFonts w:ascii="Arial" w:cs="Arial" w:eastAsia="Arial" w:hAnsi="Arial"/>
                <w:sz w:val="19"/>
                <w:szCs w:val="19"/>
                <w:color w:val="auto"/>
              </w:rPr>
              <w:t>$</w:t>
            </w:r>
          </w:p>
        </w:tc>
        <w:tc>
          <w:tcPr>
            <w:tcW w:w="940" w:type="dxa"/>
            <w:vAlign w:val="bottom"/>
            <w:shd w:val="clear" w:color="auto" w:fill="D3ECED"/>
          </w:tcPr>
          <w:p>
            <w:pPr>
              <w:jc w:val="right"/>
              <w:ind w:right="9"/>
              <w:spacing w:after="0"/>
              <w:rPr>
                <w:sz w:val="20"/>
                <w:szCs w:val="20"/>
                <w:color w:val="auto"/>
              </w:rPr>
            </w:pPr>
            <w:r>
              <w:rPr>
                <w:rFonts w:ascii="Arial" w:cs="Arial" w:eastAsia="Arial" w:hAnsi="Arial"/>
                <w:sz w:val="19"/>
                <w:szCs w:val="19"/>
                <w:color w:val="auto"/>
              </w:rPr>
              <w:t>(59,065)</w:t>
            </w:r>
          </w:p>
        </w:tc>
      </w:tr>
      <w:tr>
        <w:trPr>
          <w:trHeight w:val="216"/>
        </w:trPr>
        <w:tc>
          <w:tcPr>
            <w:tcW w:w="5640" w:type="dxa"/>
            <w:vAlign w:val="bottom"/>
            <w:shd w:val="clear" w:color="auto" w:fill="FDFDFD"/>
          </w:tcPr>
          <w:p>
            <w:pPr>
              <w:spacing w:after="0" w:line="216" w:lineRule="exact"/>
              <w:rPr>
                <w:sz w:val="20"/>
                <w:szCs w:val="20"/>
                <w:color w:val="auto"/>
              </w:rPr>
            </w:pPr>
            <w:r>
              <w:rPr>
                <w:rFonts w:ascii="Arial" w:cs="Arial" w:eastAsia="Arial" w:hAnsi="Arial"/>
                <w:sz w:val="19"/>
                <w:szCs w:val="19"/>
                <w:color w:val="auto"/>
              </w:rPr>
              <w:t>Net cash provided by investing activities</w:t>
            </w:r>
          </w:p>
        </w:tc>
        <w:tc>
          <w:tcPr>
            <w:tcW w:w="52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240" w:type="dxa"/>
            <w:vAlign w:val="bottom"/>
            <w:shd w:val="clear" w:color="auto" w:fill="FDFDFD"/>
          </w:tcPr>
          <w:p>
            <w:pPr>
              <w:jc w:val="right"/>
              <w:ind w:right="13"/>
              <w:spacing w:after="0" w:line="216" w:lineRule="exact"/>
              <w:rPr>
                <w:sz w:val="20"/>
                <w:szCs w:val="20"/>
                <w:color w:val="auto"/>
              </w:rPr>
            </w:pPr>
            <w:r>
              <w:rPr>
                <w:rFonts w:ascii="Arial" w:cs="Arial" w:eastAsia="Arial" w:hAnsi="Arial"/>
                <w:sz w:val="19"/>
                <w:szCs w:val="19"/>
                <w:color w:val="auto"/>
              </w:rPr>
              <w:t>65,858</w:t>
            </w:r>
          </w:p>
        </w:tc>
        <w:tc>
          <w:tcPr>
            <w:tcW w:w="140" w:type="dxa"/>
            <w:vAlign w:val="bottom"/>
            <w:shd w:val="clear" w:color="auto" w:fill="FDFDFD"/>
          </w:tcPr>
          <w:p>
            <w:pPr>
              <w:spacing w:after="0"/>
              <w:rPr>
                <w:sz w:val="18"/>
                <w:szCs w:val="18"/>
                <w:color w:val="auto"/>
              </w:rPr>
            </w:pPr>
          </w:p>
        </w:tc>
        <w:tc>
          <w:tcPr>
            <w:tcW w:w="400" w:type="dxa"/>
            <w:vAlign w:val="bottom"/>
            <w:shd w:val="clear" w:color="auto" w:fill="FDFDFD"/>
          </w:tcPr>
          <w:p>
            <w:pPr>
              <w:spacing w:after="0"/>
              <w:rPr>
                <w:sz w:val="18"/>
                <w:szCs w:val="18"/>
                <w:color w:val="auto"/>
              </w:rPr>
            </w:pPr>
          </w:p>
        </w:tc>
        <w:tc>
          <w:tcPr>
            <w:tcW w:w="940" w:type="dxa"/>
            <w:vAlign w:val="bottom"/>
            <w:shd w:val="clear" w:color="auto" w:fill="FDFDFD"/>
          </w:tcPr>
          <w:p>
            <w:pPr>
              <w:jc w:val="right"/>
              <w:ind w:right="9"/>
              <w:spacing w:after="0" w:line="216" w:lineRule="exact"/>
              <w:rPr>
                <w:sz w:val="20"/>
                <w:szCs w:val="20"/>
                <w:color w:val="auto"/>
              </w:rPr>
            </w:pPr>
            <w:r>
              <w:rPr>
                <w:rFonts w:ascii="Arial" w:cs="Arial" w:eastAsia="Arial" w:hAnsi="Arial"/>
                <w:sz w:val="19"/>
                <w:szCs w:val="19"/>
                <w:color w:val="auto"/>
              </w:rPr>
              <w:t>37,904</w:t>
            </w:r>
          </w:p>
        </w:tc>
      </w:tr>
      <w:tr>
        <w:trPr>
          <w:trHeight w:val="218"/>
        </w:trPr>
        <w:tc>
          <w:tcPr>
            <w:tcW w:w="5640" w:type="dxa"/>
            <w:vAlign w:val="bottom"/>
            <w:tcBorders>
              <w:bottom w:val="single" w:sz="8" w:color="FDFDFD"/>
            </w:tcBorders>
            <w:shd w:val="clear" w:color="auto" w:fill="D3ECED"/>
          </w:tcPr>
          <w:p>
            <w:pPr>
              <w:spacing w:after="0"/>
              <w:rPr>
                <w:sz w:val="20"/>
                <w:szCs w:val="20"/>
                <w:color w:val="auto"/>
              </w:rPr>
            </w:pPr>
            <w:r>
              <w:rPr>
                <w:rFonts w:ascii="Arial" w:cs="Arial" w:eastAsia="Arial" w:hAnsi="Arial"/>
                <w:sz w:val="19"/>
                <w:szCs w:val="19"/>
                <w:color w:val="auto"/>
              </w:rPr>
              <w:t>Net cash (used in) provided by financing activities</w:t>
            </w:r>
          </w:p>
        </w:tc>
        <w:tc>
          <w:tcPr>
            <w:tcW w:w="520" w:type="dxa"/>
            <w:vAlign w:val="bottom"/>
            <w:tcBorders>
              <w:bottom w:val="single" w:sz="8" w:color="FDFDFD"/>
            </w:tcBorders>
            <w:shd w:val="clear" w:color="auto" w:fill="D3ECED"/>
          </w:tcPr>
          <w:p>
            <w:pPr>
              <w:spacing w:after="0"/>
              <w:rPr>
                <w:sz w:val="18"/>
                <w:szCs w:val="18"/>
                <w:color w:val="auto"/>
              </w:rPr>
            </w:pPr>
          </w:p>
        </w:tc>
        <w:tc>
          <w:tcPr>
            <w:tcW w:w="100" w:type="dxa"/>
            <w:vAlign w:val="bottom"/>
            <w:tcBorders>
              <w:bottom w:val="single" w:sz="8" w:color="auto"/>
            </w:tcBorders>
            <w:shd w:val="clear" w:color="auto" w:fill="D3ECED"/>
          </w:tcPr>
          <w:p>
            <w:pPr>
              <w:spacing w:after="0"/>
              <w:rPr>
                <w:sz w:val="18"/>
                <w:szCs w:val="18"/>
                <w:color w:val="auto"/>
              </w:rPr>
            </w:pPr>
          </w:p>
        </w:tc>
        <w:tc>
          <w:tcPr>
            <w:tcW w:w="1240" w:type="dxa"/>
            <w:vAlign w:val="bottom"/>
            <w:tcBorders>
              <w:bottom w:val="single" w:sz="8" w:color="auto"/>
            </w:tcBorders>
            <w:shd w:val="clear" w:color="auto" w:fill="D3ECED"/>
          </w:tcPr>
          <w:p>
            <w:pPr>
              <w:jc w:val="right"/>
              <w:ind w:right="13"/>
              <w:spacing w:after="0"/>
              <w:rPr>
                <w:sz w:val="20"/>
                <w:szCs w:val="20"/>
                <w:color w:val="auto"/>
              </w:rPr>
            </w:pPr>
            <w:r>
              <w:rPr>
                <w:rFonts w:ascii="Arial" w:cs="Arial" w:eastAsia="Arial" w:hAnsi="Arial"/>
                <w:sz w:val="19"/>
                <w:szCs w:val="19"/>
                <w:color w:val="auto"/>
              </w:rPr>
              <w:t>(11,495)</w:t>
            </w:r>
          </w:p>
        </w:tc>
        <w:tc>
          <w:tcPr>
            <w:tcW w:w="140" w:type="dxa"/>
            <w:vAlign w:val="bottom"/>
            <w:tcBorders>
              <w:bottom w:val="single" w:sz="8" w:color="FDFDFD"/>
            </w:tcBorders>
            <w:shd w:val="clear" w:color="auto" w:fill="D3ECED"/>
          </w:tcPr>
          <w:p>
            <w:pPr>
              <w:spacing w:after="0"/>
              <w:rPr>
                <w:sz w:val="18"/>
                <w:szCs w:val="18"/>
                <w:color w:val="auto"/>
              </w:rPr>
            </w:pPr>
          </w:p>
        </w:tc>
        <w:tc>
          <w:tcPr>
            <w:tcW w:w="400" w:type="dxa"/>
            <w:vAlign w:val="bottom"/>
            <w:tcBorders>
              <w:bottom w:val="single" w:sz="8" w:color="auto"/>
            </w:tcBorders>
            <w:shd w:val="clear" w:color="auto" w:fill="D3ECED"/>
          </w:tcPr>
          <w:p>
            <w:pPr>
              <w:spacing w:after="0"/>
              <w:rPr>
                <w:sz w:val="18"/>
                <w:szCs w:val="18"/>
                <w:color w:val="auto"/>
              </w:rPr>
            </w:pPr>
          </w:p>
        </w:tc>
        <w:tc>
          <w:tcPr>
            <w:tcW w:w="940" w:type="dxa"/>
            <w:vAlign w:val="bottom"/>
            <w:tcBorders>
              <w:bottom w:val="single" w:sz="8" w:color="auto"/>
            </w:tcBorders>
            <w:shd w:val="clear" w:color="auto" w:fill="D3ECED"/>
          </w:tcPr>
          <w:p>
            <w:pPr>
              <w:jc w:val="right"/>
              <w:ind w:right="9"/>
              <w:spacing w:after="0"/>
              <w:rPr>
                <w:sz w:val="20"/>
                <w:szCs w:val="20"/>
                <w:color w:val="auto"/>
              </w:rPr>
            </w:pPr>
            <w:r>
              <w:rPr>
                <w:rFonts w:ascii="Arial" w:cs="Arial" w:eastAsia="Arial" w:hAnsi="Arial"/>
                <w:sz w:val="19"/>
                <w:szCs w:val="19"/>
                <w:color w:val="auto"/>
              </w:rPr>
              <w:t>452</w:t>
            </w:r>
          </w:p>
        </w:tc>
      </w:tr>
      <w:tr>
        <w:trPr>
          <w:trHeight w:val="208"/>
        </w:trPr>
        <w:tc>
          <w:tcPr>
            <w:tcW w:w="5640" w:type="dxa"/>
            <w:vAlign w:val="bottom"/>
            <w:shd w:val="clear" w:color="auto" w:fill="FDFDFD"/>
          </w:tcPr>
          <w:p>
            <w:pPr>
              <w:spacing w:after="0" w:line="208" w:lineRule="exact"/>
              <w:rPr>
                <w:sz w:val="20"/>
                <w:szCs w:val="20"/>
                <w:color w:val="auto"/>
              </w:rPr>
            </w:pPr>
            <w:r>
              <w:rPr>
                <w:rFonts w:ascii="Arial" w:cs="Arial" w:eastAsia="Arial" w:hAnsi="Arial"/>
                <w:sz w:val="19"/>
                <w:szCs w:val="19"/>
                <w:color w:val="auto"/>
                <w:w w:val="95"/>
              </w:rPr>
              <w:t>Net increase (decrease) in cash, cash equivalents and restricted cash</w:t>
            </w:r>
          </w:p>
        </w:tc>
        <w:tc>
          <w:tcPr>
            <w:tcW w:w="520" w:type="dxa"/>
            <w:vAlign w:val="bottom"/>
            <w:shd w:val="clear" w:color="auto" w:fill="FDFDFD"/>
          </w:tcPr>
          <w:p>
            <w:pPr>
              <w:spacing w:after="0"/>
              <w:rPr>
                <w:sz w:val="18"/>
                <w:szCs w:val="18"/>
                <w:color w:val="auto"/>
              </w:rPr>
            </w:pPr>
          </w:p>
        </w:tc>
        <w:tc>
          <w:tcPr>
            <w:tcW w:w="100" w:type="dxa"/>
            <w:vAlign w:val="bottom"/>
            <w:shd w:val="clear" w:color="auto" w:fill="FDFDFD"/>
          </w:tcPr>
          <w:p>
            <w:pPr>
              <w:jc w:val="right"/>
              <w:spacing w:after="0" w:line="208" w:lineRule="exact"/>
              <w:rPr>
                <w:sz w:val="20"/>
                <w:szCs w:val="20"/>
                <w:color w:val="auto"/>
              </w:rPr>
            </w:pPr>
            <w:r>
              <w:rPr>
                <w:rFonts w:ascii="Arial" w:cs="Arial" w:eastAsia="Arial" w:hAnsi="Arial"/>
                <w:sz w:val="19"/>
                <w:szCs w:val="19"/>
                <w:color w:val="auto"/>
                <w:highlight w:val="white"/>
                <w:w w:val="75"/>
              </w:rPr>
              <w:t>$</w:t>
            </w:r>
          </w:p>
        </w:tc>
        <w:tc>
          <w:tcPr>
            <w:tcW w:w="1240" w:type="dxa"/>
            <w:vAlign w:val="bottom"/>
            <w:shd w:val="clear" w:color="auto" w:fill="FDFDFD"/>
          </w:tcPr>
          <w:p>
            <w:pPr>
              <w:jc w:val="right"/>
              <w:ind w:right="13"/>
              <w:spacing w:after="0" w:line="208" w:lineRule="exact"/>
              <w:rPr>
                <w:sz w:val="20"/>
                <w:szCs w:val="20"/>
                <w:color w:val="auto"/>
              </w:rPr>
            </w:pPr>
            <w:r>
              <w:rPr>
                <w:rFonts w:ascii="Arial" w:cs="Arial" w:eastAsia="Arial" w:hAnsi="Arial"/>
                <w:sz w:val="19"/>
                <w:szCs w:val="19"/>
                <w:color w:val="auto"/>
              </w:rPr>
              <w:t>8,254</w:t>
            </w:r>
          </w:p>
        </w:tc>
        <w:tc>
          <w:tcPr>
            <w:tcW w:w="140" w:type="dxa"/>
            <w:vAlign w:val="bottom"/>
            <w:shd w:val="clear" w:color="auto" w:fill="FDFDFD"/>
          </w:tcPr>
          <w:p>
            <w:pPr>
              <w:spacing w:after="0"/>
              <w:rPr>
                <w:sz w:val="18"/>
                <w:szCs w:val="18"/>
                <w:color w:val="auto"/>
              </w:rPr>
            </w:pPr>
          </w:p>
        </w:tc>
        <w:tc>
          <w:tcPr>
            <w:tcW w:w="400" w:type="dxa"/>
            <w:vAlign w:val="bottom"/>
            <w:shd w:val="clear" w:color="auto" w:fill="FDFDFD"/>
          </w:tcPr>
          <w:p>
            <w:pPr>
              <w:jc w:val="right"/>
              <w:ind w:right="205"/>
              <w:spacing w:after="0" w:line="208" w:lineRule="exact"/>
              <w:rPr>
                <w:sz w:val="20"/>
                <w:szCs w:val="20"/>
                <w:color w:val="auto"/>
              </w:rPr>
            </w:pPr>
            <w:r>
              <w:rPr>
                <w:rFonts w:ascii="Arial" w:cs="Arial" w:eastAsia="Arial" w:hAnsi="Arial"/>
                <w:sz w:val="19"/>
                <w:szCs w:val="19"/>
                <w:color w:val="auto"/>
                <w:highlight w:val="white"/>
                <w:w w:val="75"/>
              </w:rPr>
              <w:t>$</w:t>
            </w:r>
          </w:p>
        </w:tc>
        <w:tc>
          <w:tcPr>
            <w:tcW w:w="940" w:type="dxa"/>
            <w:vAlign w:val="bottom"/>
            <w:shd w:val="clear" w:color="auto" w:fill="FDFDFD"/>
          </w:tcPr>
          <w:p>
            <w:pPr>
              <w:jc w:val="right"/>
              <w:ind w:right="9"/>
              <w:spacing w:after="0" w:line="208" w:lineRule="exact"/>
              <w:rPr>
                <w:sz w:val="20"/>
                <w:szCs w:val="20"/>
                <w:color w:val="auto"/>
              </w:rPr>
            </w:pPr>
            <w:r>
              <w:rPr>
                <w:rFonts w:ascii="Arial" w:cs="Arial" w:eastAsia="Arial" w:hAnsi="Arial"/>
                <w:sz w:val="19"/>
                <w:szCs w:val="19"/>
                <w:color w:val="auto"/>
              </w:rPr>
              <w:t>(20,709)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-13335</wp:posOffset>
            </wp:positionV>
            <wp:extent cx="1813560" cy="533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64">
                      <a:extLst>
                        <a:ext uri="{28A0092B-C50C-407E-A947-70E740481C1C}"/>
                      </a:extLst>
                    </a:blip>
                    <a:srcRect/>
                    <a:stretch>
                      <a:fillRect/>
                    </a:stretch>
                  </pic:blipFill>
                  <pic:spPr bwMode="auto">
                    <a:xfrm>
                      <a:off x="0" y="0"/>
                      <a:ext cx="1813560" cy="53340"/>
                    </a:xfrm>
                    <a:prstGeom prst="rect">
                      <a:avLst/>
                    </a:prstGeom>
                    <a:noFill/>
                  </pic:spPr>
                </pic:pic>
              </a:graphicData>
            </a:graphic>
          </wp:anchor>
        </w:drawing>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Operating Activities</w:t>
      </w:r>
    </w:p>
    <w:p>
      <w:pPr>
        <w:spacing w:after="0" w:line="211" w:lineRule="exact"/>
        <w:rPr>
          <w:sz w:val="20"/>
          <w:szCs w:val="20"/>
          <w:color w:val="auto"/>
        </w:rPr>
      </w:pPr>
    </w:p>
    <w:p>
      <w:pPr>
        <w:ind w:left="120" w:right="260"/>
        <w:spacing w:after="0" w:line="308" w:lineRule="auto"/>
        <w:rPr>
          <w:sz w:val="20"/>
          <w:szCs w:val="20"/>
          <w:color w:val="auto"/>
        </w:rPr>
      </w:pPr>
      <w:r>
        <w:rPr>
          <w:rFonts w:ascii="Arial" w:cs="Arial" w:eastAsia="Arial" w:hAnsi="Arial"/>
          <w:sz w:val="18"/>
          <w:szCs w:val="18"/>
          <w:color w:val="auto"/>
        </w:rPr>
        <w:t>In 2024, cash used in operating activities was $46.1 million, attributable to a net loss of $86.6 million and a net change in our net operating assets and liabilities of $0.1 million, partially offset by non-cash charges of $40.6 million. Non-cash charges primarily consisted of $28.2 million of stock-based compensation, $6.2 million of depreciation and amortization, $3.1 million of net amortization of premium on available-for-sale securities, $2.6 million of loss on equity method investment, and $0.3 million of loss on disposal of property and equipment. The change in our net operating assets and liabilities was primarily due to an increase in inventory levels of $2.7 million, a decrease in accrued liabilities and other liabilities of $1.4 million, and an increase of $0.1 million in prepaid expenses and other assets, which was partially offset by an increase in accounts payable of $3.4 million, a decrease in accounts receivable of $0.5 million, and an increase in deferred revenue of $0.2 million.</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99</w:t>
      </w:r>
    </w:p>
    <w:p>
      <w:pPr>
        <w:sectPr>
          <w:pgSz w:w="12240" w:h="15840" w:orient="portrait"/>
          <w:cols w:equalWidth="0" w:num="1">
            <w:col w:w="9360"/>
          </w:cols>
          <w:pgMar w:left="1440" w:top="1440" w:right="1440" w:bottom="610" w:gutter="0" w:footer="0" w:header="0"/>
          <w:type w:val="continuous"/>
        </w:sectPr>
      </w:pPr>
    </w:p>
    <w:bookmarkStart w:id="106" w:name="page107"/>
    <w:bookmarkEnd w:id="106"/>
    <w:p>
      <w:pPr>
        <w:spacing w:after="0" w:line="352" w:lineRule="exact"/>
        <w:rPr>
          <w:sz w:val="20"/>
          <w:szCs w:val="20"/>
          <w:color w:val="auto"/>
        </w:rPr>
      </w:pPr>
    </w:p>
    <w:p>
      <w:pPr>
        <w:ind w:left="120" w:right="280"/>
        <w:spacing w:after="0" w:line="330" w:lineRule="auto"/>
        <w:rPr>
          <w:sz w:val="20"/>
          <w:szCs w:val="20"/>
          <w:color w:val="auto"/>
        </w:rPr>
      </w:pPr>
      <w:r>
        <w:rPr>
          <w:rFonts w:ascii="Arial" w:cs="Arial" w:eastAsia="Arial" w:hAnsi="Arial"/>
          <w:sz w:val="17"/>
          <w:szCs w:val="17"/>
          <w:color w:val="auto"/>
        </w:rPr>
        <w:t>In 2023, cash used in operating activities was $59.1 million, attributable to a net loss of $86.3 million, partially offset by a net change in our net operating assets and liabilities of $2.7 million and non-cash charges of $29.9 million. Non-cash charges primarily consisted of stock-based compensation of $34.4 million, $5.6 million of depreciation and amortization, $0.8 million of provision for inventory excess and obsolescence, $0.4 million of loss on disposal of property and equipment, and $0.2 million of non-cash operating lease expense, offset by $11.5 million of net accretion of premiums on available-for-sale securities. The change in our net operating assets and liabilities was primarily due to an increase in inventory levels of $1.9 million for anticipated revenue growth and a $1.3 million increase in prepaid expenses and other current assets, which was partially offset by a decrease in accounts receivable of $0.3 million.</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Investing Activities</w:t>
      </w:r>
    </w:p>
    <w:p>
      <w:pPr>
        <w:spacing w:after="0" w:line="211" w:lineRule="exact"/>
        <w:rPr>
          <w:sz w:val="20"/>
          <w:szCs w:val="20"/>
          <w:color w:val="auto"/>
        </w:rPr>
      </w:pPr>
    </w:p>
    <w:p>
      <w:pPr>
        <w:ind w:left="120" w:right="400"/>
        <w:spacing w:after="0" w:line="295" w:lineRule="auto"/>
        <w:rPr>
          <w:sz w:val="20"/>
          <w:szCs w:val="20"/>
          <w:color w:val="auto"/>
        </w:rPr>
      </w:pPr>
      <w:r>
        <w:rPr>
          <w:rFonts w:ascii="Arial" w:cs="Arial" w:eastAsia="Arial" w:hAnsi="Arial"/>
          <w:sz w:val="19"/>
          <w:szCs w:val="19"/>
          <w:color w:val="auto"/>
        </w:rPr>
        <w:t>In 2024, cash provided by investing activities was $65.9 million, which was attributable to the proceeds from maturities of available-for-sale securities of $342.0 million and proceeds from disposal of property and equipment of $0.3 million. This was offset by the purchases of available-for-sale securities of $262.9 million, purchase of investment in equity security of $10.0 million, and purchases of property and equipment of $3.5 million, which was primarily for laboratory equipment.</w:t>
      </w:r>
    </w:p>
    <w:p>
      <w:pPr>
        <w:spacing w:after="0" w:line="127" w:lineRule="exact"/>
        <w:rPr>
          <w:sz w:val="20"/>
          <w:szCs w:val="20"/>
          <w:color w:val="auto"/>
        </w:rPr>
      </w:pPr>
    </w:p>
    <w:p>
      <w:pPr>
        <w:ind w:left="120" w:right="440"/>
        <w:spacing w:after="0" w:line="299" w:lineRule="auto"/>
        <w:rPr>
          <w:sz w:val="20"/>
          <w:szCs w:val="20"/>
          <w:color w:val="auto"/>
        </w:rPr>
      </w:pPr>
      <w:r>
        <w:rPr>
          <w:rFonts w:ascii="Arial" w:cs="Arial" w:eastAsia="Arial" w:hAnsi="Arial"/>
          <w:sz w:val="19"/>
          <w:szCs w:val="19"/>
          <w:color w:val="auto"/>
        </w:rPr>
        <w:t>In 2023, cash provided by investing activities was $37.9 million, which related to the proceeds from maturities of available-for-sale securities of $445.3 million and proceeds from sale of available-for-sale securities of $3.0 million. This was offset by the purchases of available-for-sale securities of $403.1 million and purchases of property and equipment, primarily for laboratory equipment, of $7.3 million.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Financing Activities</w:t>
      </w:r>
    </w:p>
    <w:p>
      <w:pPr>
        <w:spacing w:after="0" w:line="209" w:lineRule="exact"/>
        <w:rPr>
          <w:sz w:val="20"/>
          <w:szCs w:val="20"/>
          <w:color w:val="auto"/>
        </w:rPr>
      </w:pPr>
    </w:p>
    <w:p>
      <w:pPr>
        <w:ind w:left="120" w:right="280"/>
        <w:spacing w:after="0" w:line="355" w:lineRule="auto"/>
        <w:rPr>
          <w:sz w:val="20"/>
          <w:szCs w:val="20"/>
          <w:color w:val="auto"/>
        </w:rPr>
      </w:pPr>
      <w:r>
        <w:rPr>
          <w:rFonts w:ascii="Arial" w:cs="Arial" w:eastAsia="Arial" w:hAnsi="Arial"/>
          <w:sz w:val="17"/>
          <w:szCs w:val="17"/>
          <w:color w:val="auto"/>
        </w:rPr>
        <w:t>In 2024, cash used in financing activities was $11.5 million, which was primarily attributable to the repurchases of Class A common stock under our share repurchase program of $11.8 million. This partially was offset by the proceeds of $0.3 million from the issuance of Class A common stock in connection with our employee stock purchase plan.</w:t>
      </w:r>
    </w:p>
    <w:p>
      <w:pPr>
        <w:spacing w:after="0" w:line="84" w:lineRule="exact"/>
        <w:rPr>
          <w:sz w:val="20"/>
          <w:szCs w:val="20"/>
          <w:color w:val="auto"/>
        </w:rPr>
      </w:pPr>
    </w:p>
    <w:p>
      <w:pPr>
        <w:ind w:left="120" w:right="420"/>
        <w:spacing w:after="0" w:line="305" w:lineRule="auto"/>
        <w:rPr>
          <w:sz w:val="20"/>
          <w:szCs w:val="20"/>
          <w:color w:val="auto"/>
        </w:rPr>
      </w:pPr>
      <w:r>
        <w:rPr>
          <w:rFonts w:ascii="Arial" w:cs="Arial" w:eastAsia="Arial" w:hAnsi="Arial"/>
          <w:sz w:val="19"/>
          <w:szCs w:val="19"/>
          <w:color w:val="auto"/>
        </w:rPr>
        <w:t>In 2023, cash provided by financing activities was $0.5 million, which was primarily attributable to proceeds of $0.4 million from the issuance of Class A common stock in connection with our employee stock purchase plan and net proceeds of $0.1 million from the exercise of stock options.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Critical Accounting Policies, Significant Judgments and Use of Estimates</w:t>
      </w:r>
    </w:p>
    <w:p>
      <w:pPr>
        <w:spacing w:after="0" w:line="215" w:lineRule="exact"/>
        <w:rPr>
          <w:sz w:val="20"/>
          <w:szCs w:val="20"/>
          <w:color w:val="auto"/>
        </w:rPr>
      </w:pPr>
    </w:p>
    <w:p>
      <w:pPr>
        <w:ind w:left="120" w:right="320"/>
        <w:spacing w:after="0" w:line="307" w:lineRule="auto"/>
        <w:rPr>
          <w:sz w:val="20"/>
          <w:szCs w:val="20"/>
          <w:color w:val="auto"/>
        </w:rPr>
      </w:pPr>
      <w:r>
        <w:rPr>
          <w:rFonts w:ascii="Arial" w:cs="Arial" w:eastAsia="Arial" w:hAnsi="Arial"/>
          <w:sz w:val="18"/>
          <w:szCs w:val="18"/>
          <w:color w:val="auto"/>
        </w:rPr>
        <w:t>The discussion and analysis of our financial condition and results of operations is based on our consolidated financial statements, which have been prepared in accordance with United States generally accepted accounting principles. The preparation of these consolidated financial statements requires us to make estimates and assumptions that affect the reported amounts of assets, liabilities, and the disclosure of contingent assets and liabilities at the date of the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20" w:lineRule="exact"/>
        <w:rPr>
          <w:sz w:val="20"/>
          <w:szCs w:val="20"/>
          <w:color w:val="auto"/>
        </w:rPr>
      </w:pPr>
    </w:p>
    <w:p>
      <w:pPr>
        <w:ind w:left="120" w:right="300"/>
        <w:spacing w:after="0" w:line="305" w:lineRule="auto"/>
        <w:rPr>
          <w:sz w:val="20"/>
          <w:szCs w:val="20"/>
          <w:color w:val="auto"/>
        </w:rPr>
      </w:pPr>
      <w:r>
        <w:rPr>
          <w:rFonts w:ascii="Arial" w:cs="Arial" w:eastAsia="Arial" w:hAnsi="Arial"/>
          <w:sz w:val="19"/>
          <w:szCs w:val="19"/>
          <w:color w:val="auto"/>
        </w:rPr>
        <w:t>While our significant accounting policies are described in the notes to our consolidated financial statements, we believe that the following critical accounting policies are most important to understanding and evaluating our reported financial results.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100</w:t>
      </w:r>
    </w:p>
    <w:p>
      <w:pPr>
        <w:sectPr>
          <w:pgSz w:w="12240" w:h="15840" w:orient="portrait"/>
          <w:cols w:equalWidth="0" w:num="1">
            <w:col w:w="9360"/>
          </w:cols>
          <w:pgMar w:left="1440" w:top="1440" w:right="1440" w:bottom="610" w:gutter="0" w:footer="0" w:header="0"/>
          <w:type w:val="continuous"/>
        </w:sectPr>
      </w:pPr>
    </w:p>
    <w:bookmarkStart w:id="107" w:name="page108"/>
    <w:bookmarkEnd w:id="107"/>
    <w:p>
      <w:pPr>
        <w:spacing w:after="0" w:line="350"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Revenue Recognition</w:t>
      </w:r>
    </w:p>
    <w:p>
      <w:pPr>
        <w:spacing w:after="0" w:line="215" w:lineRule="exact"/>
        <w:rPr>
          <w:sz w:val="20"/>
          <w:szCs w:val="20"/>
          <w:color w:val="auto"/>
        </w:rPr>
      </w:pPr>
    </w:p>
    <w:p>
      <w:pPr>
        <w:ind w:left="120" w:right="340"/>
        <w:spacing w:after="0" w:line="355" w:lineRule="auto"/>
        <w:rPr>
          <w:sz w:val="20"/>
          <w:szCs w:val="20"/>
          <w:color w:val="auto"/>
        </w:rPr>
      </w:pPr>
      <w:r>
        <w:rPr>
          <w:rFonts w:ascii="Arial" w:cs="Arial" w:eastAsia="Arial" w:hAnsi="Arial"/>
          <w:sz w:val="17"/>
          <w:szCs w:val="17"/>
          <w:color w:val="auto"/>
        </w:rPr>
        <w:t>Our revenue is generated primarily from sales of products and services. Product revenue consists of sales of an instrument with embedded software essential to the instrument’s functionality and consumables. Service revenue primarily consists of revenue received from the generation and analysis of proteomic data on behalf of our customers.</w:t>
      </w:r>
    </w:p>
    <w:p>
      <w:pPr>
        <w:spacing w:after="0" w:line="84" w:lineRule="exact"/>
        <w:rPr>
          <w:sz w:val="20"/>
          <w:szCs w:val="20"/>
          <w:color w:val="auto"/>
        </w:rPr>
      </w:pPr>
    </w:p>
    <w:p>
      <w:pPr>
        <w:ind w:left="120" w:right="360"/>
        <w:spacing w:after="0" w:line="328" w:lineRule="auto"/>
        <w:rPr>
          <w:sz w:val="20"/>
          <w:szCs w:val="20"/>
          <w:color w:val="auto"/>
        </w:rPr>
      </w:pPr>
      <w:r>
        <w:rPr>
          <w:rFonts w:ascii="Arial" w:cs="Arial" w:eastAsia="Arial" w:hAnsi="Arial"/>
          <w:sz w:val="17"/>
          <w:szCs w:val="17"/>
          <w:color w:val="auto"/>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w:t>
      </w:r>
    </w:p>
    <w:p>
      <w:pPr>
        <w:spacing w:after="0" w:line="108" w:lineRule="exact"/>
        <w:rPr>
          <w:sz w:val="20"/>
          <w:szCs w:val="20"/>
          <w:color w:val="auto"/>
        </w:rPr>
      </w:pPr>
    </w:p>
    <w:p>
      <w:pPr>
        <w:ind w:left="120" w:right="560"/>
        <w:spacing w:after="0" w:line="305" w:lineRule="auto"/>
        <w:rPr>
          <w:sz w:val="20"/>
          <w:szCs w:val="20"/>
          <w:color w:val="auto"/>
        </w:rPr>
      </w:pPr>
      <w:r>
        <w:rPr>
          <w:rFonts w:ascii="Arial" w:cs="Arial" w:eastAsia="Arial" w:hAnsi="Arial"/>
          <w:sz w:val="19"/>
          <w:szCs w:val="19"/>
          <w:color w:val="auto"/>
        </w:rPr>
        <w:t>Revenue from product sales is recognized when control of the product is transferred, which is generally upon shipment to the customer. Revenue from services is recognized once the report is delivered to a customer, which is when the customer obtains benefit of the service.</w:t>
      </w:r>
    </w:p>
    <w:p>
      <w:pPr>
        <w:spacing w:after="0" w:line="116" w:lineRule="exact"/>
        <w:rPr>
          <w:sz w:val="20"/>
          <w:szCs w:val="20"/>
          <w:color w:val="auto"/>
        </w:rPr>
      </w:pPr>
    </w:p>
    <w:p>
      <w:pPr>
        <w:ind w:left="120" w:right="320"/>
        <w:spacing w:after="0" w:line="320" w:lineRule="auto"/>
        <w:rPr>
          <w:sz w:val="20"/>
          <w:szCs w:val="20"/>
          <w:color w:val="auto"/>
        </w:rPr>
      </w:pPr>
      <w:r>
        <w:rPr>
          <w:rFonts w:ascii="Arial" w:cs="Arial" w:eastAsia="Arial" w:hAnsi="Arial"/>
          <w:sz w:val="18"/>
          <w:szCs w:val="18"/>
          <w:color w:val="auto"/>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Our contracts with our customer generally do not include rights of return.</w:t>
      </w:r>
    </w:p>
    <w:p>
      <w:pPr>
        <w:spacing w:after="0" w:line="109" w:lineRule="exact"/>
        <w:rPr>
          <w:sz w:val="20"/>
          <w:szCs w:val="20"/>
          <w:color w:val="auto"/>
        </w:rPr>
      </w:pPr>
    </w:p>
    <w:p>
      <w:pPr>
        <w:ind w:left="120" w:right="420"/>
        <w:spacing w:after="0" w:line="334" w:lineRule="auto"/>
        <w:rPr>
          <w:sz w:val="20"/>
          <w:szCs w:val="20"/>
          <w:color w:val="auto"/>
        </w:rPr>
      </w:pPr>
      <w:r>
        <w:rPr>
          <w:rFonts w:ascii="Arial" w:cs="Arial" w:eastAsia="Arial" w:hAnsi="Arial"/>
          <w:sz w:val="17"/>
          <w:szCs w:val="17"/>
          <w:color w:val="auto"/>
        </w:rPr>
        <w:t>At times, we may enter into arrangements with payment terms which exceed one year from the transfer of control of the product or service. In such cases, we assess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We do not assess whether a significant financing component exists when, at contract inception, the period between the transfer of control to a customer and final payment is one year or less.</w:t>
      </w:r>
    </w:p>
    <w:p>
      <w:pPr>
        <w:spacing w:after="0" w:line="99" w:lineRule="exact"/>
        <w:rPr>
          <w:sz w:val="20"/>
          <w:szCs w:val="20"/>
          <w:color w:val="auto"/>
        </w:rPr>
      </w:pPr>
    </w:p>
    <w:p>
      <w:pPr>
        <w:ind w:left="120" w:right="440"/>
        <w:spacing w:after="0" w:line="295" w:lineRule="auto"/>
        <w:rPr>
          <w:sz w:val="20"/>
          <w:szCs w:val="20"/>
          <w:color w:val="auto"/>
        </w:rPr>
      </w:pPr>
      <w:r>
        <w:rPr>
          <w:rFonts w:ascii="Arial" w:cs="Arial" w:eastAsia="Arial" w:hAnsi="Arial"/>
          <w:sz w:val="19"/>
          <w:szCs w:val="19"/>
          <w:color w:val="auto"/>
        </w:rPr>
        <w:t>We have elected the practical expedient to account for shipping and handling activities that occur after the customer has obtained control as a fulfillment activity. We expense incremental costs of obtaining a contract as and when incurred if the expected amortization period is one year or less or the amount is immaterial. We exclude from the transaction price all taxes assessed by a governmental authority on revenue-producing transactions that are collected by us from a customer.</w:t>
      </w:r>
    </w:p>
    <w:p>
      <w:pPr>
        <w:spacing w:after="0" w:line="129" w:lineRule="exact"/>
        <w:rPr>
          <w:sz w:val="20"/>
          <w:szCs w:val="20"/>
          <w:color w:val="auto"/>
        </w:rPr>
      </w:pPr>
    </w:p>
    <w:p>
      <w:pPr>
        <w:ind w:left="120" w:right="340"/>
        <w:spacing w:after="0" w:line="337" w:lineRule="auto"/>
        <w:rPr>
          <w:sz w:val="20"/>
          <w:szCs w:val="20"/>
          <w:color w:val="auto"/>
        </w:rPr>
      </w:pPr>
      <w:r>
        <w:rPr>
          <w:rFonts w:ascii="Arial" w:cs="Arial" w:eastAsia="Arial" w:hAnsi="Arial"/>
          <w:sz w:val="17"/>
          <w:szCs w:val="17"/>
          <w:color w:val="auto"/>
        </w:rPr>
        <w:t>We regularly enter into contracts that include various combinations of products and services which are generally distinct and accounted for as separate performance obligations. The transaction price is allocated to each performance obligation in proportion to its standalone selling price. We determine standalone selling price using average selling prices with consideration of current market conditions. If the product or service has no history of sales or if the sales volume is not sufficient, we rely upon prices set by management, adjusted for applicable discounts.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101</w:t>
      </w:r>
    </w:p>
    <w:p>
      <w:pPr>
        <w:sectPr>
          <w:pgSz w:w="12240" w:h="15840" w:orient="portrait"/>
          <w:cols w:equalWidth="0" w:num="1">
            <w:col w:w="9360"/>
          </w:cols>
          <w:pgMar w:left="1440" w:top="1440" w:right="1440" w:bottom="610" w:gutter="0" w:footer="0" w:header="0"/>
          <w:type w:val="continuous"/>
        </w:sectPr>
      </w:pPr>
    </w:p>
    <w:bookmarkStart w:id="108" w:name="page109"/>
    <w:bookmarkEnd w:id="108"/>
    <w:p>
      <w:pPr>
        <w:spacing w:after="0" w:line="352" w:lineRule="exact"/>
        <w:rPr>
          <w:sz w:val="20"/>
          <w:szCs w:val="20"/>
          <w:color w:val="auto"/>
        </w:rPr>
      </w:pPr>
    </w:p>
    <w:p>
      <w:pPr>
        <w:ind w:left="120" w:right="360"/>
        <w:spacing w:after="0" w:line="312" w:lineRule="auto"/>
        <w:rPr>
          <w:sz w:val="20"/>
          <w:szCs w:val="20"/>
          <w:color w:val="auto"/>
        </w:rPr>
      </w:pPr>
      <w:r>
        <w:rPr>
          <w:rFonts w:ascii="Arial" w:cs="Arial" w:eastAsia="Arial" w:hAnsi="Arial"/>
          <w:sz w:val="18"/>
          <w:szCs w:val="18"/>
          <w:color w:val="auto"/>
        </w:rPr>
        <w:t>A portion of our revenue relates to lease arrangements. Standalone lease arrangements are outside the scope of Accounting Standards Codification (ASC) 606, Revenue Contracts with Customer and are therefore accounted for in accordance with ASC 842, Leases. The total consideration in a lease arrangement is allocated between lease and non-lease components on their relative standalone selling prices. The standalone selling price is based on the price we would separately sell that promised good or service to a customer. If a standalone price is not available for a component, it is estimated using the best information available.</w:t>
      </w:r>
    </w:p>
    <w:p>
      <w:pPr>
        <w:spacing w:after="0" w:line="119" w:lineRule="exact"/>
        <w:rPr>
          <w:sz w:val="20"/>
          <w:szCs w:val="20"/>
          <w:color w:val="auto"/>
        </w:rPr>
      </w:pPr>
    </w:p>
    <w:p>
      <w:pPr>
        <w:ind w:left="120" w:right="280"/>
        <w:spacing w:after="0" w:line="308" w:lineRule="auto"/>
        <w:rPr>
          <w:sz w:val="20"/>
          <w:szCs w:val="20"/>
          <w:color w:val="auto"/>
        </w:rPr>
      </w:pPr>
      <w:r>
        <w:rPr>
          <w:rFonts w:ascii="Arial" w:cs="Arial" w:eastAsia="Arial" w:hAnsi="Arial"/>
          <w:sz w:val="18"/>
          <w:szCs w:val="18"/>
          <w:color w:val="auto"/>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spacing w:after="0" w:line="170" w:lineRule="exact"/>
        <w:rPr>
          <w:sz w:val="20"/>
          <w:szCs w:val="20"/>
          <w:color w:val="auto"/>
        </w:rPr>
      </w:pPr>
    </w:p>
    <w:p>
      <w:pPr>
        <w:ind w:left="120" w:right="560"/>
        <w:spacing w:after="0" w:line="324" w:lineRule="auto"/>
        <w:rPr>
          <w:sz w:val="20"/>
          <w:szCs w:val="20"/>
          <w:color w:val="auto"/>
        </w:rPr>
      </w:pPr>
      <w:r>
        <w:rPr>
          <w:rFonts w:ascii="Arial" w:cs="Arial" w:eastAsia="Arial" w:hAnsi="Arial"/>
          <w:sz w:val="19"/>
          <w:szCs w:val="19"/>
          <w:color w:val="auto"/>
        </w:rPr>
        <w:t>Shipping revenue is recognized when control of the product is transferred to the customer, and the related shipping and handling costs are included in the cost of revenue.</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Stock-Based Compensation</w:t>
      </w:r>
    </w:p>
    <w:p>
      <w:pPr>
        <w:spacing w:after="0" w:line="213" w:lineRule="exact"/>
        <w:rPr>
          <w:sz w:val="20"/>
          <w:szCs w:val="20"/>
          <w:color w:val="auto"/>
        </w:rPr>
      </w:pPr>
    </w:p>
    <w:p>
      <w:pPr>
        <w:ind w:left="120" w:right="420"/>
        <w:spacing w:after="0" w:line="299" w:lineRule="auto"/>
        <w:rPr>
          <w:sz w:val="20"/>
          <w:szCs w:val="20"/>
          <w:color w:val="auto"/>
        </w:rPr>
      </w:pPr>
      <w:r>
        <w:rPr>
          <w:rFonts w:ascii="Arial" w:cs="Arial" w:eastAsia="Arial" w:hAnsi="Arial"/>
          <w:sz w:val="19"/>
          <w:szCs w:val="19"/>
          <w:color w:val="auto"/>
        </w:rPr>
        <w:t>Stock-based compensation expense relates to stock options with service-based vesting conditions, stock options with market-based vesting conditions, stock purchase rights under our employee stock purchase plan (ESPP), restricted common stock awards (RSAs) and restricted stock units (RSUs). All awards are measured at fair value on grant date and forfeitures are recognized as they occur.</w:t>
      </w:r>
    </w:p>
    <w:p>
      <w:pPr>
        <w:spacing w:after="0" w:line="122" w:lineRule="exact"/>
        <w:rPr>
          <w:sz w:val="20"/>
          <w:szCs w:val="20"/>
          <w:color w:val="auto"/>
        </w:rPr>
      </w:pPr>
    </w:p>
    <w:p>
      <w:pPr>
        <w:jc w:val="both"/>
        <w:ind w:left="120" w:right="480"/>
        <w:spacing w:after="0" w:line="357" w:lineRule="auto"/>
        <w:rPr>
          <w:sz w:val="20"/>
          <w:szCs w:val="20"/>
          <w:color w:val="auto"/>
        </w:rPr>
      </w:pPr>
      <w:r>
        <w:rPr>
          <w:rFonts w:ascii="Arial" w:cs="Arial" w:eastAsia="Arial" w:hAnsi="Arial"/>
          <w:sz w:val="17"/>
          <w:szCs w:val="17"/>
          <w:color w:val="auto"/>
        </w:rPr>
        <w:t>We estimate the fair value of stock options with service conditions and stock purchase rights under our ESPP on the grant date using the Black-Scholes option pricing model. We use the straight-line method to allocate compensation cost to reporting periods over the requisite service period in which the awards are expected to vest.</w:t>
      </w:r>
    </w:p>
    <w:p>
      <w:pPr>
        <w:spacing w:after="0" w:line="80" w:lineRule="exact"/>
        <w:rPr>
          <w:sz w:val="20"/>
          <w:szCs w:val="20"/>
          <w:color w:val="auto"/>
        </w:rPr>
      </w:pPr>
    </w:p>
    <w:p>
      <w:pPr>
        <w:ind w:left="120" w:right="280"/>
        <w:spacing w:after="0" w:line="307" w:lineRule="auto"/>
        <w:rPr>
          <w:sz w:val="20"/>
          <w:szCs w:val="20"/>
          <w:color w:val="auto"/>
        </w:rPr>
      </w:pPr>
      <w:r>
        <w:rPr>
          <w:rFonts w:ascii="Arial" w:cs="Arial" w:eastAsia="Arial" w:hAnsi="Arial"/>
          <w:sz w:val="18"/>
          <w:szCs w:val="18"/>
          <w:color w:val="auto"/>
        </w:rPr>
        <w:t>The Black-Scholes option pricing model considers several variables and assumptions in estimating the fair value of service-based stock options and stock purchase rights under our ESPP. These variables include the per share fair value of the underlying common stock, expected term, expected volatility, risk-free interest rate and expected dividend yield over the expected term. For all service-based stock options granted, we calculate the expected term using the simplified method for “plain vanilla” stock option awards. For the expected volatility, we use a blended rate based on the historical volatility of the stock price of our Class A common stock and average volatility of our comparable publicly traded peer companies. The comparable companies were chosen based on their similar size, life cycle stage, or area of specialty. The risk-free interest rate is based on the yield available on U.S. Treasury zero-coupon issues in effect at the time of grant for periods corresponding with the expected term of the options. The expected dividend yield is assumed to be zero as we have never paid dividends and have no current plans to pay dividends on our common stock.</w:t>
      </w:r>
    </w:p>
    <w:p>
      <w:pPr>
        <w:spacing w:after="0" w:line="120" w:lineRule="exact"/>
        <w:rPr>
          <w:sz w:val="20"/>
          <w:szCs w:val="20"/>
          <w:color w:val="auto"/>
        </w:rPr>
      </w:pPr>
    </w:p>
    <w:p>
      <w:pPr>
        <w:ind w:left="120" w:right="360"/>
        <w:spacing w:after="0" w:line="387" w:lineRule="auto"/>
        <w:rPr>
          <w:sz w:val="20"/>
          <w:szCs w:val="20"/>
          <w:color w:val="auto"/>
        </w:rPr>
      </w:pPr>
      <w:r>
        <w:rPr>
          <w:rFonts w:ascii="Arial" w:cs="Arial" w:eastAsia="Arial" w:hAnsi="Arial"/>
          <w:sz w:val="16"/>
          <w:szCs w:val="16"/>
          <w:color w:val="auto"/>
        </w:rPr>
        <w:t>For stock options with market-based vesting conditions, stock-based compensation expense is recognized using an accelerated attribution method based on the derived service periods and not reversed if the achievement of the market condition does not occur. The fair value of these stock options is estimated using the Monte Carlo simulation model.</w:t>
      </w:r>
    </w:p>
    <w:p>
      <w:pPr>
        <w:spacing w:after="0" w:line="62" w:lineRule="exact"/>
        <w:rPr>
          <w:sz w:val="20"/>
          <w:szCs w:val="20"/>
          <w:color w:val="auto"/>
        </w:rPr>
      </w:pPr>
    </w:p>
    <w:p>
      <w:pPr>
        <w:ind w:left="120" w:right="520"/>
        <w:spacing w:after="0" w:line="393" w:lineRule="auto"/>
        <w:rPr>
          <w:sz w:val="20"/>
          <w:szCs w:val="20"/>
          <w:color w:val="auto"/>
        </w:rPr>
      </w:pPr>
      <w:r>
        <w:rPr>
          <w:rFonts w:ascii="Arial" w:cs="Arial" w:eastAsia="Arial" w:hAnsi="Arial"/>
          <w:sz w:val="17"/>
          <w:szCs w:val="17"/>
          <w:color w:val="auto"/>
        </w:rPr>
        <w:t>We value RSAs based on the difference between the fair value of the underlying stock at the measurement date and the purchase price. We value RSUs based on the fair value of the underlying stock at the measurement date.</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102</w:t>
      </w:r>
    </w:p>
    <w:p>
      <w:pPr>
        <w:sectPr>
          <w:pgSz w:w="12240" w:h="15840" w:orient="portrait"/>
          <w:cols w:equalWidth="0" w:num="1">
            <w:col w:w="9360"/>
          </w:cols>
          <w:pgMar w:left="1440" w:top="1440" w:right="1440" w:bottom="610" w:gutter="0" w:footer="0" w:header="0"/>
          <w:type w:val="continuous"/>
        </w:sectPr>
      </w:pPr>
    </w:p>
    <w:bookmarkStart w:id="109" w:name="page110"/>
    <w:bookmarkEnd w:id="109"/>
    <w:p>
      <w:pPr>
        <w:spacing w:after="0" w:line="352" w:lineRule="exact"/>
        <w:rPr>
          <w:sz w:val="20"/>
          <w:szCs w:val="20"/>
          <w:color w:val="auto"/>
        </w:rPr>
      </w:pPr>
    </w:p>
    <w:p>
      <w:pPr>
        <w:ind w:left="120" w:right="440"/>
        <w:spacing w:after="0" w:line="338" w:lineRule="auto"/>
        <w:rPr>
          <w:sz w:val="20"/>
          <w:szCs w:val="20"/>
          <w:color w:val="auto"/>
        </w:rPr>
      </w:pPr>
      <w:r>
        <w:rPr>
          <w:rFonts w:ascii="Arial" w:cs="Arial" w:eastAsia="Arial" w:hAnsi="Arial"/>
          <w:sz w:val="17"/>
          <w:szCs w:val="17"/>
          <w:color w:val="auto"/>
        </w:rPr>
        <w:t>We will continue to use judgment in evaluating the expected volatility, expected terms, and interest rates utilized for our stock-based compensation calculations on a prospective basis. Assumptions we used in applying the Black-Scholes option 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Recent Accounting Pronouncements</w:t>
      </w:r>
    </w:p>
    <w:p>
      <w:pPr>
        <w:spacing w:after="0" w:line="215" w:lineRule="exact"/>
        <w:rPr>
          <w:sz w:val="20"/>
          <w:szCs w:val="20"/>
          <w:color w:val="auto"/>
        </w:rPr>
      </w:pPr>
    </w:p>
    <w:p>
      <w:pPr>
        <w:ind w:left="120" w:right="540"/>
        <w:spacing w:after="0" w:line="329" w:lineRule="auto"/>
        <w:rPr>
          <w:sz w:val="20"/>
          <w:szCs w:val="20"/>
          <w:color w:val="auto"/>
        </w:rPr>
      </w:pPr>
      <w:r>
        <w:rPr>
          <w:rFonts w:ascii="Arial" w:cs="Arial" w:eastAsia="Arial" w:hAnsi="Arial"/>
          <w:sz w:val="18"/>
          <w:szCs w:val="18"/>
          <w:color w:val="auto"/>
        </w:rPr>
        <w:t>See Note 2 to our consolidated financial statements included elsewhere in this Annual Report for more information about recent accounting pronouncements, the timing of their adoption, and our assessment, to the extent we have made one yet, of their potential impact on our financial condition of results of operations.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Interest Rate Risk</w:t>
      </w:r>
    </w:p>
    <w:p>
      <w:pPr>
        <w:spacing w:after="0" w:line="213" w:lineRule="exact"/>
        <w:rPr>
          <w:sz w:val="20"/>
          <w:szCs w:val="20"/>
          <w:color w:val="auto"/>
        </w:rPr>
      </w:pPr>
    </w:p>
    <w:p>
      <w:pPr>
        <w:ind w:left="120" w:right="320"/>
        <w:spacing w:after="0" w:line="296" w:lineRule="auto"/>
        <w:rPr>
          <w:sz w:val="20"/>
          <w:szCs w:val="20"/>
          <w:color w:val="auto"/>
        </w:rPr>
      </w:pPr>
      <w:r>
        <w:rPr>
          <w:rFonts w:ascii="Arial" w:cs="Arial" w:eastAsia="Arial" w:hAnsi="Arial"/>
          <w:sz w:val="19"/>
          <w:szCs w:val="19"/>
          <w:color w:val="auto"/>
        </w:rPr>
        <w:t>We have exposure to interest rate risk that relates to our cash and cash equivalents and investments held in money market funds, U.S. Treasury securities, commercial paper, corporate debt securities and government agency debt. The goals of our investment policy are liquidity and capital preservation. We believe that we do not have material exposure to changes in the fair value of these assets as a result of changes in interest rates due to the short-term nature of our cash and cash equivalents and investments.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Item 8. Financial Statements and Supplementary Data</w:t>
      </w:r>
    </w:p>
    <w:p>
      <w:pPr>
        <w:spacing w:after="0" w:line="279"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Page</w:t>
      </w:r>
    </w:p>
    <w:p>
      <w:pPr>
        <w:spacing w:after="0" w:line="89" w:lineRule="exact"/>
        <w:rPr>
          <w:sz w:val="20"/>
          <w:szCs w:val="20"/>
          <w:color w:val="auto"/>
        </w:rPr>
      </w:pPr>
    </w:p>
    <w:p>
      <w:pPr>
        <w:ind w:left="180"/>
        <w:spacing w:after="0"/>
        <w:tabs>
          <w:tab w:leader="dot" w:pos="8700" w:val="left"/>
        </w:tabs>
        <w:rPr>
          <w:sz w:val="20"/>
          <w:szCs w:val="20"/>
          <w:color w:val="auto"/>
        </w:rPr>
      </w:pPr>
      <w:r>
        <w:rPr>
          <w:rFonts w:ascii="Arial" w:cs="Arial" w:eastAsia="Arial" w:hAnsi="Arial"/>
          <w:sz w:val="19"/>
          <w:szCs w:val="19"/>
          <w:u w:val="single" w:color="auto"/>
          <w:color w:val="001377"/>
        </w:rPr>
        <w:t>Report of Independent Registered Public Accounting Firm</w:t>
      </w:r>
      <w:r>
        <w:rPr>
          <w:rFonts w:ascii="Arial" w:cs="Arial" w:eastAsia="Arial" w:hAnsi="Arial"/>
          <w:sz w:val="19"/>
          <w:szCs w:val="19"/>
          <w:color w:val="001377"/>
        </w:rPr>
        <w:t xml:space="preserve"> </w:t>
      </w:r>
      <w:r>
        <w:rPr>
          <w:rFonts w:ascii="Arial" w:cs="Arial" w:eastAsia="Arial" w:hAnsi="Arial"/>
          <w:sz w:val="19"/>
          <w:szCs w:val="19"/>
          <w:color w:val="000000"/>
        </w:rPr>
        <w:t>(PCAOB ID 34)</w:t>
      </w:r>
      <w:r>
        <w:rPr>
          <w:sz w:val="20"/>
          <w:szCs w:val="20"/>
          <w:color w:val="auto"/>
        </w:rPr>
        <w:tab/>
      </w:r>
      <w:r>
        <w:rPr>
          <w:rFonts w:ascii="Arial" w:cs="Arial" w:eastAsia="Arial" w:hAnsi="Arial"/>
          <w:sz w:val="16"/>
          <w:szCs w:val="16"/>
          <w:u w:val="single" w:color="auto"/>
          <w:color w:val="001377"/>
        </w:rPr>
        <w:t>104</w:t>
      </w:r>
    </w:p>
    <w:p>
      <w:pPr>
        <w:spacing w:after="0" w:line="77" w:lineRule="exact"/>
        <w:rPr>
          <w:sz w:val="20"/>
          <w:szCs w:val="20"/>
          <w:color w:val="auto"/>
        </w:rPr>
      </w:pPr>
    </w:p>
    <w:p>
      <w:pPr>
        <w:ind w:left="180"/>
        <w:spacing w:after="0"/>
        <w:tabs>
          <w:tab w:leader="dot" w:pos="8700" w:val="left"/>
        </w:tabs>
        <w:rPr>
          <w:sz w:val="20"/>
          <w:szCs w:val="20"/>
          <w:color w:val="auto"/>
        </w:rPr>
      </w:pPr>
      <w:r>
        <w:rPr>
          <w:rFonts w:ascii="Arial" w:cs="Arial" w:eastAsia="Arial" w:hAnsi="Arial"/>
          <w:sz w:val="19"/>
          <w:szCs w:val="19"/>
          <w:u w:val="single" w:color="auto"/>
          <w:color w:val="001377"/>
        </w:rPr>
        <w:t>Consolidated Balance Sheets</w:t>
      </w:r>
      <w:r>
        <w:rPr>
          <w:sz w:val="20"/>
          <w:szCs w:val="20"/>
          <w:color w:val="auto"/>
        </w:rPr>
        <w:tab/>
      </w:r>
      <w:r>
        <w:rPr>
          <w:rFonts w:ascii="Arial" w:cs="Arial" w:eastAsia="Arial" w:hAnsi="Arial"/>
          <w:sz w:val="16"/>
          <w:szCs w:val="16"/>
          <w:u w:val="single" w:color="auto"/>
          <w:color w:val="001377"/>
        </w:rPr>
        <w:t>106</w:t>
      </w:r>
    </w:p>
    <w:p>
      <w:pPr>
        <w:spacing w:after="0" w:line="77" w:lineRule="exact"/>
        <w:rPr>
          <w:sz w:val="20"/>
          <w:szCs w:val="20"/>
          <w:color w:val="auto"/>
        </w:rPr>
      </w:pPr>
    </w:p>
    <w:p>
      <w:pPr>
        <w:ind w:left="180"/>
        <w:spacing w:after="0"/>
        <w:tabs>
          <w:tab w:leader="dot" w:pos="8700" w:val="left"/>
        </w:tabs>
        <w:rPr>
          <w:sz w:val="20"/>
          <w:szCs w:val="20"/>
          <w:color w:val="auto"/>
        </w:rPr>
      </w:pPr>
      <w:r>
        <w:rPr>
          <w:rFonts w:ascii="Arial" w:cs="Arial" w:eastAsia="Arial" w:hAnsi="Arial"/>
          <w:sz w:val="19"/>
          <w:szCs w:val="19"/>
          <w:u w:val="single" w:color="auto"/>
          <w:color w:val="001377"/>
        </w:rPr>
        <w:t>Consolidated Statements of Operations and Comprehensive Loss</w:t>
      </w:r>
      <w:r>
        <w:rPr>
          <w:sz w:val="20"/>
          <w:szCs w:val="20"/>
          <w:color w:val="auto"/>
        </w:rPr>
        <w:tab/>
      </w:r>
      <w:r>
        <w:rPr>
          <w:rFonts w:ascii="Arial" w:cs="Arial" w:eastAsia="Arial" w:hAnsi="Arial"/>
          <w:sz w:val="16"/>
          <w:szCs w:val="16"/>
          <w:u w:val="single" w:color="auto"/>
          <w:color w:val="001377"/>
        </w:rPr>
        <w:t>107</w:t>
      </w:r>
    </w:p>
    <w:p>
      <w:pPr>
        <w:spacing w:after="0" w:line="77" w:lineRule="exact"/>
        <w:rPr>
          <w:sz w:val="20"/>
          <w:szCs w:val="20"/>
          <w:color w:val="auto"/>
        </w:rPr>
      </w:pPr>
    </w:p>
    <w:p>
      <w:pPr>
        <w:ind w:left="180"/>
        <w:spacing w:after="0"/>
        <w:tabs>
          <w:tab w:leader="dot" w:pos="8700" w:val="left"/>
        </w:tabs>
        <w:rPr>
          <w:sz w:val="20"/>
          <w:szCs w:val="20"/>
          <w:color w:val="auto"/>
        </w:rPr>
      </w:pPr>
      <w:r>
        <w:rPr>
          <w:rFonts w:ascii="Arial" w:cs="Arial" w:eastAsia="Arial" w:hAnsi="Arial"/>
          <w:sz w:val="19"/>
          <w:szCs w:val="19"/>
          <w:u w:val="single" w:color="auto"/>
          <w:color w:val="001377"/>
        </w:rPr>
        <w:t>Consolidated Statements of Changes in Stockholders’ Equity</w:t>
      </w:r>
      <w:r>
        <w:rPr>
          <w:sz w:val="20"/>
          <w:szCs w:val="20"/>
          <w:color w:val="auto"/>
        </w:rPr>
        <w:tab/>
      </w:r>
      <w:r>
        <w:rPr>
          <w:rFonts w:ascii="Arial" w:cs="Arial" w:eastAsia="Arial" w:hAnsi="Arial"/>
          <w:sz w:val="16"/>
          <w:szCs w:val="16"/>
          <w:u w:val="single" w:color="auto"/>
          <w:color w:val="001377"/>
        </w:rPr>
        <w:t>108</w:t>
      </w:r>
    </w:p>
    <w:p>
      <w:pPr>
        <w:spacing w:after="0" w:line="77" w:lineRule="exact"/>
        <w:rPr>
          <w:sz w:val="20"/>
          <w:szCs w:val="20"/>
          <w:color w:val="auto"/>
        </w:rPr>
      </w:pPr>
    </w:p>
    <w:p>
      <w:pPr>
        <w:ind w:left="180"/>
        <w:spacing w:after="0"/>
        <w:tabs>
          <w:tab w:leader="dot" w:pos="8700" w:val="left"/>
        </w:tabs>
        <w:rPr>
          <w:sz w:val="20"/>
          <w:szCs w:val="20"/>
          <w:color w:val="auto"/>
        </w:rPr>
      </w:pPr>
      <w:r>
        <w:rPr>
          <w:rFonts w:ascii="Arial" w:cs="Arial" w:eastAsia="Arial" w:hAnsi="Arial"/>
          <w:sz w:val="19"/>
          <w:szCs w:val="19"/>
          <w:u w:val="single" w:color="auto"/>
          <w:color w:val="001377"/>
        </w:rPr>
        <w:t>Consolidated Statements of Cash Flows</w:t>
      </w:r>
      <w:r>
        <w:rPr>
          <w:sz w:val="20"/>
          <w:szCs w:val="20"/>
          <w:color w:val="auto"/>
        </w:rPr>
        <w:tab/>
      </w:r>
      <w:r>
        <w:rPr>
          <w:rFonts w:ascii="Arial" w:cs="Arial" w:eastAsia="Arial" w:hAnsi="Arial"/>
          <w:sz w:val="16"/>
          <w:szCs w:val="16"/>
          <w:u w:val="single" w:color="auto"/>
          <w:color w:val="001377"/>
        </w:rPr>
        <w:t>109</w:t>
      </w:r>
    </w:p>
    <w:p>
      <w:pPr>
        <w:spacing w:after="0" w:line="77" w:lineRule="exact"/>
        <w:rPr>
          <w:sz w:val="20"/>
          <w:szCs w:val="20"/>
          <w:color w:val="auto"/>
        </w:rPr>
      </w:pPr>
    </w:p>
    <w:p>
      <w:pPr>
        <w:ind w:left="180"/>
        <w:spacing w:after="0"/>
        <w:tabs>
          <w:tab w:leader="dot" w:pos="8700" w:val="left"/>
        </w:tabs>
        <w:rPr>
          <w:sz w:val="20"/>
          <w:szCs w:val="20"/>
          <w:color w:val="auto"/>
        </w:rPr>
      </w:pPr>
      <w:r>
        <w:rPr>
          <w:rFonts w:ascii="Arial" w:cs="Arial" w:eastAsia="Arial" w:hAnsi="Arial"/>
          <w:sz w:val="19"/>
          <w:szCs w:val="19"/>
          <w:u w:val="single" w:color="auto"/>
          <w:color w:val="001377"/>
        </w:rPr>
        <w:t>Notes to Consolidated Financial Statements</w:t>
      </w:r>
      <w:r>
        <w:rPr>
          <w:sz w:val="20"/>
          <w:szCs w:val="20"/>
          <w:color w:val="auto"/>
        </w:rPr>
        <w:tab/>
      </w:r>
      <w:r>
        <w:rPr>
          <w:rFonts w:ascii="Arial" w:cs="Arial" w:eastAsia="Arial" w:hAnsi="Arial"/>
          <w:sz w:val="16"/>
          <w:szCs w:val="16"/>
          <w:u w:val="single" w:color="auto"/>
          <w:color w:val="001377"/>
        </w:rPr>
        <w:t>110</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103</w:t>
      </w:r>
    </w:p>
    <w:p>
      <w:pPr>
        <w:sectPr>
          <w:pgSz w:w="12240" w:h="15840" w:orient="portrait"/>
          <w:cols w:equalWidth="0" w:num="1">
            <w:col w:w="9360"/>
          </w:cols>
          <w:pgMar w:left="1440" w:top="1440" w:right="1440" w:bottom="610" w:gutter="0" w:footer="0" w:header="0"/>
          <w:type w:val="continuous"/>
        </w:sectPr>
      </w:pPr>
    </w:p>
    <w:bookmarkStart w:id="110" w:name="page111"/>
    <w:bookmarkEnd w:id="110"/>
    <w:p>
      <w:pPr>
        <w:spacing w:after="0" w:line="350" w:lineRule="exact"/>
        <w:rPr>
          <w:sz w:val="20"/>
          <w:szCs w:val="20"/>
          <w:color w:val="auto"/>
        </w:rPr>
      </w:pPr>
    </w:p>
    <w:p>
      <w:pPr>
        <w:ind w:left="138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To the shareholders and the Board of Directors of Seer, Inc.</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Opinion on the Financial Statements</w:t>
      </w:r>
    </w:p>
    <w:p>
      <w:pPr>
        <w:spacing w:after="0" w:line="215" w:lineRule="exact"/>
        <w:rPr>
          <w:sz w:val="20"/>
          <w:szCs w:val="20"/>
          <w:color w:val="auto"/>
        </w:rPr>
      </w:pPr>
    </w:p>
    <w:p>
      <w:pPr>
        <w:ind w:left="120" w:right="280"/>
        <w:spacing w:after="0" w:line="310" w:lineRule="auto"/>
        <w:rPr>
          <w:sz w:val="20"/>
          <w:szCs w:val="20"/>
          <w:color w:val="auto"/>
        </w:rPr>
      </w:pPr>
      <w:r>
        <w:rPr>
          <w:rFonts w:ascii="Arial" w:cs="Arial" w:eastAsia="Arial" w:hAnsi="Arial"/>
          <w:sz w:val="18"/>
          <w:szCs w:val="18"/>
          <w:color w:val="auto"/>
        </w:rPr>
        <w:t>We have audited the accompanying consolidated balance sheets of Seer, Inc. and subsidiaries (the "Company") as of December 31, 2024 and 2023, the related consolidated statements of operations and comprehensive loss, changes in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Basis for Opinion</w:t>
      </w:r>
    </w:p>
    <w:p>
      <w:pPr>
        <w:spacing w:after="0" w:line="213" w:lineRule="exact"/>
        <w:rPr>
          <w:sz w:val="20"/>
          <w:szCs w:val="20"/>
          <w:color w:val="auto"/>
        </w:rPr>
      </w:pPr>
    </w:p>
    <w:p>
      <w:pPr>
        <w:jc w:val="both"/>
        <w:ind w:left="120" w:right="340"/>
        <w:spacing w:after="0" w:line="31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ind w:left="120" w:right="440"/>
        <w:spacing w:after="0" w:line="3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9" w:lineRule="exact"/>
        <w:rPr>
          <w:sz w:val="20"/>
          <w:szCs w:val="20"/>
          <w:color w:val="auto"/>
        </w:rPr>
      </w:pPr>
    </w:p>
    <w:p>
      <w:pPr>
        <w:ind w:left="120" w:right="320"/>
        <w:spacing w:after="0" w:line="293" w:lineRule="auto"/>
        <w:rPr>
          <w:sz w:val="20"/>
          <w:szCs w:val="20"/>
          <w:color w:val="auto"/>
        </w:rPr>
      </w:pPr>
      <w:r>
        <w:rPr>
          <w:rFonts w:ascii="Arial" w:cs="Arial" w:eastAsia="Arial" w:hAnsi="Arial"/>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Critical Audit Matter</w:t>
      </w:r>
    </w:p>
    <w:p>
      <w:pPr>
        <w:spacing w:after="0" w:line="213" w:lineRule="exact"/>
        <w:rPr>
          <w:sz w:val="20"/>
          <w:szCs w:val="20"/>
          <w:color w:val="auto"/>
        </w:rPr>
      </w:pPr>
    </w:p>
    <w:p>
      <w:pPr>
        <w:ind w:left="120" w:right="420"/>
        <w:spacing w:after="0" w:line="334"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104</w:t>
      </w:r>
    </w:p>
    <w:p>
      <w:pPr>
        <w:sectPr>
          <w:pgSz w:w="12240" w:h="15840" w:orient="portrait"/>
          <w:cols w:equalWidth="0" w:num="1">
            <w:col w:w="9360"/>
          </w:cols>
          <w:pgMar w:left="1440" w:top="1440" w:right="1440" w:bottom="610" w:gutter="0" w:footer="0" w:header="0"/>
          <w:type w:val="continuous"/>
        </w:sectPr>
      </w:pPr>
    </w:p>
    <w:bookmarkStart w:id="111" w:name="page112"/>
    <w:bookmarkEnd w:id="111"/>
    <w:p>
      <w:pPr>
        <w:spacing w:after="0" w:line="350" w:lineRule="exact"/>
        <w:rPr>
          <w:sz w:val="20"/>
          <w:szCs w:val="20"/>
          <w:color w:val="auto"/>
        </w:rPr>
      </w:pPr>
    </w:p>
    <w:p>
      <w:pPr>
        <w:ind w:left="120" w:right="500"/>
        <w:spacing w:after="0" w:line="333" w:lineRule="auto"/>
        <w:rPr>
          <w:sz w:val="20"/>
          <w:szCs w:val="20"/>
          <w:color w:val="auto"/>
        </w:rPr>
      </w:pPr>
      <w:r>
        <w:rPr>
          <w:rFonts w:ascii="Arial" w:cs="Arial" w:eastAsia="Arial" w:hAnsi="Arial"/>
          <w:sz w:val="19"/>
          <w:szCs w:val="19"/>
          <w:b w:val="1"/>
          <w:bCs w:val="1"/>
          <w:color w:val="auto"/>
        </w:rPr>
        <w:t>Revenue Recognition for Products, Services, and Related Parties - Refer to Notes 2, 5 and 11 to the Financial Statements</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Critical Audit Matter Description</w:t>
      </w:r>
    </w:p>
    <w:p>
      <w:pPr>
        <w:spacing w:after="0" w:line="213" w:lineRule="exact"/>
        <w:rPr>
          <w:sz w:val="20"/>
          <w:szCs w:val="20"/>
          <w:color w:val="auto"/>
        </w:rPr>
      </w:pPr>
    </w:p>
    <w:p>
      <w:pPr>
        <w:ind w:left="120" w:right="280"/>
        <w:spacing w:after="0" w:line="312" w:lineRule="auto"/>
        <w:rPr>
          <w:sz w:val="20"/>
          <w:szCs w:val="20"/>
          <w:color w:val="auto"/>
        </w:rPr>
      </w:pPr>
      <w:r>
        <w:rPr>
          <w:rFonts w:ascii="Arial" w:cs="Arial" w:eastAsia="Arial" w:hAnsi="Arial"/>
          <w:sz w:val="18"/>
          <w:szCs w:val="18"/>
          <w:color w:val="auto"/>
        </w:rPr>
        <w:t>The Company generates revenue from sales of products and services. The Company’s product, the Proteograph Product Suite, consists of an instrument with embedded software essential to the instrument’s functionality and consumables. The Company’s service revenue primarily consists of revenue received from the generation and analysis of proteomic data. The Company recognizes revenue when control of the products and services are transferred to its customers in an amount that reflects the consideration it expects to be entitled to receive from its customers in exchange for those products and services.</w:t>
      </w:r>
    </w:p>
    <w:p>
      <w:pPr>
        <w:spacing w:after="0" w:line="116" w:lineRule="exact"/>
        <w:rPr>
          <w:sz w:val="20"/>
          <w:szCs w:val="20"/>
          <w:color w:val="auto"/>
        </w:rPr>
      </w:pPr>
    </w:p>
    <w:p>
      <w:pPr>
        <w:jc w:val="both"/>
        <w:ind w:left="120" w:right="420"/>
        <w:spacing w:after="0" w:line="306" w:lineRule="auto"/>
        <w:rPr>
          <w:sz w:val="20"/>
          <w:szCs w:val="20"/>
          <w:color w:val="auto"/>
        </w:rPr>
      </w:pPr>
      <w:r>
        <w:rPr>
          <w:rFonts w:ascii="Arial" w:cs="Arial" w:eastAsia="Arial" w:hAnsi="Arial"/>
          <w:sz w:val="19"/>
          <w:szCs w:val="19"/>
          <w:color w:val="auto"/>
        </w:rPr>
        <w:t>The Company regularly enters into contracts that include multiple performance obligations requiring management to evaluate whether these multiple performance obligations are capable of being distinct and accounted for as separate performance obligations.</w:t>
      </w:r>
    </w:p>
    <w:p>
      <w:pPr>
        <w:spacing w:after="0" w:line="174" w:lineRule="exact"/>
        <w:rPr>
          <w:sz w:val="20"/>
          <w:szCs w:val="20"/>
          <w:color w:val="auto"/>
        </w:rPr>
      </w:pPr>
    </w:p>
    <w:p>
      <w:pPr>
        <w:jc w:val="both"/>
        <w:ind w:left="120" w:right="380"/>
        <w:spacing w:after="0" w:line="298" w:lineRule="auto"/>
        <w:rPr>
          <w:sz w:val="20"/>
          <w:szCs w:val="20"/>
          <w:color w:val="auto"/>
        </w:rPr>
      </w:pPr>
      <w:r>
        <w:rPr>
          <w:rFonts w:ascii="Arial" w:cs="Arial" w:eastAsia="Arial" w:hAnsi="Arial"/>
          <w:sz w:val="19"/>
          <w:szCs w:val="19"/>
          <w:color w:val="auto"/>
        </w:rPr>
        <w:t>We identified the evaluation of performance obligations as a critical audit matter because of the significant judgment management makes in evaluating distinct performance obligations and the impact of such judgment on the amount of revenue recognized in a particular period. This required a high degree of auditor judgment and an increased extent of testing.</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How the Critical Audit Matter Was Addressed in the Audit</w:t>
      </w:r>
    </w:p>
    <w:p>
      <w:pPr>
        <w:spacing w:after="0" w:line="207" w:lineRule="exact"/>
        <w:rPr>
          <w:sz w:val="20"/>
          <w:szCs w:val="20"/>
          <w:color w:val="auto"/>
        </w:rPr>
      </w:pPr>
    </w:p>
    <w:p>
      <w:pPr>
        <w:ind w:left="120" w:right="420"/>
        <w:spacing w:after="0" w:line="326" w:lineRule="auto"/>
        <w:rPr>
          <w:sz w:val="20"/>
          <w:szCs w:val="20"/>
          <w:color w:val="auto"/>
        </w:rPr>
      </w:pPr>
      <w:r>
        <w:rPr>
          <w:rFonts w:ascii="Arial" w:cs="Arial" w:eastAsia="Arial" w:hAnsi="Arial"/>
          <w:sz w:val="19"/>
          <w:szCs w:val="19"/>
          <w:color w:val="auto"/>
        </w:rPr>
        <w:t>Our audit procedures related to the Company’s identification and evaluation of performance obligations included the following, among others:</w:t>
      </w:r>
    </w:p>
    <w:p>
      <w:pPr>
        <w:spacing w:after="0" w:line="105" w:lineRule="exact"/>
        <w:rPr>
          <w:sz w:val="20"/>
          <w:szCs w:val="20"/>
          <w:color w:val="auto"/>
        </w:rPr>
      </w:pPr>
    </w:p>
    <w:p>
      <w:pPr>
        <w:ind w:left="800" w:right="620"/>
        <w:spacing w:after="0" w:line="305" w:lineRule="auto"/>
        <w:rPr>
          <w:sz w:val="20"/>
          <w:szCs w:val="20"/>
          <w:color w:val="auto"/>
        </w:rPr>
      </w:pPr>
      <w:r>
        <w:rPr>
          <w:rFonts w:ascii="Arial" w:cs="Arial" w:eastAsia="Arial" w:hAnsi="Arial"/>
          <w:sz w:val="19"/>
          <w:szCs w:val="19"/>
          <w:color w:val="auto"/>
        </w:rPr>
        <w:t>We evaluated the reasonableness of the Company’s significant accounting policies related to revenue recognition for compliance with Accounting Standards Codification (ASC) 606,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-472440</wp:posOffset>
            </wp:positionV>
            <wp:extent cx="80010" cy="831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65">
                      <a:extLst>
                        <a:ext uri="{28A0092B-C50C-407E-A947-70E740481C1C}"/>
                      </a:extLst>
                    </a:blip>
                    <a:srcRect/>
                    <a:stretch>
                      <a:fillRect/>
                    </a:stretch>
                  </pic:blipFill>
                  <pic:spPr bwMode="auto">
                    <a:xfrm>
                      <a:off x="0" y="0"/>
                      <a:ext cx="80010" cy="83185"/>
                    </a:xfrm>
                    <a:prstGeom prst="rect">
                      <a:avLst/>
                    </a:prstGeom>
                    <a:noFill/>
                  </pic:spPr>
                </pic:pic>
              </a:graphicData>
            </a:graphic>
          </wp:anchor>
        </w:drawing>
      </w:r>
    </w:p>
    <w:p>
      <w:pPr>
        <w:spacing w:after="0" w:line="112" w:lineRule="exact"/>
        <w:rPr>
          <w:sz w:val="20"/>
          <w:szCs w:val="20"/>
          <w:color w:val="auto"/>
        </w:rPr>
      </w:pPr>
    </w:p>
    <w:p>
      <w:pPr>
        <w:ind w:left="800" w:right="500"/>
        <w:spacing w:after="0" w:line="326" w:lineRule="auto"/>
        <w:rPr>
          <w:sz w:val="20"/>
          <w:szCs w:val="20"/>
          <w:color w:val="auto"/>
        </w:rPr>
      </w:pPr>
      <w:r>
        <w:rPr>
          <w:rFonts w:ascii="Arial" w:cs="Arial" w:eastAsia="Arial" w:hAnsi="Arial"/>
          <w:sz w:val="19"/>
          <w:szCs w:val="19"/>
          <w:color w:val="auto"/>
        </w:rPr>
        <w:t>We evaluated the design of internal controls over the identification of distinct performance obligations and the 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-320040</wp:posOffset>
            </wp:positionV>
            <wp:extent cx="80010" cy="831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66">
                      <a:extLst>
                        <a:ext uri="{28A0092B-C50C-407E-A947-70E740481C1C}"/>
                      </a:extLst>
                    </a:blip>
                    <a:srcRect/>
                    <a:stretch>
                      <a:fillRect/>
                    </a:stretch>
                  </pic:blipFill>
                  <pic:spPr bwMode="auto">
                    <a:xfrm>
                      <a:off x="0" y="0"/>
                      <a:ext cx="80010" cy="83185"/>
                    </a:xfrm>
                    <a:prstGeom prst="rect">
                      <a:avLst/>
                    </a:prstGeom>
                    <a:noFill/>
                  </pic:spPr>
                </pic:pic>
              </a:graphicData>
            </a:graphic>
          </wp:anchor>
        </w:drawing>
      </w:r>
    </w:p>
    <w:p>
      <w:pPr>
        <w:spacing w:after="0" w:line="92" w:lineRule="exact"/>
        <w:rPr>
          <w:sz w:val="20"/>
          <w:szCs w:val="20"/>
          <w:color w:val="auto"/>
        </w:rPr>
      </w:pPr>
    </w:p>
    <w:p>
      <w:pPr>
        <w:ind w:left="800" w:right="540"/>
        <w:spacing w:after="0" w:line="324" w:lineRule="auto"/>
        <w:rPr>
          <w:sz w:val="20"/>
          <w:szCs w:val="20"/>
          <w:color w:val="auto"/>
        </w:rPr>
      </w:pPr>
      <w:r>
        <w:rPr>
          <w:rFonts w:ascii="Arial" w:cs="Arial" w:eastAsia="Arial" w:hAnsi="Arial"/>
          <w:sz w:val="19"/>
          <w:szCs w:val="19"/>
          <w:color w:val="auto"/>
        </w:rPr>
        <w:t>We selected a sample of recorded products and services revenue transactions and performed the following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-318135</wp:posOffset>
            </wp:positionV>
            <wp:extent cx="80010" cy="831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67">
                      <a:extLst>
                        <a:ext uri="{28A0092B-C50C-407E-A947-70E740481C1C}"/>
                      </a:extLst>
                    </a:blip>
                    <a:srcRect/>
                    <a:stretch>
                      <a:fillRect/>
                    </a:stretch>
                  </pic:blipFill>
                  <pic:spPr bwMode="auto">
                    <a:xfrm>
                      <a:off x="0" y="0"/>
                      <a:ext cx="80010" cy="83185"/>
                    </a:xfrm>
                    <a:prstGeom prst="rect">
                      <a:avLst/>
                    </a:prstGeom>
                    <a:noFill/>
                  </pic:spPr>
                </pic:pic>
              </a:graphicData>
            </a:graphic>
          </wp:anchor>
        </w:drawing>
      </w:r>
    </w:p>
    <w:p>
      <w:pPr>
        <w:spacing w:after="0" w:line="81" w:lineRule="exact"/>
        <w:rPr>
          <w:sz w:val="20"/>
          <w:szCs w:val="20"/>
          <w:color w:val="auto"/>
        </w:rPr>
      </w:pPr>
    </w:p>
    <w:p>
      <w:pPr>
        <w:ind w:left="980" w:right="860"/>
        <w:spacing w:after="0" w:line="355" w:lineRule="auto"/>
        <w:rPr>
          <w:sz w:val="20"/>
          <w:szCs w:val="20"/>
          <w:color w:val="auto"/>
        </w:rPr>
      </w:pPr>
      <w:r>
        <w:rPr>
          <w:rFonts w:ascii="Arial" w:cs="Arial" w:eastAsia="Arial" w:hAnsi="Arial"/>
          <w:sz w:val="18"/>
          <w:szCs w:val="18"/>
          <w:color w:val="auto"/>
        </w:rPr>
        <w:t>Obtained and read customer source documents such as contracts, and/or amendments, to evaluate if management has appropriately identified and considered performance obligations.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337820</wp:posOffset>
                </wp:positionH>
                <wp:positionV relativeFrom="paragraph">
                  <wp:posOffset>-325755</wp:posOffset>
                </wp:positionV>
                <wp:extent cx="36830" cy="36195"/>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36195"/>
                        </a:xfrm>
                        <a:prstGeom prst="rect">
                          <a:avLst/>
                        </a:prstGeom>
                        <a:solidFill>
                          <a:srgbClr val="000000"/>
                        </a:solidFill>
                      </wps:spPr>
                      <wps:bodyPr/>
                    </wps:wsp>
                  </a:graphicData>
                </a:graphic>
              </wp:anchor>
            </w:drawing>
          </mc:Choice>
          <mc:Fallback>
            <w:pict>
              <v:rect id="Shape 291" o:spid="_x0000_s1316" style="position:absolute;margin-left:26.6pt;margin-top:-25.6499pt;width:2.9pt;height: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59" w:lineRule="exact"/>
        <w:rPr>
          <w:sz w:val="20"/>
          <w:szCs w:val="20"/>
          <w:color w:val="auto"/>
        </w:rPr>
      </w:pPr>
    </w:p>
    <w:p>
      <w:pPr>
        <w:ind w:left="980" w:right="440"/>
        <w:spacing w:after="0" w:line="305" w:lineRule="auto"/>
        <w:rPr>
          <w:sz w:val="20"/>
          <w:szCs w:val="20"/>
          <w:color w:val="auto"/>
        </w:rPr>
      </w:pPr>
      <w:r>
        <w:rPr>
          <w:rFonts w:ascii="Arial" w:cs="Arial" w:eastAsia="Arial" w:hAnsi="Arial"/>
          <w:sz w:val="19"/>
          <w:szCs w:val="19"/>
          <w:color w:val="auto"/>
        </w:rPr>
        <w:t>Evaluated management’s application of the Company’s accounting policy and tested revenue recognition for the identified performance obligations by comparing management’s conclusions to the underlying source documents.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337820</wp:posOffset>
                </wp:positionH>
                <wp:positionV relativeFrom="paragraph">
                  <wp:posOffset>-466090</wp:posOffset>
                </wp:positionV>
                <wp:extent cx="36830" cy="3683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36830"/>
                        </a:xfrm>
                        <a:prstGeom prst="rect">
                          <a:avLst/>
                        </a:prstGeom>
                        <a:solidFill>
                          <a:srgbClr val="000000"/>
                        </a:solidFill>
                      </wps:spPr>
                      <wps:bodyPr/>
                    </wps:wsp>
                  </a:graphicData>
                </a:graphic>
              </wp:anchor>
            </w:drawing>
          </mc:Choice>
          <mc:Fallback>
            <w:pict>
              <v:rect id="Shape 292" o:spid="_x0000_s1317" style="position:absolute;margin-left:26.6pt;margin-top:-36.6999pt;width:2.9pt;height: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/s/ Deloitte &amp; Touche LLP</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San Francisco, California</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March 3, 2025</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We have served as the Company's auditor since 2018.</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105</w:t>
      </w:r>
    </w:p>
    <w:p>
      <w:pPr>
        <w:sectPr>
          <w:pgSz w:w="12240" w:h="15840" w:orient="portrait"/>
          <w:cols w:equalWidth="0" w:num="1">
            <w:col w:w="9360"/>
          </w:cols>
          <w:pgMar w:left="1440" w:top="1440" w:right="1440" w:bottom="610" w:gutter="0" w:footer="0" w:header="0"/>
          <w:type w:val="continuous"/>
        </w:sectPr>
      </w:pPr>
    </w:p>
    <w:bookmarkStart w:id="112" w:name="page113"/>
    <w:bookmarkEnd w:id="112"/>
    <w:p>
      <w:pPr>
        <w:spacing w:after="0" w:line="350" w:lineRule="exact"/>
        <w:rPr>
          <w:sz w:val="20"/>
          <w:szCs w:val="20"/>
          <w:color w:val="auto"/>
        </w:rPr>
      </w:pPr>
    </w:p>
    <w:p>
      <w:pPr>
        <w:ind w:left="4220"/>
        <w:spacing w:after="0"/>
        <w:rPr>
          <w:sz w:val="20"/>
          <w:szCs w:val="20"/>
          <w:color w:val="auto"/>
        </w:rPr>
      </w:pPr>
      <w:r>
        <w:rPr>
          <w:rFonts w:ascii="Arial" w:cs="Arial" w:eastAsia="Arial" w:hAnsi="Arial"/>
          <w:sz w:val="19"/>
          <w:szCs w:val="19"/>
          <w:b w:val="1"/>
          <w:bCs w:val="1"/>
          <w:color w:val="auto"/>
        </w:rPr>
        <w:t>SEER,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9"/>
          <w:szCs w:val="19"/>
          <w:b w:val="1"/>
          <w:bCs w:val="1"/>
          <w:color w:val="auto"/>
        </w:rPr>
        <w:t>Consolidated Balance Sheets</w:t>
      </w:r>
    </w:p>
    <w:p>
      <w:pPr>
        <w:ind w:left="2600"/>
        <w:spacing w:after="0"/>
        <w:rPr>
          <w:sz w:val="20"/>
          <w:szCs w:val="20"/>
          <w:color w:val="auto"/>
        </w:rPr>
      </w:pPr>
      <w:r>
        <w:rPr>
          <w:rFonts w:ascii="Arial" w:cs="Arial" w:eastAsia="Arial" w:hAnsi="Arial"/>
          <w:sz w:val="19"/>
          <w:szCs w:val="19"/>
          <w:b w:val="1"/>
          <w:bCs w:val="1"/>
          <w:color w:val="auto"/>
        </w:rPr>
        <w:t>(in thousands, except share and per share amounts)</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980" w:type="dxa"/>
            <w:vAlign w:val="bottom"/>
            <w:tcBorders>
              <w:bottom w:val="single" w:sz="8" w:color="FDFDFD"/>
            </w:tcBorders>
            <w:shd w:val="clear" w:color="auto" w:fill="FDFDFD"/>
          </w:tcPr>
          <w:p>
            <w:pPr>
              <w:spacing w:after="0"/>
              <w:rPr>
                <w:sz w:val="16"/>
                <w:szCs w:val="16"/>
                <w:color w:val="auto"/>
              </w:rPr>
            </w:pPr>
          </w:p>
        </w:tc>
        <w:tc>
          <w:tcPr>
            <w:tcW w:w="180" w:type="dxa"/>
            <w:vAlign w:val="bottom"/>
            <w:tcBorders>
              <w:bottom w:val="single" w:sz="8" w:color="FDFDFD"/>
            </w:tcBorders>
            <w:shd w:val="clear" w:color="auto" w:fill="FDFDFD"/>
          </w:tcPr>
          <w:p>
            <w:pPr>
              <w:spacing w:after="0"/>
              <w:rPr>
                <w:sz w:val="16"/>
                <w:szCs w:val="16"/>
                <w:color w:val="auto"/>
              </w:rPr>
            </w:pPr>
          </w:p>
        </w:tc>
        <w:tc>
          <w:tcPr>
            <w:tcW w:w="2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auto"/>
            </w:tcBorders>
            <w:shd w:val="clear" w:color="auto" w:fill="FDFDFD"/>
          </w:tcPr>
          <w:p>
            <w:pPr>
              <w:spacing w:after="0"/>
              <w:rPr>
                <w:sz w:val="16"/>
                <w:szCs w:val="16"/>
                <w:color w:val="auto"/>
              </w:rPr>
            </w:pPr>
          </w:p>
        </w:tc>
        <w:tc>
          <w:tcPr>
            <w:tcW w:w="1780" w:type="dxa"/>
            <w:vAlign w:val="bottom"/>
            <w:tcBorders>
              <w:bottom w:val="single" w:sz="8" w:color="auto"/>
            </w:tcBorders>
            <w:gridSpan w:val="6"/>
            <w:shd w:val="clear" w:color="auto" w:fill="FDFDFD"/>
          </w:tcPr>
          <w:p>
            <w:pPr>
              <w:jc w:val="right"/>
              <w:ind w:right="6"/>
              <w:spacing w:after="0"/>
              <w:rPr>
                <w:sz w:val="20"/>
                <w:szCs w:val="20"/>
                <w:color w:val="auto"/>
              </w:rPr>
            </w:pPr>
            <w:r>
              <w:rPr>
                <w:rFonts w:ascii="Arial" w:cs="Arial" w:eastAsia="Arial" w:hAnsi="Arial"/>
                <w:sz w:val="15"/>
                <w:szCs w:val="15"/>
                <w:b w:val="1"/>
                <w:bCs w:val="1"/>
                <w:color w:val="auto"/>
              </w:rPr>
              <w:t>December 31,</w:t>
            </w:r>
          </w:p>
        </w:tc>
        <w:tc>
          <w:tcPr>
            <w:tcW w:w="86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r>
      <w:tr>
        <w:trPr>
          <w:trHeight w:val="175"/>
        </w:trPr>
        <w:tc>
          <w:tcPr>
            <w:tcW w:w="5980" w:type="dxa"/>
            <w:vAlign w:val="bottom"/>
            <w:tcBorders>
              <w:bottom w:val="single" w:sz="8" w:color="D3ECED"/>
            </w:tcBorders>
            <w:shd w:val="clear" w:color="auto" w:fill="FDFDFD"/>
          </w:tcPr>
          <w:p>
            <w:pPr>
              <w:spacing w:after="0"/>
              <w:rPr>
                <w:sz w:val="15"/>
                <w:szCs w:val="15"/>
                <w:color w:val="auto"/>
              </w:rPr>
            </w:pPr>
          </w:p>
        </w:tc>
        <w:tc>
          <w:tcPr>
            <w:tcW w:w="180" w:type="dxa"/>
            <w:vAlign w:val="bottom"/>
            <w:tcBorders>
              <w:bottom w:val="single" w:sz="8" w:color="D3ECED"/>
            </w:tcBorders>
            <w:shd w:val="clear" w:color="auto" w:fill="FDFDFD"/>
          </w:tcPr>
          <w:p>
            <w:pPr>
              <w:spacing w:after="0"/>
              <w:rPr>
                <w:sz w:val="15"/>
                <w:szCs w:val="15"/>
                <w:color w:val="auto"/>
              </w:rPr>
            </w:pPr>
          </w:p>
        </w:tc>
        <w:tc>
          <w:tcPr>
            <w:tcW w:w="20" w:type="dxa"/>
            <w:vAlign w:val="bottom"/>
            <w:tcBorders>
              <w:bottom w:val="single" w:sz="8" w:color="auto"/>
            </w:tcBorders>
            <w:shd w:val="clear" w:color="auto" w:fill="FDFDFD"/>
          </w:tcPr>
          <w:p>
            <w:pPr>
              <w:spacing w:after="0"/>
              <w:rPr>
                <w:sz w:val="15"/>
                <w:szCs w:val="15"/>
                <w:color w:val="auto"/>
              </w:rPr>
            </w:pPr>
          </w:p>
        </w:tc>
        <w:tc>
          <w:tcPr>
            <w:tcW w:w="80" w:type="dxa"/>
            <w:vAlign w:val="bottom"/>
            <w:tcBorders>
              <w:bottom w:val="single" w:sz="8" w:color="auto"/>
            </w:tcBorders>
            <w:shd w:val="clear" w:color="auto" w:fill="FDFDFD"/>
          </w:tcPr>
          <w:p>
            <w:pPr>
              <w:spacing w:after="0"/>
              <w:rPr>
                <w:sz w:val="15"/>
                <w:szCs w:val="15"/>
                <w:color w:val="auto"/>
              </w:rPr>
            </w:pPr>
          </w:p>
        </w:tc>
        <w:tc>
          <w:tcPr>
            <w:tcW w:w="1140" w:type="dxa"/>
            <w:vAlign w:val="bottom"/>
            <w:tcBorders>
              <w:bottom w:val="single" w:sz="8" w:color="auto"/>
            </w:tcBorders>
            <w:shd w:val="clear" w:color="auto" w:fill="FDFDFD"/>
          </w:tcPr>
          <w:p>
            <w:pPr>
              <w:jc w:val="right"/>
              <w:ind w:right="386"/>
              <w:spacing w:after="0"/>
              <w:rPr>
                <w:sz w:val="20"/>
                <w:szCs w:val="20"/>
                <w:color w:val="auto"/>
              </w:rPr>
            </w:pPr>
            <w:r>
              <w:rPr>
                <w:rFonts w:ascii="Arial" w:cs="Arial" w:eastAsia="Arial" w:hAnsi="Arial"/>
                <w:sz w:val="15"/>
                <w:szCs w:val="15"/>
                <w:b w:val="1"/>
                <w:bCs w:val="1"/>
                <w:color w:val="auto"/>
              </w:rPr>
              <w:t>2024</w:t>
            </w:r>
          </w:p>
        </w:tc>
        <w:tc>
          <w:tcPr>
            <w:tcW w:w="20" w:type="dxa"/>
            <w:vAlign w:val="bottom"/>
            <w:tcBorders>
              <w:bottom w:val="single" w:sz="8" w:color="auto"/>
            </w:tcBorders>
            <w:shd w:val="clear" w:color="auto" w:fill="FDFDFD"/>
          </w:tcPr>
          <w:p>
            <w:pPr>
              <w:spacing w:after="0"/>
              <w:rPr>
                <w:sz w:val="15"/>
                <w:szCs w:val="15"/>
                <w:color w:val="auto"/>
              </w:rPr>
            </w:pPr>
          </w:p>
        </w:tc>
        <w:tc>
          <w:tcPr>
            <w:tcW w:w="80" w:type="dxa"/>
            <w:vAlign w:val="bottom"/>
            <w:tcBorders>
              <w:bottom w:val="single" w:sz="8" w:color="D3ECED"/>
            </w:tcBorders>
            <w:shd w:val="clear" w:color="auto" w:fill="FDFDFD"/>
          </w:tcPr>
          <w:p>
            <w:pPr>
              <w:spacing w:after="0"/>
              <w:rPr>
                <w:sz w:val="15"/>
                <w:szCs w:val="15"/>
                <w:color w:val="auto"/>
              </w:rPr>
            </w:pPr>
          </w:p>
        </w:tc>
        <w:tc>
          <w:tcPr>
            <w:tcW w:w="140" w:type="dxa"/>
            <w:vAlign w:val="bottom"/>
            <w:tcBorders>
              <w:bottom w:val="single" w:sz="8" w:color="D3ECED"/>
            </w:tcBorders>
            <w:shd w:val="clear" w:color="auto" w:fill="FDFDFD"/>
          </w:tcPr>
          <w:p>
            <w:pPr>
              <w:spacing w:after="0"/>
              <w:rPr>
                <w:sz w:val="15"/>
                <w:szCs w:val="15"/>
                <w:color w:val="auto"/>
              </w:rPr>
            </w:pPr>
          </w:p>
        </w:tc>
        <w:tc>
          <w:tcPr>
            <w:tcW w:w="20" w:type="dxa"/>
            <w:vAlign w:val="bottom"/>
            <w:tcBorders>
              <w:bottom w:val="single" w:sz="8" w:color="auto"/>
            </w:tcBorders>
            <w:shd w:val="clear" w:color="auto" w:fill="FDFDFD"/>
          </w:tcPr>
          <w:p>
            <w:pPr>
              <w:spacing w:after="0"/>
              <w:rPr>
                <w:sz w:val="15"/>
                <w:szCs w:val="15"/>
                <w:color w:val="auto"/>
              </w:rPr>
            </w:pPr>
          </w:p>
        </w:tc>
        <w:tc>
          <w:tcPr>
            <w:tcW w:w="380" w:type="dxa"/>
            <w:vAlign w:val="bottom"/>
            <w:tcBorders>
              <w:bottom w:val="single" w:sz="8" w:color="auto"/>
            </w:tcBorders>
            <w:shd w:val="clear" w:color="auto" w:fill="FDFDFD"/>
          </w:tcPr>
          <w:p>
            <w:pPr>
              <w:spacing w:after="0"/>
              <w:rPr>
                <w:sz w:val="15"/>
                <w:szCs w:val="15"/>
                <w:color w:val="auto"/>
              </w:rPr>
            </w:pPr>
          </w:p>
        </w:tc>
        <w:tc>
          <w:tcPr>
            <w:tcW w:w="860" w:type="dxa"/>
            <w:vAlign w:val="bottom"/>
            <w:tcBorders>
              <w:bottom w:val="single" w:sz="8" w:color="auto"/>
            </w:tcBorders>
            <w:shd w:val="clear" w:color="auto" w:fill="FDFDFD"/>
          </w:tcPr>
          <w:p>
            <w:pPr>
              <w:jc w:val="right"/>
              <w:ind w:right="406"/>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D3ECED"/>
            </w:tcBorders>
            <w:shd w:val="clear" w:color="auto" w:fill="FDFDFD"/>
          </w:tcPr>
          <w:p>
            <w:pPr>
              <w:spacing w:after="0"/>
              <w:rPr>
                <w:sz w:val="15"/>
                <w:szCs w:val="15"/>
                <w:color w:val="auto"/>
              </w:rPr>
            </w:pPr>
          </w:p>
        </w:tc>
      </w:tr>
      <w:tr>
        <w:trPr>
          <w:trHeight w:val="220"/>
        </w:trPr>
        <w:tc>
          <w:tcPr>
            <w:tcW w:w="5980" w:type="dxa"/>
            <w:vAlign w:val="bottom"/>
            <w:shd w:val="clear" w:color="auto" w:fill="D3ECED"/>
          </w:tcPr>
          <w:p>
            <w:pPr>
              <w:spacing w:after="0"/>
              <w:rPr>
                <w:sz w:val="20"/>
                <w:szCs w:val="20"/>
                <w:color w:val="auto"/>
              </w:rPr>
            </w:pPr>
            <w:r>
              <w:rPr>
                <w:rFonts w:ascii="Arial" w:cs="Arial" w:eastAsia="Arial" w:hAnsi="Arial"/>
                <w:sz w:val="19"/>
                <w:szCs w:val="19"/>
                <w:b w:val="1"/>
                <w:bCs w:val="1"/>
                <w:color w:val="auto"/>
              </w:rPr>
              <w:t>ASSETS</w:t>
            </w:r>
          </w:p>
        </w:tc>
        <w:tc>
          <w:tcPr>
            <w:tcW w:w="180" w:type="dxa"/>
            <w:vAlign w:val="bottom"/>
            <w:shd w:val="clear" w:color="auto" w:fill="D3ECED"/>
          </w:tcPr>
          <w:p>
            <w:pPr>
              <w:spacing w:after="0"/>
              <w:rPr>
                <w:sz w:val="19"/>
                <w:szCs w:val="19"/>
                <w:color w:val="auto"/>
              </w:rPr>
            </w:pPr>
          </w:p>
        </w:tc>
        <w:tc>
          <w:tcPr>
            <w:tcW w:w="2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c>
          <w:tcPr>
            <w:tcW w:w="1140" w:type="dxa"/>
            <w:vAlign w:val="bottom"/>
            <w:shd w:val="clear" w:color="auto" w:fill="D3ECED"/>
          </w:tcPr>
          <w:p>
            <w:pPr>
              <w:spacing w:after="0"/>
              <w:rPr>
                <w:sz w:val="19"/>
                <w:szCs w:val="19"/>
                <w:color w:val="auto"/>
              </w:rPr>
            </w:pPr>
          </w:p>
        </w:tc>
        <w:tc>
          <w:tcPr>
            <w:tcW w:w="2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c>
          <w:tcPr>
            <w:tcW w:w="140" w:type="dxa"/>
            <w:vAlign w:val="bottom"/>
            <w:shd w:val="clear" w:color="auto" w:fill="D3ECED"/>
          </w:tcPr>
          <w:p>
            <w:pPr>
              <w:spacing w:after="0"/>
              <w:rPr>
                <w:sz w:val="19"/>
                <w:szCs w:val="19"/>
                <w:color w:val="auto"/>
              </w:rPr>
            </w:pPr>
          </w:p>
        </w:tc>
        <w:tc>
          <w:tcPr>
            <w:tcW w:w="20" w:type="dxa"/>
            <w:vAlign w:val="bottom"/>
            <w:shd w:val="clear" w:color="auto" w:fill="D3ECED"/>
          </w:tcPr>
          <w:p>
            <w:pPr>
              <w:spacing w:after="0"/>
              <w:rPr>
                <w:sz w:val="19"/>
                <w:szCs w:val="19"/>
                <w:color w:val="auto"/>
              </w:rPr>
            </w:pPr>
          </w:p>
        </w:tc>
        <w:tc>
          <w:tcPr>
            <w:tcW w:w="380" w:type="dxa"/>
            <w:vAlign w:val="bottom"/>
            <w:shd w:val="clear" w:color="auto" w:fill="D3ECED"/>
          </w:tcPr>
          <w:p>
            <w:pPr>
              <w:spacing w:after="0"/>
              <w:rPr>
                <w:sz w:val="19"/>
                <w:szCs w:val="19"/>
                <w:color w:val="auto"/>
              </w:rPr>
            </w:pPr>
          </w:p>
        </w:tc>
        <w:tc>
          <w:tcPr>
            <w:tcW w:w="86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r>
      <w:tr>
        <w:trPr>
          <w:trHeight w:val="230"/>
        </w:trPr>
        <w:tc>
          <w:tcPr>
            <w:tcW w:w="5980" w:type="dxa"/>
            <w:vAlign w:val="bottom"/>
            <w:shd w:val="clear" w:color="auto" w:fill="FDFDFD"/>
          </w:tcPr>
          <w:p>
            <w:pPr>
              <w:spacing w:after="0"/>
              <w:rPr>
                <w:sz w:val="20"/>
                <w:szCs w:val="20"/>
                <w:color w:val="auto"/>
              </w:rPr>
            </w:pPr>
            <w:r>
              <w:rPr>
                <w:rFonts w:ascii="Arial" w:cs="Arial" w:eastAsia="Arial" w:hAnsi="Arial"/>
                <w:sz w:val="19"/>
                <w:szCs w:val="19"/>
                <w:color w:val="auto"/>
              </w:rPr>
              <w:t>Current assets:</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86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r>
      <w:tr>
        <w:trPr>
          <w:trHeight w:val="230"/>
        </w:trPr>
        <w:tc>
          <w:tcPr>
            <w:tcW w:w="5980" w:type="dxa"/>
            <w:vAlign w:val="bottom"/>
            <w:shd w:val="clear" w:color="auto" w:fill="D3ECED"/>
          </w:tcPr>
          <w:p>
            <w:pPr>
              <w:ind w:left="200"/>
              <w:spacing w:after="0"/>
              <w:rPr>
                <w:sz w:val="20"/>
                <w:szCs w:val="20"/>
                <w:color w:val="auto"/>
              </w:rPr>
            </w:pPr>
            <w:r>
              <w:rPr>
                <w:rFonts w:ascii="Arial" w:cs="Arial" w:eastAsia="Arial" w:hAnsi="Arial"/>
                <w:sz w:val="19"/>
                <w:szCs w:val="19"/>
                <w:color w:val="auto"/>
              </w:rPr>
              <w:t>Cash and cash equivalents</w:t>
            </w:r>
          </w:p>
        </w:tc>
        <w:tc>
          <w:tcPr>
            <w:tcW w:w="280" w:type="dxa"/>
            <w:vAlign w:val="bottom"/>
            <w:gridSpan w:val="3"/>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40,753</w:t>
            </w: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540" w:type="dxa"/>
            <w:vAlign w:val="bottom"/>
            <w:gridSpan w:val="3"/>
            <w:shd w:val="clear" w:color="auto" w:fill="D3ECED"/>
          </w:tcPr>
          <w:p>
            <w:pPr>
              <w:jc w:val="right"/>
              <w:ind w:right="226"/>
              <w:spacing w:after="0"/>
              <w:rPr>
                <w:sz w:val="20"/>
                <w:szCs w:val="20"/>
                <w:color w:val="auto"/>
              </w:rPr>
            </w:pPr>
            <w:r>
              <w:rPr>
                <w:rFonts w:ascii="Arial" w:cs="Arial" w:eastAsia="Arial" w:hAnsi="Arial"/>
                <w:sz w:val="19"/>
                <w:szCs w:val="19"/>
                <w:color w:val="auto"/>
              </w:rPr>
              <w:t>$</w:t>
            </w:r>
          </w:p>
        </w:tc>
        <w:tc>
          <w:tcPr>
            <w:tcW w:w="8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32,499</w:t>
            </w:r>
          </w:p>
        </w:tc>
        <w:tc>
          <w:tcPr>
            <w:tcW w:w="80" w:type="dxa"/>
            <w:vAlign w:val="bottom"/>
            <w:shd w:val="clear" w:color="auto" w:fill="D3ECED"/>
          </w:tcPr>
          <w:p>
            <w:pPr>
              <w:spacing w:after="0"/>
              <w:rPr>
                <w:sz w:val="20"/>
                <w:szCs w:val="20"/>
                <w:color w:val="auto"/>
              </w:rPr>
            </w:pPr>
          </w:p>
        </w:tc>
      </w:tr>
      <w:tr>
        <w:trPr>
          <w:trHeight w:val="230"/>
        </w:trPr>
        <w:tc>
          <w:tcPr>
            <w:tcW w:w="5980" w:type="dxa"/>
            <w:vAlign w:val="bottom"/>
            <w:shd w:val="clear" w:color="auto" w:fill="FDFDFD"/>
          </w:tcPr>
          <w:p>
            <w:pPr>
              <w:ind w:left="200"/>
              <w:spacing w:after="0"/>
              <w:rPr>
                <w:sz w:val="20"/>
                <w:szCs w:val="20"/>
                <w:color w:val="auto"/>
              </w:rPr>
            </w:pPr>
            <w:r>
              <w:rPr>
                <w:rFonts w:ascii="Arial" w:cs="Arial" w:eastAsia="Arial" w:hAnsi="Arial"/>
                <w:sz w:val="19"/>
                <w:szCs w:val="19"/>
                <w:color w:val="auto"/>
              </w:rPr>
              <w:t>Short-term investments</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195,657</w:t>
            </w: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8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283,725</w:t>
            </w:r>
          </w:p>
        </w:tc>
        <w:tc>
          <w:tcPr>
            <w:tcW w:w="80" w:type="dxa"/>
            <w:vAlign w:val="bottom"/>
            <w:shd w:val="clear" w:color="auto" w:fill="FDFDFD"/>
          </w:tcPr>
          <w:p>
            <w:pPr>
              <w:spacing w:after="0"/>
              <w:rPr>
                <w:sz w:val="20"/>
                <w:szCs w:val="20"/>
                <w:color w:val="auto"/>
              </w:rPr>
            </w:pPr>
          </w:p>
        </w:tc>
      </w:tr>
      <w:tr>
        <w:trPr>
          <w:trHeight w:val="230"/>
        </w:trPr>
        <w:tc>
          <w:tcPr>
            <w:tcW w:w="5980" w:type="dxa"/>
            <w:vAlign w:val="bottom"/>
            <w:shd w:val="clear" w:color="auto" w:fill="D3ECED"/>
          </w:tcPr>
          <w:p>
            <w:pPr>
              <w:ind w:left="200"/>
              <w:spacing w:after="0"/>
              <w:rPr>
                <w:sz w:val="20"/>
                <w:szCs w:val="20"/>
                <w:color w:val="auto"/>
              </w:rPr>
            </w:pPr>
            <w:r>
              <w:rPr>
                <w:rFonts w:ascii="Arial" w:cs="Arial" w:eastAsia="Arial" w:hAnsi="Arial"/>
                <w:sz w:val="19"/>
                <w:szCs w:val="19"/>
                <w:color w:val="auto"/>
              </w:rPr>
              <w:t>Accounts receivable, net</w:t>
            </w:r>
          </w:p>
        </w:tc>
        <w:tc>
          <w:tcPr>
            <w:tcW w:w="1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3,997</w:t>
            </w: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380" w:type="dxa"/>
            <w:vAlign w:val="bottom"/>
            <w:shd w:val="clear" w:color="auto" w:fill="D3ECED"/>
          </w:tcPr>
          <w:p>
            <w:pPr>
              <w:spacing w:after="0"/>
              <w:rPr>
                <w:sz w:val="20"/>
                <w:szCs w:val="20"/>
                <w:color w:val="auto"/>
              </w:rPr>
            </w:pPr>
          </w:p>
        </w:tc>
        <w:tc>
          <w:tcPr>
            <w:tcW w:w="8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4,831</w:t>
            </w:r>
          </w:p>
        </w:tc>
        <w:tc>
          <w:tcPr>
            <w:tcW w:w="80" w:type="dxa"/>
            <w:vAlign w:val="bottom"/>
            <w:shd w:val="clear" w:color="auto" w:fill="D3ECED"/>
          </w:tcPr>
          <w:p>
            <w:pPr>
              <w:spacing w:after="0"/>
              <w:rPr>
                <w:sz w:val="20"/>
                <w:szCs w:val="20"/>
                <w:color w:val="auto"/>
              </w:rPr>
            </w:pPr>
          </w:p>
        </w:tc>
      </w:tr>
      <w:tr>
        <w:trPr>
          <w:trHeight w:val="230"/>
        </w:trPr>
        <w:tc>
          <w:tcPr>
            <w:tcW w:w="5980" w:type="dxa"/>
            <w:vAlign w:val="bottom"/>
            <w:shd w:val="clear" w:color="auto" w:fill="FDFDFD"/>
          </w:tcPr>
          <w:p>
            <w:pPr>
              <w:ind w:left="200"/>
              <w:spacing w:after="0"/>
              <w:rPr>
                <w:sz w:val="20"/>
                <w:szCs w:val="20"/>
                <w:color w:val="auto"/>
              </w:rPr>
            </w:pPr>
            <w:r>
              <w:rPr>
                <w:rFonts w:ascii="Arial" w:cs="Arial" w:eastAsia="Arial" w:hAnsi="Arial"/>
                <w:sz w:val="19"/>
                <w:szCs w:val="19"/>
                <w:color w:val="auto"/>
              </w:rPr>
              <w:t>Related party receivables</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379</w:t>
            </w: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8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559</w:t>
            </w:r>
          </w:p>
        </w:tc>
        <w:tc>
          <w:tcPr>
            <w:tcW w:w="80" w:type="dxa"/>
            <w:vAlign w:val="bottom"/>
            <w:shd w:val="clear" w:color="auto" w:fill="FDFDFD"/>
          </w:tcPr>
          <w:p>
            <w:pPr>
              <w:spacing w:after="0"/>
              <w:rPr>
                <w:sz w:val="20"/>
                <w:szCs w:val="20"/>
                <w:color w:val="auto"/>
              </w:rPr>
            </w:pPr>
          </w:p>
        </w:tc>
      </w:tr>
      <w:tr>
        <w:trPr>
          <w:trHeight w:val="230"/>
        </w:trPr>
        <w:tc>
          <w:tcPr>
            <w:tcW w:w="5980" w:type="dxa"/>
            <w:vAlign w:val="bottom"/>
            <w:shd w:val="clear" w:color="auto" w:fill="D3ECED"/>
          </w:tcPr>
          <w:p>
            <w:pPr>
              <w:ind w:left="200"/>
              <w:spacing w:after="0"/>
              <w:rPr>
                <w:sz w:val="20"/>
                <w:szCs w:val="20"/>
                <w:color w:val="auto"/>
              </w:rPr>
            </w:pPr>
            <w:r>
              <w:rPr>
                <w:rFonts w:ascii="Arial" w:cs="Arial" w:eastAsia="Arial" w:hAnsi="Arial"/>
                <w:sz w:val="19"/>
                <w:szCs w:val="19"/>
                <w:color w:val="auto"/>
              </w:rPr>
              <w:t>Other receivables</w:t>
            </w:r>
          </w:p>
        </w:tc>
        <w:tc>
          <w:tcPr>
            <w:tcW w:w="1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1,853</w:t>
            </w: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380" w:type="dxa"/>
            <w:vAlign w:val="bottom"/>
            <w:shd w:val="clear" w:color="auto" w:fill="D3ECED"/>
          </w:tcPr>
          <w:p>
            <w:pPr>
              <w:spacing w:after="0"/>
              <w:rPr>
                <w:sz w:val="20"/>
                <w:szCs w:val="20"/>
                <w:color w:val="auto"/>
              </w:rPr>
            </w:pPr>
          </w:p>
        </w:tc>
        <w:tc>
          <w:tcPr>
            <w:tcW w:w="8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1,326</w:t>
            </w:r>
          </w:p>
        </w:tc>
        <w:tc>
          <w:tcPr>
            <w:tcW w:w="80" w:type="dxa"/>
            <w:vAlign w:val="bottom"/>
            <w:shd w:val="clear" w:color="auto" w:fill="D3ECED"/>
          </w:tcPr>
          <w:p>
            <w:pPr>
              <w:spacing w:after="0"/>
              <w:rPr>
                <w:sz w:val="20"/>
                <w:szCs w:val="20"/>
                <w:color w:val="auto"/>
              </w:rPr>
            </w:pPr>
          </w:p>
        </w:tc>
      </w:tr>
      <w:tr>
        <w:trPr>
          <w:trHeight w:val="230"/>
        </w:trPr>
        <w:tc>
          <w:tcPr>
            <w:tcW w:w="5980" w:type="dxa"/>
            <w:vAlign w:val="bottom"/>
            <w:shd w:val="clear" w:color="auto" w:fill="FDFDFD"/>
          </w:tcPr>
          <w:p>
            <w:pPr>
              <w:ind w:left="200"/>
              <w:spacing w:after="0"/>
              <w:rPr>
                <w:sz w:val="20"/>
                <w:szCs w:val="20"/>
                <w:color w:val="auto"/>
              </w:rPr>
            </w:pPr>
            <w:r>
              <w:rPr>
                <w:rFonts w:ascii="Arial" w:cs="Arial" w:eastAsia="Arial" w:hAnsi="Arial"/>
                <w:sz w:val="19"/>
                <w:szCs w:val="19"/>
                <w:color w:val="auto"/>
              </w:rPr>
              <w:t>Inventory</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7,436</w:t>
            </w: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8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4,491</w:t>
            </w:r>
          </w:p>
        </w:tc>
        <w:tc>
          <w:tcPr>
            <w:tcW w:w="80" w:type="dxa"/>
            <w:vAlign w:val="bottom"/>
            <w:shd w:val="clear" w:color="auto" w:fill="FDFDFD"/>
          </w:tcPr>
          <w:p>
            <w:pPr>
              <w:spacing w:after="0"/>
              <w:rPr>
                <w:sz w:val="20"/>
                <w:szCs w:val="20"/>
                <w:color w:val="auto"/>
              </w:rPr>
            </w:pPr>
          </w:p>
        </w:tc>
      </w:tr>
      <w:tr>
        <w:trPr>
          <w:trHeight w:val="230"/>
        </w:trPr>
        <w:tc>
          <w:tcPr>
            <w:tcW w:w="5980" w:type="dxa"/>
            <w:vAlign w:val="bottom"/>
            <w:tcBorders>
              <w:bottom w:val="single" w:sz="8" w:color="FDFDFD"/>
            </w:tcBorders>
            <w:shd w:val="clear" w:color="auto" w:fill="D3ECED"/>
          </w:tcPr>
          <w:p>
            <w:pPr>
              <w:ind w:left="200"/>
              <w:spacing w:after="0"/>
              <w:rPr>
                <w:sz w:val="20"/>
                <w:szCs w:val="20"/>
                <w:color w:val="auto"/>
              </w:rPr>
            </w:pPr>
            <w:r>
              <w:rPr>
                <w:rFonts w:ascii="Arial" w:cs="Arial" w:eastAsia="Arial" w:hAnsi="Arial"/>
                <w:sz w:val="19"/>
                <w:szCs w:val="19"/>
                <w:color w:val="auto"/>
              </w:rPr>
              <w:t>Prepaid expenses and other current assets</w:t>
            </w:r>
          </w:p>
        </w:tc>
        <w:tc>
          <w:tcPr>
            <w:tcW w:w="180" w:type="dxa"/>
            <w:vAlign w:val="bottom"/>
            <w:tcBorders>
              <w:bottom w:val="single" w:sz="8" w:color="FDFDFD"/>
            </w:tcBorders>
            <w:shd w:val="clear" w:color="auto" w:fill="D3ECED"/>
          </w:tcPr>
          <w:p>
            <w:pPr>
              <w:spacing w:after="0"/>
              <w:rPr>
                <w:sz w:val="20"/>
                <w:szCs w:val="20"/>
                <w:color w:val="auto"/>
              </w:rPr>
            </w:pPr>
          </w:p>
        </w:tc>
        <w:tc>
          <w:tcPr>
            <w:tcW w:w="20" w:type="dxa"/>
            <w:vAlign w:val="bottom"/>
            <w:tcBorders>
              <w:bottom w:val="single" w:sz="8" w:color="auto"/>
            </w:tcBorders>
            <w:shd w:val="clear" w:color="auto" w:fill="D3ECED"/>
          </w:tcPr>
          <w:p>
            <w:pPr>
              <w:spacing w:after="0"/>
              <w:rPr>
                <w:sz w:val="20"/>
                <w:szCs w:val="20"/>
                <w:color w:val="auto"/>
              </w:rPr>
            </w:pPr>
          </w:p>
        </w:tc>
        <w:tc>
          <w:tcPr>
            <w:tcW w:w="80" w:type="dxa"/>
            <w:vAlign w:val="bottom"/>
            <w:tcBorders>
              <w:bottom w:val="single" w:sz="8" w:color="auto"/>
            </w:tcBorders>
            <w:shd w:val="clear" w:color="auto" w:fill="D3ECED"/>
          </w:tcPr>
          <w:p>
            <w:pPr>
              <w:spacing w:after="0"/>
              <w:rPr>
                <w:sz w:val="20"/>
                <w:szCs w:val="20"/>
                <w:color w:val="auto"/>
              </w:rPr>
            </w:pPr>
          </w:p>
        </w:tc>
        <w:tc>
          <w:tcPr>
            <w:tcW w:w="11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3,248</w:t>
            </w:r>
          </w:p>
        </w:tc>
        <w:tc>
          <w:tcPr>
            <w:tcW w:w="20" w:type="dxa"/>
            <w:vAlign w:val="bottom"/>
            <w:tcBorders>
              <w:bottom w:val="single" w:sz="8" w:color="auto"/>
            </w:tcBorders>
            <w:shd w:val="clear" w:color="auto" w:fill="D3ECED"/>
          </w:tcPr>
          <w:p>
            <w:pPr>
              <w:spacing w:after="0"/>
              <w:rPr>
                <w:sz w:val="20"/>
                <w:szCs w:val="20"/>
                <w:color w:val="auto"/>
              </w:rPr>
            </w:pPr>
          </w:p>
        </w:tc>
        <w:tc>
          <w:tcPr>
            <w:tcW w:w="80" w:type="dxa"/>
            <w:vAlign w:val="bottom"/>
            <w:tcBorders>
              <w:bottom w:val="single" w:sz="8" w:color="FDFDFD"/>
            </w:tcBorders>
            <w:shd w:val="clear" w:color="auto" w:fill="D3ECED"/>
          </w:tcPr>
          <w:p>
            <w:pPr>
              <w:spacing w:after="0"/>
              <w:rPr>
                <w:sz w:val="20"/>
                <w:szCs w:val="20"/>
                <w:color w:val="auto"/>
              </w:rPr>
            </w:pPr>
          </w:p>
        </w:tc>
        <w:tc>
          <w:tcPr>
            <w:tcW w:w="140" w:type="dxa"/>
            <w:vAlign w:val="bottom"/>
            <w:tcBorders>
              <w:bottom w:val="single" w:sz="8" w:color="FDFDFD"/>
            </w:tcBorders>
            <w:shd w:val="clear" w:color="auto" w:fill="D3ECED"/>
          </w:tcPr>
          <w:p>
            <w:pPr>
              <w:spacing w:after="0"/>
              <w:rPr>
                <w:sz w:val="20"/>
                <w:szCs w:val="20"/>
                <w:color w:val="auto"/>
              </w:rPr>
            </w:pPr>
          </w:p>
        </w:tc>
        <w:tc>
          <w:tcPr>
            <w:tcW w:w="20" w:type="dxa"/>
            <w:vAlign w:val="bottom"/>
            <w:tcBorders>
              <w:bottom w:val="single" w:sz="8" w:color="auto"/>
            </w:tcBorders>
            <w:shd w:val="clear" w:color="auto" w:fill="D3ECED"/>
          </w:tcPr>
          <w:p>
            <w:pPr>
              <w:spacing w:after="0"/>
              <w:rPr>
                <w:sz w:val="20"/>
                <w:szCs w:val="20"/>
                <w:color w:val="auto"/>
              </w:rPr>
            </w:pPr>
          </w:p>
        </w:tc>
        <w:tc>
          <w:tcPr>
            <w:tcW w:w="380" w:type="dxa"/>
            <w:vAlign w:val="bottom"/>
            <w:tcBorders>
              <w:bottom w:val="single" w:sz="8" w:color="auto"/>
            </w:tcBorders>
            <w:shd w:val="clear" w:color="auto" w:fill="D3ECED"/>
          </w:tcPr>
          <w:p>
            <w:pPr>
              <w:spacing w:after="0"/>
              <w:rPr>
                <w:sz w:val="20"/>
                <w:szCs w:val="20"/>
                <w:color w:val="auto"/>
              </w:rPr>
            </w:pPr>
          </w:p>
        </w:tc>
        <w:tc>
          <w:tcPr>
            <w:tcW w:w="86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3,082</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0"/>
        </w:trPr>
        <w:tc>
          <w:tcPr>
            <w:tcW w:w="5980" w:type="dxa"/>
            <w:vAlign w:val="bottom"/>
            <w:shd w:val="clear" w:color="auto" w:fill="FDFDFD"/>
          </w:tcPr>
          <w:p>
            <w:pPr>
              <w:ind w:left="380"/>
              <w:spacing w:after="0"/>
              <w:rPr>
                <w:sz w:val="20"/>
                <w:szCs w:val="20"/>
                <w:color w:val="auto"/>
              </w:rPr>
            </w:pPr>
            <w:r>
              <w:rPr>
                <w:rFonts w:ascii="Arial" w:cs="Arial" w:eastAsia="Arial" w:hAnsi="Arial"/>
                <w:sz w:val="19"/>
                <w:szCs w:val="19"/>
                <w:color w:val="auto"/>
              </w:rPr>
              <w:t>Total current assets</w:t>
            </w:r>
          </w:p>
        </w:tc>
        <w:tc>
          <w:tcPr>
            <w:tcW w:w="18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253,323</w:t>
            </w: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38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330,513</w:t>
            </w:r>
          </w:p>
        </w:tc>
        <w:tc>
          <w:tcPr>
            <w:tcW w:w="80" w:type="dxa"/>
            <w:vAlign w:val="bottom"/>
            <w:shd w:val="clear" w:color="auto" w:fill="FDFDFD"/>
          </w:tcPr>
          <w:p>
            <w:pPr>
              <w:spacing w:after="0"/>
              <w:rPr>
                <w:sz w:val="19"/>
                <w:szCs w:val="19"/>
                <w:color w:val="auto"/>
              </w:rPr>
            </w:pPr>
          </w:p>
        </w:tc>
      </w:tr>
      <w:tr>
        <w:trPr>
          <w:trHeight w:val="230"/>
        </w:trPr>
        <w:tc>
          <w:tcPr>
            <w:tcW w:w="5980" w:type="dxa"/>
            <w:vAlign w:val="bottom"/>
            <w:shd w:val="clear" w:color="auto" w:fill="D3ECED"/>
          </w:tcPr>
          <w:p>
            <w:pPr>
              <w:spacing w:after="0"/>
              <w:rPr>
                <w:sz w:val="20"/>
                <w:szCs w:val="20"/>
                <w:color w:val="auto"/>
              </w:rPr>
            </w:pPr>
            <w:r>
              <w:rPr>
                <w:rFonts w:ascii="Arial" w:cs="Arial" w:eastAsia="Arial" w:hAnsi="Arial"/>
                <w:sz w:val="19"/>
                <w:szCs w:val="19"/>
                <w:color w:val="auto"/>
              </w:rPr>
              <w:t>Long-term investments</w:t>
            </w:r>
          </w:p>
        </w:tc>
        <w:tc>
          <w:tcPr>
            <w:tcW w:w="1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63,103</w:t>
            </w: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380" w:type="dxa"/>
            <w:vAlign w:val="bottom"/>
            <w:shd w:val="clear" w:color="auto" w:fill="D3ECED"/>
          </w:tcPr>
          <w:p>
            <w:pPr>
              <w:spacing w:after="0"/>
              <w:rPr>
                <w:sz w:val="20"/>
                <w:szCs w:val="20"/>
                <w:color w:val="auto"/>
              </w:rPr>
            </w:pPr>
          </w:p>
        </w:tc>
        <w:tc>
          <w:tcPr>
            <w:tcW w:w="8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56,858</w:t>
            </w:r>
          </w:p>
        </w:tc>
        <w:tc>
          <w:tcPr>
            <w:tcW w:w="80" w:type="dxa"/>
            <w:vAlign w:val="bottom"/>
            <w:shd w:val="clear" w:color="auto" w:fill="D3ECED"/>
          </w:tcPr>
          <w:p>
            <w:pPr>
              <w:spacing w:after="0"/>
              <w:rPr>
                <w:sz w:val="20"/>
                <w:szCs w:val="20"/>
                <w:color w:val="auto"/>
              </w:rPr>
            </w:pPr>
          </w:p>
        </w:tc>
      </w:tr>
      <w:tr>
        <w:trPr>
          <w:trHeight w:val="230"/>
        </w:trPr>
        <w:tc>
          <w:tcPr>
            <w:tcW w:w="5980" w:type="dxa"/>
            <w:vAlign w:val="bottom"/>
            <w:shd w:val="clear" w:color="auto" w:fill="FDFDFD"/>
          </w:tcPr>
          <w:p>
            <w:pPr>
              <w:spacing w:after="0"/>
              <w:rPr>
                <w:sz w:val="20"/>
                <w:szCs w:val="20"/>
                <w:color w:val="auto"/>
              </w:rPr>
            </w:pPr>
            <w:r>
              <w:rPr>
                <w:rFonts w:ascii="Arial" w:cs="Arial" w:eastAsia="Arial" w:hAnsi="Arial"/>
                <w:sz w:val="19"/>
                <w:szCs w:val="19"/>
                <w:color w:val="auto"/>
              </w:rPr>
              <w:t>Operating lease right-of-use assets</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22,791</w:t>
            </w: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8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25,177</w:t>
            </w:r>
          </w:p>
        </w:tc>
        <w:tc>
          <w:tcPr>
            <w:tcW w:w="80" w:type="dxa"/>
            <w:vAlign w:val="bottom"/>
            <w:shd w:val="clear" w:color="auto" w:fill="FDFDFD"/>
          </w:tcPr>
          <w:p>
            <w:pPr>
              <w:spacing w:after="0"/>
              <w:rPr>
                <w:sz w:val="20"/>
                <w:szCs w:val="20"/>
                <w:color w:val="auto"/>
              </w:rPr>
            </w:pPr>
          </w:p>
        </w:tc>
      </w:tr>
      <w:tr>
        <w:trPr>
          <w:trHeight w:val="230"/>
        </w:trPr>
        <w:tc>
          <w:tcPr>
            <w:tcW w:w="5980" w:type="dxa"/>
            <w:vAlign w:val="bottom"/>
            <w:shd w:val="clear" w:color="auto" w:fill="D3ECED"/>
          </w:tcPr>
          <w:p>
            <w:pPr>
              <w:spacing w:after="0"/>
              <w:rPr>
                <w:sz w:val="20"/>
                <w:szCs w:val="20"/>
                <w:color w:val="auto"/>
              </w:rPr>
            </w:pPr>
            <w:r>
              <w:rPr>
                <w:rFonts w:ascii="Arial" w:cs="Arial" w:eastAsia="Arial" w:hAnsi="Arial"/>
                <w:sz w:val="19"/>
                <w:szCs w:val="19"/>
                <w:color w:val="auto"/>
              </w:rPr>
              <w:t>Property and equipment, net</w:t>
            </w:r>
          </w:p>
        </w:tc>
        <w:tc>
          <w:tcPr>
            <w:tcW w:w="1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18,575</w:t>
            </w: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380" w:type="dxa"/>
            <w:vAlign w:val="bottom"/>
            <w:shd w:val="clear" w:color="auto" w:fill="D3ECED"/>
          </w:tcPr>
          <w:p>
            <w:pPr>
              <w:spacing w:after="0"/>
              <w:rPr>
                <w:sz w:val="20"/>
                <w:szCs w:val="20"/>
                <w:color w:val="auto"/>
              </w:rPr>
            </w:pPr>
          </w:p>
        </w:tc>
        <w:tc>
          <w:tcPr>
            <w:tcW w:w="8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22,193</w:t>
            </w:r>
          </w:p>
        </w:tc>
        <w:tc>
          <w:tcPr>
            <w:tcW w:w="80" w:type="dxa"/>
            <w:vAlign w:val="bottom"/>
            <w:shd w:val="clear" w:color="auto" w:fill="D3ECED"/>
          </w:tcPr>
          <w:p>
            <w:pPr>
              <w:spacing w:after="0"/>
              <w:rPr>
                <w:sz w:val="20"/>
                <w:szCs w:val="20"/>
                <w:color w:val="auto"/>
              </w:rPr>
            </w:pPr>
          </w:p>
        </w:tc>
      </w:tr>
      <w:tr>
        <w:trPr>
          <w:trHeight w:val="230"/>
        </w:trPr>
        <w:tc>
          <w:tcPr>
            <w:tcW w:w="5980" w:type="dxa"/>
            <w:vAlign w:val="bottom"/>
            <w:shd w:val="clear" w:color="auto" w:fill="FDFDFD"/>
          </w:tcPr>
          <w:p>
            <w:pPr>
              <w:spacing w:after="0"/>
              <w:rPr>
                <w:sz w:val="20"/>
                <w:szCs w:val="20"/>
                <w:color w:val="auto"/>
              </w:rPr>
            </w:pPr>
            <w:r>
              <w:rPr>
                <w:rFonts w:ascii="Arial" w:cs="Arial" w:eastAsia="Arial" w:hAnsi="Arial"/>
                <w:sz w:val="19"/>
                <w:szCs w:val="19"/>
                <w:color w:val="auto"/>
              </w:rPr>
              <w:t>Restricted cash</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524</w:t>
            </w: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8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524</w:t>
            </w:r>
          </w:p>
        </w:tc>
        <w:tc>
          <w:tcPr>
            <w:tcW w:w="80" w:type="dxa"/>
            <w:vAlign w:val="bottom"/>
            <w:shd w:val="clear" w:color="auto" w:fill="FDFDFD"/>
          </w:tcPr>
          <w:p>
            <w:pPr>
              <w:spacing w:after="0"/>
              <w:rPr>
                <w:sz w:val="20"/>
                <w:szCs w:val="20"/>
                <w:color w:val="auto"/>
              </w:rPr>
            </w:pPr>
          </w:p>
        </w:tc>
      </w:tr>
      <w:tr>
        <w:trPr>
          <w:trHeight w:val="230"/>
        </w:trPr>
        <w:tc>
          <w:tcPr>
            <w:tcW w:w="5980" w:type="dxa"/>
            <w:vAlign w:val="bottom"/>
            <w:tcBorders>
              <w:bottom w:val="single" w:sz="8" w:color="FDFDFD"/>
            </w:tcBorders>
            <w:shd w:val="clear" w:color="auto" w:fill="D3ECED"/>
          </w:tcPr>
          <w:p>
            <w:pPr>
              <w:spacing w:after="0"/>
              <w:rPr>
                <w:sz w:val="20"/>
                <w:szCs w:val="20"/>
                <w:color w:val="auto"/>
              </w:rPr>
            </w:pPr>
            <w:r>
              <w:rPr>
                <w:rFonts w:ascii="Arial" w:cs="Arial" w:eastAsia="Arial" w:hAnsi="Arial"/>
                <w:sz w:val="19"/>
                <w:szCs w:val="19"/>
                <w:color w:val="auto"/>
              </w:rPr>
              <w:t>Other assets</w:t>
            </w:r>
          </w:p>
        </w:tc>
        <w:tc>
          <w:tcPr>
            <w:tcW w:w="180" w:type="dxa"/>
            <w:vAlign w:val="bottom"/>
            <w:tcBorders>
              <w:bottom w:val="single" w:sz="8" w:color="FDFDFD"/>
            </w:tcBorders>
            <w:shd w:val="clear" w:color="auto" w:fill="D3ECED"/>
          </w:tcPr>
          <w:p>
            <w:pPr>
              <w:spacing w:after="0"/>
              <w:rPr>
                <w:sz w:val="20"/>
                <w:szCs w:val="20"/>
                <w:color w:val="auto"/>
              </w:rPr>
            </w:pPr>
          </w:p>
        </w:tc>
        <w:tc>
          <w:tcPr>
            <w:tcW w:w="20" w:type="dxa"/>
            <w:vAlign w:val="bottom"/>
            <w:tcBorders>
              <w:bottom w:val="single" w:sz="8" w:color="auto"/>
            </w:tcBorders>
            <w:shd w:val="clear" w:color="auto" w:fill="D3ECED"/>
          </w:tcPr>
          <w:p>
            <w:pPr>
              <w:spacing w:after="0"/>
              <w:rPr>
                <w:sz w:val="20"/>
                <w:szCs w:val="20"/>
                <w:color w:val="auto"/>
              </w:rPr>
            </w:pPr>
          </w:p>
        </w:tc>
        <w:tc>
          <w:tcPr>
            <w:tcW w:w="80" w:type="dxa"/>
            <w:vAlign w:val="bottom"/>
            <w:tcBorders>
              <w:bottom w:val="single" w:sz="8" w:color="auto"/>
            </w:tcBorders>
            <w:shd w:val="clear" w:color="auto" w:fill="D3ECED"/>
          </w:tcPr>
          <w:p>
            <w:pPr>
              <w:spacing w:after="0"/>
              <w:rPr>
                <w:sz w:val="20"/>
                <w:szCs w:val="20"/>
                <w:color w:val="auto"/>
              </w:rPr>
            </w:pPr>
          </w:p>
        </w:tc>
        <w:tc>
          <w:tcPr>
            <w:tcW w:w="11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8,281</w:t>
            </w:r>
          </w:p>
        </w:tc>
        <w:tc>
          <w:tcPr>
            <w:tcW w:w="20" w:type="dxa"/>
            <w:vAlign w:val="bottom"/>
            <w:tcBorders>
              <w:bottom w:val="single" w:sz="8" w:color="auto"/>
            </w:tcBorders>
            <w:shd w:val="clear" w:color="auto" w:fill="D3ECED"/>
          </w:tcPr>
          <w:p>
            <w:pPr>
              <w:spacing w:after="0"/>
              <w:rPr>
                <w:sz w:val="20"/>
                <w:szCs w:val="20"/>
                <w:color w:val="auto"/>
              </w:rPr>
            </w:pPr>
          </w:p>
        </w:tc>
        <w:tc>
          <w:tcPr>
            <w:tcW w:w="80" w:type="dxa"/>
            <w:vAlign w:val="bottom"/>
            <w:tcBorders>
              <w:bottom w:val="single" w:sz="8" w:color="FDFDFD"/>
            </w:tcBorders>
            <w:shd w:val="clear" w:color="auto" w:fill="D3ECED"/>
          </w:tcPr>
          <w:p>
            <w:pPr>
              <w:spacing w:after="0"/>
              <w:rPr>
                <w:sz w:val="20"/>
                <w:szCs w:val="20"/>
                <w:color w:val="auto"/>
              </w:rPr>
            </w:pPr>
          </w:p>
        </w:tc>
        <w:tc>
          <w:tcPr>
            <w:tcW w:w="140" w:type="dxa"/>
            <w:vAlign w:val="bottom"/>
            <w:tcBorders>
              <w:bottom w:val="single" w:sz="8" w:color="FDFDFD"/>
            </w:tcBorders>
            <w:shd w:val="clear" w:color="auto" w:fill="D3ECED"/>
          </w:tcPr>
          <w:p>
            <w:pPr>
              <w:spacing w:after="0"/>
              <w:rPr>
                <w:sz w:val="20"/>
                <w:szCs w:val="20"/>
                <w:color w:val="auto"/>
              </w:rPr>
            </w:pPr>
          </w:p>
        </w:tc>
        <w:tc>
          <w:tcPr>
            <w:tcW w:w="20" w:type="dxa"/>
            <w:vAlign w:val="bottom"/>
            <w:tcBorders>
              <w:bottom w:val="single" w:sz="8" w:color="auto"/>
            </w:tcBorders>
            <w:shd w:val="clear" w:color="auto" w:fill="D3ECED"/>
          </w:tcPr>
          <w:p>
            <w:pPr>
              <w:spacing w:after="0"/>
              <w:rPr>
                <w:sz w:val="20"/>
                <w:szCs w:val="20"/>
                <w:color w:val="auto"/>
              </w:rPr>
            </w:pPr>
          </w:p>
        </w:tc>
        <w:tc>
          <w:tcPr>
            <w:tcW w:w="380" w:type="dxa"/>
            <w:vAlign w:val="bottom"/>
            <w:tcBorders>
              <w:bottom w:val="single" w:sz="8" w:color="auto"/>
            </w:tcBorders>
            <w:shd w:val="clear" w:color="auto" w:fill="D3ECED"/>
          </w:tcPr>
          <w:p>
            <w:pPr>
              <w:spacing w:after="0"/>
              <w:rPr>
                <w:sz w:val="20"/>
                <w:szCs w:val="20"/>
                <w:color w:val="auto"/>
              </w:rPr>
            </w:pPr>
          </w:p>
        </w:tc>
        <w:tc>
          <w:tcPr>
            <w:tcW w:w="86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1,004</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43"/>
        </w:trPr>
        <w:tc>
          <w:tcPr>
            <w:tcW w:w="5980" w:type="dxa"/>
            <w:vAlign w:val="bottom"/>
            <w:tcBorders>
              <w:bottom w:val="single" w:sz="8" w:color="D3ECED"/>
            </w:tcBorders>
            <w:shd w:val="clear" w:color="auto" w:fill="FDFDFD"/>
          </w:tcPr>
          <w:p>
            <w:pPr>
              <w:ind w:left="380"/>
              <w:spacing w:after="0"/>
              <w:rPr>
                <w:sz w:val="20"/>
                <w:szCs w:val="20"/>
                <w:color w:val="auto"/>
              </w:rPr>
            </w:pPr>
            <w:r>
              <w:rPr>
                <w:rFonts w:ascii="Arial" w:cs="Arial" w:eastAsia="Arial" w:hAnsi="Arial"/>
                <w:sz w:val="19"/>
                <w:szCs w:val="19"/>
                <w:color w:val="auto"/>
              </w:rPr>
              <w:t>Total assets</w:t>
            </w:r>
          </w:p>
        </w:tc>
        <w:tc>
          <w:tcPr>
            <w:tcW w:w="180" w:type="dxa"/>
            <w:vAlign w:val="bottom"/>
            <w:tcBorders>
              <w:bottom w:val="single" w:sz="8" w:color="D3ECED"/>
            </w:tcBorders>
            <w:shd w:val="clear" w:color="auto" w:fill="FDFDFD"/>
          </w:tcPr>
          <w:p>
            <w:pPr>
              <w:spacing w:after="0"/>
              <w:rPr>
                <w:sz w:val="21"/>
                <w:szCs w:val="21"/>
                <w:color w:val="auto"/>
              </w:rPr>
            </w:pPr>
          </w:p>
        </w:tc>
        <w:tc>
          <w:tcPr>
            <w:tcW w:w="20" w:type="dxa"/>
            <w:vAlign w:val="bottom"/>
            <w:tcBorders>
              <w:bottom w:val="single" w:sz="8" w:color="D3ECED"/>
            </w:tcBorders>
            <w:shd w:val="clear" w:color="auto" w:fill="FDFDFD"/>
          </w:tcPr>
          <w:p>
            <w:pPr>
              <w:spacing w:after="0"/>
              <w:rPr>
                <w:sz w:val="21"/>
                <w:szCs w:val="21"/>
                <w:color w:val="auto"/>
              </w:rPr>
            </w:pPr>
          </w:p>
        </w:tc>
        <w:tc>
          <w:tcPr>
            <w:tcW w:w="8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highlight w:val="white"/>
                <w:w w:val="71"/>
              </w:rPr>
              <w:t>$</w:t>
            </w:r>
          </w:p>
        </w:tc>
        <w:tc>
          <w:tcPr>
            <w:tcW w:w="114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366,597</w:t>
            </w:r>
          </w:p>
        </w:tc>
        <w:tc>
          <w:tcPr>
            <w:tcW w:w="20" w:type="dxa"/>
            <w:vAlign w:val="bottom"/>
            <w:tcBorders>
              <w:bottom w:val="single" w:sz="8" w:color="D3ECED"/>
            </w:tcBorders>
            <w:shd w:val="clear" w:color="auto" w:fill="FDFDFD"/>
          </w:tcPr>
          <w:p>
            <w:pPr>
              <w:spacing w:after="0"/>
              <w:rPr>
                <w:sz w:val="21"/>
                <w:szCs w:val="21"/>
                <w:color w:val="auto"/>
              </w:rPr>
            </w:pPr>
          </w:p>
        </w:tc>
        <w:tc>
          <w:tcPr>
            <w:tcW w:w="80" w:type="dxa"/>
            <w:vAlign w:val="bottom"/>
            <w:tcBorders>
              <w:bottom w:val="single" w:sz="8" w:color="D3ECED"/>
            </w:tcBorders>
            <w:shd w:val="clear" w:color="auto" w:fill="FDFDFD"/>
          </w:tcPr>
          <w:p>
            <w:pPr>
              <w:spacing w:after="0"/>
              <w:rPr>
                <w:sz w:val="21"/>
                <w:szCs w:val="21"/>
                <w:color w:val="auto"/>
              </w:rPr>
            </w:pPr>
          </w:p>
        </w:tc>
        <w:tc>
          <w:tcPr>
            <w:tcW w:w="140" w:type="dxa"/>
            <w:vAlign w:val="bottom"/>
            <w:tcBorders>
              <w:bottom w:val="single" w:sz="8" w:color="D3ECED"/>
            </w:tcBorders>
            <w:shd w:val="clear" w:color="auto" w:fill="FDFDFD"/>
          </w:tcPr>
          <w:p>
            <w:pPr>
              <w:spacing w:after="0"/>
              <w:rPr>
                <w:sz w:val="21"/>
                <w:szCs w:val="21"/>
                <w:color w:val="auto"/>
              </w:rPr>
            </w:pPr>
          </w:p>
        </w:tc>
        <w:tc>
          <w:tcPr>
            <w:tcW w:w="20" w:type="dxa"/>
            <w:vAlign w:val="bottom"/>
            <w:tcBorders>
              <w:bottom w:val="single" w:sz="8" w:color="D3ECED"/>
            </w:tcBorders>
            <w:shd w:val="clear" w:color="auto" w:fill="FDFDFD"/>
          </w:tcPr>
          <w:p>
            <w:pPr>
              <w:spacing w:after="0"/>
              <w:rPr>
                <w:sz w:val="21"/>
                <w:szCs w:val="21"/>
                <w:color w:val="auto"/>
              </w:rPr>
            </w:pPr>
          </w:p>
        </w:tc>
        <w:tc>
          <w:tcPr>
            <w:tcW w:w="380" w:type="dxa"/>
            <w:vAlign w:val="bottom"/>
            <w:tcBorders>
              <w:bottom w:val="single" w:sz="8" w:color="FDFDFD"/>
            </w:tcBorders>
            <w:shd w:val="clear" w:color="auto" w:fill="FDFDFD"/>
          </w:tcPr>
          <w:p>
            <w:pPr>
              <w:jc w:val="right"/>
              <w:ind w:right="226"/>
              <w:spacing w:after="0"/>
              <w:rPr>
                <w:sz w:val="20"/>
                <w:szCs w:val="20"/>
                <w:color w:val="auto"/>
              </w:rPr>
            </w:pPr>
            <w:r>
              <w:rPr>
                <w:rFonts w:ascii="Arial" w:cs="Arial" w:eastAsia="Arial" w:hAnsi="Arial"/>
                <w:sz w:val="15"/>
                <w:szCs w:val="15"/>
                <w:color w:val="auto"/>
                <w:highlight w:val="white"/>
                <w:w w:val="71"/>
              </w:rPr>
              <w:t>$</w:t>
            </w:r>
          </w:p>
        </w:tc>
        <w:tc>
          <w:tcPr>
            <w:tcW w:w="86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436,269</w:t>
            </w:r>
          </w:p>
        </w:tc>
        <w:tc>
          <w:tcPr>
            <w:tcW w:w="80" w:type="dxa"/>
            <w:vAlign w:val="bottom"/>
            <w:tcBorders>
              <w:bottom w:val="single" w:sz="8" w:color="D3ECED"/>
            </w:tcBorders>
            <w:shd w:val="clear" w:color="auto" w:fill="FDFDFD"/>
          </w:tcPr>
          <w:p>
            <w:pPr>
              <w:spacing w:after="0"/>
              <w:rPr>
                <w:sz w:val="21"/>
                <w:szCs w:val="21"/>
                <w:color w:val="auto"/>
              </w:rPr>
            </w:pPr>
          </w:p>
        </w:tc>
      </w:tr>
      <w:tr>
        <w:trPr>
          <w:trHeight w:val="230"/>
        </w:trPr>
        <w:tc>
          <w:tcPr>
            <w:tcW w:w="5980" w:type="dxa"/>
            <w:vAlign w:val="bottom"/>
            <w:shd w:val="clear" w:color="auto" w:fill="D3ECED"/>
          </w:tcPr>
          <w:p>
            <w:pPr>
              <w:spacing w:after="0"/>
              <w:rPr>
                <w:sz w:val="20"/>
                <w:szCs w:val="20"/>
                <w:color w:val="auto"/>
              </w:rPr>
            </w:pPr>
            <w:r>
              <w:rPr>
                <w:rFonts w:ascii="Arial" w:cs="Arial" w:eastAsia="Arial" w:hAnsi="Arial"/>
                <w:sz w:val="19"/>
                <w:szCs w:val="19"/>
                <w:b w:val="1"/>
                <w:bCs w:val="1"/>
                <w:color w:val="auto"/>
              </w:rPr>
              <w:t>LIABILITIES AND STOCKHOLDERS’ EQUITY</w:t>
            </w:r>
          </w:p>
        </w:tc>
        <w:tc>
          <w:tcPr>
            <w:tcW w:w="1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380" w:type="dxa"/>
            <w:vAlign w:val="bottom"/>
            <w:shd w:val="clear" w:color="auto" w:fill="D3ECED"/>
          </w:tcPr>
          <w:p>
            <w:pPr>
              <w:spacing w:after="0"/>
              <w:rPr>
                <w:sz w:val="20"/>
                <w:szCs w:val="20"/>
                <w:color w:val="auto"/>
              </w:rPr>
            </w:pPr>
          </w:p>
        </w:tc>
        <w:tc>
          <w:tcPr>
            <w:tcW w:w="86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r>
      <w:tr>
        <w:trPr>
          <w:trHeight w:val="230"/>
        </w:trPr>
        <w:tc>
          <w:tcPr>
            <w:tcW w:w="5980" w:type="dxa"/>
            <w:vAlign w:val="bottom"/>
            <w:shd w:val="clear" w:color="auto" w:fill="FDFDFD"/>
          </w:tcPr>
          <w:p>
            <w:pPr>
              <w:spacing w:after="0"/>
              <w:rPr>
                <w:sz w:val="20"/>
                <w:szCs w:val="20"/>
                <w:color w:val="auto"/>
              </w:rPr>
            </w:pPr>
            <w:r>
              <w:rPr>
                <w:rFonts w:ascii="Arial" w:cs="Arial" w:eastAsia="Arial" w:hAnsi="Arial"/>
                <w:sz w:val="19"/>
                <w:szCs w:val="19"/>
                <w:color w:val="auto"/>
              </w:rPr>
              <w:t>Current liabilities:</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86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r>
      <w:tr>
        <w:trPr>
          <w:trHeight w:val="230"/>
        </w:trPr>
        <w:tc>
          <w:tcPr>
            <w:tcW w:w="5980" w:type="dxa"/>
            <w:vAlign w:val="bottom"/>
            <w:shd w:val="clear" w:color="auto" w:fill="D3ECED"/>
          </w:tcPr>
          <w:p>
            <w:pPr>
              <w:ind w:left="200"/>
              <w:spacing w:after="0"/>
              <w:rPr>
                <w:sz w:val="20"/>
                <w:szCs w:val="20"/>
                <w:color w:val="auto"/>
              </w:rPr>
            </w:pPr>
            <w:r>
              <w:rPr>
                <w:rFonts w:ascii="Arial" w:cs="Arial" w:eastAsia="Arial" w:hAnsi="Arial"/>
                <w:sz w:val="19"/>
                <w:szCs w:val="19"/>
                <w:color w:val="auto"/>
              </w:rPr>
              <w:t>Accounts payable</w:t>
            </w:r>
          </w:p>
        </w:tc>
        <w:tc>
          <w:tcPr>
            <w:tcW w:w="280" w:type="dxa"/>
            <w:vAlign w:val="bottom"/>
            <w:gridSpan w:val="3"/>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4,621</w:t>
            </w: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540" w:type="dxa"/>
            <w:vAlign w:val="bottom"/>
            <w:gridSpan w:val="3"/>
            <w:shd w:val="clear" w:color="auto" w:fill="D3ECED"/>
          </w:tcPr>
          <w:p>
            <w:pPr>
              <w:jc w:val="right"/>
              <w:ind w:right="226"/>
              <w:spacing w:after="0"/>
              <w:rPr>
                <w:sz w:val="20"/>
                <w:szCs w:val="20"/>
                <w:color w:val="auto"/>
              </w:rPr>
            </w:pPr>
            <w:r>
              <w:rPr>
                <w:rFonts w:ascii="Arial" w:cs="Arial" w:eastAsia="Arial" w:hAnsi="Arial"/>
                <w:sz w:val="19"/>
                <w:szCs w:val="19"/>
                <w:color w:val="auto"/>
              </w:rPr>
              <w:t>$</w:t>
            </w:r>
          </w:p>
        </w:tc>
        <w:tc>
          <w:tcPr>
            <w:tcW w:w="8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1,370</w:t>
            </w:r>
          </w:p>
        </w:tc>
        <w:tc>
          <w:tcPr>
            <w:tcW w:w="80" w:type="dxa"/>
            <w:vAlign w:val="bottom"/>
            <w:shd w:val="clear" w:color="auto" w:fill="D3ECED"/>
          </w:tcPr>
          <w:p>
            <w:pPr>
              <w:spacing w:after="0"/>
              <w:rPr>
                <w:sz w:val="20"/>
                <w:szCs w:val="20"/>
                <w:color w:val="auto"/>
              </w:rPr>
            </w:pPr>
          </w:p>
        </w:tc>
      </w:tr>
      <w:tr>
        <w:trPr>
          <w:trHeight w:val="230"/>
        </w:trPr>
        <w:tc>
          <w:tcPr>
            <w:tcW w:w="5980" w:type="dxa"/>
            <w:vAlign w:val="bottom"/>
            <w:shd w:val="clear" w:color="auto" w:fill="FDFDFD"/>
          </w:tcPr>
          <w:p>
            <w:pPr>
              <w:ind w:left="200"/>
              <w:spacing w:after="0"/>
              <w:rPr>
                <w:sz w:val="20"/>
                <w:szCs w:val="20"/>
                <w:color w:val="auto"/>
              </w:rPr>
            </w:pPr>
            <w:r>
              <w:rPr>
                <w:rFonts w:ascii="Arial" w:cs="Arial" w:eastAsia="Arial" w:hAnsi="Arial"/>
                <w:sz w:val="19"/>
                <w:szCs w:val="19"/>
                <w:color w:val="auto"/>
              </w:rPr>
              <w:t>Accrued expenses</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7,937</w:t>
            </w: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8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9,212</w:t>
            </w:r>
          </w:p>
        </w:tc>
        <w:tc>
          <w:tcPr>
            <w:tcW w:w="80" w:type="dxa"/>
            <w:vAlign w:val="bottom"/>
            <w:shd w:val="clear" w:color="auto" w:fill="FDFDFD"/>
          </w:tcPr>
          <w:p>
            <w:pPr>
              <w:spacing w:after="0"/>
              <w:rPr>
                <w:sz w:val="20"/>
                <w:szCs w:val="20"/>
                <w:color w:val="auto"/>
              </w:rPr>
            </w:pPr>
          </w:p>
        </w:tc>
      </w:tr>
      <w:tr>
        <w:trPr>
          <w:trHeight w:val="230"/>
        </w:trPr>
        <w:tc>
          <w:tcPr>
            <w:tcW w:w="5980" w:type="dxa"/>
            <w:vAlign w:val="bottom"/>
            <w:shd w:val="clear" w:color="auto" w:fill="D3ECED"/>
          </w:tcPr>
          <w:p>
            <w:pPr>
              <w:ind w:left="200"/>
              <w:spacing w:after="0"/>
              <w:rPr>
                <w:sz w:val="20"/>
                <w:szCs w:val="20"/>
                <w:color w:val="auto"/>
              </w:rPr>
            </w:pPr>
            <w:r>
              <w:rPr>
                <w:rFonts w:ascii="Arial" w:cs="Arial" w:eastAsia="Arial" w:hAnsi="Arial"/>
                <w:sz w:val="19"/>
                <w:szCs w:val="19"/>
                <w:color w:val="auto"/>
              </w:rPr>
              <w:t>Deferred revenue</w:t>
            </w:r>
          </w:p>
        </w:tc>
        <w:tc>
          <w:tcPr>
            <w:tcW w:w="1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408</w:t>
            </w: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380" w:type="dxa"/>
            <w:vAlign w:val="bottom"/>
            <w:shd w:val="clear" w:color="auto" w:fill="D3ECED"/>
          </w:tcPr>
          <w:p>
            <w:pPr>
              <w:spacing w:after="0"/>
              <w:rPr>
                <w:sz w:val="20"/>
                <w:szCs w:val="20"/>
                <w:color w:val="auto"/>
              </w:rPr>
            </w:pPr>
          </w:p>
        </w:tc>
        <w:tc>
          <w:tcPr>
            <w:tcW w:w="8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206</w:t>
            </w:r>
          </w:p>
        </w:tc>
        <w:tc>
          <w:tcPr>
            <w:tcW w:w="80" w:type="dxa"/>
            <w:vAlign w:val="bottom"/>
            <w:shd w:val="clear" w:color="auto" w:fill="D3ECED"/>
          </w:tcPr>
          <w:p>
            <w:pPr>
              <w:spacing w:after="0"/>
              <w:rPr>
                <w:sz w:val="20"/>
                <w:szCs w:val="20"/>
                <w:color w:val="auto"/>
              </w:rPr>
            </w:pPr>
          </w:p>
        </w:tc>
      </w:tr>
      <w:tr>
        <w:trPr>
          <w:trHeight w:val="230"/>
        </w:trPr>
        <w:tc>
          <w:tcPr>
            <w:tcW w:w="5980" w:type="dxa"/>
            <w:vAlign w:val="bottom"/>
            <w:shd w:val="clear" w:color="auto" w:fill="FDFDFD"/>
          </w:tcPr>
          <w:p>
            <w:pPr>
              <w:ind w:left="200"/>
              <w:spacing w:after="0"/>
              <w:rPr>
                <w:sz w:val="20"/>
                <w:szCs w:val="20"/>
                <w:color w:val="auto"/>
              </w:rPr>
            </w:pPr>
            <w:r>
              <w:rPr>
                <w:rFonts w:ascii="Arial" w:cs="Arial" w:eastAsia="Arial" w:hAnsi="Arial"/>
                <w:sz w:val="19"/>
                <w:szCs w:val="19"/>
                <w:color w:val="auto"/>
              </w:rPr>
              <w:t>Operating lease liabilities, current</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2,312</w:t>
            </w: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8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2,295</w:t>
            </w:r>
          </w:p>
        </w:tc>
        <w:tc>
          <w:tcPr>
            <w:tcW w:w="80" w:type="dxa"/>
            <w:vAlign w:val="bottom"/>
            <w:shd w:val="clear" w:color="auto" w:fill="FDFDFD"/>
          </w:tcPr>
          <w:p>
            <w:pPr>
              <w:spacing w:after="0"/>
              <w:rPr>
                <w:sz w:val="20"/>
                <w:szCs w:val="20"/>
                <w:color w:val="auto"/>
              </w:rPr>
            </w:pPr>
          </w:p>
        </w:tc>
      </w:tr>
      <w:tr>
        <w:trPr>
          <w:trHeight w:val="230"/>
        </w:trPr>
        <w:tc>
          <w:tcPr>
            <w:tcW w:w="5980" w:type="dxa"/>
            <w:vAlign w:val="bottom"/>
            <w:tcBorders>
              <w:bottom w:val="single" w:sz="8" w:color="FDFDFD"/>
            </w:tcBorders>
            <w:shd w:val="clear" w:color="auto" w:fill="D3ECED"/>
          </w:tcPr>
          <w:p>
            <w:pPr>
              <w:ind w:left="200"/>
              <w:spacing w:after="0"/>
              <w:rPr>
                <w:sz w:val="20"/>
                <w:szCs w:val="20"/>
                <w:color w:val="auto"/>
              </w:rPr>
            </w:pPr>
            <w:r>
              <w:rPr>
                <w:rFonts w:ascii="Arial" w:cs="Arial" w:eastAsia="Arial" w:hAnsi="Arial"/>
                <w:sz w:val="19"/>
                <w:szCs w:val="19"/>
                <w:color w:val="auto"/>
              </w:rPr>
              <w:t>Other current liabilities</w:t>
            </w:r>
          </w:p>
        </w:tc>
        <w:tc>
          <w:tcPr>
            <w:tcW w:w="180" w:type="dxa"/>
            <w:vAlign w:val="bottom"/>
            <w:tcBorders>
              <w:bottom w:val="single" w:sz="8" w:color="FDFDFD"/>
            </w:tcBorders>
            <w:shd w:val="clear" w:color="auto" w:fill="D3ECED"/>
          </w:tcPr>
          <w:p>
            <w:pPr>
              <w:spacing w:after="0"/>
              <w:rPr>
                <w:sz w:val="20"/>
                <w:szCs w:val="20"/>
                <w:color w:val="auto"/>
              </w:rPr>
            </w:pPr>
          </w:p>
        </w:tc>
        <w:tc>
          <w:tcPr>
            <w:tcW w:w="20" w:type="dxa"/>
            <w:vAlign w:val="bottom"/>
            <w:tcBorders>
              <w:bottom w:val="single" w:sz="8" w:color="auto"/>
            </w:tcBorders>
            <w:shd w:val="clear" w:color="auto" w:fill="D3ECED"/>
          </w:tcPr>
          <w:p>
            <w:pPr>
              <w:spacing w:after="0"/>
              <w:rPr>
                <w:sz w:val="20"/>
                <w:szCs w:val="20"/>
                <w:color w:val="auto"/>
              </w:rPr>
            </w:pPr>
          </w:p>
        </w:tc>
        <w:tc>
          <w:tcPr>
            <w:tcW w:w="80" w:type="dxa"/>
            <w:vAlign w:val="bottom"/>
            <w:tcBorders>
              <w:bottom w:val="single" w:sz="8" w:color="auto"/>
            </w:tcBorders>
            <w:shd w:val="clear" w:color="auto" w:fill="D3ECED"/>
          </w:tcPr>
          <w:p>
            <w:pPr>
              <w:spacing w:after="0"/>
              <w:rPr>
                <w:sz w:val="20"/>
                <w:szCs w:val="20"/>
                <w:color w:val="auto"/>
              </w:rPr>
            </w:pPr>
          </w:p>
        </w:tc>
        <w:tc>
          <w:tcPr>
            <w:tcW w:w="11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50</w:t>
            </w:r>
          </w:p>
        </w:tc>
        <w:tc>
          <w:tcPr>
            <w:tcW w:w="20" w:type="dxa"/>
            <w:vAlign w:val="bottom"/>
            <w:tcBorders>
              <w:bottom w:val="single" w:sz="8" w:color="auto"/>
            </w:tcBorders>
            <w:shd w:val="clear" w:color="auto" w:fill="D3ECED"/>
          </w:tcPr>
          <w:p>
            <w:pPr>
              <w:spacing w:after="0"/>
              <w:rPr>
                <w:sz w:val="20"/>
                <w:szCs w:val="20"/>
                <w:color w:val="auto"/>
              </w:rPr>
            </w:pPr>
          </w:p>
        </w:tc>
        <w:tc>
          <w:tcPr>
            <w:tcW w:w="80" w:type="dxa"/>
            <w:vAlign w:val="bottom"/>
            <w:tcBorders>
              <w:bottom w:val="single" w:sz="8" w:color="FDFDFD"/>
            </w:tcBorders>
            <w:shd w:val="clear" w:color="auto" w:fill="D3ECED"/>
          </w:tcPr>
          <w:p>
            <w:pPr>
              <w:spacing w:after="0"/>
              <w:rPr>
                <w:sz w:val="20"/>
                <w:szCs w:val="20"/>
                <w:color w:val="auto"/>
              </w:rPr>
            </w:pPr>
          </w:p>
        </w:tc>
        <w:tc>
          <w:tcPr>
            <w:tcW w:w="140" w:type="dxa"/>
            <w:vAlign w:val="bottom"/>
            <w:tcBorders>
              <w:bottom w:val="single" w:sz="8" w:color="FDFDFD"/>
            </w:tcBorders>
            <w:shd w:val="clear" w:color="auto" w:fill="D3ECED"/>
          </w:tcPr>
          <w:p>
            <w:pPr>
              <w:spacing w:after="0"/>
              <w:rPr>
                <w:sz w:val="20"/>
                <w:szCs w:val="20"/>
                <w:color w:val="auto"/>
              </w:rPr>
            </w:pPr>
          </w:p>
        </w:tc>
        <w:tc>
          <w:tcPr>
            <w:tcW w:w="20" w:type="dxa"/>
            <w:vAlign w:val="bottom"/>
            <w:tcBorders>
              <w:bottom w:val="single" w:sz="8" w:color="auto"/>
            </w:tcBorders>
            <w:shd w:val="clear" w:color="auto" w:fill="D3ECED"/>
          </w:tcPr>
          <w:p>
            <w:pPr>
              <w:spacing w:after="0"/>
              <w:rPr>
                <w:sz w:val="20"/>
                <w:szCs w:val="20"/>
                <w:color w:val="auto"/>
              </w:rPr>
            </w:pPr>
          </w:p>
        </w:tc>
        <w:tc>
          <w:tcPr>
            <w:tcW w:w="380" w:type="dxa"/>
            <w:vAlign w:val="bottom"/>
            <w:tcBorders>
              <w:bottom w:val="single" w:sz="8" w:color="auto"/>
            </w:tcBorders>
            <w:shd w:val="clear" w:color="auto" w:fill="D3ECED"/>
          </w:tcPr>
          <w:p>
            <w:pPr>
              <w:spacing w:after="0"/>
              <w:rPr>
                <w:sz w:val="20"/>
                <w:szCs w:val="20"/>
                <w:color w:val="auto"/>
              </w:rPr>
            </w:pPr>
          </w:p>
        </w:tc>
        <w:tc>
          <w:tcPr>
            <w:tcW w:w="86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139</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0"/>
        </w:trPr>
        <w:tc>
          <w:tcPr>
            <w:tcW w:w="5980" w:type="dxa"/>
            <w:vAlign w:val="bottom"/>
            <w:shd w:val="clear" w:color="auto" w:fill="FDFDFD"/>
          </w:tcPr>
          <w:p>
            <w:pPr>
              <w:ind w:left="380"/>
              <w:spacing w:after="0"/>
              <w:rPr>
                <w:sz w:val="20"/>
                <w:szCs w:val="20"/>
                <w:color w:val="auto"/>
              </w:rPr>
            </w:pPr>
            <w:r>
              <w:rPr>
                <w:rFonts w:ascii="Arial" w:cs="Arial" w:eastAsia="Arial" w:hAnsi="Arial"/>
                <w:sz w:val="19"/>
                <w:szCs w:val="19"/>
                <w:color w:val="auto"/>
              </w:rPr>
              <w:t>Total current liabilities</w:t>
            </w:r>
          </w:p>
        </w:tc>
        <w:tc>
          <w:tcPr>
            <w:tcW w:w="18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15,328</w:t>
            </w: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38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13,222</w:t>
            </w:r>
          </w:p>
        </w:tc>
        <w:tc>
          <w:tcPr>
            <w:tcW w:w="80" w:type="dxa"/>
            <w:vAlign w:val="bottom"/>
            <w:shd w:val="clear" w:color="auto" w:fill="FDFDFD"/>
          </w:tcPr>
          <w:p>
            <w:pPr>
              <w:spacing w:after="0"/>
              <w:rPr>
                <w:sz w:val="19"/>
                <w:szCs w:val="19"/>
                <w:color w:val="auto"/>
              </w:rPr>
            </w:pPr>
          </w:p>
        </w:tc>
      </w:tr>
      <w:tr>
        <w:trPr>
          <w:trHeight w:val="230"/>
        </w:trPr>
        <w:tc>
          <w:tcPr>
            <w:tcW w:w="5980" w:type="dxa"/>
            <w:vAlign w:val="bottom"/>
            <w:shd w:val="clear" w:color="auto" w:fill="D3ECED"/>
          </w:tcPr>
          <w:p>
            <w:pPr>
              <w:spacing w:after="0"/>
              <w:rPr>
                <w:sz w:val="20"/>
                <w:szCs w:val="20"/>
                <w:color w:val="auto"/>
              </w:rPr>
            </w:pPr>
            <w:r>
              <w:rPr>
                <w:rFonts w:ascii="Arial" w:cs="Arial" w:eastAsia="Arial" w:hAnsi="Arial"/>
                <w:sz w:val="19"/>
                <w:szCs w:val="19"/>
                <w:color w:val="auto"/>
              </w:rPr>
              <w:t>Operating lease liabilities, net of current portion</w:t>
            </w:r>
          </w:p>
        </w:tc>
        <w:tc>
          <w:tcPr>
            <w:tcW w:w="1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23,652</w:t>
            </w: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380" w:type="dxa"/>
            <w:vAlign w:val="bottom"/>
            <w:shd w:val="clear" w:color="auto" w:fill="D3ECED"/>
          </w:tcPr>
          <w:p>
            <w:pPr>
              <w:spacing w:after="0"/>
              <w:rPr>
                <w:sz w:val="20"/>
                <w:szCs w:val="20"/>
                <w:color w:val="auto"/>
              </w:rPr>
            </w:pPr>
          </w:p>
        </w:tc>
        <w:tc>
          <w:tcPr>
            <w:tcW w:w="8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25,964</w:t>
            </w:r>
          </w:p>
        </w:tc>
        <w:tc>
          <w:tcPr>
            <w:tcW w:w="80" w:type="dxa"/>
            <w:vAlign w:val="bottom"/>
            <w:shd w:val="clear" w:color="auto" w:fill="D3ECED"/>
          </w:tcPr>
          <w:p>
            <w:pPr>
              <w:spacing w:after="0"/>
              <w:rPr>
                <w:sz w:val="20"/>
                <w:szCs w:val="20"/>
                <w:color w:val="auto"/>
              </w:rPr>
            </w:pPr>
          </w:p>
        </w:tc>
      </w:tr>
      <w:tr>
        <w:trPr>
          <w:trHeight w:val="230"/>
        </w:trPr>
        <w:tc>
          <w:tcPr>
            <w:tcW w:w="5980" w:type="dxa"/>
            <w:vAlign w:val="bottom"/>
            <w:tcBorders>
              <w:bottom w:val="single" w:sz="8" w:color="D3ECED"/>
            </w:tcBorders>
            <w:shd w:val="clear" w:color="auto" w:fill="FDFDFD"/>
          </w:tcPr>
          <w:p>
            <w:pPr>
              <w:spacing w:after="0"/>
              <w:rPr>
                <w:sz w:val="20"/>
                <w:szCs w:val="20"/>
                <w:color w:val="auto"/>
              </w:rPr>
            </w:pPr>
            <w:r>
              <w:rPr>
                <w:rFonts w:ascii="Arial" w:cs="Arial" w:eastAsia="Arial" w:hAnsi="Arial"/>
                <w:sz w:val="19"/>
                <w:szCs w:val="19"/>
                <w:color w:val="auto"/>
              </w:rPr>
              <w:t>Other noncurrent liabilities</w:t>
            </w:r>
          </w:p>
        </w:tc>
        <w:tc>
          <w:tcPr>
            <w:tcW w:w="180" w:type="dxa"/>
            <w:vAlign w:val="bottom"/>
            <w:tcBorders>
              <w:bottom w:val="single" w:sz="8" w:color="D3ECED"/>
            </w:tcBorders>
            <w:shd w:val="clear" w:color="auto" w:fill="FDFDFD"/>
          </w:tcPr>
          <w:p>
            <w:pPr>
              <w:spacing w:after="0"/>
              <w:rPr>
                <w:sz w:val="20"/>
                <w:szCs w:val="20"/>
                <w:color w:val="auto"/>
              </w:rPr>
            </w:pPr>
          </w:p>
        </w:tc>
        <w:tc>
          <w:tcPr>
            <w:tcW w:w="20" w:type="dxa"/>
            <w:vAlign w:val="bottom"/>
            <w:tcBorders>
              <w:bottom w:val="single" w:sz="8" w:color="auto"/>
            </w:tcBorders>
            <w:shd w:val="clear" w:color="auto" w:fill="FDFDFD"/>
          </w:tcPr>
          <w:p>
            <w:pPr>
              <w:spacing w:after="0"/>
              <w:rPr>
                <w:sz w:val="20"/>
                <w:szCs w:val="20"/>
                <w:color w:val="auto"/>
              </w:rPr>
            </w:pPr>
          </w:p>
        </w:tc>
        <w:tc>
          <w:tcPr>
            <w:tcW w:w="80" w:type="dxa"/>
            <w:vAlign w:val="bottom"/>
            <w:tcBorders>
              <w:bottom w:val="single" w:sz="8" w:color="auto"/>
            </w:tcBorders>
            <w:shd w:val="clear" w:color="auto" w:fill="FDFDFD"/>
          </w:tcPr>
          <w:p>
            <w:pPr>
              <w:spacing w:after="0"/>
              <w:rPr>
                <w:sz w:val="20"/>
                <w:szCs w:val="20"/>
                <w:color w:val="auto"/>
              </w:rPr>
            </w:pPr>
          </w:p>
        </w:tc>
        <w:tc>
          <w:tcPr>
            <w:tcW w:w="11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48</w:t>
            </w:r>
          </w:p>
        </w:tc>
        <w:tc>
          <w:tcPr>
            <w:tcW w:w="20" w:type="dxa"/>
            <w:vAlign w:val="bottom"/>
            <w:tcBorders>
              <w:bottom w:val="single" w:sz="8" w:color="auto"/>
            </w:tcBorders>
            <w:shd w:val="clear" w:color="auto" w:fill="FDFDFD"/>
          </w:tcPr>
          <w:p>
            <w:pPr>
              <w:spacing w:after="0"/>
              <w:rPr>
                <w:sz w:val="20"/>
                <w:szCs w:val="20"/>
                <w:color w:val="auto"/>
              </w:rPr>
            </w:pPr>
          </w:p>
        </w:tc>
        <w:tc>
          <w:tcPr>
            <w:tcW w:w="80" w:type="dxa"/>
            <w:vAlign w:val="bottom"/>
            <w:tcBorders>
              <w:bottom w:val="single" w:sz="8" w:color="D3ECED"/>
            </w:tcBorders>
            <w:shd w:val="clear" w:color="auto" w:fill="FDFDFD"/>
          </w:tcPr>
          <w:p>
            <w:pPr>
              <w:spacing w:after="0"/>
              <w:rPr>
                <w:sz w:val="20"/>
                <w:szCs w:val="20"/>
                <w:color w:val="auto"/>
              </w:rPr>
            </w:pPr>
          </w:p>
        </w:tc>
        <w:tc>
          <w:tcPr>
            <w:tcW w:w="140" w:type="dxa"/>
            <w:vAlign w:val="bottom"/>
            <w:tcBorders>
              <w:bottom w:val="single" w:sz="8" w:color="D3ECED"/>
            </w:tcBorders>
            <w:shd w:val="clear" w:color="auto" w:fill="FDFDFD"/>
          </w:tcPr>
          <w:p>
            <w:pPr>
              <w:spacing w:after="0"/>
              <w:rPr>
                <w:sz w:val="20"/>
                <w:szCs w:val="20"/>
                <w:color w:val="auto"/>
              </w:rPr>
            </w:pPr>
          </w:p>
        </w:tc>
        <w:tc>
          <w:tcPr>
            <w:tcW w:w="20" w:type="dxa"/>
            <w:vAlign w:val="bottom"/>
            <w:tcBorders>
              <w:bottom w:val="single" w:sz="8" w:color="auto"/>
            </w:tcBorders>
            <w:shd w:val="clear" w:color="auto" w:fill="FDFDFD"/>
          </w:tcPr>
          <w:p>
            <w:pPr>
              <w:spacing w:after="0"/>
              <w:rPr>
                <w:sz w:val="20"/>
                <w:szCs w:val="20"/>
                <w:color w:val="auto"/>
              </w:rPr>
            </w:pPr>
          </w:p>
        </w:tc>
        <w:tc>
          <w:tcPr>
            <w:tcW w:w="380" w:type="dxa"/>
            <w:vAlign w:val="bottom"/>
            <w:tcBorders>
              <w:bottom w:val="single" w:sz="8" w:color="auto"/>
            </w:tcBorders>
            <w:shd w:val="clear" w:color="auto" w:fill="FDFDFD"/>
          </w:tcPr>
          <w:p>
            <w:pPr>
              <w:spacing w:after="0"/>
              <w:rPr>
                <w:sz w:val="20"/>
                <w:szCs w:val="20"/>
                <w:color w:val="auto"/>
              </w:rPr>
            </w:pPr>
          </w:p>
        </w:tc>
        <w:tc>
          <w:tcPr>
            <w:tcW w:w="86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179</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20"/>
        </w:trPr>
        <w:tc>
          <w:tcPr>
            <w:tcW w:w="5980" w:type="dxa"/>
            <w:vAlign w:val="bottom"/>
            <w:tcBorders>
              <w:bottom w:val="single" w:sz="8" w:color="FDFDFD"/>
            </w:tcBorders>
            <w:shd w:val="clear" w:color="auto" w:fill="D3ECED"/>
          </w:tcPr>
          <w:p>
            <w:pPr>
              <w:ind w:left="380"/>
              <w:spacing w:after="0"/>
              <w:rPr>
                <w:sz w:val="20"/>
                <w:szCs w:val="20"/>
                <w:color w:val="auto"/>
              </w:rPr>
            </w:pPr>
            <w:r>
              <w:rPr>
                <w:rFonts w:ascii="Arial" w:cs="Arial" w:eastAsia="Arial" w:hAnsi="Arial"/>
                <w:sz w:val="19"/>
                <w:szCs w:val="19"/>
                <w:color w:val="auto"/>
              </w:rPr>
              <w:t>Total liabilities</w:t>
            </w:r>
          </w:p>
        </w:tc>
        <w:tc>
          <w:tcPr>
            <w:tcW w:w="180" w:type="dxa"/>
            <w:vAlign w:val="bottom"/>
            <w:tcBorders>
              <w:bottom w:val="single" w:sz="8" w:color="FDFDFD"/>
            </w:tcBorders>
            <w:shd w:val="clear" w:color="auto" w:fill="D3ECED"/>
          </w:tcPr>
          <w:p>
            <w:pPr>
              <w:spacing w:after="0"/>
              <w:rPr>
                <w:sz w:val="19"/>
                <w:szCs w:val="19"/>
                <w:color w:val="auto"/>
              </w:rPr>
            </w:pPr>
          </w:p>
        </w:tc>
        <w:tc>
          <w:tcPr>
            <w:tcW w:w="20" w:type="dxa"/>
            <w:vAlign w:val="bottom"/>
            <w:tcBorders>
              <w:bottom w:val="single" w:sz="8" w:color="auto"/>
            </w:tcBorders>
            <w:shd w:val="clear" w:color="auto" w:fill="D3ECED"/>
          </w:tcPr>
          <w:p>
            <w:pPr>
              <w:spacing w:after="0"/>
              <w:rPr>
                <w:sz w:val="19"/>
                <w:szCs w:val="19"/>
                <w:color w:val="auto"/>
              </w:rPr>
            </w:pPr>
          </w:p>
        </w:tc>
        <w:tc>
          <w:tcPr>
            <w:tcW w:w="80" w:type="dxa"/>
            <w:vAlign w:val="bottom"/>
            <w:tcBorders>
              <w:bottom w:val="single" w:sz="8" w:color="auto"/>
            </w:tcBorders>
            <w:shd w:val="clear" w:color="auto" w:fill="D3ECED"/>
          </w:tcPr>
          <w:p>
            <w:pPr>
              <w:spacing w:after="0"/>
              <w:rPr>
                <w:sz w:val="19"/>
                <w:szCs w:val="19"/>
                <w:color w:val="auto"/>
              </w:rPr>
            </w:pPr>
          </w:p>
        </w:tc>
        <w:tc>
          <w:tcPr>
            <w:tcW w:w="11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39,028</w:t>
            </w:r>
          </w:p>
        </w:tc>
        <w:tc>
          <w:tcPr>
            <w:tcW w:w="20" w:type="dxa"/>
            <w:vAlign w:val="bottom"/>
            <w:tcBorders>
              <w:bottom w:val="single" w:sz="8" w:color="auto"/>
            </w:tcBorders>
            <w:shd w:val="clear" w:color="auto" w:fill="D3ECED"/>
          </w:tcPr>
          <w:p>
            <w:pPr>
              <w:spacing w:after="0"/>
              <w:rPr>
                <w:sz w:val="19"/>
                <w:szCs w:val="19"/>
                <w:color w:val="auto"/>
              </w:rPr>
            </w:pPr>
          </w:p>
        </w:tc>
        <w:tc>
          <w:tcPr>
            <w:tcW w:w="80" w:type="dxa"/>
            <w:vAlign w:val="bottom"/>
            <w:tcBorders>
              <w:bottom w:val="single" w:sz="8" w:color="FDFDFD"/>
            </w:tcBorders>
            <w:shd w:val="clear" w:color="auto" w:fill="D3ECED"/>
          </w:tcPr>
          <w:p>
            <w:pPr>
              <w:spacing w:after="0"/>
              <w:rPr>
                <w:sz w:val="19"/>
                <w:szCs w:val="19"/>
                <w:color w:val="auto"/>
              </w:rPr>
            </w:pPr>
          </w:p>
        </w:tc>
        <w:tc>
          <w:tcPr>
            <w:tcW w:w="140" w:type="dxa"/>
            <w:vAlign w:val="bottom"/>
            <w:tcBorders>
              <w:bottom w:val="single" w:sz="8" w:color="FDFDFD"/>
            </w:tcBorders>
            <w:shd w:val="clear" w:color="auto" w:fill="D3ECED"/>
          </w:tcPr>
          <w:p>
            <w:pPr>
              <w:spacing w:after="0"/>
              <w:rPr>
                <w:sz w:val="19"/>
                <w:szCs w:val="19"/>
                <w:color w:val="auto"/>
              </w:rPr>
            </w:pPr>
          </w:p>
        </w:tc>
        <w:tc>
          <w:tcPr>
            <w:tcW w:w="20" w:type="dxa"/>
            <w:vAlign w:val="bottom"/>
            <w:tcBorders>
              <w:bottom w:val="single" w:sz="8" w:color="auto"/>
            </w:tcBorders>
            <w:shd w:val="clear" w:color="auto" w:fill="D3ECED"/>
          </w:tcPr>
          <w:p>
            <w:pPr>
              <w:spacing w:after="0"/>
              <w:rPr>
                <w:sz w:val="19"/>
                <w:szCs w:val="19"/>
                <w:color w:val="auto"/>
              </w:rPr>
            </w:pPr>
          </w:p>
        </w:tc>
        <w:tc>
          <w:tcPr>
            <w:tcW w:w="380" w:type="dxa"/>
            <w:vAlign w:val="bottom"/>
            <w:tcBorders>
              <w:bottom w:val="single" w:sz="8" w:color="auto"/>
            </w:tcBorders>
            <w:shd w:val="clear" w:color="auto" w:fill="D3ECED"/>
          </w:tcPr>
          <w:p>
            <w:pPr>
              <w:spacing w:after="0"/>
              <w:rPr>
                <w:sz w:val="19"/>
                <w:szCs w:val="19"/>
                <w:color w:val="auto"/>
              </w:rPr>
            </w:pPr>
          </w:p>
        </w:tc>
        <w:tc>
          <w:tcPr>
            <w:tcW w:w="86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39,365</w:t>
            </w:r>
          </w:p>
        </w:tc>
        <w:tc>
          <w:tcPr>
            <w:tcW w:w="80" w:type="dxa"/>
            <w:vAlign w:val="bottom"/>
            <w:tcBorders>
              <w:bottom w:val="single" w:sz="8" w:color="FDFDFD"/>
            </w:tcBorders>
            <w:shd w:val="clear" w:color="auto" w:fill="D3ECED"/>
          </w:tcPr>
          <w:p>
            <w:pPr>
              <w:spacing w:after="0"/>
              <w:rPr>
                <w:sz w:val="19"/>
                <w:szCs w:val="19"/>
                <w:color w:val="auto"/>
              </w:rPr>
            </w:pPr>
          </w:p>
        </w:tc>
      </w:tr>
      <w:tr>
        <w:trPr>
          <w:trHeight w:val="220"/>
        </w:trPr>
        <w:tc>
          <w:tcPr>
            <w:tcW w:w="5980" w:type="dxa"/>
            <w:vAlign w:val="bottom"/>
            <w:shd w:val="clear" w:color="auto" w:fill="FDFDFD"/>
          </w:tcPr>
          <w:p>
            <w:pPr>
              <w:spacing w:after="0"/>
              <w:rPr>
                <w:sz w:val="20"/>
                <w:szCs w:val="20"/>
                <w:color w:val="auto"/>
              </w:rPr>
            </w:pPr>
            <w:r>
              <w:rPr>
                <w:rFonts w:ascii="Arial" w:cs="Arial" w:eastAsia="Arial" w:hAnsi="Arial"/>
                <w:sz w:val="19"/>
                <w:szCs w:val="19"/>
                <w:color w:val="auto"/>
              </w:rPr>
              <w:t>Commitments and contingencies (Note 10)</w:t>
            </w:r>
          </w:p>
        </w:tc>
        <w:tc>
          <w:tcPr>
            <w:tcW w:w="18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1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380" w:type="dxa"/>
            <w:vAlign w:val="bottom"/>
            <w:shd w:val="clear" w:color="auto" w:fill="FDFDFD"/>
          </w:tcPr>
          <w:p>
            <w:pPr>
              <w:spacing w:after="0"/>
              <w:rPr>
                <w:sz w:val="19"/>
                <w:szCs w:val="19"/>
                <w:color w:val="auto"/>
              </w:rPr>
            </w:pPr>
          </w:p>
        </w:tc>
        <w:tc>
          <w:tcPr>
            <w:tcW w:w="86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r>
      <w:tr>
        <w:trPr>
          <w:trHeight w:val="230"/>
        </w:trPr>
        <w:tc>
          <w:tcPr>
            <w:tcW w:w="5980" w:type="dxa"/>
            <w:vAlign w:val="bottom"/>
            <w:shd w:val="clear" w:color="auto" w:fill="D3ECED"/>
          </w:tcPr>
          <w:p>
            <w:pPr>
              <w:spacing w:after="0"/>
              <w:rPr>
                <w:sz w:val="20"/>
                <w:szCs w:val="20"/>
                <w:color w:val="auto"/>
              </w:rPr>
            </w:pPr>
            <w:r>
              <w:rPr>
                <w:rFonts w:ascii="Arial" w:cs="Arial" w:eastAsia="Arial" w:hAnsi="Arial"/>
                <w:sz w:val="19"/>
                <w:szCs w:val="19"/>
                <w:color w:val="auto"/>
              </w:rPr>
              <w:t>Stockholders’ equity:</w:t>
            </w:r>
          </w:p>
        </w:tc>
        <w:tc>
          <w:tcPr>
            <w:tcW w:w="1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380" w:type="dxa"/>
            <w:vAlign w:val="bottom"/>
            <w:shd w:val="clear" w:color="auto" w:fill="D3ECED"/>
          </w:tcPr>
          <w:p>
            <w:pPr>
              <w:spacing w:after="0"/>
              <w:rPr>
                <w:sz w:val="20"/>
                <w:szCs w:val="20"/>
                <w:color w:val="auto"/>
              </w:rPr>
            </w:pPr>
          </w:p>
        </w:tc>
        <w:tc>
          <w:tcPr>
            <w:tcW w:w="86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r>
      <w:tr>
        <w:trPr>
          <w:trHeight w:val="211"/>
        </w:trPr>
        <w:tc>
          <w:tcPr>
            <w:tcW w:w="5980" w:type="dxa"/>
            <w:vAlign w:val="bottom"/>
            <w:shd w:val="clear" w:color="auto" w:fill="FDFDFD"/>
          </w:tcPr>
          <w:p>
            <w:pPr>
              <w:ind w:left="200"/>
              <w:spacing w:after="0" w:line="211" w:lineRule="exact"/>
              <w:rPr>
                <w:sz w:val="20"/>
                <w:szCs w:val="20"/>
                <w:color w:val="auto"/>
              </w:rPr>
            </w:pPr>
            <w:r>
              <w:rPr>
                <w:rFonts w:ascii="Arial" w:cs="Arial" w:eastAsia="Arial" w:hAnsi="Arial"/>
                <w:sz w:val="19"/>
                <w:szCs w:val="19"/>
                <w:color w:val="auto"/>
                <w:w w:val="96"/>
              </w:rPr>
              <w:t>Preferred stock, $0.00001 par value; 5,000,000 shares authorized as of</w:t>
            </w:r>
          </w:p>
        </w:tc>
        <w:tc>
          <w:tcPr>
            <w:tcW w:w="18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114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380" w:type="dxa"/>
            <w:vAlign w:val="bottom"/>
            <w:shd w:val="clear" w:color="auto" w:fill="FDFDFD"/>
          </w:tcPr>
          <w:p>
            <w:pPr>
              <w:spacing w:after="0"/>
              <w:rPr>
                <w:sz w:val="18"/>
                <w:szCs w:val="18"/>
                <w:color w:val="auto"/>
              </w:rPr>
            </w:pPr>
          </w:p>
        </w:tc>
        <w:tc>
          <w:tcPr>
            <w:tcW w:w="86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r>
      <w:tr>
        <w:trPr>
          <w:trHeight w:val="216"/>
        </w:trPr>
        <w:tc>
          <w:tcPr>
            <w:tcW w:w="5980" w:type="dxa"/>
            <w:vAlign w:val="bottom"/>
            <w:shd w:val="clear" w:color="auto" w:fill="FDFDFD"/>
          </w:tcPr>
          <w:p>
            <w:pPr>
              <w:ind w:left="380"/>
              <w:spacing w:after="0" w:line="216" w:lineRule="exact"/>
              <w:rPr>
                <w:sz w:val="20"/>
                <w:szCs w:val="20"/>
                <w:color w:val="auto"/>
              </w:rPr>
            </w:pPr>
            <w:r>
              <w:rPr>
                <w:rFonts w:ascii="Arial" w:cs="Arial" w:eastAsia="Arial" w:hAnsi="Arial"/>
                <w:sz w:val="19"/>
                <w:szCs w:val="19"/>
                <w:color w:val="auto"/>
              </w:rPr>
              <w:t>December 31, 2024 and 2023; zero shares issued and</w:t>
            </w:r>
          </w:p>
        </w:tc>
        <w:tc>
          <w:tcPr>
            <w:tcW w:w="18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114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380" w:type="dxa"/>
            <w:vAlign w:val="bottom"/>
            <w:shd w:val="clear" w:color="auto" w:fill="FDFDFD"/>
          </w:tcPr>
          <w:p>
            <w:pPr>
              <w:spacing w:after="0"/>
              <w:rPr>
                <w:sz w:val="18"/>
                <w:szCs w:val="18"/>
                <w:color w:val="auto"/>
              </w:rPr>
            </w:pPr>
          </w:p>
        </w:tc>
        <w:tc>
          <w:tcPr>
            <w:tcW w:w="86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r>
      <w:tr>
        <w:trPr>
          <w:trHeight w:val="238"/>
        </w:trPr>
        <w:tc>
          <w:tcPr>
            <w:tcW w:w="5980" w:type="dxa"/>
            <w:vAlign w:val="bottom"/>
            <w:shd w:val="clear" w:color="auto" w:fill="FDFDFD"/>
          </w:tcPr>
          <w:p>
            <w:pPr>
              <w:ind w:left="380"/>
              <w:spacing w:after="0"/>
              <w:rPr>
                <w:sz w:val="20"/>
                <w:szCs w:val="20"/>
                <w:color w:val="auto"/>
              </w:rPr>
            </w:pPr>
            <w:r>
              <w:rPr>
                <w:rFonts w:ascii="Arial" w:cs="Arial" w:eastAsia="Arial" w:hAnsi="Arial"/>
                <w:sz w:val="19"/>
                <w:szCs w:val="19"/>
                <w:color w:val="auto"/>
              </w:rPr>
              <w:t>outstanding as of December 31, 2024 and 2023</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240" w:type="dxa"/>
            <w:vAlign w:val="bottom"/>
            <w:gridSpan w:val="3"/>
            <w:shd w:val="clear" w:color="auto" w:fill="FDFDFD"/>
          </w:tcPr>
          <w:p>
            <w:pPr>
              <w:jc w:val="right"/>
              <w:ind w:right="100"/>
              <w:spacing w:after="0"/>
              <w:rPr>
                <w:sz w:val="20"/>
                <w:szCs w:val="20"/>
                <w:color w:val="auto"/>
              </w:rPr>
            </w:pPr>
            <w:r>
              <w:rPr>
                <w:rFonts w:ascii="Arial" w:cs="Arial" w:eastAsia="Arial" w:hAnsi="Arial"/>
                <w:sz w:val="19"/>
                <w:szCs w:val="19"/>
                <w:color w:val="auto"/>
              </w:rPr>
              <w:t>—</w:t>
            </w: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940" w:type="dxa"/>
            <w:vAlign w:val="bottom"/>
            <w:gridSpan w:val="2"/>
            <w:shd w:val="clear" w:color="auto" w:fill="FDFDFD"/>
          </w:tcPr>
          <w:p>
            <w:pPr>
              <w:jc w:val="right"/>
              <w:ind w:right="100"/>
              <w:spacing w:after="0"/>
              <w:rPr>
                <w:sz w:val="20"/>
                <w:szCs w:val="20"/>
                <w:color w:val="auto"/>
              </w:rPr>
            </w:pPr>
            <w:r>
              <w:rPr>
                <w:rFonts w:ascii="Arial" w:cs="Arial" w:eastAsia="Arial" w:hAnsi="Arial"/>
                <w:sz w:val="19"/>
                <w:szCs w:val="19"/>
                <w:color w:val="auto"/>
              </w:rPr>
              <w:t>—</w:t>
            </w:r>
          </w:p>
        </w:tc>
      </w:tr>
      <w:tr>
        <w:trPr>
          <w:trHeight w:val="211"/>
        </w:trPr>
        <w:tc>
          <w:tcPr>
            <w:tcW w:w="5980" w:type="dxa"/>
            <w:vAlign w:val="bottom"/>
            <w:shd w:val="clear" w:color="auto" w:fill="D3ECED"/>
          </w:tcPr>
          <w:p>
            <w:pPr>
              <w:ind w:left="200"/>
              <w:spacing w:after="0" w:line="211" w:lineRule="exact"/>
              <w:rPr>
                <w:sz w:val="20"/>
                <w:szCs w:val="20"/>
                <w:color w:val="auto"/>
              </w:rPr>
            </w:pPr>
            <w:r>
              <w:rPr>
                <w:rFonts w:ascii="Arial" w:cs="Arial" w:eastAsia="Arial" w:hAnsi="Arial"/>
                <w:sz w:val="19"/>
                <w:szCs w:val="19"/>
                <w:color w:val="auto"/>
                <w:w w:val="91"/>
              </w:rPr>
              <w:t>Class A common stock, $0.00001 par value; 94,000,000 shares authorized</w:t>
            </w:r>
          </w:p>
        </w:tc>
        <w:tc>
          <w:tcPr>
            <w:tcW w:w="18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80" w:type="dxa"/>
            <w:vAlign w:val="bottom"/>
            <w:shd w:val="clear" w:color="auto" w:fill="D3ECED"/>
          </w:tcPr>
          <w:p>
            <w:pPr>
              <w:spacing w:after="0"/>
              <w:rPr>
                <w:sz w:val="18"/>
                <w:szCs w:val="18"/>
                <w:color w:val="auto"/>
              </w:rPr>
            </w:pPr>
          </w:p>
        </w:tc>
        <w:tc>
          <w:tcPr>
            <w:tcW w:w="114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80" w:type="dxa"/>
            <w:vAlign w:val="bottom"/>
            <w:shd w:val="clear" w:color="auto" w:fill="D3ECED"/>
          </w:tcPr>
          <w:p>
            <w:pPr>
              <w:spacing w:after="0"/>
              <w:rPr>
                <w:sz w:val="18"/>
                <w:szCs w:val="18"/>
                <w:color w:val="auto"/>
              </w:rPr>
            </w:pPr>
          </w:p>
        </w:tc>
        <w:tc>
          <w:tcPr>
            <w:tcW w:w="14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380" w:type="dxa"/>
            <w:vAlign w:val="bottom"/>
            <w:shd w:val="clear" w:color="auto" w:fill="D3ECED"/>
          </w:tcPr>
          <w:p>
            <w:pPr>
              <w:spacing w:after="0"/>
              <w:rPr>
                <w:sz w:val="18"/>
                <w:szCs w:val="18"/>
                <w:color w:val="auto"/>
              </w:rPr>
            </w:pPr>
          </w:p>
        </w:tc>
        <w:tc>
          <w:tcPr>
            <w:tcW w:w="860" w:type="dxa"/>
            <w:vAlign w:val="bottom"/>
            <w:shd w:val="clear" w:color="auto" w:fill="D3ECED"/>
          </w:tcPr>
          <w:p>
            <w:pPr>
              <w:spacing w:after="0"/>
              <w:rPr>
                <w:sz w:val="18"/>
                <w:szCs w:val="18"/>
                <w:color w:val="auto"/>
              </w:rPr>
            </w:pPr>
          </w:p>
        </w:tc>
        <w:tc>
          <w:tcPr>
            <w:tcW w:w="80" w:type="dxa"/>
            <w:vAlign w:val="bottom"/>
            <w:shd w:val="clear" w:color="auto" w:fill="D3ECED"/>
          </w:tcPr>
          <w:p>
            <w:pPr>
              <w:spacing w:after="0"/>
              <w:rPr>
                <w:sz w:val="18"/>
                <w:szCs w:val="18"/>
                <w:color w:val="auto"/>
              </w:rPr>
            </w:pPr>
          </w:p>
        </w:tc>
      </w:tr>
      <w:tr>
        <w:trPr>
          <w:trHeight w:val="216"/>
        </w:trPr>
        <w:tc>
          <w:tcPr>
            <w:tcW w:w="5980" w:type="dxa"/>
            <w:vAlign w:val="bottom"/>
            <w:shd w:val="clear" w:color="auto" w:fill="D3ECED"/>
          </w:tcPr>
          <w:p>
            <w:pPr>
              <w:ind w:left="380"/>
              <w:spacing w:after="0" w:line="215" w:lineRule="exact"/>
              <w:rPr>
                <w:sz w:val="20"/>
                <w:szCs w:val="20"/>
                <w:color w:val="auto"/>
              </w:rPr>
            </w:pPr>
            <w:r>
              <w:rPr>
                <w:rFonts w:ascii="Arial" w:cs="Arial" w:eastAsia="Arial" w:hAnsi="Arial"/>
                <w:sz w:val="19"/>
                <w:szCs w:val="19"/>
                <w:color w:val="auto"/>
              </w:rPr>
              <w:t>as of December 31, 2024 and 2023; 55,083,123 and</w:t>
            </w:r>
          </w:p>
        </w:tc>
        <w:tc>
          <w:tcPr>
            <w:tcW w:w="18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80" w:type="dxa"/>
            <w:vAlign w:val="bottom"/>
            <w:shd w:val="clear" w:color="auto" w:fill="D3ECED"/>
          </w:tcPr>
          <w:p>
            <w:pPr>
              <w:spacing w:after="0"/>
              <w:rPr>
                <w:sz w:val="18"/>
                <w:szCs w:val="18"/>
                <w:color w:val="auto"/>
              </w:rPr>
            </w:pPr>
          </w:p>
        </w:tc>
        <w:tc>
          <w:tcPr>
            <w:tcW w:w="114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80" w:type="dxa"/>
            <w:vAlign w:val="bottom"/>
            <w:shd w:val="clear" w:color="auto" w:fill="D3ECED"/>
          </w:tcPr>
          <w:p>
            <w:pPr>
              <w:spacing w:after="0"/>
              <w:rPr>
                <w:sz w:val="18"/>
                <w:szCs w:val="18"/>
                <w:color w:val="auto"/>
              </w:rPr>
            </w:pPr>
          </w:p>
        </w:tc>
        <w:tc>
          <w:tcPr>
            <w:tcW w:w="14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380" w:type="dxa"/>
            <w:vAlign w:val="bottom"/>
            <w:shd w:val="clear" w:color="auto" w:fill="D3ECED"/>
          </w:tcPr>
          <w:p>
            <w:pPr>
              <w:spacing w:after="0"/>
              <w:rPr>
                <w:sz w:val="18"/>
                <w:szCs w:val="18"/>
                <w:color w:val="auto"/>
              </w:rPr>
            </w:pPr>
          </w:p>
        </w:tc>
        <w:tc>
          <w:tcPr>
            <w:tcW w:w="860" w:type="dxa"/>
            <w:vAlign w:val="bottom"/>
            <w:shd w:val="clear" w:color="auto" w:fill="D3ECED"/>
          </w:tcPr>
          <w:p>
            <w:pPr>
              <w:spacing w:after="0"/>
              <w:rPr>
                <w:sz w:val="18"/>
                <w:szCs w:val="18"/>
                <w:color w:val="auto"/>
              </w:rPr>
            </w:pPr>
          </w:p>
        </w:tc>
        <w:tc>
          <w:tcPr>
            <w:tcW w:w="80" w:type="dxa"/>
            <w:vAlign w:val="bottom"/>
            <w:shd w:val="clear" w:color="auto" w:fill="D3ECED"/>
          </w:tcPr>
          <w:p>
            <w:pPr>
              <w:spacing w:after="0"/>
              <w:rPr>
                <w:sz w:val="18"/>
                <w:szCs w:val="18"/>
                <w:color w:val="auto"/>
              </w:rPr>
            </w:pPr>
          </w:p>
        </w:tc>
      </w:tr>
      <w:tr>
        <w:trPr>
          <w:trHeight w:val="218"/>
        </w:trPr>
        <w:tc>
          <w:tcPr>
            <w:tcW w:w="5980" w:type="dxa"/>
            <w:vAlign w:val="bottom"/>
            <w:shd w:val="clear" w:color="auto" w:fill="D3ECED"/>
          </w:tcPr>
          <w:p>
            <w:pPr>
              <w:ind w:left="380"/>
              <w:spacing w:after="0"/>
              <w:rPr>
                <w:sz w:val="20"/>
                <w:szCs w:val="20"/>
                <w:color w:val="auto"/>
              </w:rPr>
            </w:pPr>
            <w:r>
              <w:rPr>
                <w:rFonts w:ascii="Arial" w:cs="Arial" w:eastAsia="Arial" w:hAnsi="Arial"/>
                <w:sz w:val="19"/>
                <w:szCs w:val="19"/>
                <w:color w:val="auto"/>
                <w:w w:val="90"/>
              </w:rPr>
              <w:t>60,253,707 shares issued and outstanding as of December 31, 2024 and</w:t>
            </w:r>
          </w:p>
        </w:tc>
        <w:tc>
          <w:tcPr>
            <w:tcW w:w="18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80" w:type="dxa"/>
            <w:vAlign w:val="bottom"/>
            <w:shd w:val="clear" w:color="auto" w:fill="D3ECED"/>
          </w:tcPr>
          <w:p>
            <w:pPr>
              <w:spacing w:after="0"/>
              <w:rPr>
                <w:sz w:val="18"/>
                <w:szCs w:val="18"/>
                <w:color w:val="auto"/>
              </w:rPr>
            </w:pPr>
          </w:p>
        </w:tc>
        <w:tc>
          <w:tcPr>
            <w:tcW w:w="114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80" w:type="dxa"/>
            <w:vAlign w:val="bottom"/>
            <w:shd w:val="clear" w:color="auto" w:fill="D3ECED"/>
          </w:tcPr>
          <w:p>
            <w:pPr>
              <w:spacing w:after="0"/>
              <w:rPr>
                <w:sz w:val="18"/>
                <w:szCs w:val="18"/>
                <w:color w:val="auto"/>
              </w:rPr>
            </w:pPr>
          </w:p>
        </w:tc>
        <w:tc>
          <w:tcPr>
            <w:tcW w:w="14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380" w:type="dxa"/>
            <w:vAlign w:val="bottom"/>
            <w:shd w:val="clear" w:color="auto" w:fill="D3ECED"/>
          </w:tcPr>
          <w:p>
            <w:pPr>
              <w:spacing w:after="0"/>
              <w:rPr>
                <w:sz w:val="18"/>
                <w:szCs w:val="18"/>
                <w:color w:val="auto"/>
              </w:rPr>
            </w:pPr>
          </w:p>
        </w:tc>
        <w:tc>
          <w:tcPr>
            <w:tcW w:w="860" w:type="dxa"/>
            <w:vAlign w:val="bottom"/>
            <w:shd w:val="clear" w:color="auto" w:fill="D3ECED"/>
          </w:tcPr>
          <w:p>
            <w:pPr>
              <w:spacing w:after="0"/>
              <w:rPr>
                <w:sz w:val="18"/>
                <w:szCs w:val="18"/>
                <w:color w:val="auto"/>
              </w:rPr>
            </w:pPr>
          </w:p>
        </w:tc>
        <w:tc>
          <w:tcPr>
            <w:tcW w:w="80" w:type="dxa"/>
            <w:vAlign w:val="bottom"/>
            <w:shd w:val="clear" w:color="auto" w:fill="D3ECED"/>
          </w:tcPr>
          <w:p>
            <w:pPr>
              <w:spacing w:after="0"/>
              <w:rPr>
                <w:sz w:val="18"/>
                <w:szCs w:val="18"/>
                <w:color w:val="auto"/>
              </w:rPr>
            </w:pPr>
          </w:p>
        </w:tc>
      </w:tr>
      <w:tr>
        <w:trPr>
          <w:trHeight w:val="236"/>
        </w:trPr>
        <w:tc>
          <w:tcPr>
            <w:tcW w:w="5980" w:type="dxa"/>
            <w:vAlign w:val="bottom"/>
            <w:shd w:val="clear" w:color="auto" w:fill="D3ECED"/>
          </w:tcPr>
          <w:p>
            <w:pPr>
              <w:ind w:left="340"/>
              <w:spacing w:after="0"/>
              <w:rPr>
                <w:sz w:val="20"/>
                <w:szCs w:val="20"/>
                <w:color w:val="auto"/>
              </w:rPr>
            </w:pPr>
            <w:r>
              <w:rPr>
                <w:rFonts w:ascii="Arial" w:cs="Arial" w:eastAsia="Arial" w:hAnsi="Arial"/>
                <w:sz w:val="19"/>
                <w:szCs w:val="19"/>
                <w:color w:val="auto"/>
              </w:rPr>
              <w:t>2023, respectively</w:t>
            </w:r>
          </w:p>
        </w:tc>
        <w:tc>
          <w:tcPr>
            <w:tcW w:w="1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w:t>
            </w: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380" w:type="dxa"/>
            <w:vAlign w:val="bottom"/>
            <w:shd w:val="clear" w:color="auto" w:fill="D3ECED"/>
          </w:tcPr>
          <w:p>
            <w:pPr>
              <w:spacing w:after="0"/>
              <w:rPr>
                <w:sz w:val="20"/>
                <w:szCs w:val="20"/>
                <w:color w:val="auto"/>
              </w:rPr>
            </w:pPr>
          </w:p>
        </w:tc>
        <w:tc>
          <w:tcPr>
            <w:tcW w:w="8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w:t>
            </w:r>
          </w:p>
        </w:tc>
        <w:tc>
          <w:tcPr>
            <w:tcW w:w="80" w:type="dxa"/>
            <w:vAlign w:val="bottom"/>
            <w:shd w:val="clear" w:color="auto" w:fill="D3ECED"/>
          </w:tcPr>
          <w:p>
            <w:pPr>
              <w:spacing w:after="0"/>
              <w:rPr>
                <w:sz w:val="20"/>
                <w:szCs w:val="20"/>
                <w:color w:val="auto"/>
              </w:rPr>
            </w:pPr>
          </w:p>
        </w:tc>
      </w:tr>
      <w:tr>
        <w:trPr>
          <w:trHeight w:val="211"/>
        </w:trPr>
        <w:tc>
          <w:tcPr>
            <w:tcW w:w="5980" w:type="dxa"/>
            <w:vAlign w:val="bottom"/>
            <w:shd w:val="clear" w:color="auto" w:fill="FDFDFD"/>
          </w:tcPr>
          <w:p>
            <w:pPr>
              <w:ind w:left="200"/>
              <w:spacing w:after="0" w:line="211" w:lineRule="exact"/>
              <w:rPr>
                <w:sz w:val="20"/>
                <w:szCs w:val="20"/>
                <w:color w:val="auto"/>
              </w:rPr>
            </w:pPr>
            <w:r>
              <w:rPr>
                <w:rFonts w:ascii="Arial" w:cs="Arial" w:eastAsia="Arial" w:hAnsi="Arial"/>
                <w:sz w:val="19"/>
                <w:szCs w:val="19"/>
                <w:color w:val="auto"/>
                <w:w w:val="93"/>
              </w:rPr>
              <w:t>Class B common stock, $0.00001 par value; 6,000,000 shares authorized</w:t>
            </w:r>
          </w:p>
        </w:tc>
        <w:tc>
          <w:tcPr>
            <w:tcW w:w="18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114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380" w:type="dxa"/>
            <w:vAlign w:val="bottom"/>
            <w:shd w:val="clear" w:color="auto" w:fill="FDFDFD"/>
          </w:tcPr>
          <w:p>
            <w:pPr>
              <w:spacing w:after="0"/>
              <w:rPr>
                <w:sz w:val="18"/>
                <w:szCs w:val="18"/>
                <w:color w:val="auto"/>
              </w:rPr>
            </w:pPr>
          </w:p>
        </w:tc>
        <w:tc>
          <w:tcPr>
            <w:tcW w:w="86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r>
      <w:tr>
        <w:trPr>
          <w:trHeight w:val="218"/>
        </w:trPr>
        <w:tc>
          <w:tcPr>
            <w:tcW w:w="5980" w:type="dxa"/>
            <w:vAlign w:val="bottom"/>
            <w:shd w:val="clear" w:color="auto" w:fill="FDFDFD"/>
          </w:tcPr>
          <w:p>
            <w:pPr>
              <w:ind w:left="340"/>
              <w:spacing w:after="0"/>
              <w:rPr>
                <w:sz w:val="20"/>
                <w:szCs w:val="20"/>
                <w:color w:val="auto"/>
              </w:rPr>
            </w:pPr>
            <w:r>
              <w:rPr>
                <w:rFonts w:ascii="Arial" w:cs="Arial" w:eastAsia="Arial" w:hAnsi="Arial"/>
                <w:sz w:val="19"/>
                <w:szCs w:val="19"/>
                <w:color w:val="auto"/>
              </w:rPr>
              <w:t>as of December 31, 2024 and 2023; 4,044,969 shares</w:t>
            </w:r>
          </w:p>
        </w:tc>
        <w:tc>
          <w:tcPr>
            <w:tcW w:w="18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114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380" w:type="dxa"/>
            <w:vAlign w:val="bottom"/>
            <w:shd w:val="clear" w:color="auto" w:fill="FDFDFD"/>
          </w:tcPr>
          <w:p>
            <w:pPr>
              <w:spacing w:after="0"/>
              <w:rPr>
                <w:sz w:val="18"/>
                <w:szCs w:val="18"/>
                <w:color w:val="auto"/>
              </w:rPr>
            </w:pPr>
          </w:p>
        </w:tc>
        <w:tc>
          <w:tcPr>
            <w:tcW w:w="86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r>
      <w:tr>
        <w:trPr>
          <w:trHeight w:val="236"/>
        </w:trPr>
        <w:tc>
          <w:tcPr>
            <w:tcW w:w="5980" w:type="dxa"/>
            <w:vAlign w:val="bottom"/>
            <w:shd w:val="clear" w:color="auto" w:fill="FDFDFD"/>
          </w:tcPr>
          <w:p>
            <w:pPr>
              <w:ind w:left="340"/>
              <w:spacing w:after="0"/>
              <w:rPr>
                <w:sz w:val="20"/>
                <w:szCs w:val="20"/>
                <w:color w:val="auto"/>
              </w:rPr>
            </w:pPr>
            <w:r>
              <w:rPr>
                <w:rFonts w:ascii="Arial" w:cs="Arial" w:eastAsia="Arial" w:hAnsi="Arial"/>
                <w:sz w:val="19"/>
                <w:szCs w:val="19"/>
                <w:color w:val="auto"/>
              </w:rPr>
              <w:t>issued and outstanding as of December 31, 2024 and 2023</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240" w:type="dxa"/>
            <w:vAlign w:val="bottom"/>
            <w:gridSpan w:val="3"/>
            <w:shd w:val="clear" w:color="auto" w:fill="FDFDFD"/>
          </w:tcPr>
          <w:p>
            <w:pPr>
              <w:jc w:val="right"/>
              <w:ind w:right="100"/>
              <w:spacing w:after="0"/>
              <w:rPr>
                <w:sz w:val="20"/>
                <w:szCs w:val="20"/>
                <w:color w:val="auto"/>
              </w:rPr>
            </w:pPr>
            <w:r>
              <w:rPr>
                <w:rFonts w:ascii="Arial" w:cs="Arial" w:eastAsia="Arial" w:hAnsi="Arial"/>
                <w:sz w:val="19"/>
                <w:szCs w:val="19"/>
                <w:color w:val="auto"/>
              </w:rPr>
              <w:t>—</w:t>
            </w: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940" w:type="dxa"/>
            <w:vAlign w:val="bottom"/>
            <w:gridSpan w:val="2"/>
            <w:shd w:val="clear" w:color="auto" w:fill="FDFDFD"/>
          </w:tcPr>
          <w:p>
            <w:pPr>
              <w:jc w:val="right"/>
              <w:ind w:right="100"/>
              <w:spacing w:after="0"/>
              <w:rPr>
                <w:sz w:val="20"/>
                <w:szCs w:val="20"/>
                <w:color w:val="auto"/>
              </w:rPr>
            </w:pPr>
            <w:r>
              <w:rPr>
                <w:rFonts w:ascii="Arial" w:cs="Arial" w:eastAsia="Arial" w:hAnsi="Arial"/>
                <w:sz w:val="19"/>
                <w:szCs w:val="19"/>
                <w:color w:val="auto"/>
              </w:rPr>
              <w:t>—</w:t>
            </w:r>
          </w:p>
        </w:tc>
      </w:tr>
      <w:tr>
        <w:trPr>
          <w:trHeight w:val="230"/>
        </w:trPr>
        <w:tc>
          <w:tcPr>
            <w:tcW w:w="5980" w:type="dxa"/>
            <w:vAlign w:val="bottom"/>
            <w:shd w:val="clear" w:color="auto" w:fill="D3ECED"/>
          </w:tcPr>
          <w:p>
            <w:pPr>
              <w:ind w:left="200"/>
              <w:spacing w:after="0"/>
              <w:rPr>
                <w:sz w:val="20"/>
                <w:szCs w:val="20"/>
                <w:color w:val="auto"/>
              </w:rPr>
            </w:pPr>
            <w:r>
              <w:rPr>
                <w:rFonts w:ascii="Arial" w:cs="Arial" w:eastAsia="Arial" w:hAnsi="Arial"/>
                <w:sz w:val="19"/>
                <w:szCs w:val="19"/>
                <w:color w:val="auto"/>
              </w:rPr>
              <w:t>Additional paid-in capital</w:t>
            </w:r>
          </w:p>
        </w:tc>
        <w:tc>
          <w:tcPr>
            <w:tcW w:w="1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719,804</w:t>
            </w: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380" w:type="dxa"/>
            <w:vAlign w:val="bottom"/>
            <w:shd w:val="clear" w:color="auto" w:fill="D3ECED"/>
          </w:tcPr>
          <w:p>
            <w:pPr>
              <w:spacing w:after="0"/>
              <w:rPr>
                <w:sz w:val="20"/>
                <w:szCs w:val="20"/>
                <w:color w:val="auto"/>
              </w:rPr>
            </w:pPr>
          </w:p>
        </w:tc>
        <w:tc>
          <w:tcPr>
            <w:tcW w:w="8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702,868</w:t>
            </w:r>
          </w:p>
        </w:tc>
        <w:tc>
          <w:tcPr>
            <w:tcW w:w="80" w:type="dxa"/>
            <w:vAlign w:val="bottom"/>
            <w:shd w:val="clear" w:color="auto" w:fill="D3ECED"/>
          </w:tcPr>
          <w:p>
            <w:pPr>
              <w:spacing w:after="0"/>
              <w:rPr>
                <w:sz w:val="20"/>
                <w:szCs w:val="20"/>
                <w:color w:val="auto"/>
              </w:rPr>
            </w:pPr>
          </w:p>
        </w:tc>
      </w:tr>
      <w:tr>
        <w:trPr>
          <w:trHeight w:val="230"/>
        </w:trPr>
        <w:tc>
          <w:tcPr>
            <w:tcW w:w="5980" w:type="dxa"/>
            <w:vAlign w:val="bottom"/>
            <w:shd w:val="clear" w:color="auto" w:fill="FDFDFD"/>
          </w:tcPr>
          <w:p>
            <w:pPr>
              <w:ind w:left="200"/>
              <w:spacing w:after="0"/>
              <w:rPr>
                <w:sz w:val="20"/>
                <w:szCs w:val="20"/>
                <w:color w:val="auto"/>
              </w:rPr>
            </w:pPr>
            <w:r>
              <w:rPr>
                <w:rFonts w:ascii="Arial" w:cs="Arial" w:eastAsia="Arial" w:hAnsi="Arial"/>
                <w:sz w:val="19"/>
                <w:szCs w:val="19"/>
                <w:color w:val="auto"/>
              </w:rPr>
              <w:t>Accumulated other comprehensive gain (loss)</w:t>
            </w: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136</w:t>
            </w: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8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(192)</w:t>
            </w:r>
          </w:p>
        </w:tc>
        <w:tc>
          <w:tcPr>
            <w:tcW w:w="80" w:type="dxa"/>
            <w:vAlign w:val="bottom"/>
            <w:shd w:val="clear" w:color="auto" w:fill="FDFDFD"/>
          </w:tcPr>
          <w:p>
            <w:pPr>
              <w:spacing w:after="0"/>
              <w:rPr>
                <w:sz w:val="20"/>
                <w:szCs w:val="20"/>
                <w:color w:val="auto"/>
              </w:rPr>
            </w:pPr>
          </w:p>
        </w:tc>
      </w:tr>
      <w:tr>
        <w:trPr>
          <w:trHeight w:val="230"/>
        </w:trPr>
        <w:tc>
          <w:tcPr>
            <w:tcW w:w="5980" w:type="dxa"/>
            <w:vAlign w:val="bottom"/>
            <w:tcBorders>
              <w:bottom w:val="single" w:sz="8" w:color="FDFDFD"/>
            </w:tcBorders>
            <w:shd w:val="clear" w:color="auto" w:fill="D3ECED"/>
          </w:tcPr>
          <w:p>
            <w:pPr>
              <w:ind w:left="200"/>
              <w:spacing w:after="0"/>
              <w:rPr>
                <w:sz w:val="20"/>
                <w:szCs w:val="20"/>
                <w:color w:val="auto"/>
              </w:rPr>
            </w:pPr>
            <w:r>
              <w:rPr>
                <w:rFonts w:ascii="Arial" w:cs="Arial" w:eastAsia="Arial" w:hAnsi="Arial"/>
                <w:sz w:val="19"/>
                <w:szCs w:val="19"/>
                <w:color w:val="auto"/>
              </w:rPr>
              <w:t>Accumulated deficit</w:t>
            </w:r>
          </w:p>
        </w:tc>
        <w:tc>
          <w:tcPr>
            <w:tcW w:w="180" w:type="dxa"/>
            <w:vAlign w:val="bottom"/>
            <w:tcBorders>
              <w:bottom w:val="single" w:sz="8" w:color="FDFDFD"/>
            </w:tcBorders>
            <w:shd w:val="clear" w:color="auto" w:fill="D3ECED"/>
          </w:tcPr>
          <w:p>
            <w:pPr>
              <w:spacing w:after="0"/>
              <w:rPr>
                <w:sz w:val="20"/>
                <w:szCs w:val="20"/>
                <w:color w:val="auto"/>
              </w:rPr>
            </w:pPr>
          </w:p>
        </w:tc>
        <w:tc>
          <w:tcPr>
            <w:tcW w:w="20" w:type="dxa"/>
            <w:vAlign w:val="bottom"/>
            <w:tcBorders>
              <w:bottom w:val="single" w:sz="8" w:color="auto"/>
            </w:tcBorders>
            <w:shd w:val="clear" w:color="auto" w:fill="D3ECED"/>
          </w:tcPr>
          <w:p>
            <w:pPr>
              <w:spacing w:after="0"/>
              <w:rPr>
                <w:sz w:val="20"/>
                <w:szCs w:val="20"/>
                <w:color w:val="auto"/>
              </w:rPr>
            </w:pPr>
          </w:p>
        </w:tc>
        <w:tc>
          <w:tcPr>
            <w:tcW w:w="80" w:type="dxa"/>
            <w:vAlign w:val="bottom"/>
            <w:tcBorders>
              <w:bottom w:val="single" w:sz="8" w:color="auto"/>
            </w:tcBorders>
            <w:shd w:val="clear" w:color="auto" w:fill="D3ECED"/>
          </w:tcPr>
          <w:p>
            <w:pPr>
              <w:spacing w:after="0"/>
              <w:rPr>
                <w:sz w:val="20"/>
                <w:szCs w:val="20"/>
                <w:color w:val="auto"/>
              </w:rPr>
            </w:pPr>
          </w:p>
        </w:tc>
        <w:tc>
          <w:tcPr>
            <w:tcW w:w="11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(392,372)</w:t>
            </w:r>
          </w:p>
        </w:tc>
        <w:tc>
          <w:tcPr>
            <w:tcW w:w="20" w:type="dxa"/>
            <w:vAlign w:val="bottom"/>
            <w:tcBorders>
              <w:bottom w:val="single" w:sz="8" w:color="auto"/>
            </w:tcBorders>
            <w:shd w:val="clear" w:color="auto" w:fill="D3ECED"/>
          </w:tcPr>
          <w:p>
            <w:pPr>
              <w:spacing w:after="0"/>
              <w:rPr>
                <w:sz w:val="20"/>
                <w:szCs w:val="20"/>
                <w:color w:val="auto"/>
              </w:rPr>
            </w:pPr>
          </w:p>
        </w:tc>
        <w:tc>
          <w:tcPr>
            <w:tcW w:w="80" w:type="dxa"/>
            <w:vAlign w:val="bottom"/>
            <w:tcBorders>
              <w:bottom w:val="single" w:sz="8" w:color="FDFDFD"/>
            </w:tcBorders>
            <w:shd w:val="clear" w:color="auto" w:fill="D3ECED"/>
          </w:tcPr>
          <w:p>
            <w:pPr>
              <w:spacing w:after="0"/>
              <w:rPr>
                <w:sz w:val="20"/>
                <w:szCs w:val="20"/>
                <w:color w:val="auto"/>
              </w:rPr>
            </w:pPr>
          </w:p>
        </w:tc>
        <w:tc>
          <w:tcPr>
            <w:tcW w:w="140" w:type="dxa"/>
            <w:vAlign w:val="bottom"/>
            <w:tcBorders>
              <w:bottom w:val="single" w:sz="8" w:color="FDFDFD"/>
            </w:tcBorders>
            <w:shd w:val="clear" w:color="auto" w:fill="D3ECED"/>
          </w:tcPr>
          <w:p>
            <w:pPr>
              <w:spacing w:after="0"/>
              <w:rPr>
                <w:sz w:val="20"/>
                <w:szCs w:val="20"/>
                <w:color w:val="auto"/>
              </w:rPr>
            </w:pPr>
          </w:p>
        </w:tc>
        <w:tc>
          <w:tcPr>
            <w:tcW w:w="20" w:type="dxa"/>
            <w:vAlign w:val="bottom"/>
            <w:tcBorders>
              <w:bottom w:val="single" w:sz="8" w:color="auto"/>
            </w:tcBorders>
            <w:shd w:val="clear" w:color="auto" w:fill="D3ECED"/>
          </w:tcPr>
          <w:p>
            <w:pPr>
              <w:spacing w:after="0"/>
              <w:rPr>
                <w:sz w:val="20"/>
                <w:szCs w:val="20"/>
                <w:color w:val="auto"/>
              </w:rPr>
            </w:pPr>
          </w:p>
        </w:tc>
        <w:tc>
          <w:tcPr>
            <w:tcW w:w="380" w:type="dxa"/>
            <w:vAlign w:val="bottom"/>
            <w:tcBorders>
              <w:bottom w:val="single" w:sz="8" w:color="auto"/>
            </w:tcBorders>
            <w:shd w:val="clear" w:color="auto" w:fill="D3ECED"/>
          </w:tcPr>
          <w:p>
            <w:pPr>
              <w:spacing w:after="0"/>
              <w:rPr>
                <w:sz w:val="20"/>
                <w:szCs w:val="20"/>
                <w:color w:val="auto"/>
              </w:rPr>
            </w:pPr>
          </w:p>
        </w:tc>
        <w:tc>
          <w:tcPr>
            <w:tcW w:w="86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(305,773)</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0"/>
        </w:trPr>
        <w:tc>
          <w:tcPr>
            <w:tcW w:w="5980" w:type="dxa"/>
            <w:vAlign w:val="bottom"/>
            <w:tcBorders>
              <w:bottom w:val="single" w:sz="8" w:color="D3ECED"/>
            </w:tcBorders>
            <w:shd w:val="clear" w:color="auto" w:fill="FDFDFD"/>
          </w:tcPr>
          <w:p>
            <w:pPr>
              <w:ind w:left="380"/>
              <w:spacing w:after="0"/>
              <w:rPr>
                <w:sz w:val="20"/>
                <w:szCs w:val="20"/>
                <w:color w:val="auto"/>
              </w:rPr>
            </w:pPr>
            <w:r>
              <w:rPr>
                <w:rFonts w:ascii="Arial" w:cs="Arial" w:eastAsia="Arial" w:hAnsi="Arial"/>
                <w:sz w:val="19"/>
                <w:szCs w:val="19"/>
                <w:color w:val="auto"/>
              </w:rPr>
              <w:t>Total stockholders’ equity</w:t>
            </w:r>
          </w:p>
        </w:tc>
        <w:tc>
          <w:tcPr>
            <w:tcW w:w="180" w:type="dxa"/>
            <w:vAlign w:val="bottom"/>
            <w:tcBorders>
              <w:bottom w:val="single" w:sz="8" w:color="D3ECED"/>
            </w:tcBorders>
            <w:shd w:val="clear" w:color="auto" w:fill="FDFDFD"/>
          </w:tcPr>
          <w:p>
            <w:pPr>
              <w:spacing w:after="0"/>
              <w:rPr>
                <w:sz w:val="19"/>
                <w:szCs w:val="19"/>
                <w:color w:val="auto"/>
              </w:rPr>
            </w:pPr>
          </w:p>
        </w:tc>
        <w:tc>
          <w:tcPr>
            <w:tcW w:w="20" w:type="dxa"/>
            <w:vAlign w:val="bottom"/>
            <w:tcBorders>
              <w:bottom w:val="single" w:sz="8" w:color="auto"/>
            </w:tcBorders>
            <w:shd w:val="clear" w:color="auto" w:fill="FDFDFD"/>
          </w:tcPr>
          <w:p>
            <w:pPr>
              <w:spacing w:after="0"/>
              <w:rPr>
                <w:sz w:val="19"/>
                <w:szCs w:val="19"/>
                <w:color w:val="auto"/>
              </w:rPr>
            </w:pPr>
          </w:p>
        </w:tc>
        <w:tc>
          <w:tcPr>
            <w:tcW w:w="80" w:type="dxa"/>
            <w:vAlign w:val="bottom"/>
            <w:tcBorders>
              <w:bottom w:val="single" w:sz="8" w:color="auto"/>
            </w:tcBorders>
            <w:shd w:val="clear" w:color="auto" w:fill="FDFDFD"/>
          </w:tcPr>
          <w:p>
            <w:pPr>
              <w:spacing w:after="0"/>
              <w:rPr>
                <w:sz w:val="19"/>
                <w:szCs w:val="19"/>
                <w:color w:val="auto"/>
              </w:rPr>
            </w:pPr>
          </w:p>
        </w:tc>
        <w:tc>
          <w:tcPr>
            <w:tcW w:w="11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327,569</w:t>
            </w:r>
          </w:p>
        </w:tc>
        <w:tc>
          <w:tcPr>
            <w:tcW w:w="20" w:type="dxa"/>
            <w:vAlign w:val="bottom"/>
            <w:tcBorders>
              <w:bottom w:val="single" w:sz="8" w:color="auto"/>
            </w:tcBorders>
            <w:shd w:val="clear" w:color="auto" w:fill="FDFDFD"/>
          </w:tcPr>
          <w:p>
            <w:pPr>
              <w:spacing w:after="0"/>
              <w:rPr>
                <w:sz w:val="19"/>
                <w:szCs w:val="19"/>
                <w:color w:val="auto"/>
              </w:rPr>
            </w:pPr>
          </w:p>
        </w:tc>
        <w:tc>
          <w:tcPr>
            <w:tcW w:w="80" w:type="dxa"/>
            <w:vAlign w:val="bottom"/>
            <w:tcBorders>
              <w:bottom w:val="single" w:sz="8" w:color="D3ECED"/>
            </w:tcBorders>
            <w:shd w:val="clear" w:color="auto" w:fill="FDFDFD"/>
          </w:tcPr>
          <w:p>
            <w:pPr>
              <w:spacing w:after="0"/>
              <w:rPr>
                <w:sz w:val="19"/>
                <w:szCs w:val="19"/>
                <w:color w:val="auto"/>
              </w:rPr>
            </w:pPr>
          </w:p>
        </w:tc>
        <w:tc>
          <w:tcPr>
            <w:tcW w:w="140" w:type="dxa"/>
            <w:vAlign w:val="bottom"/>
            <w:tcBorders>
              <w:bottom w:val="single" w:sz="8" w:color="D3ECED"/>
            </w:tcBorders>
            <w:shd w:val="clear" w:color="auto" w:fill="FDFDFD"/>
          </w:tcPr>
          <w:p>
            <w:pPr>
              <w:spacing w:after="0"/>
              <w:rPr>
                <w:sz w:val="19"/>
                <w:szCs w:val="19"/>
                <w:color w:val="auto"/>
              </w:rPr>
            </w:pPr>
          </w:p>
        </w:tc>
        <w:tc>
          <w:tcPr>
            <w:tcW w:w="20" w:type="dxa"/>
            <w:vAlign w:val="bottom"/>
            <w:tcBorders>
              <w:bottom w:val="single" w:sz="8" w:color="auto"/>
            </w:tcBorders>
            <w:shd w:val="clear" w:color="auto" w:fill="FDFDFD"/>
          </w:tcPr>
          <w:p>
            <w:pPr>
              <w:spacing w:after="0"/>
              <w:rPr>
                <w:sz w:val="19"/>
                <w:szCs w:val="19"/>
                <w:color w:val="auto"/>
              </w:rPr>
            </w:pPr>
          </w:p>
        </w:tc>
        <w:tc>
          <w:tcPr>
            <w:tcW w:w="380" w:type="dxa"/>
            <w:vAlign w:val="bottom"/>
            <w:tcBorders>
              <w:bottom w:val="single" w:sz="8" w:color="auto"/>
            </w:tcBorders>
            <w:shd w:val="clear" w:color="auto" w:fill="FDFDFD"/>
          </w:tcPr>
          <w:p>
            <w:pPr>
              <w:spacing w:after="0"/>
              <w:rPr>
                <w:sz w:val="19"/>
                <w:szCs w:val="19"/>
                <w:color w:val="auto"/>
              </w:rPr>
            </w:pPr>
          </w:p>
        </w:tc>
        <w:tc>
          <w:tcPr>
            <w:tcW w:w="86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396,904</w:t>
            </w:r>
          </w:p>
        </w:tc>
        <w:tc>
          <w:tcPr>
            <w:tcW w:w="80" w:type="dxa"/>
            <w:vAlign w:val="bottom"/>
            <w:tcBorders>
              <w:bottom w:val="single" w:sz="8" w:color="D3ECED"/>
            </w:tcBorders>
            <w:shd w:val="clear" w:color="auto" w:fill="FDFDFD"/>
          </w:tcPr>
          <w:p>
            <w:pPr>
              <w:spacing w:after="0"/>
              <w:rPr>
                <w:sz w:val="19"/>
                <w:szCs w:val="19"/>
                <w:color w:val="auto"/>
              </w:rPr>
            </w:pPr>
          </w:p>
        </w:tc>
      </w:tr>
      <w:tr>
        <w:trPr>
          <w:trHeight w:val="222"/>
        </w:trPr>
        <w:tc>
          <w:tcPr>
            <w:tcW w:w="5980" w:type="dxa"/>
            <w:vAlign w:val="bottom"/>
            <w:shd w:val="clear" w:color="auto" w:fill="D3ECED"/>
          </w:tcPr>
          <w:p>
            <w:pPr>
              <w:ind w:left="380"/>
              <w:spacing w:after="0"/>
              <w:rPr>
                <w:sz w:val="20"/>
                <w:szCs w:val="20"/>
                <w:color w:val="auto"/>
              </w:rPr>
            </w:pPr>
            <w:r>
              <w:rPr>
                <w:rFonts w:ascii="Arial" w:cs="Arial" w:eastAsia="Arial" w:hAnsi="Arial"/>
                <w:sz w:val="19"/>
                <w:szCs w:val="19"/>
                <w:color w:val="auto"/>
              </w:rPr>
              <w:t>Total liabilities and stockholders’ equity</w:t>
            </w:r>
          </w:p>
        </w:tc>
        <w:tc>
          <w:tcPr>
            <w:tcW w:w="180" w:type="dxa"/>
            <w:vAlign w:val="bottom"/>
            <w:shd w:val="clear" w:color="auto" w:fill="D3ECED"/>
          </w:tcPr>
          <w:p>
            <w:pPr>
              <w:spacing w:after="0"/>
              <w:rPr>
                <w:sz w:val="19"/>
                <w:szCs w:val="19"/>
                <w:color w:val="auto"/>
              </w:rPr>
            </w:pPr>
          </w:p>
        </w:tc>
        <w:tc>
          <w:tcPr>
            <w:tcW w:w="20" w:type="dxa"/>
            <w:vAlign w:val="bottom"/>
            <w:shd w:val="clear" w:color="auto" w:fill="D3ECED"/>
          </w:tcPr>
          <w:p>
            <w:pPr>
              <w:spacing w:after="0"/>
              <w:rPr>
                <w:sz w:val="19"/>
                <w:szCs w:val="19"/>
                <w:color w:val="auto"/>
              </w:rPr>
            </w:pPr>
          </w:p>
        </w:tc>
        <w:tc>
          <w:tcPr>
            <w:tcW w:w="80" w:type="dxa"/>
            <w:vAlign w:val="bottom"/>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366,597</w:t>
            </w:r>
          </w:p>
        </w:tc>
        <w:tc>
          <w:tcPr>
            <w:tcW w:w="2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c>
          <w:tcPr>
            <w:tcW w:w="140" w:type="dxa"/>
            <w:vAlign w:val="bottom"/>
            <w:shd w:val="clear" w:color="auto" w:fill="D3ECED"/>
          </w:tcPr>
          <w:p>
            <w:pPr>
              <w:spacing w:after="0"/>
              <w:rPr>
                <w:sz w:val="19"/>
                <w:szCs w:val="19"/>
                <w:color w:val="auto"/>
              </w:rPr>
            </w:pPr>
          </w:p>
        </w:tc>
        <w:tc>
          <w:tcPr>
            <w:tcW w:w="20" w:type="dxa"/>
            <w:vAlign w:val="bottom"/>
            <w:shd w:val="clear" w:color="auto" w:fill="D3ECED"/>
          </w:tcPr>
          <w:p>
            <w:pPr>
              <w:spacing w:after="0"/>
              <w:rPr>
                <w:sz w:val="19"/>
                <w:szCs w:val="19"/>
                <w:color w:val="auto"/>
              </w:rPr>
            </w:pPr>
          </w:p>
        </w:tc>
        <w:tc>
          <w:tcPr>
            <w:tcW w:w="380" w:type="dxa"/>
            <w:vAlign w:val="bottom"/>
            <w:shd w:val="clear" w:color="auto" w:fill="D3ECED"/>
          </w:tcPr>
          <w:p>
            <w:pPr>
              <w:jc w:val="right"/>
              <w:ind w:right="226"/>
              <w:spacing w:after="0"/>
              <w:rPr>
                <w:sz w:val="20"/>
                <w:szCs w:val="20"/>
                <w:color w:val="auto"/>
              </w:rPr>
            </w:pPr>
            <w:r>
              <w:rPr>
                <w:rFonts w:ascii="Arial" w:cs="Arial" w:eastAsia="Arial" w:hAnsi="Arial"/>
                <w:sz w:val="15"/>
                <w:szCs w:val="15"/>
                <w:color w:val="auto"/>
                <w:w w:val="71"/>
                <w:shd w:val="clear" w:color="auto" w:fill="D3ECED"/>
              </w:rPr>
              <w:t>$</w:t>
            </w:r>
          </w:p>
        </w:tc>
        <w:tc>
          <w:tcPr>
            <w:tcW w:w="8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436,269</w:t>
            </w:r>
          </w:p>
        </w:tc>
        <w:tc>
          <w:tcPr>
            <w:tcW w:w="80" w:type="dxa"/>
            <w:vAlign w:val="bottom"/>
            <w:shd w:val="clear" w:color="auto" w:fill="D3ECE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-4107815</wp:posOffset>
            </wp:positionV>
            <wp:extent cx="1763395" cy="533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68">
                      <a:extLst>
                        <a:ext uri="{28A0092B-C50C-407E-A947-70E740481C1C}"/>
                      </a:extLst>
                    </a:blip>
                    <a:srcRect/>
                    <a:stretch>
                      <a:fillRect/>
                    </a:stretch>
                  </pic:blipFill>
                  <pic:spPr bwMode="auto">
                    <a:xfrm>
                      <a:off x="0" y="0"/>
                      <a:ext cx="1763395" cy="5334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-13335</wp:posOffset>
            </wp:positionV>
            <wp:extent cx="1763395" cy="533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69">
                      <a:extLst>
                        <a:ext uri="{28A0092B-C50C-407E-A947-70E740481C1C}"/>
                      </a:extLst>
                    </a:blip>
                    <a:srcRect/>
                    <a:stretch>
                      <a:fillRect/>
                    </a:stretch>
                  </pic:blipFill>
                  <pic:spPr bwMode="auto">
                    <a:xfrm>
                      <a:off x="0" y="0"/>
                      <a:ext cx="1763395" cy="53340"/>
                    </a:xfrm>
                    <a:prstGeom prst="rect">
                      <a:avLst/>
                    </a:prstGeom>
                    <a:noFill/>
                  </pic:spPr>
                </pic:pic>
              </a:graphicData>
            </a:graphic>
          </wp:anchor>
        </w:drawing>
      </w:r>
    </w:p>
    <w:p>
      <w:pPr>
        <w:spacing w:after="0" w:line="200"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106</w:t>
      </w:r>
    </w:p>
    <w:p>
      <w:pPr>
        <w:sectPr>
          <w:pgSz w:w="12240" w:h="15840" w:orient="portrait"/>
          <w:cols w:equalWidth="0" w:num="1">
            <w:col w:w="9360"/>
          </w:cols>
          <w:pgMar w:left="1440" w:top="1440" w:right="1440" w:bottom="610" w:gutter="0" w:footer="0" w:header="0"/>
          <w:type w:val="continuous"/>
        </w:sectPr>
      </w:pPr>
    </w:p>
    <w:bookmarkStart w:id="113" w:name="page114"/>
    <w:bookmarkEnd w:id="113"/>
    <w:p>
      <w:pPr>
        <w:spacing w:after="0" w:line="350"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SEER, INC.</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Consolidated Statements of Operations and Comprehensive Loss</w:t>
      </w:r>
    </w:p>
    <w:p>
      <w:pPr>
        <w:jc w:val="center"/>
        <w:ind w:right="140"/>
        <w:spacing w:after="0"/>
        <w:rPr>
          <w:sz w:val="20"/>
          <w:szCs w:val="20"/>
          <w:color w:val="auto"/>
        </w:rPr>
      </w:pPr>
      <w:r>
        <w:rPr>
          <w:rFonts w:ascii="Arial" w:cs="Arial" w:eastAsia="Arial" w:hAnsi="Arial"/>
          <w:sz w:val="19"/>
          <w:szCs w:val="19"/>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122555</wp:posOffset>
            </wp:positionV>
            <wp:extent cx="5726430" cy="269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70">
                      <a:extLst>
                        <a:ext uri="{28A0092B-C50C-407E-A947-70E740481C1C}"/>
                      </a:extLst>
                    </a:blip>
                    <a:srcRect/>
                    <a:stretch>
                      <a:fillRect/>
                    </a:stretch>
                  </pic:blipFill>
                  <pic:spPr bwMode="auto">
                    <a:xfrm>
                      <a:off x="0" y="0"/>
                      <a:ext cx="5726430" cy="269240"/>
                    </a:xfrm>
                    <a:prstGeom prst="rect">
                      <a:avLst/>
                    </a:prstGeom>
                    <a:noFill/>
                  </pic:spPr>
                </pic:pic>
              </a:graphicData>
            </a:graphic>
          </wp:anchor>
        </w:drawing>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020" w:type="dxa"/>
            <w:vAlign w:val="bottom"/>
            <w:tcBorders>
              <w:bottom w:val="single" w:sz="8" w:color="FDFDFD"/>
              <w:right w:val="single" w:sz="8" w:color="FDFDFD"/>
            </w:tcBorders>
            <w:shd w:val="clear" w:color="auto" w:fill="FDFDFD"/>
          </w:tcPr>
          <w:p>
            <w:pPr>
              <w:spacing w:after="0"/>
              <w:rPr>
                <w:sz w:val="16"/>
                <w:szCs w:val="16"/>
                <w:color w:val="auto"/>
              </w:rPr>
            </w:pPr>
          </w:p>
        </w:tc>
        <w:tc>
          <w:tcPr>
            <w:tcW w:w="80" w:type="dxa"/>
            <w:vAlign w:val="bottom"/>
            <w:tcBorders>
              <w:bottom w:val="single" w:sz="8" w:color="auto"/>
            </w:tcBorders>
            <w:shd w:val="clear" w:color="auto" w:fill="FDFDFD"/>
          </w:tcPr>
          <w:p>
            <w:pPr>
              <w:spacing w:after="0"/>
              <w:rPr>
                <w:sz w:val="16"/>
                <w:szCs w:val="16"/>
                <w:color w:val="auto"/>
              </w:rPr>
            </w:pPr>
          </w:p>
        </w:tc>
        <w:tc>
          <w:tcPr>
            <w:tcW w:w="2820" w:type="dxa"/>
            <w:vAlign w:val="bottom"/>
            <w:tcBorders>
              <w:bottom w:val="single" w:sz="8" w:color="auto"/>
            </w:tcBorders>
            <w:gridSpan w:val="7"/>
            <w:shd w:val="clear" w:color="auto" w:fill="FDFDFD"/>
          </w:tcPr>
          <w:p>
            <w:pPr>
              <w:ind w:left="500"/>
              <w:spacing w:after="0"/>
              <w:rPr>
                <w:sz w:val="20"/>
                <w:szCs w:val="20"/>
                <w:color w:val="auto"/>
              </w:rPr>
            </w:pPr>
            <w:r>
              <w:rPr>
                <w:rFonts w:ascii="Arial" w:cs="Arial" w:eastAsia="Arial" w:hAnsi="Arial"/>
                <w:sz w:val="15"/>
                <w:szCs w:val="15"/>
                <w:b w:val="1"/>
                <w:bCs w:val="1"/>
                <w:color w:val="auto"/>
              </w:rPr>
              <w:t>Year Ended December 31,</w:t>
            </w:r>
          </w:p>
        </w:tc>
        <w:tc>
          <w:tcPr>
            <w:tcW w:w="60" w:type="dxa"/>
            <w:vAlign w:val="bottom"/>
            <w:tcBorders>
              <w:bottom w:val="single" w:sz="8" w:color="FDFDFD"/>
            </w:tcBorders>
          </w:tcPr>
          <w:p>
            <w:pPr>
              <w:spacing w:after="0"/>
              <w:rPr>
                <w:sz w:val="16"/>
                <w:szCs w:val="16"/>
                <w:color w:val="auto"/>
              </w:rPr>
            </w:pPr>
          </w:p>
        </w:tc>
      </w:tr>
      <w:tr>
        <w:trPr>
          <w:trHeight w:val="174"/>
        </w:trPr>
        <w:tc>
          <w:tcPr>
            <w:tcW w:w="6020" w:type="dxa"/>
            <w:vAlign w:val="bottom"/>
            <w:tcBorders>
              <w:bottom w:val="single" w:sz="8" w:color="D3ECED"/>
              <w:right w:val="single" w:sz="8" w:color="FDFDFD"/>
            </w:tcBorders>
          </w:tcPr>
          <w:p>
            <w:pPr>
              <w:spacing w:after="0"/>
              <w:rPr>
                <w:sz w:val="15"/>
                <w:szCs w:val="15"/>
                <w:color w:val="auto"/>
              </w:rPr>
            </w:pPr>
          </w:p>
        </w:tc>
        <w:tc>
          <w:tcPr>
            <w:tcW w:w="80" w:type="dxa"/>
            <w:vAlign w:val="bottom"/>
            <w:tcBorders>
              <w:bottom w:val="single" w:sz="8" w:color="auto"/>
            </w:tcBorders>
            <w:shd w:val="clear" w:color="auto" w:fill="FDFDFD"/>
          </w:tcPr>
          <w:p>
            <w:pPr>
              <w:spacing w:after="0"/>
              <w:rPr>
                <w:sz w:val="15"/>
                <w:szCs w:val="15"/>
                <w:color w:val="auto"/>
              </w:rPr>
            </w:pPr>
          </w:p>
        </w:tc>
        <w:tc>
          <w:tcPr>
            <w:tcW w:w="1220" w:type="dxa"/>
            <w:vAlign w:val="bottom"/>
            <w:tcBorders>
              <w:bottom w:val="single" w:sz="8" w:color="auto"/>
            </w:tcBorders>
            <w:shd w:val="clear" w:color="auto" w:fill="FDFDFD"/>
          </w:tcPr>
          <w:p>
            <w:pPr>
              <w:jc w:val="right"/>
              <w:ind w:right="427"/>
              <w:spacing w:after="0"/>
              <w:rPr>
                <w:sz w:val="20"/>
                <w:szCs w:val="20"/>
                <w:color w:val="auto"/>
              </w:rPr>
            </w:pPr>
            <w:r>
              <w:rPr>
                <w:rFonts w:ascii="Arial" w:cs="Arial" w:eastAsia="Arial" w:hAnsi="Arial"/>
                <w:sz w:val="15"/>
                <w:szCs w:val="15"/>
                <w:b w:val="1"/>
                <w:bCs w:val="1"/>
                <w:color w:val="auto"/>
              </w:rPr>
              <w:t>2024</w:t>
            </w:r>
          </w:p>
        </w:tc>
        <w:tc>
          <w:tcPr>
            <w:tcW w:w="20" w:type="dxa"/>
            <w:vAlign w:val="bottom"/>
            <w:tcBorders>
              <w:bottom w:val="single" w:sz="8" w:color="auto"/>
            </w:tcBorders>
            <w:shd w:val="clear" w:color="auto" w:fill="FDFDFD"/>
          </w:tcPr>
          <w:p>
            <w:pPr>
              <w:spacing w:after="0"/>
              <w:rPr>
                <w:sz w:val="15"/>
                <w:szCs w:val="15"/>
                <w:color w:val="auto"/>
              </w:rPr>
            </w:pPr>
          </w:p>
        </w:tc>
        <w:tc>
          <w:tcPr>
            <w:tcW w:w="220" w:type="dxa"/>
            <w:vAlign w:val="bottom"/>
            <w:tcBorders>
              <w:bottom w:val="single" w:sz="8" w:color="D3ECED"/>
            </w:tcBorders>
            <w:shd w:val="clear" w:color="auto" w:fill="FDFDFD"/>
          </w:tcPr>
          <w:p>
            <w:pPr>
              <w:spacing w:after="0"/>
              <w:rPr>
                <w:sz w:val="15"/>
                <w:szCs w:val="15"/>
                <w:color w:val="auto"/>
              </w:rPr>
            </w:pPr>
          </w:p>
        </w:tc>
        <w:tc>
          <w:tcPr>
            <w:tcW w:w="20" w:type="dxa"/>
            <w:vAlign w:val="bottom"/>
            <w:tcBorders>
              <w:bottom w:val="single" w:sz="8" w:color="auto"/>
            </w:tcBorders>
            <w:shd w:val="clear" w:color="auto" w:fill="FDFDFD"/>
          </w:tcPr>
          <w:p>
            <w:pPr>
              <w:spacing w:after="0"/>
              <w:rPr>
                <w:sz w:val="15"/>
                <w:szCs w:val="15"/>
                <w:color w:val="auto"/>
              </w:rPr>
            </w:pPr>
          </w:p>
        </w:tc>
        <w:tc>
          <w:tcPr>
            <w:tcW w:w="80" w:type="dxa"/>
            <w:vAlign w:val="bottom"/>
            <w:tcBorders>
              <w:bottom w:val="single" w:sz="8" w:color="auto"/>
            </w:tcBorders>
            <w:shd w:val="clear" w:color="auto" w:fill="FDFDFD"/>
          </w:tcPr>
          <w:p>
            <w:pPr>
              <w:spacing w:after="0"/>
              <w:rPr>
                <w:sz w:val="15"/>
                <w:szCs w:val="15"/>
                <w:color w:val="auto"/>
              </w:rPr>
            </w:pPr>
          </w:p>
        </w:tc>
        <w:tc>
          <w:tcPr>
            <w:tcW w:w="1240" w:type="dxa"/>
            <w:vAlign w:val="bottom"/>
            <w:tcBorders>
              <w:bottom w:val="single" w:sz="8" w:color="auto"/>
            </w:tcBorders>
            <w:shd w:val="clear" w:color="auto" w:fill="FDFDFD"/>
          </w:tcPr>
          <w:p>
            <w:pPr>
              <w:jc w:val="right"/>
              <w:ind w:right="426"/>
              <w:spacing w:after="0"/>
              <w:rPr>
                <w:sz w:val="20"/>
                <w:szCs w:val="20"/>
                <w:color w:val="auto"/>
              </w:rPr>
            </w:pPr>
            <w:r>
              <w:rPr>
                <w:rFonts w:ascii="Arial" w:cs="Arial" w:eastAsia="Arial" w:hAnsi="Arial"/>
                <w:sz w:val="15"/>
                <w:szCs w:val="15"/>
                <w:b w:val="1"/>
                <w:bCs w:val="1"/>
                <w:color w:val="auto"/>
              </w:rPr>
              <w:t>2023</w:t>
            </w:r>
          </w:p>
        </w:tc>
        <w:tc>
          <w:tcPr>
            <w:tcW w:w="20" w:type="dxa"/>
            <w:vAlign w:val="bottom"/>
            <w:tcBorders>
              <w:bottom w:val="single" w:sz="8" w:color="auto"/>
            </w:tcBorders>
            <w:shd w:val="clear" w:color="auto" w:fill="FDFDFD"/>
          </w:tcPr>
          <w:p>
            <w:pPr>
              <w:spacing w:after="0"/>
              <w:rPr>
                <w:sz w:val="15"/>
                <w:szCs w:val="15"/>
                <w:color w:val="auto"/>
              </w:rPr>
            </w:pPr>
          </w:p>
        </w:tc>
        <w:tc>
          <w:tcPr>
            <w:tcW w:w="60" w:type="dxa"/>
            <w:vAlign w:val="bottom"/>
            <w:tcBorders>
              <w:bottom w:val="single" w:sz="8" w:color="D3ECED"/>
            </w:tcBorders>
            <w:shd w:val="clear" w:color="auto" w:fill="FDFDFD"/>
          </w:tcPr>
          <w:p>
            <w:pPr>
              <w:spacing w:after="0"/>
              <w:rPr>
                <w:sz w:val="15"/>
                <w:szCs w:val="15"/>
                <w:color w:val="auto"/>
              </w:rPr>
            </w:pPr>
          </w:p>
        </w:tc>
      </w:tr>
      <w:tr>
        <w:trPr>
          <w:trHeight w:val="220"/>
        </w:trPr>
        <w:tc>
          <w:tcPr>
            <w:tcW w:w="6020" w:type="dxa"/>
            <w:vAlign w:val="bottom"/>
            <w:tcBorders>
              <w:right w:val="single" w:sz="8" w:color="D3ECED"/>
            </w:tcBorders>
            <w:shd w:val="clear" w:color="auto" w:fill="D3ECED"/>
          </w:tcPr>
          <w:p>
            <w:pPr>
              <w:spacing w:after="0"/>
              <w:rPr>
                <w:sz w:val="20"/>
                <w:szCs w:val="20"/>
                <w:color w:val="auto"/>
              </w:rPr>
            </w:pPr>
            <w:r>
              <w:rPr>
                <w:rFonts w:ascii="Arial" w:cs="Arial" w:eastAsia="Arial" w:hAnsi="Arial"/>
                <w:sz w:val="19"/>
                <w:szCs w:val="19"/>
                <w:color w:val="auto"/>
              </w:rPr>
              <w:t>Revenue:</w:t>
            </w:r>
          </w:p>
        </w:tc>
        <w:tc>
          <w:tcPr>
            <w:tcW w:w="80" w:type="dxa"/>
            <w:vAlign w:val="bottom"/>
            <w:shd w:val="clear" w:color="auto" w:fill="D3ECED"/>
          </w:tcPr>
          <w:p>
            <w:pPr>
              <w:spacing w:after="0"/>
              <w:rPr>
                <w:sz w:val="19"/>
                <w:szCs w:val="19"/>
                <w:color w:val="auto"/>
              </w:rPr>
            </w:pPr>
          </w:p>
        </w:tc>
        <w:tc>
          <w:tcPr>
            <w:tcW w:w="1220" w:type="dxa"/>
            <w:vAlign w:val="bottom"/>
            <w:shd w:val="clear" w:color="auto" w:fill="D3ECED"/>
          </w:tcPr>
          <w:p>
            <w:pPr>
              <w:spacing w:after="0"/>
              <w:rPr>
                <w:sz w:val="19"/>
                <w:szCs w:val="19"/>
                <w:color w:val="auto"/>
              </w:rPr>
            </w:pPr>
          </w:p>
        </w:tc>
        <w:tc>
          <w:tcPr>
            <w:tcW w:w="20" w:type="dxa"/>
            <w:vAlign w:val="bottom"/>
            <w:shd w:val="clear" w:color="auto" w:fill="D3ECED"/>
          </w:tcPr>
          <w:p>
            <w:pPr>
              <w:spacing w:after="0"/>
              <w:rPr>
                <w:sz w:val="19"/>
                <w:szCs w:val="19"/>
                <w:color w:val="auto"/>
              </w:rPr>
            </w:pPr>
          </w:p>
        </w:tc>
        <w:tc>
          <w:tcPr>
            <w:tcW w:w="220" w:type="dxa"/>
            <w:vAlign w:val="bottom"/>
            <w:shd w:val="clear" w:color="auto" w:fill="D3ECED"/>
          </w:tcPr>
          <w:p>
            <w:pPr>
              <w:spacing w:after="0"/>
              <w:rPr>
                <w:sz w:val="19"/>
                <w:szCs w:val="19"/>
                <w:color w:val="auto"/>
              </w:rPr>
            </w:pPr>
          </w:p>
        </w:tc>
        <w:tc>
          <w:tcPr>
            <w:tcW w:w="2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c>
          <w:tcPr>
            <w:tcW w:w="1240" w:type="dxa"/>
            <w:vAlign w:val="bottom"/>
            <w:shd w:val="clear" w:color="auto" w:fill="D3ECED"/>
          </w:tcPr>
          <w:p>
            <w:pPr>
              <w:spacing w:after="0"/>
              <w:rPr>
                <w:sz w:val="19"/>
                <w:szCs w:val="19"/>
                <w:color w:val="auto"/>
              </w:rPr>
            </w:pPr>
          </w:p>
        </w:tc>
        <w:tc>
          <w:tcPr>
            <w:tcW w:w="20" w:type="dxa"/>
            <w:vAlign w:val="bottom"/>
            <w:shd w:val="clear" w:color="auto" w:fill="D3ECED"/>
          </w:tcPr>
          <w:p>
            <w:pPr>
              <w:spacing w:after="0"/>
              <w:rPr>
                <w:sz w:val="19"/>
                <w:szCs w:val="19"/>
                <w:color w:val="auto"/>
              </w:rPr>
            </w:pPr>
          </w:p>
        </w:tc>
        <w:tc>
          <w:tcPr>
            <w:tcW w:w="60" w:type="dxa"/>
            <w:vAlign w:val="bottom"/>
            <w:shd w:val="clear" w:color="auto" w:fill="D3ECED"/>
          </w:tcPr>
          <w:p>
            <w:pPr>
              <w:spacing w:after="0"/>
              <w:rPr>
                <w:sz w:val="19"/>
                <w:szCs w:val="19"/>
                <w:color w:val="auto"/>
              </w:rPr>
            </w:pPr>
          </w:p>
        </w:tc>
      </w:tr>
      <w:tr>
        <w:trPr>
          <w:trHeight w:val="230"/>
        </w:trPr>
        <w:tc>
          <w:tcPr>
            <w:tcW w:w="6020" w:type="dxa"/>
            <w:vAlign w:val="bottom"/>
            <w:tcBorders>
              <w:right w:val="single" w:sz="8" w:color="FDFDFD"/>
            </w:tcBorders>
            <w:shd w:val="clear" w:color="auto" w:fill="FDFDFD"/>
          </w:tcPr>
          <w:p>
            <w:pPr>
              <w:ind w:left="200"/>
              <w:spacing w:after="0"/>
              <w:rPr>
                <w:sz w:val="20"/>
                <w:szCs w:val="20"/>
                <w:color w:val="auto"/>
              </w:rPr>
            </w:pPr>
            <w:r>
              <w:rPr>
                <w:rFonts w:ascii="Arial" w:cs="Arial" w:eastAsia="Arial" w:hAnsi="Arial"/>
                <w:sz w:val="19"/>
                <w:szCs w:val="19"/>
                <w:color w:val="auto"/>
              </w:rPr>
              <w:t>Product</w:t>
            </w:r>
          </w:p>
        </w:tc>
        <w:tc>
          <w:tcPr>
            <w:tcW w:w="80" w:type="dxa"/>
            <w:vAlign w:val="bottom"/>
            <w:shd w:val="clear" w:color="auto" w:fill="FDFDFD"/>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8,695</w:t>
            </w:r>
          </w:p>
        </w:tc>
        <w:tc>
          <w:tcPr>
            <w:tcW w:w="20" w:type="dxa"/>
            <w:vAlign w:val="bottom"/>
            <w:shd w:val="clear" w:color="auto" w:fill="FDFDFD"/>
          </w:tcPr>
          <w:p>
            <w:pPr>
              <w:spacing w:after="0"/>
              <w:rPr>
                <w:sz w:val="20"/>
                <w:szCs w:val="20"/>
                <w:color w:val="auto"/>
              </w:rPr>
            </w:pPr>
          </w:p>
        </w:tc>
        <w:tc>
          <w:tcPr>
            <w:tcW w:w="22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8,506</w:t>
            </w:r>
          </w:p>
        </w:tc>
        <w:tc>
          <w:tcPr>
            <w:tcW w:w="20" w:type="dxa"/>
            <w:vAlign w:val="bottom"/>
            <w:shd w:val="clear" w:color="auto" w:fill="FDFDFD"/>
          </w:tcPr>
          <w:p>
            <w:pPr>
              <w:spacing w:after="0"/>
              <w:rPr>
                <w:sz w:val="20"/>
                <w:szCs w:val="20"/>
                <w:color w:val="auto"/>
              </w:rPr>
            </w:pPr>
          </w:p>
        </w:tc>
        <w:tc>
          <w:tcPr>
            <w:tcW w:w="60" w:type="dxa"/>
            <w:vAlign w:val="bottom"/>
            <w:shd w:val="clear" w:color="auto" w:fill="FDFDFD"/>
          </w:tcPr>
          <w:p>
            <w:pPr>
              <w:spacing w:after="0"/>
              <w:rPr>
                <w:sz w:val="20"/>
                <w:szCs w:val="20"/>
                <w:color w:val="auto"/>
              </w:rPr>
            </w:pPr>
          </w:p>
        </w:tc>
      </w:tr>
      <w:tr>
        <w:trPr>
          <w:trHeight w:val="230"/>
        </w:trPr>
        <w:tc>
          <w:tcPr>
            <w:tcW w:w="6020" w:type="dxa"/>
            <w:vAlign w:val="bottom"/>
            <w:tcBorders>
              <w:right w:val="single" w:sz="8" w:color="D3ECED"/>
            </w:tcBorders>
            <w:shd w:val="clear" w:color="auto" w:fill="D3ECED"/>
          </w:tcPr>
          <w:p>
            <w:pPr>
              <w:ind w:left="200"/>
              <w:spacing w:after="0"/>
              <w:rPr>
                <w:sz w:val="20"/>
                <w:szCs w:val="20"/>
                <w:color w:val="auto"/>
              </w:rPr>
            </w:pPr>
            <w:r>
              <w:rPr>
                <w:rFonts w:ascii="Arial" w:cs="Arial" w:eastAsia="Arial" w:hAnsi="Arial"/>
                <w:sz w:val="19"/>
                <w:szCs w:val="19"/>
                <w:color w:val="auto"/>
              </w:rPr>
              <w:t>Service</w:t>
            </w:r>
          </w:p>
        </w:tc>
        <w:tc>
          <w:tcPr>
            <w:tcW w:w="80" w:type="dxa"/>
            <w:vAlign w:val="bottom"/>
            <w:shd w:val="clear" w:color="auto" w:fill="D3ECED"/>
          </w:tcPr>
          <w:p>
            <w:pPr>
              <w:spacing w:after="0"/>
              <w:rPr>
                <w:sz w:val="20"/>
                <w:szCs w:val="20"/>
                <w:color w:val="auto"/>
              </w:rPr>
            </w:pPr>
          </w:p>
        </w:tc>
        <w:tc>
          <w:tcPr>
            <w:tcW w:w="12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2,960</w:t>
            </w:r>
          </w:p>
        </w:tc>
        <w:tc>
          <w:tcPr>
            <w:tcW w:w="20" w:type="dxa"/>
            <w:vAlign w:val="bottom"/>
            <w:shd w:val="clear" w:color="auto" w:fill="D3ECED"/>
          </w:tcPr>
          <w:p>
            <w:pPr>
              <w:spacing w:after="0"/>
              <w:rPr>
                <w:sz w:val="20"/>
                <w:szCs w:val="20"/>
                <w:color w:val="auto"/>
              </w:rPr>
            </w:pPr>
          </w:p>
        </w:tc>
        <w:tc>
          <w:tcPr>
            <w:tcW w:w="22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2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2,016</w:t>
            </w:r>
          </w:p>
        </w:tc>
        <w:tc>
          <w:tcPr>
            <w:tcW w:w="20" w:type="dxa"/>
            <w:vAlign w:val="bottom"/>
            <w:shd w:val="clear" w:color="auto" w:fill="D3ECED"/>
          </w:tcPr>
          <w:p>
            <w:pPr>
              <w:spacing w:after="0"/>
              <w:rPr>
                <w:sz w:val="20"/>
                <w:szCs w:val="20"/>
                <w:color w:val="auto"/>
              </w:rPr>
            </w:pPr>
          </w:p>
        </w:tc>
        <w:tc>
          <w:tcPr>
            <w:tcW w:w="60" w:type="dxa"/>
            <w:vAlign w:val="bottom"/>
            <w:shd w:val="clear" w:color="auto" w:fill="D3ECED"/>
          </w:tcPr>
          <w:p>
            <w:pPr>
              <w:spacing w:after="0"/>
              <w:rPr>
                <w:sz w:val="20"/>
                <w:szCs w:val="20"/>
                <w:color w:val="auto"/>
              </w:rPr>
            </w:pPr>
          </w:p>
        </w:tc>
      </w:tr>
      <w:tr>
        <w:trPr>
          <w:trHeight w:val="230"/>
        </w:trPr>
        <w:tc>
          <w:tcPr>
            <w:tcW w:w="6020" w:type="dxa"/>
            <w:vAlign w:val="bottom"/>
            <w:tcBorders>
              <w:right w:val="single" w:sz="8" w:color="FDFDFD"/>
            </w:tcBorders>
            <w:shd w:val="clear" w:color="auto" w:fill="FDFDFD"/>
          </w:tcPr>
          <w:p>
            <w:pPr>
              <w:ind w:left="200"/>
              <w:spacing w:after="0"/>
              <w:rPr>
                <w:sz w:val="20"/>
                <w:szCs w:val="20"/>
                <w:color w:val="auto"/>
              </w:rPr>
            </w:pPr>
            <w:r>
              <w:rPr>
                <w:rFonts w:ascii="Arial" w:cs="Arial" w:eastAsia="Arial" w:hAnsi="Arial"/>
                <w:sz w:val="19"/>
                <w:szCs w:val="19"/>
                <w:color w:val="auto"/>
              </w:rPr>
              <w:t>Related party</w:t>
            </w:r>
          </w:p>
        </w:tc>
        <w:tc>
          <w:tcPr>
            <w:tcW w:w="80" w:type="dxa"/>
            <w:vAlign w:val="bottom"/>
            <w:shd w:val="clear" w:color="auto" w:fill="FDFDFD"/>
          </w:tcPr>
          <w:p>
            <w:pPr>
              <w:spacing w:after="0"/>
              <w:rPr>
                <w:sz w:val="20"/>
                <w:szCs w:val="20"/>
                <w:color w:val="auto"/>
              </w:rPr>
            </w:pPr>
          </w:p>
        </w:tc>
        <w:tc>
          <w:tcPr>
            <w:tcW w:w="12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2,292</w:t>
            </w:r>
          </w:p>
        </w:tc>
        <w:tc>
          <w:tcPr>
            <w:tcW w:w="20" w:type="dxa"/>
            <w:vAlign w:val="bottom"/>
            <w:shd w:val="clear" w:color="auto" w:fill="FDFDFD"/>
          </w:tcPr>
          <w:p>
            <w:pPr>
              <w:spacing w:after="0"/>
              <w:rPr>
                <w:sz w:val="20"/>
                <w:szCs w:val="20"/>
                <w:color w:val="auto"/>
              </w:rPr>
            </w:pPr>
          </w:p>
        </w:tc>
        <w:tc>
          <w:tcPr>
            <w:tcW w:w="22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2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4,660</w:t>
            </w:r>
          </w:p>
        </w:tc>
        <w:tc>
          <w:tcPr>
            <w:tcW w:w="20" w:type="dxa"/>
            <w:vAlign w:val="bottom"/>
            <w:shd w:val="clear" w:color="auto" w:fill="FDFDFD"/>
          </w:tcPr>
          <w:p>
            <w:pPr>
              <w:spacing w:after="0"/>
              <w:rPr>
                <w:sz w:val="20"/>
                <w:szCs w:val="20"/>
                <w:color w:val="auto"/>
              </w:rPr>
            </w:pPr>
          </w:p>
        </w:tc>
        <w:tc>
          <w:tcPr>
            <w:tcW w:w="60" w:type="dxa"/>
            <w:vAlign w:val="bottom"/>
            <w:shd w:val="clear" w:color="auto" w:fill="FDFDFD"/>
          </w:tcPr>
          <w:p>
            <w:pPr>
              <w:spacing w:after="0"/>
              <w:rPr>
                <w:sz w:val="20"/>
                <w:szCs w:val="20"/>
                <w:color w:val="auto"/>
              </w:rPr>
            </w:pPr>
          </w:p>
        </w:tc>
      </w:tr>
      <w:tr>
        <w:trPr>
          <w:trHeight w:val="230"/>
        </w:trPr>
        <w:tc>
          <w:tcPr>
            <w:tcW w:w="6020" w:type="dxa"/>
            <w:vAlign w:val="bottom"/>
            <w:tcBorders>
              <w:bottom w:val="single" w:sz="8" w:color="FDFDFD"/>
              <w:right w:val="single" w:sz="8" w:color="D3ECED"/>
            </w:tcBorders>
            <w:shd w:val="clear" w:color="auto" w:fill="D3ECED"/>
          </w:tcPr>
          <w:p>
            <w:pPr>
              <w:ind w:left="200"/>
              <w:spacing w:after="0"/>
              <w:rPr>
                <w:sz w:val="20"/>
                <w:szCs w:val="20"/>
                <w:color w:val="auto"/>
              </w:rPr>
            </w:pPr>
            <w:r>
              <w:rPr>
                <w:rFonts w:ascii="Arial" w:cs="Arial" w:eastAsia="Arial" w:hAnsi="Arial"/>
                <w:sz w:val="19"/>
                <w:szCs w:val="19"/>
                <w:color w:val="auto"/>
              </w:rPr>
              <w:t>Grant and other</w:t>
            </w:r>
          </w:p>
        </w:tc>
        <w:tc>
          <w:tcPr>
            <w:tcW w:w="80" w:type="dxa"/>
            <w:vAlign w:val="bottom"/>
            <w:tcBorders>
              <w:bottom w:val="single" w:sz="8" w:color="auto"/>
            </w:tcBorders>
            <w:shd w:val="clear" w:color="auto" w:fill="D3ECED"/>
          </w:tcPr>
          <w:p>
            <w:pPr>
              <w:spacing w:after="0"/>
              <w:rPr>
                <w:sz w:val="20"/>
                <w:szCs w:val="20"/>
                <w:color w:val="auto"/>
              </w:rPr>
            </w:pPr>
          </w:p>
        </w:tc>
        <w:tc>
          <w:tcPr>
            <w:tcW w:w="12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223</w:t>
            </w:r>
          </w:p>
        </w:tc>
        <w:tc>
          <w:tcPr>
            <w:tcW w:w="20" w:type="dxa"/>
            <w:vAlign w:val="bottom"/>
            <w:tcBorders>
              <w:bottom w:val="single" w:sz="8" w:color="auto"/>
            </w:tcBorders>
            <w:shd w:val="clear" w:color="auto" w:fill="D3ECED"/>
          </w:tcPr>
          <w:p>
            <w:pPr>
              <w:spacing w:after="0"/>
              <w:rPr>
                <w:sz w:val="20"/>
                <w:szCs w:val="20"/>
                <w:color w:val="auto"/>
              </w:rPr>
            </w:pPr>
          </w:p>
        </w:tc>
        <w:tc>
          <w:tcPr>
            <w:tcW w:w="220" w:type="dxa"/>
            <w:vAlign w:val="bottom"/>
            <w:tcBorders>
              <w:bottom w:val="single" w:sz="8" w:color="FDFDFD"/>
            </w:tcBorders>
            <w:shd w:val="clear" w:color="auto" w:fill="D3ECED"/>
          </w:tcPr>
          <w:p>
            <w:pPr>
              <w:spacing w:after="0"/>
              <w:rPr>
                <w:sz w:val="20"/>
                <w:szCs w:val="20"/>
                <w:color w:val="auto"/>
              </w:rPr>
            </w:pPr>
          </w:p>
        </w:tc>
        <w:tc>
          <w:tcPr>
            <w:tcW w:w="20" w:type="dxa"/>
            <w:vAlign w:val="bottom"/>
            <w:tcBorders>
              <w:bottom w:val="single" w:sz="8" w:color="auto"/>
            </w:tcBorders>
            <w:shd w:val="clear" w:color="auto" w:fill="D3ECED"/>
          </w:tcPr>
          <w:p>
            <w:pPr>
              <w:spacing w:after="0"/>
              <w:rPr>
                <w:sz w:val="20"/>
                <w:szCs w:val="20"/>
                <w:color w:val="auto"/>
              </w:rPr>
            </w:pPr>
          </w:p>
        </w:tc>
        <w:tc>
          <w:tcPr>
            <w:tcW w:w="80" w:type="dxa"/>
            <w:vAlign w:val="bottom"/>
            <w:tcBorders>
              <w:bottom w:val="single" w:sz="8" w:color="auto"/>
            </w:tcBorders>
            <w:shd w:val="clear" w:color="auto" w:fill="D3ECED"/>
          </w:tcPr>
          <w:p>
            <w:pPr>
              <w:spacing w:after="0"/>
              <w:rPr>
                <w:sz w:val="20"/>
                <w:szCs w:val="20"/>
                <w:color w:val="auto"/>
              </w:rPr>
            </w:pPr>
          </w:p>
        </w:tc>
        <w:tc>
          <w:tcPr>
            <w:tcW w:w="12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1,479</w:t>
            </w:r>
          </w:p>
        </w:tc>
        <w:tc>
          <w:tcPr>
            <w:tcW w:w="20" w:type="dxa"/>
            <w:vAlign w:val="bottom"/>
            <w:tcBorders>
              <w:bottom w:val="single" w:sz="8" w:color="auto"/>
            </w:tcBorders>
            <w:shd w:val="clear" w:color="auto" w:fill="D3ECED"/>
          </w:tcPr>
          <w:p>
            <w:pPr>
              <w:spacing w:after="0"/>
              <w:rPr>
                <w:sz w:val="20"/>
                <w:szCs w:val="20"/>
                <w:color w:val="auto"/>
              </w:rPr>
            </w:pPr>
          </w:p>
        </w:tc>
        <w:tc>
          <w:tcPr>
            <w:tcW w:w="60" w:type="dxa"/>
            <w:vAlign w:val="bottom"/>
            <w:tcBorders>
              <w:bottom w:val="single" w:sz="8" w:color="FDFDFD"/>
            </w:tcBorders>
            <w:shd w:val="clear" w:color="auto" w:fill="D3ECED"/>
          </w:tcPr>
          <w:p>
            <w:pPr>
              <w:spacing w:after="0"/>
              <w:rPr>
                <w:sz w:val="20"/>
                <w:szCs w:val="20"/>
                <w:color w:val="auto"/>
              </w:rPr>
            </w:pPr>
          </w:p>
        </w:tc>
      </w:tr>
      <w:tr>
        <w:trPr>
          <w:trHeight w:val="220"/>
        </w:trPr>
        <w:tc>
          <w:tcPr>
            <w:tcW w:w="6020" w:type="dxa"/>
            <w:vAlign w:val="bottom"/>
            <w:tcBorders>
              <w:right w:val="single" w:sz="8" w:color="FDFDFD"/>
            </w:tcBorders>
            <w:shd w:val="clear" w:color="auto" w:fill="FDFDFD"/>
          </w:tcPr>
          <w:p>
            <w:pPr>
              <w:ind w:left="380"/>
              <w:spacing w:after="0"/>
              <w:rPr>
                <w:sz w:val="20"/>
                <w:szCs w:val="20"/>
                <w:color w:val="auto"/>
              </w:rPr>
            </w:pPr>
            <w:r>
              <w:rPr>
                <w:rFonts w:ascii="Arial" w:cs="Arial" w:eastAsia="Arial" w:hAnsi="Arial"/>
                <w:sz w:val="19"/>
                <w:szCs w:val="19"/>
                <w:color w:val="auto"/>
              </w:rPr>
              <w:t>Total revenue</w:t>
            </w:r>
          </w:p>
        </w:tc>
        <w:tc>
          <w:tcPr>
            <w:tcW w:w="80" w:type="dxa"/>
            <w:vAlign w:val="bottom"/>
            <w:shd w:val="clear" w:color="auto" w:fill="FDFDFD"/>
          </w:tcPr>
          <w:p>
            <w:pPr>
              <w:spacing w:after="0"/>
              <w:rPr>
                <w:sz w:val="19"/>
                <w:szCs w:val="19"/>
                <w:color w:val="auto"/>
              </w:rPr>
            </w:pPr>
          </w:p>
        </w:tc>
        <w:tc>
          <w:tcPr>
            <w:tcW w:w="12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14,170</w:t>
            </w:r>
          </w:p>
        </w:tc>
        <w:tc>
          <w:tcPr>
            <w:tcW w:w="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2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16,661</w:t>
            </w:r>
          </w:p>
        </w:tc>
        <w:tc>
          <w:tcPr>
            <w:tcW w:w="20" w:type="dxa"/>
            <w:vAlign w:val="bottom"/>
            <w:shd w:val="clear" w:color="auto" w:fill="FDFDFD"/>
          </w:tcPr>
          <w:p>
            <w:pPr>
              <w:spacing w:after="0"/>
              <w:rPr>
                <w:sz w:val="19"/>
                <w:szCs w:val="19"/>
                <w:color w:val="auto"/>
              </w:rPr>
            </w:pPr>
          </w:p>
        </w:tc>
        <w:tc>
          <w:tcPr>
            <w:tcW w:w="60" w:type="dxa"/>
            <w:vAlign w:val="bottom"/>
            <w:shd w:val="clear" w:color="auto" w:fill="FDFDFD"/>
          </w:tcPr>
          <w:p>
            <w:pPr>
              <w:spacing w:after="0"/>
              <w:rPr>
                <w:sz w:val="19"/>
                <w:szCs w:val="19"/>
                <w:color w:val="auto"/>
              </w:rPr>
            </w:pPr>
          </w:p>
        </w:tc>
      </w:tr>
      <w:tr>
        <w:trPr>
          <w:trHeight w:val="230"/>
        </w:trPr>
        <w:tc>
          <w:tcPr>
            <w:tcW w:w="6020" w:type="dxa"/>
            <w:vAlign w:val="bottom"/>
            <w:tcBorders>
              <w:right w:val="single" w:sz="8" w:color="D3ECED"/>
            </w:tcBorders>
            <w:shd w:val="clear" w:color="auto" w:fill="D3ECED"/>
          </w:tcPr>
          <w:p>
            <w:pPr>
              <w:spacing w:after="0"/>
              <w:rPr>
                <w:sz w:val="20"/>
                <w:szCs w:val="20"/>
                <w:color w:val="auto"/>
              </w:rPr>
            </w:pPr>
            <w:r>
              <w:rPr>
                <w:rFonts w:ascii="Arial" w:cs="Arial" w:eastAsia="Arial" w:hAnsi="Arial"/>
                <w:sz w:val="19"/>
                <w:szCs w:val="19"/>
                <w:color w:val="auto"/>
              </w:rPr>
              <w:t>Cost of revenue:</w:t>
            </w:r>
          </w:p>
        </w:tc>
        <w:tc>
          <w:tcPr>
            <w:tcW w:w="80" w:type="dxa"/>
            <w:vAlign w:val="bottom"/>
            <w:shd w:val="clear" w:color="auto" w:fill="D3ECED"/>
          </w:tcPr>
          <w:p>
            <w:pPr>
              <w:spacing w:after="0"/>
              <w:rPr>
                <w:sz w:val="20"/>
                <w:szCs w:val="20"/>
                <w:color w:val="auto"/>
              </w:rPr>
            </w:pPr>
          </w:p>
        </w:tc>
        <w:tc>
          <w:tcPr>
            <w:tcW w:w="122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22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2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60" w:type="dxa"/>
            <w:vAlign w:val="bottom"/>
            <w:shd w:val="clear" w:color="auto" w:fill="D3ECED"/>
          </w:tcPr>
          <w:p>
            <w:pPr>
              <w:spacing w:after="0"/>
              <w:rPr>
                <w:sz w:val="20"/>
                <w:szCs w:val="20"/>
                <w:color w:val="auto"/>
              </w:rPr>
            </w:pPr>
          </w:p>
        </w:tc>
      </w:tr>
      <w:tr>
        <w:trPr>
          <w:trHeight w:val="230"/>
        </w:trPr>
        <w:tc>
          <w:tcPr>
            <w:tcW w:w="6020" w:type="dxa"/>
            <w:vAlign w:val="bottom"/>
            <w:tcBorders>
              <w:right w:val="single" w:sz="8" w:color="FDFDFD"/>
            </w:tcBorders>
            <w:shd w:val="clear" w:color="auto" w:fill="FDFDFD"/>
          </w:tcPr>
          <w:p>
            <w:pPr>
              <w:ind w:left="200"/>
              <w:spacing w:after="0"/>
              <w:rPr>
                <w:sz w:val="20"/>
                <w:szCs w:val="20"/>
                <w:color w:val="auto"/>
              </w:rPr>
            </w:pPr>
            <w:r>
              <w:rPr>
                <w:rFonts w:ascii="Arial" w:cs="Arial" w:eastAsia="Arial" w:hAnsi="Arial"/>
                <w:sz w:val="19"/>
                <w:szCs w:val="19"/>
                <w:color w:val="auto"/>
              </w:rPr>
              <w:t>Product</w:t>
            </w:r>
          </w:p>
        </w:tc>
        <w:tc>
          <w:tcPr>
            <w:tcW w:w="80" w:type="dxa"/>
            <w:vAlign w:val="bottom"/>
            <w:shd w:val="clear" w:color="auto" w:fill="FDFDFD"/>
          </w:tcPr>
          <w:p>
            <w:pPr>
              <w:spacing w:after="0"/>
              <w:rPr>
                <w:sz w:val="20"/>
                <w:szCs w:val="20"/>
                <w:color w:val="auto"/>
              </w:rPr>
            </w:pPr>
          </w:p>
        </w:tc>
        <w:tc>
          <w:tcPr>
            <w:tcW w:w="12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4,402</w:t>
            </w:r>
          </w:p>
        </w:tc>
        <w:tc>
          <w:tcPr>
            <w:tcW w:w="20" w:type="dxa"/>
            <w:vAlign w:val="bottom"/>
            <w:shd w:val="clear" w:color="auto" w:fill="FDFDFD"/>
          </w:tcPr>
          <w:p>
            <w:pPr>
              <w:spacing w:after="0"/>
              <w:rPr>
                <w:sz w:val="20"/>
                <w:szCs w:val="20"/>
                <w:color w:val="auto"/>
              </w:rPr>
            </w:pPr>
          </w:p>
        </w:tc>
        <w:tc>
          <w:tcPr>
            <w:tcW w:w="22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2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5,398</w:t>
            </w:r>
          </w:p>
        </w:tc>
        <w:tc>
          <w:tcPr>
            <w:tcW w:w="20" w:type="dxa"/>
            <w:vAlign w:val="bottom"/>
            <w:shd w:val="clear" w:color="auto" w:fill="FDFDFD"/>
          </w:tcPr>
          <w:p>
            <w:pPr>
              <w:spacing w:after="0"/>
              <w:rPr>
                <w:sz w:val="20"/>
                <w:szCs w:val="20"/>
                <w:color w:val="auto"/>
              </w:rPr>
            </w:pPr>
          </w:p>
        </w:tc>
        <w:tc>
          <w:tcPr>
            <w:tcW w:w="60" w:type="dxa"/>
            <w:vAlign w:val="bottom"/>
            <w:shd w:val="clear" w:color="auto" w:fill="FDFDFD"/>
          </w:tcPr>
          <w:p>
            <w:pPr>
              <w:spacing w:after="0"/>
              <w:rPr>
                <w:sz w:val="20"/>
                <w:szCs w:val="20"/>
                <w:color w:val="auto"/>
              </w:rPr>
            </w:pPr>
          </w:p>
        </w:tc>
      </w:tr>
      <w:tr>
        <w:trPr>
          <w:trHeight w:val="230"/>
        </w:trPr>
        <w:tc>
          <w:tcPr>
            <w:tcW w:w="6020" w:type="dxa"/>
            <w:vAlign w:val="bottom"/>
            <w:tcBorders>
              <w:right w:val="single" w:sz="8" w:color="D3ECED"/>
            </w:tcBorders>
            <w:shd w:val="clear" w:color="auto" w:fill="D3ECED"/>
          </w:tcPr>
          <w:p>
            <w:pPr>
              <w:ind w:left="200"/>
              <w:spacing w:after="0"/>
              <w:rPr>
                <w:sz w:val="20"/>
                <w:szCs w:val="20"/>
                <w:color w:val="auto"/>
              </w:rPr>
            </w:pPr>
            <w:r>
              <w:rPr>
                <w:rFonts w:ascii="Arial" w:cs="Arial" w:eastAsia="Arial" w:hAnsi="Arial"/>
                <w:sz w:val="19"/>
                <w:szCs w:val="19"/>
                <w:color w:val="auto"/>
              </w:rPr>
              <w:t>Service</w:t>
            </w:r>
          </w:p>
        </w:tc>
        <w:tc>
          <w:tcPr>
            <w:tcW w:w="80" w:type="dxa"/>
            <w:vAlign w:val="bottom"/>
            <w:shd w:val="clear" w:color="auto" w:fill="D3ECED"/>
          </w:tcPr>
          <w:p>
            <w:pPr>
              <w:spacing w:after="0"/>
              <w:rPr>
                <w:sz w:val="20"/>
                <w:szCs w:val="20"/>
                <w:color w:val="auto"/>
              </w:rPr>
            </w:pPr>
          </w:p>
        </w:tc>
        <w:tc>
          <w:tcPr>
            <w:tcW w:w="12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1,465</w:t>
            </w:r>
          </w:p>
        </w:tc>
        <w:tc>
          <w:tcPr>
            <w:tcW w:w="20" w:type="dxa"/>
            <w:vAlign w:val="bottom"/>
            <w:shd w:val="clear" w:color="auto" w:fill="D3ECED"/>
          </w:tcPr>
          <w:p>
            <w:pPr>
              <w:spacing w:after="0"/>
              <w:rPr>
                <w:sz w:val="20"/>
                <w:szCs w:val="20"/>
                <w:color w:val="auto"/>
              </w:rPr>
            </w:pPr>
          </w:p>
        </w:tc>
        <w:tc>
          <w:tcPr>
            <w:tcW w:w="22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2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685</w:t>
            </w:r>
          </w:p>
        </w:tc>
        <w:tc>
          <w:tcPr>
            <w:tcW w:w="20" w:type="dxa"/>
            <w:vAlign w:val="bottom"/>
            <w:shd w:val="clear" w:color="auto" w:fill="D3ECED"/>
          </w:tcPr>
          <w:p>
            <w:pPr>
              <w:spacing w:after="0"/>
              <w:rPr>
                <w:sz w:val="20"/>
                <w:szCs w:val="20"/>
                <w:color w:val="auto"/>
              </w:rPr>
            </w:pPr>
          </w:p>
        </w:tc>
        <w:tc>
          <w:tcPr>
            <w:tcW w:w="60" w:type="dxa"/>
            <w:vAlign w:val="bottom"/>
            <w:shd w:val="clear" w:color="auto" w:fill="D3ECED"/>
          </w:tcPr>
          <w:p>
            <w:pPr>
              <w:spacing w:after="0"/>
              <w:rPr>
                <w:sz w:val="20"/>
                <w:szCs w:val="20"/>
                <w:color w:val="auto"/>
              </w:rPr>
            </w:pPr>
          </w:p>
        </w:tc>
      </w:tr>
      <w:tr>
        <w:trPr>
          <w:trHeight w:val="230"/>
        </w:trPr>
        <w:tc>
          <w:tcPr>
            <w:tcW w:w="6020" w:type="dxa"/>
            <w:vAlign w:val="bottom"/>
            <w:tcBorders>
              <w:right w:val="single" w:sz="8" w:color="FDFDFD"/>
            </w:tcBorders>
            <w:shd w:val="clear" w:color="auto" w:fill="FDFDFD"/>
          </w:tcPr>
          <w:p>
            <w:pPr>
              <w:ind w:left="200"/>
              <w:spacing w:after="0"/>
              <w:rPr>
                <w:sz w:val="20"/>
                <w:szCs w:val="20"/>
                <w:color w:val="auto"/>
              </w:rPr>
            </w:pPr>
            <w:r>
              <w:rPr>
                <w:rFonts w:ascii="Arial" w:cs="Arial" w:eastAsia="Arial" w:hAnsi="Arial"/>
                <w:sz w:val="19"/>
                <w:szCs w:val="19"/>
                <w:color w:val="auto"/>
              </w:rPr>
              <w:t>Related party</w:t>
            </w:r>
          </w:p>
        </w:tc>
        <w:tc>
          <w:tcPr>
            <w:tcW w:w="80" w:type="dxa"/>
            <w:vAlign w:val="bottom"/>
            <w:shd w:val="clear" w:color="auto" w:fill="FDFDFD"/>
          </w:tcPr>
          <w:p>
            <w:pPr>
              <w:spacing w:after="0"/>
              <w:rPr>
                <w:sz w:val="20"/>
                <w:szCs w:val="20"/>
                <w:color w:val="auto"/>
              </w:rPr>
            </w:pPr>
          </w:p>
        </w:tc>
        <w:tc>
          <w:tcPr>
            <w:tcW w:w="12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712</w:t>
            </w:r>
          </w:p>
        </w:tc>
        <w:tc>
          <w:tcPr>
            <w:tcW w:w="20" w:type="dxa"/>
            <w:vAlign w:val="bottom"/>
            <w:shd w:val="clear" w:color="auto" w:fill="FDFDFD"/>
          </w:tcPr>
          <w:p>
            <w:pPr>
              <w:spacing w:after="0"/>
              <w:rPr>
                <w:sz w:val="20"/>
                <w:szCs w:val="20"/>
                <w:color w:val="auto"/>
              </w:rPr>
            </w:pPr>
          </w:p>
        </w:tc>
        <w:tc>
          <w:tcPr>
            <w:tcW w:w="22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2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1,430</w:t>
            </w:r>
          </w:p>
        </w:tc>
        <w:tc>
          <w:tcPr>
            <w:tcW w:w="20" w:type="dxa"/>
            <w:vAlign w:val="bottom"/>
            <w:shd w:val="clear" w:color="auto" w:fill="FDFDFD"/>
          </w:tcPr>
          <w:p>
            <w:pPr>
              <w:spacing w:after="0"/>
              <w:rPr>
                <w:sz w:val="20"/>
                <w:szCs w:val="20"/>
                <w:color w:val="auto"/>
              </w:rPr>
            </w:pPr>
          </w:p>
        </w:tc>
        <w:tc>
          <w:tcPr>
            <w:tcW w:w="60" w:type="dxa"/>
            <w:vAlign w:val="bottom"/>
            <w:shd w:val="clear" w:color="auto" w:fill="FDFDFD"/>
          </w:tcPr>
          <w:p>
            <w:pPr>
              <w:spacing w:after="0"/>
              <w:rPr>
                <w:sz w:val="20"/>
                <w:szCs w:val="20"/>
                <w:color w:val="auto"/>
              </w:rPr>
            </w:pPr>
          </w:p>
        </w:tc>
      </w:tr>
      <w:tr>
        <w:trPr>
          <w:trHeight w:val="230"/>
        </w:trPr>
        <w:tc>
          <w:tcPr>
            <w:tcW w:w="6020" w:type="dxa"/>
            <w:vAlign w:val="bottom"/>
            <w:tcBorders>
              <w:bottom w:val="single" w:sz="8" w:color="FDFDFD"/>
              <w:right w:val="single" w:sz="8" w:color="D3ECED"/>
            </w:tcBorders>
            <w:shd w:val="clear" w:color="auto" w:fill="D3ECED"/>
          </w:tcPr>
          <w:p>
            <w:pPr>
              <w:ind w:left="200"/>
              <w:spacing w:after="0"/>
              <w:rPr>
                <w:sz w:val="20"/>
                <w:szCs w:val="20"/>
                <w:color w:val="auto"/>
              </w:rPr>
            </w:pPr>
            <w:r>
              <w:rPr>
                <w:rFonts w:ascii="Arial" w:cs="Arial" w:eastAsia="Arial" w:hAnsi="Arial"/>
                <w:sz w:val="19"/>
                <w:szCs w:val="19"/>
                <w:color w:val="auto"/>
              </w:rPr>
              <w:t>Grant and other</w:t>
            </w:r>
          </w:p>
        </w:tc>
        <w:tc>
          <w:tcPr>
            <w:tcW w:w="80" w:type="dxa"/>
            <w:vAlign w:val="bottom"/>
            <w:tcBorders>
              <w:bottom w:val="single" w:sz="8" w:color="auto"/>
            </w:tcBorders>
            <w:shd w:val="clear" w:color="auto" w:fill="D3ECED"/>
          </w:tcPr>
          <w:p>
            <w:pPr>
              <w:spacing w:after="0"/>
              <w:rPr>
                <w:sz w:val="20"/>
                <w:szCs w:val="20"/>
                <w:color w:val="auto"/>
              </w:rPr>
            </w:pPr>
          </w:p>
        </w:tc>
        <w:tc>
          <w:tcPr>
            <w:tcW w:w="12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536</w:t>
            </w:r>
          </w:p>
        </w:tc>
        <w:tc>
          <w:tcPr>
            <w:tcW w:w="20" w:type="dxa"/>
            <w:vAlign w:val="bottom"/>
            <w:tcBorders>
              <w:bottom w:val="single" w:sz="8" w:color="auto"/>
            </w:tcBorders>
            <w:shd w:val="clear" w:color="auto" w:fill="D3ECED"/>
          </w:tcPr>
          <w:p>
            <w:pPr>
              <w:spacing w:after="0"/>
              <w:rPr>
                <w:sz w:val="20"/>
                <w:szCs w:val="20"/>
                <w:color w:val="auto"/>
              </w:rPr>
            </w:pPr>
          </w:p>
        </w:tc>
        <w:tc>
          <w:tcPr>
            <w:tcW w:w="220" w:type="dxa"/>
            <w:vAlign w:val="bottom"/>
            <w:tcBorders>
              <w:bottom w:val="single" w:sz="8" w:color="FDFDFD"/>
            </w:tcBorders>
            <w:shd w:val="clear" w:color="auto" w:fill="D3ECED"/>
          </w:tcPr>
          <w:p>
            <w:pPr>
              <w:spacing w:after="0"/>
              <w:rPr>
                <w:sz w:val="20"/>
                <w:szCs w:val="20"/>
                <w:color w:val="auto"/>
              </w:rPr>
            </w:pPr>
          </w:p>
        </w:tc>
        <w:tc>
          <w:tcPr>
            <w:tcW w:w="20" w:type="dxa"/>
            <w:vAlign w:val="bottom"/>
            <w:tcBorders>
              <w:bottom w:val="single" w:sz="8" w:color="auto"/>
            </w:tcBorders>
            <w:shd w:val="clear" w:color="auto" w:fill="D3ECED"/>
          </w:tcPr>
          <w:p>
            <w:pPr>
              <w:spacing w:after="0"/>
              <w:rPr>
                <w:sz w:val="20"/>
                <w:szCs w:val="20"/>
                <w:color w:val="auto"/>
              </w:rPr>
            </w:pPr>
          </w:p>
        </w:tc>
        <w:tc>
          <w:tcPr>
            <w:tcW w:w="80" w:type="dxa"/>
            <w:vAlign w:val="bottom"/>
            <w:tcBorders>
              <w:bottom w:val="single" w:sz="8" w:color="auto"/>
            </w:tcBorders>
            <w:shd w:val="clear" w:color="auto" w:fill="D3ECED"/>
          </w:tcPr>
          <w:p>
            <w:pPr>
              <w:spacing w:after="0"/>
              <w:rPr>
                <w:sz w:val="20"/>
                <w:szCs w:val="20"/>
                <w:color w:val="auto"/>
              </w:rPr>
            </w:pPr>
          </w:p>
        </w:tc>
        <w:tc>
          <w:tcPr>
            <w:tcW w:w="12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642</w:t>
            </w:r>
          </w:p>
        </w:tc>
        <w:tc>
          <w:tcPr>
            <w:tcW w:w="20" w:type="dxa"/>
            <w:vAlign w:val="bottom"/>
            <w:tcBorders>
              <w:bottom w:val="single" w:sz="8" w:color="auto"/>
            </w:tcBorders>
            <w:shd w:val="clear" w:color="auto" w:fill="D3ECED"/>
          </w:tcPr>
          <w:p>
            <w:pPr>
              <w:spacing w:after="0"/>
              <w:rPr>
                <w:sz w:val="20"/>
                <w:szCs w:val="20"/>
                <w:color w:val="auto"/>
              </w:rPr>
            </w:pPr>
          </w:p>
        </w:tc>
        <w:tc>
          <w:tcPr>
            <w:tcW w:w="60" w:type="dxa"/>
            <w:vAlign w:val="bottom"/>
            <w:tcBorders>
              <w:bottom w:val="single" w:sz="8" w:color="FDFDFD"/>
            </w:tcBorders>
            <w:shd w:val="clear" w:color="auto" w:fill="D3ECED"/>
          </w:tcPr>
          <w:p>
            <w:pPr>
              <w:spacing w:after="0"/>
              <w:rPr>
                <w:sz w:val="20"/>
                <w:szCs w:val="20"/>
                <w:color w:val="auto"/>
              </w:rPr>
            </w:pPr>
          </w:p>
        </w:tc>
      </w:tr>
      <w:tr>
        <w:trPr>
          <w:trHeight w:val="220"/>
        </w:trPr>
        <w:tc>
          <w:tcPr>
            <w:tcW w:w="6020" w:type="dxa"/>
            <w:vAlign w:val="bottom"/>
            <w:tcBorders>
              <w:bottom w:val="single" w:sz="8" w:color="D3ECED"/>
              <w:right w:val="single" w:sz="8" w:color="FDFDFD"/>
            </w:tcBorders>
            <w:shd w:val="clear" w:color="auto" w:fill="FDFDFD"/>
          </w:tcPr>
          <w:p>
            <w:pPr>
              <w:ind w:left="380"/>
              <w:spacing w:after="0"/>
              <w:rPr>
                <w:sz w:val="20"/>
                <w:szCs w:val="20"/>
                <w:color w:val="auto"/>
              </w:rPr>
            </w:pPr>
            <w:r>
              <w:rPr>
                <w:rFonts w:ascii="Arial" w:cs="Arial" w:eastAsia="Arial" w:hAnsi="Arial"/>
                <w:sz w:val="19"/>
                <w:szCs w:val="19"/>
                <w:color w:val="auto"/>
              </w:rPr>
              <w:t>Total cost of revenue</w:t>
            </w:r>
          </w:p>
        </w:tc>
        <w:tc>
          <w:tcPr>
            <w:tcW w:w="80" w:type="dxa"/>
            <w:vAlign w:val="bottom"/>
            <w:tcBorders>
              <w:bottom w:val="single" w:sz="8" w:color="auto"/>
            </w:tcBorders>
            <w:shd w:val="clear" w:color="auto" w:fill="FDFDFD"/>
          </w:tcPr>
          <w:p>
            <w:pPr>
              <w:spacing w:after="0"/>
              <w:rPr>
                <w:sz w:val="19"/>
                <w:szCs w:val="19"/>
                <w:color w:val="auto"/>
              </w:rPr>
            </w:pPr>
          </w:p>
        </w:tc>
        <w:tc>
          <w:tcPr>
            <w:tcW w:w="12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7,115</w:t>
            </w:r>
          </w:p>
        </w:tc>
        <w:tc>
          <w:tcPr>
            <w:tcW w:w="20" w:type="dxa"/>
            <w:vAlign w:val="bottom"/>
            <w:tcBorders>
              <w:bottom w:val="single" w:sz="8" w:color="auto"/>
            </w:tcBorders>
            <w:shd w:val="clear" w:color="auto" w:fill="FDFDFD"/>
          </w:tcPr>
          <w:p>
            <w:pPr>
              <w:spacing w:after="0"/>
              <w:rPr>
                <w:sz w:val="19"/>
                <w:szCs w:val="19"/>
                <w:color w:val="auto"/>
              </w:rPr>
            </w:pPr>
          </w:p>
        </w:tc>
        <w:tc>
          <w:tcPr>
            <w:tcW w:w="220" w:type="dxa"/>
            <w:vAlign w:val="bottom"/>
            <w:tcBorders>
              <w:bottom w:val="single" w:sz="8" w:color="D3ECED"/>
            </w:tcBorders>
            <w:shd w:val="clear" w:color="auto" w:fill="FDFDFD"/>
          </w:tcPr>
          <w:p>
            <w:pPr>
              <w:spacing w:after="0"/>
              <w:rPr>
                <w:sz w:val="19"/>
                <w:szCs w:val="19"/>
                <w:color w:val="auto"/>
              </w:rPr>
            </w:pPr>
          </w:p>
        </w:tc>
        <w:tc>
          <w:tcPr>
            <w:tcW w:w="20" w:type="dxa"/>
            <w:vAlign w:val="bottom"/>
            <w:tcBorders>
              <w:bottom w:val="single" w:sz="8" w:color="auto"/>
            </w:tcBorders>
            <w:shd w:val="clear" w:color="auto" w:fill="FDFDFD"/>
          </w:tcPr>
          <w:p>
            <w:pPr>
              <w:spacing w:after="0"/>
              <w:rPr>
                <w:sz w:val="19"/>
                <w:szCs w:val="19"/>
                <w:color w:val="auto"/>
              </w:rPr>
            </w:pPr>
          </w:p>
        </w:tc>
        <w:tc>
          <w:tcPr>
            <w:tcW w:w="80" w:type="dxa"/>
            <w:vAlign w:val="bottom"/>
            <w:tcBorders>
              <w:bottom w:val="single" w:sz="8" w:color="auto"/>
            </w:tcBorders>
            <w:shd w:val="clear" w:color="auto" w:fill="FDFDFD"/>
          </w:tcPr>
          <w:p>
            <w:pPr>
              <w:spacing w:after="0"/>
              <w:rPr>
                <w:sz w:val="19"/>
                <w:szCs w:val="19"/>
                <w:color w:val="auto"/>
              </w:rPr>
            </w:pPr>
          </w:p>
        </w:tc>
        <w:tc>
          <w:tcPr>
            <w:tcW w:w="12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8,155</w:t>
            </w:r>
          </w:p>
        </w:tc>
        <w:tc>
          <w:tcPr>
            <w:tcW w:w="20" w:type="dxa"/>
            <w:vAlign w:val="bottom"/>
            <w:tcBorders>
              <w:bottom w:val="single" w:sz="8" w:color="auto"/>
            </w:tcBorders>
            <w:shd w:val="clear" w:color="auto" w:fill="FDFDFD"/>
          </w:tcPr>
          <w:p>
            <w:pPr>
              <w:spacing w:after="0"/>
              <w:rPr>
                <w:sz w:val="19"/>
                <w:szCs w:val="19"/>
                <w:color w:val="auto"/>
              </w:rPr>
            </w:pPr>
          </w:p>
        </w:tc>
        <w:tc>
          <w:tcPr>
            <w:tcW w:w="60" w:type="dxa"/>
            <w:vAlign w:val="bottom"/>
            <w:tcBorders>
              <w:bottom w:val="single" w:sz="8" w:color="D3ECED"/>
            </w:tcBorders>
            <w:shd w:val="clear" w:color="auto" w:fill="FDFDFD"/>
          </w:tcPr>
          <w:p>
            <w:pPr>
              <w:spacing w:after="0"/>
              <w:rPr>
                <w:sz w:val="19"/>
                <w:szCs w:val="19"/>
                <w:color w:val="auto"/>
              </w:rPr>
            </w:pPr>
          </w:p>
        </w:tc>
      </w:tr>
      <w:tr>
        <w:trPr>
          <w:trHeight w:val="220"/>
        </w:trPr>
        <w:tc>
          <w:tcPr>
            <w:tcW w:w="6020" w:type="dxa"/>
            <w:vAlign w:val="bottom"/>
            <w:tcBorders>
              <w:bottom w:val="single" w:sz="8" w:color="FDFDFD"/>
              <w:right w:val="single" w:sz="8" w:color="D3ECED"/>
            </w:tcBorders>
            <w:shd w:val="clear" w:color="auto" w:fill="D3ECED"/>
          </w:tcPr>
          <w:p>
            <w:pPr>
              <w:spacing w:after="0"/>
              <w:rPr>
                <w:sz w:val="20"/>
                <w:szCs w:val="20"/>
                <w:color w:val="auto"/>
              </w:rPr>
            </w:pPr>
            <w:r>
              <w:rPr>
                <w:rFonts w:ascii="Arial" w:cs="Arial" w:eastAsia="Arial" w:hAnsi="Arial"/>
                <w:sz w:val="19"/>
                <w:szCs w:val="19"/>
                <w:color w:val="auto"/>
              </w:rPr>
              <w:t>Gross profit</w:t>
            </w:r>
          </w:p>
        </w:tc>
        <w:tc>
          <w:tcPr>
            <w:tcW w:w="80" w:type="dxa"/>
            <w:vAlign w:val="bottom"/>
            <w:tcBorders>
              <w:bottom w:val="single" w:sz="8" w:color="auto"/>
            </w:tcBorders>
            <w:shd w:val="clear" w:color="auto" w:fill="D3ECED"/>
          </w:tcPr>
          <w:p>
            <w:pPr>
              <w:spacing w:after="0"/>
              <w:rPr>
                <w:sz w:val="19"/>
                <w:szCs w:val="19"/>
                <w:color w:val="auto"/>
              </w:rPr>
            </w:pPr>
          </w:p>
        </w:tc>
        <w:tc>
          <w:tcPr>
            <w:tcW w:w="12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7,055</w:t>
            </w:r>
          </w:p>
        </w:tc>
        <w:tc>
          <w:tcPr>
            <w:tcW w:w="20" w:type="dxa"/>
            <w:vAlign w:val="bottom"/>
            <w:tcBorders>
              <w:bottom w:val="single" w:sz="8" w:color="auto"/>
            </w:tcBorders>
            <w:shd w:val="clear" w:color="auto" w:fill="D3ECED"/>
          </w:tcPr>
          <w:p>
            <w:pPr>
              <w:spacing w:after="0"/>
              <w:rPr>
                <w:sz w:val="19"/>
                <w:szCs w:val="19"/>
                <w:color w:val="auto"/>
              </w:rPr>
            </w:pPr>
          </w:p>
        </w:tc>
        <w:tc>
          <w:tcPr>
            <w:tcW w:w="220" w:type="dxa"/>
            <w:vAlign w:val="bottom"/>
            <w:tcBorders>
              <w:bottom w:val="single" w:sz="8" w:color="FDFDFD"/>
            </w:tcBorders>
            <w:shd w:val="clear" w:color="auto" w:fill="D3ECED"/>
          </w:tcPr>
          <w:p>
            <w:pPr>
              <w:spacing w:after="0"/>
              <w:rPr>
                <w:sz w:val="19"/>
                <w:szCs w:val="19"/>
                <w:color w:val="auto"/>
              </w:rPr>
            </w:pPr>
          </w:p>
        </w:tc>
        <w:tc>
          <w:tcPr>
            <w:tcW w:w="20" w:type="dxa"/>
            <w:vAlign w:val="bottom"/>
            <w:tcBorders>
              <w:bottom w:val="single" w:sz="8" w:color="auto"/>
            </w:tcBorders>
            <w:shd w:val="clear" w:color="auto" w:fill="D3ECED"/>
          </w:tcPr>
          <w:p>
            <w:pPr>
              <w:spacing w:after="0"/>
              <w:rPr>
                <w:sz w:val="19"/>
                <w:szCs w:val="19"/>
                <w:color w:val="auto"/>
              </w:rPr>
            </w:pPr>
          </w:p>
        </w:tc>
        <w:tc>
          <w:tcPr>
            <w:tcW w:w="80" w:type="dxa"/>
            <w:vAlign w:val="bottom"/>
            <w:tcBorders>
              <w:bottom w:val="single" w:sz="8" w:color="auto"/>
            </w:tcBorders>
            <w:shd w:val="clear" w:color="auto" w:fill="D3ECED"/>
          </w:tcPr>
          <w:p>
            <w:pPr>
              <w:spacing w:after="0"/>
              <w:rPr>
                <w:sz w:val="19"/>
                <w:szCs w:val="19"/>
                <w:color w:val="auto"/>
              </w:rPr>
            </w:pPr>
          </w:p>
        </w:tc>
        <w:tc>
          <w:tcPr>
            <w:tcW w:w="12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8,506</w:t>
            </w:r>
          </w:p>
        </w:tc>
        <w:tc>
          <w:tcPr>
            <w:tcW w:w="20" w:type="dxa"/>
            <w:vAlign w:val="bottom"/>
            <w:tcBorders>
              <w:bottom w:val="single" w:sz="8" w:color="auto"/>
            </w:tcBorders>
            <w:shd w:val="clear" w:color="auto" w:fill="D3ECED"/>
          </w:tcPr>
          <w:p>
            <w:pPr>
              <w:spacing w:after="0"/>
              <w:rPr>
                <w:sz w:val="19"/>
                <w:szCs w:val="19"/>
                <w:color w:val="auto"/>
              </w:rPr>
            </w:pPr>
          </w:p>
        </w:tc>
        <w:tc>
          <w:tcPr>
            <w:tcW w:w="60" w:type="dxa"/>
            <w:vAlign w:val="bottom"/>
            <w:tcBorders>
              <w:bottom w:val="single" w:sz="8" w:color="FDFDFD"/>
            </w:tcBorders>
            <w:shd w:val="clear" w:color="auto" w:fill="D3ECED"/>
          </w:tcPr>
          <w:p>
            <w:pPr>
              <w:spacing w:after="0"/>
              <w:rPr>
                <w:sz w:val="19"/>
                <w:szCs w:val="19"/>
                <w:color w:val="auto"/>
              </w:rPr>
            </w:pPr>
          </w:p>
        </w:tc>
      </w:tr>
      <w:tr>
        <w:trPr>
          <w:trHeight w:val="220"/>
        </w:trPr>
        <w:tc>
          <w:tcPr>
            <w:tcW w:w="6020" w:type="dxa"/>
            <w:vAlign w:val="bottom"/>
            <w:tcBorders>
              <w:right w:val="single" w:sz="8" w:color="FDFDFD"/>
            </w:tcBorders>
            <w:shd w:val="clear" w:color="auto" w:fill="FDFDFD"/>
          </w:tcPr>
          <w:p>
            <w:pPr>
              <w:spacing w:after="0"/>
              <w:rPr>
                <w:sz w:val="20"/>
                <w:szCs w:val="20"/>
                <w:color w:val="auto"/>
              </w:rPr>
            </w:pPr>
            <w:r>
              <w:rPr>
                <w:rFonts w:ascii="Arial" w:cs="Arial" w:eastAsia="Arial" w:hAnsi="Arial"/>
                <w:sz w:val="19"/>
                <w:szCs w:val="19"/>
                <w:color w:val="auto"/>
              </w:rPr>
              <w:t>Operating expenses:</w:t>
            </w:r>
          </w:p>
        </w:tc>
        <w:tc>
          <w:tcPr>
            <w:tcW w:w="80" w:type="dxa"/>
            <w:vAlign w:val="bottom"/>
            <w:shd w:val="clear" w:color="auto" w:fill="FDFDFD"/>
          </w:tcPr>
          <w:p>
            <w:pPr>
              <w:spacing w:after="0"/>
              <w:rPr>
                <w:sz w:val="19"/>
                <w:szCs w:val="19"/>
                <w:color w:val="auto"/>
              </w:rPr>
            </w:pPr>
          </w:p>
        </w:tc>
        <w:tc>
          <w:tcPr>
            <w:tcW w:w="122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24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60" w:type="dxa"/>
            <w:vAlign w:val="bottom"/>
            <w:shd w:val="clear" w:color="auto" w:fill="FDFDFD"/>
          </w:tcPr>
          <w:p>
            <w:pPr>
              <w:spacing w:after="0"/>
              <w:rPr>
                <w:sz w:val="19"/>
                <w:szCs w:val="19"/>
                <w:color w:val="auto"/>
              </w:rPr>
            </w:pPr>
          </w:p>
        </w:tc>
      </w:tr>
      <w:tr>
        <w:trPr>
          <w:trHeight w:val="230"/>
        </w:trPr>
        <w:tc>
          <w:tcPr>
            <w:tcW w:w="6020" w:type="dxa"/>
            <w:vAlign w:val="bottom"/>
            <w:tcBorders>
              <w:right w:val="single" w:sz="8" w:color="D3ECED"/>
            </w:tcBorders>
            <w:shd w:val="clear" w:color="auto" w:fill="D3ECED"/>
          </w:tcPr>
          <w:p>
            <w:pPr>
              <w:ind w:left="200"/>
              <w:spacing w:after="0"/>
              <w:rPr>
                <w:sz w:val="20"/>
                <w:szCs w:val="20"/>
                <w:color w:val="auto"/>
              </w:rPr>
            </w:pPr>
            <w:r>
              <w:rPr>
                <w:rFonts w:ascii="Arial" w:cs="Arial" w:eastAsia="Arial" w:hAnsi="Arial"/>
                <w:sz w:val="19"/>
                <w:szCs w:val="19"/>
                <w:color w:val="auto"/>
              </w:rPr>
              <w:t>Research and development</w:t>
            </w:r>
          </w:p>
        </w:tc>
        <w:tc>
          <w:tcPr>
            <w:tcW w:w="80" w:type="dxa"/>
            <w:vAlign w:val="bottom"/>
            <w:shd w:val="clear" w:color="auto" w:fill="D3ECED"/>
          </w:tcPr>
          <w:p>
            <w:pPr>
              <w:spacing w:after="0"/>
              <w:rPr>
                <w:sz w:val="20"/>
                <w:szCs w:val="20"/>
                <w:color w:val="auto"/>
              </w:rPr>
            </w:pPr>
          </w:p>
        </w:tc>
        <w:tc>
          <w:tcPr>
            <w:tcW w:w="12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50,585</w:t>
            </w:r>
          </w:p>
        </w:tc>
        <w:tc>
          <w:tcPr>
            <w:tcW w:w="20" w:type="dxa"/>
            <w:vAlign w:val="bottom"/>
            <w:shd w:val="clear" w:color="auto" w:fill="D3ECED"/>
          </w:tcPr>
          <w:p>
            <w:pPr>
              <w:spacing w:after="0"/>
              <w:rPr>
                <w:sz w:val="20"/>
                <w:szCs w:val="20"/>
                <w:color w:val="auto"/>
              </w:rPr>
            </w:pPr>
          </w:p>
        </w:tc>
        <w:tc>
          <w:tcPr>
            <w:tcW w:w="22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2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53,019</w:t>
            </w:r>
          </w:p>
        </w:tc>
        <w:tc>
          <w:tcPr>
            <w:tcW w:w="20" w:type="dxa"/>
            <w:vAlign w:val="bottom"/>
            <w:shd w:val="clear" w:color="auto" w:fill="D3ECED"/>
          </w:tcPr>
          <w:p>
            <w:pPr>
              <w:spacing w:after="0"/>
              <w:rPr>
                <w:sz w:val="20"/>
                <w:szCs w:val="20"/>
                <w:color w:val="auto"/>
              </w:rPr>
            </w:pPr>
          </w:p>
        </w:tc>
        <w:tc>
          <w:tcPr>
            <w:tcW w:w="60" w:type="dxa"/>
            <w:vAlign w:val="bottom"/>
            <w:shd w:val="clear" w:color="auto" w:fill="D3ECED"/>
          </w:tcPr>
          <w:p>
            <w:pPr>
              <w:spacing w:after="0"/>
              <w:rPr>
                <w:sz w:val="20"/>
                <w:szCs w:val="20"/>
                <w:color w:val="auto"/>
              </w:rPr>
            </w:pPr>
          </w:p>
        </w:tc>
      </w:tr>
      <w:tr>
        <w:trPr>
          <w:trHeight w:val="230"/>
        </w:trPr>
        <w:tc>
          <w:tcPr>
            <w:tcW w:w="6020" w:type="dxa"/>
            <w:vAlign w:val="bottom"/>
            <w:tcBorders>
              <w:bottom w:val="single" w:sz="8" w:color="D3ECED"/>
              <w:right w:val="single" w:sz="8" w:color="FDFDFD"/>
            </w:tcBorders>
            <w:shd w:val="clear" w:color="auto" w:fill="FDFDFD"/>
          </w:tcPr>
          <w:p>
            <w:pPr>
              <w:ind w:left="200"/>
              <w:spacing w:after="0"/>
              <w:rPr>
                <w:sz w:val="20"/>
                <w:szCs w:val="20"/>
                <w:color w:val="auto"/>
              </w:rPr>
            </w:pPr>
            <w:r>
              <w:rPr>
                <w:rFonts w:ascii="Arial" w:cs="Arial" w:eastAsia="Arial" w:hAnsi="Arial"/>
                <w:sz w:val="19"/>
                <w:szCs w:val="19"/>
                <w:color w:val="auto"/>
              </w:rPr>
              <w:t>Selling, general and administrative</w:t>
            </w:r>
          </w:p>
        </w:tc>
        <w:tc>
          <w:tcPr>
            <w:tcW w:w="80" w:type="dxa"/>
            <w:vAlign w:val="bottom"/>
            <w:tcBorders>
              <w:bottom w:val="single" w:sz="8" w:color="auto"/>
            </w:tcBorders>
            <w:shd w:val="clear" w:color="auto" w:fill="FDFDFD"/>
          </w:tcPr>
          <w:p>
            <w:pPr>
              <w:spacing w:after="0"/>
              <w:rPr>
                <w:sz w:val="20"/>
                <w:szCs w:val="20"/>
                <w:color w:val="auto"/>
              </w:rPr>
            </w:pPr>
          </w:p>
        </w:tc>
        <w:tc>
          <w:tcPr>
            <w:tcW w:w="12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56,571</w:t>
            </w:r>
          </w:p>
        </w:tc>
        <w:tc>
          <w:tcPr>
            <w:tcW w:w="20" w:type="dxa"/>
            <w:vAlign w:val="bottom"/>
            <w:tcBorders>
              <w:bottom w:val="single" w:sz="8" w:color="auto"/>
            </w:tcBorders>
            <w:shd w:val="clear" w:color="auto" w:fill="FDFDFD"/>
          </w:tcPr>
          <w:p>
            <w:pPr>
              <w:spacing w:after="0"/>
              <w:rPr>
                <w:sz w:val="20"/>
                <w:szCs w:val="20"/>
                <w:color w:val="auto"/>
              </w:rPr>
            </w:pPr>
          </w:p>
        </w:tc>
        <w:tc>
          <w:tcPr>
            <w:tcW w:w="220" w:type="dxa"/>
            <w:vAlign w:val="bottom"/>
            <w:tcBorders>
              <w:bottom w:val="single" w:sz="8" w:color="D3ECED"/>
            </w:tcBorders>
            <w:shd w:val="clear" w:color="auto" w:fill="FDFDFD"/>
          </w:tcPr>
          <w:p>
            <w:pPr>
              <w:spacing w:after="0"/>
              <w:rPr>
                <w:sz w:val="20"/>
                <w:szCs w:val="20"/>
                <w:color w:val="auto"/>
              </w:rPr>
            </w:pPr>
          </w:p>
        </w:tc>
        <w:tc>
          <w:tcPr>
            <w:tcW w:w="20" w:type="dxa"/>
            <w:vAlign w:val="bottom"/>
            <w:tcBorders>
              <w:bottom w:val="single" w:sz="8" w:color="auto"/>
            </w:tcBorders>
            <w:shd w:val="clear" w:color="auto" w:fill="FDFDFD"/>
          </w:tcPr>
          <w:p>
            <w:pPr>
              <w:spacing w:after="0"/>
              <w:rPr>
                <w:sz w:val="20"/>
                <w:szCs w:val="20"/>
                <w:color w:val="auto"/>
              </w:rPr>
            </w:pPr>
          </w:p>
        </w:tc>
        <w:tc>
          <w:tcPr>
            <w:tcW w:w="80" w:type="dxa"/>
            <w:vAlign w:val="bottom"/>
            <w:tcBorders>
              <w:bottom w:val="single" w:sz="8" w:color="auto"/>
            </w:tcBorders>
            <w:shd w:val="clear" w:color="auto" w:fill="FDFDFD"/>
          </w:tcPr>
          <w:p>
            <w:pPr>
              <w:spacing w:after="0"/>
              <w:rPr>
                <w:sz w:val="20"/>
                <w:szCs w:val="20"/>
                <w:color w:val="auto"/>
              </w:rPr>
            </w:pPr>
          </w:p>
        </w:tc>
        <w:tc>
          <w:tcPr>
            <w:tcW w:w="12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58,950</w:t>
            </w:r>
          </w:p>
        </w:tc>
        <w:tc>
          <w:tcPr>
            <w:tcW w:w="20" w:type="dxa"/>
            <w:vAlign w:val="bottom"/>
            <w:tcBorders>
              <w:bottom w:val="single" w:sz="8" w:color="auto"/>
            </w:tcBorders>
            <w:shd w:val="clear" w:color="auto" w:fill="FDFDFD"/>
          </w:tcPr>
          <w:p>
            <w:pPr>
              <w:spacing w:after="0"/>
              <w:rPr>
                <w:sz w:val="20"/>
                <w:szCs w:val="20"/>
                <w:color w:val="auto"/>
              </w:rPr>
            </w:pPr>
          </w:p>
        </w:tc>
        <w:tc>
          <w:tcPr>
            <w:tcW w:w="60" w:type="dxa"/>
            <w:vAlign w:val="bottom"/>
            <w:tcBorders>
              <w:bottom w:val="single" w:sz="8" w:color="D3ECED"/>
            </w:tcBorders>
            <w:shd w:val="clear" w:color="auto" w:fill="FDFDFD"/>
          </w:tcPr>
          <w:p>
            <w:pPr>
              <w:spacing w:after="0"/>
              <w:rPr>
                <w:sz w:val="20"/>
                <w:szCs w:val="20"/>
                <w:color w:val="auto"/>
              </w:rPr>
            </w:pPr>
          </w:p>
        </w:tc>
      </w:tr>
      <w:tr>
        <w:trPr>
          <w:trHeight w:val="220"/>
        </w:trPr>
        <w:tc>
          <w:tcPr>
            <w:tcW w:w="6020" w:type="dxa"/>
            <w:vAlign w:val="bottom"/>
            <w:tcBorders>
              <w:bottom w:val="single" w:sz="8" w:color="FDFDFD"/>
              <w:right w:val="single" w:sz="8" w:color="D3ECED"/>
            </w:tcBorders>
            <w:shd w:val="clear" w:color="auto" w:fill="D3ECED"/>
          </w:tcPr>
          <w:p>
            <w:pPr>
              <w:ind w:left="380"/>
              <w:spacing w:after="0"/>
              <w:rPr>
                <w:sz w:val="20"/>
                <w:szCs w:val="20"/>
                <w:color w:val="auto"/>
              </w:rPr>
            </w:pPr>
            <w:r>
              <w:rPr>
                <w:rFonts w:ascii="Arial" w:cs="Arial" w:eastAsia="Arial" w:hAnsi="Arial"/>
                <w:sz w:val="19"/>
                <w:szCs w:val="19"/>
                <w:color w:val="auto"/>
              </w:rPr>
              <w:t>Total operating expenses</w:t>
            </w:r>
          </w:p>
        </w:tc>
        <w:tc>
          <w:tcPr>
            <w:tcW w:w="80" w:type="dxa"/>
            <w:vAlign w:val="bottom"/>
            <w:tcBorders>
              <w:bottom w:val="single" w:sz="8" w:color="auto"/>
            </w:tcBorders>
            <w:shd w:val="clear" w:color="auto" w:fill="D3ECED"/>
          </w:tcPr>
          <w:p>
            <w:pPr>
              <w:spacing w:after="0"/>
              <w:rPr>
                <w:sz w:val="19"/>
                <w:szCs w:val="19"/>
                <w:color w:val="auto"/>
              </w:rPr>
            </w:pPr>
          </w:p>
        </w:tc>
        <w:tc>
          <w:tcPr>
            <w:tcW w:w="12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107,156</w:t>
            </w:r>
          </w:p>
        </w:tc>
        <w:tc>
          <w:tcPr>
            <w:tcW w:w="20" w:type="dxa"/>
            <w:vAlign w:val="bottom"/>
            <w:tcBorders>
              <w:bottom w:val="single" w:sz="8" w:color="auto"/>
            </w:tcBorders>
            <w:shd w:val="clear" w:color="auto" w:fill="D3ECED"/>
          </w:tcPr>
          <w:p>
            <w:pPr>
              <w:spacing w:after="0"/>
              <w:rPr>
                <w:sz w:val="19"/>
                <w:szCs w:val="19"/>
                <w:color w:val="auto"/>
              </w:rPr>
            </w:pPr>
          </w:p>
        </w:tc>
        <w:tc>
          <w:tcPr>
            <w:tcW w:w="220" w:type="dxa"/>
            <w:vAlign w:val="bottom"/>
            <w:tcBorders>
              <w:bottom w:val="single" w:sz="8" w:color="FDFDFD"/>
            </w:tcBorders>
            <w:shd w:val="clear" w:color="auto" w:fill="D3ECED"/>
          </w:tcPr>
          <w:p>
            <w:pPr>
              <w:spacing w:after="0"/>
              <w:rPr>
                <w:sz w:val="19"/>
                <w:szCs w:val="19"/>
                <w:color w:val="auto"/>
              </w:rPr>
            </w:pPr>
          </w:p>
        </w:tc>
        <w:tc>
          <w:tcPr>
            <w:tcW w:w="20" w:type="dxa"/>
            <w:vAlign w:val="bottom"/>
            <w:tcBorders>
              <w:bottom w:val="single" w:sz="8" w:color="auto"/>
            </w:tcBorders>
            <w:shd w:val="clear" w:color="auto" w:fill="D3ECED"/>
          </w:tcPr>
          <w:p>
            <w:pPr>
              <w:spacing w:after="0"/>
              <w:rPr>
                <w:sz w:val="19"/>
                <w:szCs w:val="19"/>
                <w:color w:val="auto"/>
              </w:rPr>
            </w:pPr>
          </w:p>
        </w:tc>
        <w:tc>
          <w:tcPr>
            <w:tcW w:w="80" w:type="dxa"/>
            <w:vAlign w:val="bottom"/>
            <w:tcBorders>
              <w:bottom w:val="single" w:sz="8" w:color="auto"/>
            </w:tcBorders>
            <w:shd w:val="clear" w:color="auto" w:fill="D3ECED"/>
          </w:tcPr>
          <w:p>
            <w:pPr>
              <w:spacing w:after="0"/>
              <w:rPr>
                <w:sz w:val="19"/>
                <w:szCs w:val="19"/>
                <w:color w:val="auto"/>
              </w:rPr>
            </w:pPr>
          </w:p>
        </w:tc>
        <w:tc>
          <w:tcPr>
            <w:tcW w:w="12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111,969</w:t>
            </w:r>
          </w:p>
        </w:tc>
        <w:tc>
          <w:tcPr>
            <w:tcW w:w="20" w:type="dxa"/>
            <w:vAlign w:val="bottom"/>
            <w:tcBorders>
              <w:bottom w:val="single" w:sz="8" w:color="auto"/>
            </w:tcBorders>
            <w:shd w:val="clear" w:color="auto" w:fill="D3ECED"/>
          </w:tcPr>
          <w:p>
            <w:pPr>
              <w:spacing w:after="0"/>
              <w:rPr>
                <w:sz w:val="19"/>
                <w:szCs w:val="19"/>
                <w:color w:val="auto"/>
              </w:rPr>
            </w:pPr>
          </w:p>
        </w:tc>
        <w:tc>
          <w:tcPr>
            <w:tcW w:w="60" w:type="dxa"/>
            <w:vAlign w:val="bottom"/>
            <w:tcBorders>
              <w:bottom w:val="single" w:sz="8" w:color="FDFDFD"/>
            </w:tcBorders>
            <w:shd w:val="clear" w:color="auto" w:fill="D3ECED"/>
          </w:tcPr>
          <w:p>
            <w:pPr>
              <w:spacing w:after="0"/>
              <w:rPr>
                <w:sz w:val="19"/>
                <w:szCs w:val="19"/>
                <w:color w:val="auto"/>
              </w:rPr>
            </w:pPr>
          </w:p>
        </w:tc>
      </w:tr>
      <w:tr>
        <w:trPr>
          <w:trHeight w:val="220"/>
        </w:trPr>
        <w:tc>
          <w:tcPr>
            <w:tcW w:w="6020" w:type="dxa"/>
            <w:vAlign w:val="bottom"/>
            <w:tcBorders>
              <w:right w:val="single" w:sz="8" w:color="FDFDFD"/>
            </w:tcBorders>
            <w:shd w:val="clear" w:color="auto" w:fill="FDFDFD"/>
          </w:tcPr>
          <w:p>
            <w:pPr>
              <w:spacing w:after="0"/>
              <w:rPr>
                <w:sz w:val="20"/>
                <w:szCs w:val="20"/>
                <w:color w:val="auto"/>
              </w:rPr>
            </w:pPr>
            <w:r>
              <w:rPr>
                <w:rFonts w:ascii="Arial" w:cs="Arial" w:eastAsia="Arial" w:hAnsi="Arial"/>
                <w:sz w:val="19"/>
                <w:szCs w:val="19"/>
                <w:color w:val="auto"/>
              </w:rPr>
              <w:t>Loss from operations</w:t>
            </w:r>
          </w:p>
        </w:tc>
        <w:tc>
          <w:tcPr>
            <w:tcW w:w="80" w:type="dxa"/>
            <w:vAlign w:val="bottom"/>
            <w:shd w:val="clear" w:color="auto" w:fill="FDFDFD"/>
          </w:tcPr>
          <w:p>
            <w:pPr>
              <w:spacing w:after="0"/>
              <w:rPr>
                <w:sz w:val="19"/>
                <w:szCs w:val="19"/>
                <w:color w:val="auto"/>
              </w:rPr>
            </w:pPr>
          </w:p>
        </w:tc>
        <w:tc>
          <w:tcPr>
            <w:tcW w:w="12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(100,101)</w:t>
            </w:r>
          </w:p>
        </w:tc>
        <w:tc>
          <w:tcPr>
            <w:tcW w:w="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2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(103,463)</w:t>
            </w:r>
          </w:p>
        </w:tc>
        <w:tc>
          <w:tcPr>
            <w:tcW w:w="20" w:type="dxa"/>
            <w:vAlign w:val="bottom"/>
            <w:shd w:val="clear" w:color="auto" w:fill="FDFDFD"/>
          </w:tcPr>
          <w:p>
            <w:pPr>
              <w:spacing w:after="0"/>
              <w:rPr>
                <w:sz w:val="19"/>
                <w:szCs w:val="19"/>
                <w:color w:val="auto"/>
              </w:rPr>
            </w:pPr>
          </w:p>
        </w:tc>
        <w:tc>
          <w:tcPr>
            <w:tcW w:w="60" w:type="dxa"/>
            <w:vAlign w:val="bottom"/>
            <w:shd w:val="clear" w:color="auto" w:fill="FDFDFD"/>
          </w:tcPr>
          <w:p>
            <w:pPr>
              <w:spacing w:after="0"/>
              <w:rPr>
                <w:sz w:val="19"/>
                <w:szCs w:val="19"/>
                <w:color w:val="auto"/>
              </w:rPr>
            </w:pPr>
          </w:p>
        </w:tc>
      </w:tr>
      <w:tr>
        <w:trPr>
          <w:trHeight w:val="230"/>
        </w:trPr>
        <w:tc>
          <w:tcPr>
            <w:tcW w:w="6020" w:type="dxa"/>
            <w:vAlign w:val="bottom"/>
            <w:tcBorders>
              <w:right w:val="single" w:sz="8" w:color="D3ECED"/>
            </w:tcBorders>
            <w:shd w:val="clear" w:color="auto" w:fill="D3ECED"/>
          </w:tcPr>
          <w:p>
            <w:pPr>
              <w:spacing w:after="0"/>
              <w:rPr>
                <w:sz w:val="20"/>
                <w:szCs w:val="20"/>
                <w:color w:val="auto"/>
              </w:rPr>
            </w:pPr>
            <w:r>
              <w:rPr>
                <w:rFonts w:ascii="Arial" w:cs="Arial" w:eastAsia="Arial" w:hAnsi="Arial"/>
                <w:sz w:val="19"/>
                <w:szCs w:val="19"/>
                <w:color w:val="auto"/>
              </w:rPr>
              <w:t>Other income (expense):</w:t>
            </w:r>
          </w:p>
        </w:tc>
        <w:tc>
          <w:tcPr>
            <w:tcW w:w="80" w:type="dxa"/>
            <w:vAlign w:val="bottom"/>
            <w:shd w:val="clear" w:color="auto" w:fill="D3ECED"/>
          </w:tcPr>
          <w:p>
            <w:pPr>
              <w:spacing w:after="0"/>
              <w:rPr>
                <w:sz w:val="20"/>
                <w:szCs w:val="20"/>
                <w:color w:val="auto"/>
              </w:rPr>
            </w:pPr>
          </w:p>
        </w:tc>
        <w:tc>
          <w:tcPr>
            <w:tcW w:w="122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22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24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60" w:type="dxa"/>
            <w:vAlign w:val="bottom"/>
            <w:shd w:val="clear" w:color="auto" w:fill="D3ECED"/>
          </w:tcPr>
          <w:p>
            <w:pPr>
              <w:spacing w:after="0"/>
              <w:rPr>
                <w:sz w:val="20"/>
                <w:szCs w:val="20"/>
                <w:color w:val="auto"/>
              </w:rPr>
            </w:pPr>
          </w:p>
        </w:tc>
      </w:tr>
      <w:tr>
        <w:trPr>
          <w:trHeight w:val="230"/>
        </w:trPr>
        <w:tc>
          <w:tcPr>
            <w:tcW w:w="6020" w:type="dxa"/>
            <w:vAlign w:val="bottom"/>
            <w:tcBorders>
              <w:right w:val="single" w:sz="8" w:color="FDFDFD"/>
            </w:tcBorders>
            <w:shd w:val="clear" w:color="auto" w:fill="FDFDFD"/>
          </w:tcPr>
          <w:p>
            <w:pPr>
              <w:ind w:left="200"/>
              <w:spacing w:after="0"/>
              <w:rPr>
                <w:sz w:val="20"/>
                <w:szCs w:val="20"/>
                <w:color w:val="auto"/>
              </w:rPr>
            </w:pPr>
            <w:r>
              <w:rPr>
                <w:rFonts w:ascii="Arial" w:cs="Arial" w:eastAsia="Arial" w:hAnsi="Arial"/>
                <w:sz w:val="19"/>
                <w:szCs w:val="19"/>
                <w:color w:val="auto"/>
              </w:rPr>
              <w:t>Interest income</w:t>
            </w:r>
          </w:p>
        </w:tc>
        <w:tc>
          <w:tcPr>
            <w:tcW w:w="80" w:type="dxa"/>
            <w:vAlign w:val="bottom"/>
            <w:shd w:val="clear" w:color="auto" w:fill="FDFDFD"/>
          </w:tcPr>
          <w:p>
            <w:pPr>
              <w:spacing w:after="0"/>
              <w:rPr>
                <w:sz w:val="20"/>
                <w:szCs w:val="20"/>
                <w:color w:val="auto"/>
              </w:rPr>
            </w:pPr>
          </w:p>
        </w:tc>
        <w:tc>
          <w:tcPr>
            <w:tcW w:w="12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16,666</w:t>
            </w:r>
          </w:p>
        </w:tc>
        <w:tc>
          <w:tcPr>
            <w:tcW w:w="20" w:type="dxa"/>
            <w:vAlign w:val="bottom"/>
            <w:shd w:val="clear" w:color="auto" w:fill="FDFDFD"/>
          </w:tcPr>
          <w:p>
            <w:pPr>
              <w:spacing w:after="0"/>
              <w:rPr>
                <w:sz w:val="20"/>
                <w:szCs w:val="20"/>
                <w:color w:val="auto"/>
              </w:rPr>
            </w:pPr>
          </w:p>
        </w:tc>
        <w:tc>
          <w:tcPr>
            <w:tcW w:w="22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2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17,764</w:t>
            </w:r>
          </w:p>
        </w:tc>
        <w:tc>
          <w:tcPr>
            <w:tcW w:w="20" w:type="dxa"/>
            <w:vAlign w:val="bottom"/>
            <w:shd w:val="clear" w:color="auto" w:fill="FDFDFD"/>
          </w:tcPr>
          <w:p>
            <w:pPr>
              <w:spacing w:after="0"/>
              <w:rPr>
                <w:sz w:val="20"/>
                <w:szCs w:val="20"/>
                <w:color w:val="auto"/>
              </w:rPr>
            </w:pPr>
          </w:p>
        </w:tc>
        <w:tc>
          <w:tcPr>
            <w:tcW w:w="60" w:type="dxa"/>
            <w:vAlign w:val="bottom"/>
            <w:shd w:val="clear" w:color="auto" w:fill="FDFDFD"/>
          </w:tcPr>
          <w:p>
            <w:pPr>
              <w:spacing w:after="0"/>
              <w:rPr>
                <w:sz w:val="20"/>
                <w:szCs w:val="20"/>
                <w:color w:val="auto"/>
              </w:rPr>
            </w:pPr>
          </w:p>
        </w:tc>
      </w:tr>
      <w:tr>
        <w:trPr>
          <w:trHeight w:val="230"/>
        </w:trPr>
        <w:tc>
          <w:tcPr>
            <w:tcW w:w="6020" w:type="dxa"/>
            <w:vAlign w:val="bottom"/>
            <w:tcBorders>
              <w:right w:val="single" w:sz="8" w:color="D3ECED"/>
            </w:tcBorders>
            <w:shd w:val="clear" w:color="auto" w:fill="D3ECED"/>
          </w:tcPr>
          <w:p>
            <w:pPr>
              <w:ind w:left="200"/>
              <w:spacing w:after="0"/>
              <w:rPr>
                <w:sz w:val="20"/>
                <w:szCs w:val="20"/>
                <w:color w:val="auto"/>
              </w:rPr>
            </w:pPr>
            <w:r>
              <w:rPr>
                <w:rFonts w:ascii="Arial" w:cs="Arial" w:eastAsia="Arial" w:hAnsi="Arial"/>
                <w:sz w:val="19"/>
                <w:szCs w:val="19"/>
                <w:color w:val="auto"/>
              </w:rPr>
              <w:t>Loss on equity method investment</w:t>
            </w:r>
          </w:p>
        </w:tc>
        <w:tc>
          <w:tcPr>
            <w:tcW w:w="80" w:type="dxa"/>
            <w:vAlign w:val="bottom"/>
            <w:shd w:val="clear" w:color="auto" w:fill="D3ECED"/>
          </w:tcPr>
          <w:p>
            <w:pPr>
              <w:spacing w:after="0"/>
              <w:rPr>
                <w:sz w:val="20"/>
                <w:szCs w:val="20"/>
                <w:color w:val="auto"/>
              </w:rPr>
            </w:pPr>
          </w:p>
        </w:tc>
        <w:tc>
          <w:tcPr>
            <w:tcW w:w="12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(2,649)</w:t>
            </w:r>
          </w:p>
        </w:tc>
        <w:tc>
          <w:tcPr>
            <w:tcW w:w="20" w:type="dxa"/>
            <w:vAlign w:val="bottom"/>
            <w:shd w:val="clear" w:color="auto" w:fill="D3ECED"/>
          </w:tcPr>
          <w:p>
            <w:pPr>
              <w:spacing w:after="0"/>
              <w:rPr>
                <w:sz w:val="20"/>
                <w:szCs w:val="20"/>
                <w:color w:val="auto"/>
              </w:rPr>
            </w:pPr>
          </w:p>
        </w:tc>
        <w:tc>
          <w:tcPr>
            <w:tcW w:w="22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260" w:type="dxa"/>
            <w:vAlign w:val="bottom"/>
            <w:gridSpan w:val="2"/>
            <w:shd w:val="clear" w:color="auto" w:fill="D3ECED"/>
          </w:tcPr>
          <w:p>
            <w:pPr>
              <w:jc w:val="right"/>
              <w:ind w:right="40"/>
              <w:spacing w:after="0"/>
              <w:rPr>
                <w:sz w:val="20"/>
                <w:szCs w:val="20"/>
                <w:color w:val="auto"/>
              </w:rPr>
            </w:pPr>
            <w:r>
              <w:rPr>
                <w:rFonts w:ascii="Arial" w:cs="Arial" w:eastAsia="Arial" w:hAnsi="Arial"/>
                <w:sz w:val="19"/>
                <w:szCs w:val="19"/>
                <w:color w:val="auto"/>
              </w:rPr>
              <w:t>—</w:t>
            </w:r>
          </w:p>
        </w:tc>
        <w:tc>
          <w:tcPr>
            <w:tcW w:w="60" w:type="dxa"/>
            <w:vAlign w:val="bottom"/>
            <w:shd w:val="clear" w:color="auto" w:fill="D3ECED"/>
          </w:tcPr>
          <w:p>
            <w:pPr>
              <w:spacing w:after="0"/>
              <w:rPr>
                <w:sz w:val="20"/>
                <w:szCs w:val="20"/>
                <w:color w:val="auto"/>
              </w:rPr>
            </w:pPr>
          </w:p>
        </w:tc>
      </w:tr>
      <w:tr>
        <w:trPr>
          <w:trHeight w:val="230"/>
        </w:trPr>
        <w:tc>
          <w:tcPr>
            <w:tcW w:w="6020" w:type="dxa"/>
            <w:vAlign w:val="bottom"/>
            <w:tcBorders>
              <w:bottom w:val="single" w:sz="8" w:color="D3ECED"/>
              <w:right w:val="single" w:sz="8" w:color="FDFDFD"/>
            </w:tcBorders>
            <w:shd w:val="clear" w:color="auto" w:fill="FDFDFD"/>
          </w:tcPr>
          <w:p>
            <w:pPr>
              <w:ind w:left="200"/>
              <w:spacing w:after="0"/>
              <w:rPr>
                <w:sz w:val="20"/>
                <w:szCs w:val="20"/>
                <w:color w:val="auto"/>
              </w:rPr>
            </w:pPr>
            <w:r>
              <w:rPr>
                <w:rFonts w:ascii="Arial" w:cs="Arial" w:eastAsia="Arial" w:hAnsi="Arial"/>
                <w:sz w:val="19"/>
                <w:szCs w:val="19"/>
                <w:color w:val="auto"/>
              </w:rPr>
              <w:t>Other expense</w:t>
            </w:r>
          </w:p>
        </w:tc>
        <w:tc>
          <w:tcPr>
            <w:tcW w:w="80" w:type="dxa"/>
            <w:vAlign w:val="bottom"/>
            <w:tcBorders>
              <w:bottom w:val="single" w:sz="8" w:color="auto"/>
            </w:tcBorders>
            <w:shd w:val="clear" w:color="auto" w:fill="FDFDFD"/>
          </w:tcPr>
          <w:p>
            <w:pPr>
              <w:spacing w:after="0"/>
              <w:rPr>
                <w:sz w:val="20"/>
                <w:szCs w:val="20"/>
                <w:color w:val="auto"/>
              </w:rPr>
            </w:pPr>
          </w:p>
        </w:tc>
        <w:tc>
          <w:tcPr>
            <w:tcW w:w="12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(417)</w:t>
            </w:r>
          </w:p>
        </w:tc>
        <w:tc>
          <w:tcPr>
            <w:tcW w:w="20" w:type="dxa"/>
            <w:vAlign w:val="bottom"/>
            <w:tcBorders>
              <w:bottom w:val="single" w:sz="8" w:color="auto"/>
            </w:tcBorders>
            <w:shd w:val="clear" w:color="auto" w:fill="FDFDFD"/>
          </w:tcPr>
          <w:p>
            <w:pPr>
              <w:spacing w:after="0"/>
              <w:rPr>
                <w:sz w:val="20"/>
                <w:szCs w:val="20"/>
                <w:color w:val="auto"/>
              </w:rPr>
            </w:pPr>
          </w:p>
        </w:tc>
        <w:tc>
          <w:tcPr>
            <w:tcW w:w="220" w:type="dxa"/>
            <w:vAlign w:val="bottom"/>
            <w:tcBorders>
              <w:bottom w:val="single" w:sz="8" w:color="D3ECED"/>
            </w:tcBorders>
            <w:shd w:val="clear" w:color="auto" w:fill="FDFDFD"/>
          </w:tcPr>
          <w:p>
            <w:pPr>
              <w:spacing w:after="0"/>
              <w:rPr>
                <w:sz w:val="20"/>
                <w:szCs w:val="20"/>
                <w:color w:val="auto"/>
              </w:rPr>
            </w:pPr>
          </w:p>
        </w:tc>
        <w:tc>
          <w:tcPr>
            <w:tcW w:w="20" w:type="dxa"/>
            <w:vAlign w:val="bottom"/>
            <w:tcBorders>
              <w:bottom w:val="single" w:sz="8" w:color="auto"/>
            </w:tcBorders>
            <w:shd w:val="clear" w:color="auto" w:fill="FDFDFD"/>
          </w:tcPr>
          <w:p>
            <w:pPr>
              <w:spacing w:after="0"/>
              <w:rPr>
                <w:sz w:val="20"/>
                <w:szCs w:val="20"/>
                <w:color w:val="auto"/>
              </w:rPr>
            </w:pPr>
          </w:p>
        </w:tc>
        <w:tc>
          <w:tcPr>
            <w:tcW w:w="80" w:type="dxa"/>
            <w:vAlign w:val="bottom"/>
            <w:tcBorders>
              <w:bottom w:val="single" w:sz="8" w:color="auto"/>
            </w:tcBorders>
            <w:shd w:val="clear" w:color="auto" w:fill="FDFDFD"/>
          </w:tcPr>
          <w:p>
            <w:pPr>
              <w:spacing w:after="0"/>
              <w:rPr>
                <w:sz w:val="20"/>
                <w:szCs w:val="20"/>
                <w:color w:val="auto"/>
              </w:rPr>
            </w:pPr>
          </w:p>
        </w:tc>
        <w:tc>
          <w:tcPr>
            <w:tcW w:w="12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(578)</w:t>
            </w:r>
          </w:p>
        </w:tc>
        <w:tc>
          <w:tcPr>
            <w:tcW w:w="20" w:type="dxa"/>
            <w:vAlign w:val="bottom"/>
            <w:tcBorders>
              <w:bottom w:val="single" w:sz="8" w:color="auto"/>
            </w:tcBorders>
            <w:shd w:val="clear" w:color="auto" w:fill="FDFDFD"/>
          </w:tcPr>
          <w:p>
            <w:pPr>
              <w:spacing w:after="0"/>
              <w:rPr>
                <w:sz w:val="20"/>
                <w:szCs w:val="20"/>
                <w:color w:val="auto"/>
              </w:rPr>
            </w:pPr>
          </w:p>
        </w:tc>
        <w:tc>
          <w:tcPr>
            <w:tcW w:w="60" w:type="dxa"/>
            <w:vAlign w:val="bottom"/>
            <w:tcBorders>
              <w:bottom w:val="single" w:sz="8" w:color="D3ECED"/>
            </w:tcBorders>
            <w:shd w:val="clear" w:color="auto" w:fill="FDFDFD"/>
          </w:tcPr>
          <w:p>
            <w:pPr>
              <w:spacing w:after="0"/>
              <w:rPr>
                <w:sz w:val="20"/>
                <w:szCs w:val="20"/>
                <w:color w:val="auto"/>
              </w:rPr>
            </w:pPr>
          </w:p>
        </w:tc>
      </w:tr>
      <w:tr>
        <w:trPr>
          <w:trHeight w:val="220"/>
        </w:trPr>
        <w:tc>
          <w:tcPr>
            <w:tcW w:w="6020" w:type="dxa"/>
            <w:vAlign w:val="bottom"/>
            <w:tcBorders>
              <w:bottom w:val="single" w:sz="8" w:color="FDFDFD"/>
              <w:right w:val="single" w:sz="8" w:color="D3ECED"/>
            </w:tcBorders>
            <w:shd w:val="clear" w:color="auto" w:fill="D3ECED"/>
          </w:tcPr>
          <w:p>
            <w:pPr>
              <w:ind w:left="380"/>
              <w:spacing w:after="0"/>
              <w:rPr>
                <w:sz w:val="20"/>
                <w:szCs w:val="20"/>
                <w:color w:val="auto"/>
              </w:rPr>
            </w:pPr>
            <w:r>
              <w:rPr>
                <w:rFonts w:ascii="Arial" w:cs="Arial" w:eastAsia="Arial" w:hAnsi="Arial"/>
                <w:sz w:val="19"/>
                <w:szCs w:val="19"/>
                <w:color w:val="auto"/>
              </w:rPr>
              <w:t>Total other income</w:t>
            </w:r>
          </w:p>
        </w:tc>
        <w:tc>
          <w:tcPr>
            <w:tcW w:w="80" w:type="dxa"/>
            <w:vAlign w:val="bottom"/>
            <w:tcBorders>
              <w:bottom w:val="single" w:sz="8" w:color="auto"/>
            </w:tcBorders>
            <w:shd w:val="clear" w:color="auto" w:fill="D3ECED"/>
          </w:tcPr>
          <w:p>
            <w:pPr>
              <w:spacing w:after="0"/>
              <w:rPr>
                <w:sz w:val="19"/>
                <w:szCs w:val="19"/>
                <w:color w:val="auto"/>
              </w:rPr>
            </w:pPr>
          </w:p>
        </w:tc>
        <w:tc>
          <w:tcPr>
            <w:tcW w:w="12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13,600</w:t>
            </w:r>
          </w:p>
        </w:tc>
        <w:tc>
          <w:tcPr>
            <w:tcW w:w="20" w:type="dxa"/>
            <w:vAlign w:val="bottom"/>
            <w:tcBorders>
              <w:bottom w:val="single" w:sz="8" w:color="auto"/>
            </w:tcBorders>
            <w:shd w:val="clear" w:color="auto" w:fill="D3ECED"/>
          </w:tcPr>
          <w:p>
            <w:pPr>
              <w:spacing w:after="0"/>
              <w:rPr>
                <w:sz w:val="19"/>
                <w:szCs w:val="19"/>
                <w:color w:val="auto"/>
              </w:rPr>
            </w:pPr>
          </w:p>
        </w:tc>
        <w:tc>
          <w:tcPr>
            <w:tcW w:w="220" w:type="dxa"/>
            <w:vAlign w:val="bottom"/>
            <w:tcBorders>
              <w:bottom w:val="single" w:sz="8" w:color="FDFDFD"/>
            </w:tcBorders>
            <w:shd w:val="clear" w:color="auto" w:fill="D3ECED"/>
          </w:tcPr>
          <w:p>
            <w:pPr>
              <w:spacing w:after="0"/>
              <w:rPr>
                <w:sz w:val="19"/>
                <w:szCs w:val="19"/>
                <w:color w:val="auto"/>
              </w:rPr>
            </w:pPr>
          </w:p>
        </w:tc>
        <w:tc>
          <w:tcPr>
            <w:tcW w:w="20" w:type="dxa"/>
            <w:vAlign w:val="bottom"/>
            <w:tcBorders>
              <w:bottom w:val="single" w:sz="8" w:color="auto"/>
            </w:tcBorders>
            <w:shd w:val="clear" w:color="auto" w:fill="D3ECED"/>
          </w:tcPr>
          <w:p>
            <w:pPr>
              <w:spacing w:after="0"/>
              <w:rPr>
                <w:sz w:val="19"/>
                <w:szCs w:val="19"/>
                <w:color w:val="auto"/>
              </w:rPr>
            </w:pPr>
          </w:p>
        </w:tc>
        <w:tc>
          <w:tcPr>
            <w:tcW w:w="80" w:type="dxa"/>
            <w:vAlign w:val="bottom"/>
            <w:tcBorders>
              <w:bottom w:val="single" w:sz="8" w:color="auto"/>
            </w:tcBorders>
            <w:shd w:val="clear" w:color="auto" w:fill="D3ECED"/>
          </w:tcPr>
          <w:p>
            <w:pPr>
              <w:spacing w:after="0"/>
              <w:rPr>
                <w:sz w:val="19"/>
                <w:szCs w:val="19"/>
                <w:color w:val="auto"/>
              </w:rPr>
            </w:pPr>
          </w:p>
        </w:tc>
        <w:tc>
          <w:tcPr>
            <w:tcW w:w="12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17,186</w:t>
            </w:r>
          </w:p>
        </w:tc>
        <w:tc>
          <w:tcPr>
            <w:tcW w:w="20" w:type="dxa"/>
            <w:vAlign w:val="bottom"/>
            <w:tcBorders>
              <w:bottom w:val="single" w:sz="8" w:color="auto"/>
            </w:tcBorders>
            <w:shd w:val="clear" w:color="auto" w:fill="D3ECED"/>
          </w:tcPr>
          <w:p>
            <w:pPr>
              <w:spacing w:after="0"/>
              <w:rPr>
                <w:sz w:val="19"/>
                <w:szCs w:val="19"/>
                <w:color w:val="auto"/>
              </w:rPr>
            </w:pPr>
          </w:p>
        </w:tc>
        <w:tc>
          <w:tcPr>
            <w:tcW w:w="60" w:type="dxa"/>
            <w:vAlign w:val="bottom"/>
            <w:tcBorders>
              <w:bottom w:val="single" w:sz="8" w:color="FDFDFD"/>
            </w:tcBorders>
            <w:shd w:val="clear" w:color="auto" w:fill="D3ECED"/>
          </w:tcPr>
          <w:p>
            <w:pPr>
              <w:spacing w:after="0"/>
              <w:rPr>
                <w:sz w:val="19"/>
                <w:szCs w:val="19"/>
                <w:color w:val="auto"/>
              </w:rPr>
            </w:pPr>
          </w:p>
        </w:tc>
      </w:tr>
      <w:tr>
        <w:trPr>
          <w:trHeight w:val="220"/>
        </w:trPr>
        <w:tc>
          <w:tcPr>
            <w:tcW w:w="6020" w:type="dxa"/>
            <w:vAlign w:val="bottom"/>
            <w:tcBorders>
              <w:right w:val="single" w:sz="8" w:color="FDFDFD"/>
            </w:tcBorders>
            <w:shd w:val="clear" w:color="auto" w:fill="FDFDFD"/>
          </w:tcPr>
          <w:p>
            <w:pPr>
              <w:spacing w:after="0"/>
              <w:rPr>
                <w:sz w:val="20"/>
                <w:szCs w:val="20"/>
                <w:color w:val="auto"/>
              </w:rPr>
            </w:pPr>
            <w:r>
              <w:rPr>
                <w:rFonts w:ascii="Arial" w:cs="Arial" w:eastAsia="Arial" w:hAnsi="Arial"/>
                <w:sz w:val="19"/>
                <w:szCs w:val="19"/>
                <w:color w:val="auto"/>
              </w:rPr>
              <w:t>Loss before provision for income taxes</w:t>
            </w:r>
          </w:p>
        </w:tc>
        <w:tc>
          <w:tcPr>
            <w:tcW w:w="80" w:type="dxa"/>
            <w:vAlign w:val="bottom"/>
            <w:shd w:val="clear" w:color="auto" w:fill="FDFDFD"/>
          </w:tcPr>
          <w:p>
            <w:pPr>
              <w:spacing w:after="0"/>
              <w:rPr>
                <w:sz w:val="19"/>
                <w:szCs w:val="19"/>
                <w:color w:val="auto"/>
              </w:rPr>
            </w:pPr>
          </w:p>
        </w:tc>
        <w:tc>
          <w:tcPr>
            <w:tcW w:w="12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(86,501)</w:t>
            </w:r>
          </w:p>
        </w:tc>
        <w:tc>
          <w:tcPr>
            <w:tcW w:w="2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20" w:type="dxa"/>
            <w:vAlign w:val="bottom"/>
            <w:shd w:val="clear" w:color="auto" w:fill="FDFDFD"/>
          </w:tcPr>
          <w:p>
            <w:pPr>
              <w:spacing w:after="0"/>
              <w:rPr>
                <w:sz w:val="19"/>
                <w:szCs w:val="19"/>
                <w:color w:val="auto"/>
              </w:rPr>
            </w:pPr>
          </w:p>
        </w:tc>
        <w:tc>
          <w:tcPr>
            <w:tcW w:w="80" w:type="dxa"/>
            <w:vAlign w:val="bottom"/>
            <w:shd w:val="clear" w:color="auto" w:fill="FDFDFD"/>
          </w:tcPr>
          <w:p>
            <w:pPr>
              <w:spacing w:after="0"/>
              <w:rPr>
                <w:sz w:val="19"/>
                <w:szCs w:val="19"/>
                <w:color w:val="auto"/>
              </w:rPr>
            </w:pPr>
          </w:p>
        </w:tc>
        <w:tc>
          <w:tcPr>
            <w:tcW w:w="12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(86,277)</w:t>
            </w:r>
          </w:p>
        </w:tc>
        <w:tc>
          <w:tcPr>
            <w:tcW w:w="20" w:type="dxa"/>
            <w:vAlign w:val="bottom"/>
            <w:shd w:val="clear" w:color="auto" w:fill="FDFDFD"/>
          </w:tcPr>
          <w:p>
            <w:pPr>
              <w:spacing w:after="0"/>
              <w:rPr>
                <w:sz w:val="19"/>
                <w:szCs w:val="19"/>
                <w:color w:val="auto"/>
              </w:rPr>
            </w:pPr>
          </w:p>
        </w:tc>
        <w:tc>
          <w:tcPr>
            <w:tcW w:w="60" w:type="dxa"/>
            <w:vAlign w:val="bottom"/>
            <w:shd w:val="clear" w:color="auto" w:fill="FDFDFD"/>
          </w:tcPr>
          <w:p>
            <w:pPr>
              <w:spacing w:after="0"/>
              <w:rPr>
                <w:sz w:val="19"/>
                <w:szCs w:val="19"/>
                <w:color w:val="auto"/>
              </w:rPr>
            </w:pPr>
          </w:p>
        </w:tc>
      </w:tr>
      <w:tr>
        <w:trPr>
          <w:trHeight w:val="230"/>
        </w:trPr>
        <w:tc>
          <w:tcPr>
            <w:tcW w:w="6020" w:type="dxa"/>
            <w:vAlign w:val="bottom"/>
            <w:tcBorders>
              <w:bottom w:val="single" w:sz="8" w:color="FDFDFD"/>
              <w:right w:val="single" w:sz="8" w:color="D3ECED"/>
            </w:tcBorders>
            <w:shd w:val="clear" w:color="auto" w:fill="D3ECED"/>
          </w:tcPr>
          <w:p>
            <w:pPr>
              <w:spacing w:after="0"/>
              <w:rPr>
                <w:sz w:val="20"/>
                <w:szCs w:val="20"/>
                <w:color w:val="auto"/>
              </w:rPr>
            </w:pPr>
            <w:r>
              <w:rPr>
                <w:rFonts w:ascii="Arial" w:cs="Arial" w:eastAsia="Arial" w:hAnsi="Arial"/>
                <w:sz w:val="19"/>
                <w:szCs w:val="19"/>
                <w:color w:val="auto"/>
              </w:rPr>
              <w:t>Provision for income taxes</w:t>
            </w:r>
          </w:p>
        </w:tc>
        <w:tc>
          <w:tcPr>
            <w:tcW w:w="80" w:type="dxa"/>
            <w:vAlign w:val="bottom"/>
            <w:tcBorders>
              <w:bottom w:val="single" w:sz="8" w:color="auto"/>
            </w:tcBorders>
            <w:shd w:val="clear" w:color="auto" w:fill="D3ECED"/>
          </w:tcPr>
          <w:p>
            <w:pPr>
              <w:spacing w:after="0"/>
              <w:rPr>
                <w:sz w:val="20"/>
                <w:szCs w:val="20"/>
                <w:color w:val="auto"/>
              </w:rPr>
            </w:pPr>
          </w:p>
        </w:tc>
        <w:tc>
          <w:tcPr>
            <w:tcW w:w="12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98</w:t>
            </w:r>
          </w:p>
        </w:tc>
        <w:tc>
          <w:tcPr>
            <w:tcW w:w="20" w:type="dxa"/>
            <w:vAlign w:val="bottom"/>
            <w:tcBorders>
              <w:bottom w:val="single" w:sz="8" w:color="auto"/>
            </w:tcBorders>
            <w:shd w:val="clear" w:color="auto" w:fill="D3ECED"/>
          </w:tcPr>
          <w:p>
            <w:pPr>
              <w:spacing w:after="0"/>
              <w:rPr>
                <w:sz w:val="20"/>
                <w:szCs w:val="20"/>
                <w:color w:val="auto"/>
              </w:rPr>
            </w:pPr>
          </w:p>
        </w:tc>
        <w:tc>
          <w:tcPr>
            <w:tcW w:w="220" w:type="dxa"/>
            <w:vAlign w:val="bottom"/>
            <w:tcBorders>
              <w:bottom w:val="single" w:sz="8" w:color="FDFDFD"/>
            </w:tcBorders>
            <w:shd w:val="clear" w:color="auto" w:fill="D3ECED"/>
          </w:tcPr>
          <w:p>
            <w:pPr>
              <w:spacing w:after="0"/>
              <w:rPr>
                <w:sz w:val="20"/>
                <w:szCs w:val="20"/>
                <w:color w:val="auto"/>
              </w:rPr>
            </w:pPr>
          </w:p>
        </w:tc>
        <w:tc>
          <w:tcPr>
            <w:tcW w:w="20" w:type="dxa"/>
            <w:vAlign w:val="bottom"/>
            <w:tcBorders>
              <w:bottom w:val="single" w:sz="8" w:color="auto"/>
            </w:tcBorders>
            <w:shd w:val="clear" w:color="auto" w:fill="D3ECED"/>
          </w:tcPr>
          <w:p>
            <w:pPr>
              <w:spacing w:after="0"/>
              <w:rPr>
                <w:sz w:val="20"/>
                <w:szCs w:val="20"/>
                <w:color w:val="auto"/>
              </w:rPr>
            </w:pPr>
          </w:p>
        </w:tc>
        <w:tc>
          <w:tcPr>
            <w:tcW w:w="80" w:type="dxa"/>
            <w:vAlign w:val="bottom"/>
            <w:tcBorders>
              <w:bottom w:val="single" w:sz="8" w:color="auto"/>
            </w:tcBorders>
            <w:shd w:val="clear" w:color="auto" w:fill="D3ECED"/>
          </w:tcPr>
          <w:p>
            <w:pPr>
              <w:spacing w:after="0"/>
              <w:rPr>
                <w:sz w:val="20"/>
                <w:szCs w:val="20"/>
                <w:color w:val="auto"/>
              </w:rPr>
            </w:pPr>
          </w:p>
        </w:tc>
        <w:tc>
          <w:tcPr>
            <w:tcW w:w="1260" w:type="dxa"/>
            <w:vAlign w:val="bottom"/>
            <w:tcBorders>
              <w:bottom w:val="single" w:sz="8" w:color="auto"/>
            </w:tcBorders>
            <w:gridSpan w:val="2"/>
            <w:shd w:val="clear" w:color="auto" w:fill="D3ECED"/>
          </w:tcPr>
          <w:p>
            <w:pPr>
              <w:jc w:val="right"/>
              <w:ind w:right="40"/>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FDFDFD"/>
            </w:tcBorders>
            <w:shd w:val="clear" w:color="auto" w:fill="D3ECED"/>
          </w:tcPr>
          <w:p>
            <w:pPr>
              <w:spacing w:after="0"/>
              <w:rPr>
                <w:sz w:val="20"/>
                <w:szCs w:val="20"/>
                <w:color w:val="auto"/>
              </w:rPr>
            </w:pPr>
          </w:p>
        </w:tc>
      </w:tr>
      <w:tr>
        <w:trPr>
          <w:trHeight w:val="220"/>
        </w:trPr>
        <w:tc>
          <w:tcPr>
            <w:tcW w:w="6020" w:type="dxa"/>
            <w:vAlign w:val="bottom"/>
            <w:tcBorders>
              <w:bottom w:val="single" w:sz="8" w:color="D3ECED"/>
              <w:right w:val="single" w:sz="8" w:color="FDFDFD"/>
            </w:tcBorders>
            <w:shd w:val="clear" w:color="auto" w:fill="FDFDFD"/>
          </w:tcPr>
          <w:p>
            <w:pPr>
              <w:spacing w:after="0"/>
              <w:rPr>
                <w:sz w:val="20"/>
                <w:szCs w:val="20"/>
                <w:color w:val="auto"/>
              </w:rPr>
            </w:pPr>
            <w:r>
              <w:rPr>
                <w:rFonts w:ascii="Arial" w:cs="Arial" w:eastAsia="Arial" w:hAnsi="Arial"/>
                <w:sz w:val="19"/>
                <w:szCs w:val="19"/>
                <w:color w:val="auto"/>
              </w:rPr>
              <w:t>Net loss</w:t>
            </w:r>
          </w:p>
        </w:tc>
        <w:tc>
          <w:tcPr>
            <w:tcW w:w="8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5"/>
                <w:szCs w:val="15"/>
                <w:color w:val="auto"/>
                <w:highlight w:val="white"/>
                <w:w w:val="71"/>
              </w:rPr>
              <w:t>$</w:t>
            </w:r>
          </w:p>
        </w:tc>
        <w:tc>
          <w:tcPr>
            <w:tcW w:w="12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(86,599)</w:t>
            </w:r>
          </w:p>
        </w:tc>
        <w:tc>
          <w:tcPr>
            <w:tcW w:w="20" w:type="dxa"/>
            <w:vAlign w:val="bottom"/>
            <w:tcBorders>
              <w:bottom w:val="single" w:sz="8" w:color="auto"/>
            </w:tcBorders>
            <w:shd w:val="clear" w:color="auto" w:fill="FDFDFD"/>
          </w:tcPr>
          <w:p>
            <w:pPr>
              <w:spacing w:after="0"/>
              <w:rPr>
                <w:sz w:val="19"/>
                <w:szCs w:val="19"/>
                <w:color w:val="auto"/>
              </w:rPr>
            </w:pPr>
          </w:p>
        </w:tc>
        <w:tc>
          <w:tcPr>
            <w:tcW w:w="220" w:type="dxa"/>
            <w:vAlign w:val="bottom"/>
            <w:tcBorders>
              <w:bottom w:val="single" w:sz="8" w:color="D3ECED"/>
            </w:tcBorders>
            <w:shd w:val="clear" w:color="auto" w:fill="FDFDFD"/>
          </w:tcPr>
          <w:p>
            <w:pPr>
              <w:spacing w:after="0"/>
              <w:rPr>
                <w:sz w:val="19"/>
                <w:szCs w:val="19"/>
                <w:color w:val="auto"/>
              </w:rPr>
            </w:pPr>
          </w:p>
        </w:tc>
        <w:tc>
          <w:tcPr>
            <w:tcW w:w="20" w:type="dxa"/>
            <w:vAlign w:val="bottom"/>
            <w:tcBorders>
              <w:bottom w:val="single" w:sz="8" w:color="auto"/>
            </w:tcBorders>
            <w:shd w:val="clear" w:color="auto" w:fill="FDFDFD"/>
          </w:tcPr>
          <w:p>
            <w:pPr>
              <w:spacing w:after="0"/>
              <w:rPr>
                <w:sz w:val="19"/>
                <w:szCs w:val="19"/>
                <w:color w:val="auto"/>
              </w:rPr>
            </w:pPr>
          </w:p>
        </w:tc>
        <w:tc>
          <w:tcPr>
            <w:tcW w:w="8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5"/>
                <w:szCs w:val="15"/>
                <w:color w:val="auto"/>
                <w:highlight w:val="white"/>
                <w:w w:val="71"/>
              </w:rPr>
              <w:t>$</w:t>
            </w:r>
          </w:p>
        </w:tc>
        <w:tc>
          <w:tcPr>
            <w:tcW w:w="12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(86,277)</w:t>
            </w:r>
          </w:p>
        </w:tc>
        <w:tc>
          <w:tcPr>
            <w:tcW w:w="20" w:type="dxa"/>
            <w:vAlign w:val="bottom"/>
            <w:tcBorders>
              <w:bottom w:val="single" w:sz="8" w:color="auto"/>
            </w:tcBorders>
            <w:shd w:val="clear" w:color="auto" w:fill="FDFDFD"/>
          </w:tcPr>
          <w:p>
            <w:pPr>
              <w:spacing w:after="0"/>
              <w:rPr>
                <w:sz w:val="19"/>
                <w:szCs w:val="19"/>
                <w:color w:val="auto"/>
              </w:rPr>
            </w:pPr>
          </w:p>
        </w:tc>
        <w:tc>
          <w:tcPr>
            <w:tcW w:w="60" w:type="dxa"/>
            <w:vAlign w:val="bottom"/>
            <w:tcBorders>
              <w:bottom w:val="single" w:sz="8" w:color="D3ECED"/>
            </w:tcBorders>
            <w:shd w:val="clear" w:color="auto" w:fill="FDFDFD"/>
          </w:tcPr>
          <w:p>
            <w:pPr>
              <w:spacing w:after="0"/>
              <w:rPr>
                <w:sz w:val="19"/>
                <w:szCs w:val="19"/>
                <w:color w:val="auto"/>
              </w:rPr>
            </w:pPr>
          </w:p>
        </w:tc>
      </w:tr>
      <w:tr>
        <w:trPr>
          <w:trHeight w:val="220"/>
        </w:trPr>
        <w:tc>
          <w:tcPr>
            <w:tcW w:w="6020" w:type="dxa"/>
            <w:vAlign w:val="bottom"/>
            <w:tcBorders>
              <w:right w:val="single" w:sz="8" w:color="D3ECED"/>
            </w:tcBorders>
            <w:shd w:val="clear" w:color="auto" w:fill="D3ECED"/>
          </w:tcPr>
          <w:p>
            <w:pPr>
              <w:spacing w:after="0"/>
              <w:rPr>
                <w:sz w:val="20"/>
                <w:szCs w:val="20"/>
                <w:color w:val="auto"/>
              </w:rPr>
            </w:pPr>
            <w:r>
              <w:rPr>
                <w:rFonts w:ascii="Arial" w:cs="Arial" w:eastAsia="Arial" w:hAnsi="Arial"/>
                <w:sz w:val="19"/>
                <w:szCs w:val="19"/>
                <w:color w:val="auto"/>
              </w:rPr>
              <w:t>Other comprehensive loss:</w:t>
            </w:r>
          </w:p>
        </w:tc>
        <w:tc>
          <w:tcPr>
            <w:tcW w:w="80" w:type="dxa"/>
            <w:vAlign w:val="bottom"/>
            <w:shd w:val="clear" w:color="auto" w:fill="D3ECED"/>
          </w:tcPr>
          <w:p>
            <w:pPr>
              <w:spacing w:after="0"/>
              <w:rPr>
                <w:sz w:val="19"/>
                <w:szCs w:val="19"/>
                <w:color w:val="auto"/>
              </w:rPr>
            </w:pPr>
          </w:p>
        </w:tc>
        <w:tc>
          <w:tcPr>
            <w:tcW w:w="1220" w:type="dxa"/>
            <w:vAlign w:val="bottom"/>
            <w:shd w:val="clear" w:color="auto" w:fill="D3ECED"/>
          </w:tcPr>
          <w:p>
            <w:pPr>
              <w:spacing w:after="0"/>
              <w:rPr>
                <w:sz w:val="19"/>
                <w:szCs w:val="19"/>
                <w:color w:val="auto"/>
              </w:rPr>
            </w:pPr>
          </w:p>
        </w:tc>
        <w:tc>
          <w:tcPr>
            <w:tcW w:w="20" w:type="dxa"/>
            <w:vAlign w:val="bottom"/>
            <w:shd w:val="clear" w:color="auto" w:fill="D3ECED"/>
          </w:tcPr>
          <w:p>
            <w:pPr>
              <w:spacing w:after="0"/>
              <w:rPr>
                <w:sz w:val="19"/>
                <w:szCs w:val="19"/>
                <w:color w:val="auto"/>
              </w:rPr>
            </w:pPr>
          </w:p>
        </w:tc>
        <w:tc>
          <w:tcPr>
            <w:tcW w:w="220" w:type="dxa"/>
            <w:vAlign w:val="bottom"/>
            <w:shd w:val="clear" w:color="auto" w:fill="D3ECED"/>
          </w:tcPr>
          <w:p>
            <w:pPr>
              <w:spacing w:after="0"/>
              <w:rPr>
                <w:sz w:val="19"/>
                <w:szCs w:val="19"/>
                <w:color w:val="auto"/>
              </w:rPr>
            </w:pPr>
          </w:p>
        </w:tc>
        <w:tc>
          <w:tcPr>
            <w:tcW w:w="2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c>
          <w:tcPr>
            <w:tcW w:w="1240" w:type="dxa"/>
            <w:vAlign w:val="bottom"/>
            <w:shd w:val="clear" w:color="auto" w:fill="D3ECED"/>
          </w:tcPr>
          <w:p>
            <w:pPr>
              <w:spacing w:after="0"/>
              <w:rPr>
                <w:sz w:val="19"/>
                <w:szCs w:val="19"/>
                <w:color w:val="auto"/>
              </w:rPr>
            </w:pPr>
          </w:p>
        </w:tc>
        <w:tc>
          <w:tcPr>
            <w:tcW w:w="20" w:type="dxa"/>
            <w:vAlign w:val="bottom"/>
            <w:shd w:val="clear" w:color="auto" w:fill="D3ECED"/>
          </w:tcPr>
          <w:p>
            <w:pPr>
              <w:spacing w:after="0"/>
              <w:rPr>
                <w:sz w:val="19"/>
                <w:szCs w:val="19"/>
                <w:color w:val="auto"/>
              </w:rPr>
            </w:pPr>
          </w:p>
        </w:tc>
        <w:tc>
          <w:tcPr>
            <w:tcW w:w="60" w:type="dxa"/>
            <w:vAlign w:val="bottom"/>
            <w:shd w:val="clear" w:color="auto" w:fill="D3ECED"/>
          </w:tcPr>
          <w:p>
            <w:pPr>
              <w:spacing w:after="0"/>
              <w:rPr>
                <w:sz w:val="19"/>
                <w:szCs w:val="19"/>
                <w:color w:val="auto"/>
              </w:rPr>
            </w:pPr>
          </w:p>
        </w:tc>
      </w:tr>
      <w:tr>
        <w:trPr>
          <w:trHeight w:val="230"/>
        </w:trPr>
        <w:tc>
          <w:tcPr>
            <w:tcW w:w="6020" w:type="dxa"/>
            <w:vAlign w:val="bottom"/>
            <w:tcBorders>
              <w:bottom w:val="single" w:sz="8" w:color="D3ECED"/>
              <w:right w:val="single" w:sz="8" w:color="FDFDFD"/>
            </w:tcBorders>
            <w:shd w:val="clear" w:color="auto" w:fill="FDFDFD"/>
          </w:tcPr>
          <w:p>
            <w:pPr>
              <w:ind w:left="200"/>
              <w:spacing w:after="0"/>
              <w:rPr>
                <w:sz w:val="20"/>
                <w:szCs w:val="20"/>
                <w:color w:val="auto"/>
              </w:rPr>
            </w:pPr>
            <w:r>
              <w:rPr>
                <w:rFonts w:ascii="Arial" w:cs="Arial" w:eastAsia="Arial" w:hAnsi="Arial"/>
                <w:sz w:val="19"/>
                <w:szCs w:val="19"/>
                <w:color w:val="auto"/>
              </w:rPr>
              <w:t>Unrealized gain on available-for-sale securities</w:t>
            </w:r>
          </w:p>
        </w:tc>
        <w:tc>
          <w:tcPr>
            <w:tcW w:w="80" w:type="dxa"/>
            <w:vAlign w:val="bottom"/>
            <w:tcBorders>
              <w:bottom w:val="single" w:sz="8" w:color="auto"/>
            </w:tcBorders>
            <w:shd w:val="clear" w:color="auto" w:fill="FDFDFD"/>
          </w:tcPr>
          <w:p>
            <w:pPr>
              <w:spacing w:after="0"/>
              <w:rPr>
                <w:sz w:val="20"/>
                <w:szCs w:val="20"/>
                <w:color w:val="auto"/>
              </w:rPr>
            </w:pPr>
          </w:p>
        </w:tc>
        <w:tc>
          <w:tcPr>
            <w:tcW w:w="12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328</w:t>
            </w:r>
          </w:p>
        </w:tc>
        <w:tc>
          <w:tcPr>
            <w:tcW w:w="20" w:type="dxa"/>
            <w:vAlign w:val="bottom"/>
            <w:tcBorders>
              <w:bottom w:val="single" w:sz="8" w:color="auto"/>
            </w:tcBorders>
            <w:shd w:val="clear" w:color="auto" w:fill="FDFDFD"/>
          </w:tcPr>
          <w:p>
            <w:pPr>
              <w:spacing w:after="0"/>
              <w:rPr>
                <w:sz w:val="20"/>
                <w:szCs w:val="20"/>
                <w:color w:val="auto"/>
              </w:rPr>
            </w:pPr>
          </w:p>
        </w:tc>
        <w:tc>
          <w:tcPr>
            <w:tcW w:w="220" w:type="dxa"/>
            <w:vAlign w:val="bottom"/>
            <w:tcBorders>
              <w:bottom w:val="single" w:sz="8" w:color="D3ECED"/>
            </w:tcBorders>
            <w:shd w:val="clear" w:color="auto" w:fill="FDFDFD"/>
          </w:tcPr>
          <w:p>
            <w:pPr>
              <w:spacing w:after="0"/>
              <w:rPr>
                <w:sz w:val="20"/>
                <w:szCs w:val="20"/>
                <w:color w:val="auto"/>
              </w:rPr>
            </w:pPr>
          </w:p>
        </w:tc>
        <w:tc>
          <w:tcPr>
            <w:tcW w:w="20" w:type="dxa"/>
            <w:vAlign w:val="bottom"/>
            <w:tcBorders>
              <w:bottom w:val="single" w:sz="8" w:color="auto"/>
            </w:tcBorders>
            <w:shd w:val="clear" w:color="auto" w:fill="FDFDFD"/>
          </w:tcPr>
          <w:p>
            <w:pPr>
              <w:spacing w:after="0"/>
              <w:rPr>
                <w:sz w:val="20"/>
                <w:szCs w:val="20"/>
                <w:color w:val="auto"/>
              </w:rPr>
            </w:pPr>
          </w:p>
        </w:tc>
        <w:tc>
          <w:tcPr>
            <w:tcW w:w="80" w:type="dxa"/>
            <w:vAlign w:val="bottom"/>
            <w:tcBorders>
              <w:bottom w:val="single" w:sz="8" w:color="auto"/>
            </w:tcBorders>
            <w:shd w:val="clear" w:color="auto" w:fill="FDFDFD"/>
          </w:tcPr>
          <w:p>
            <w:pPr>
              <w:spacing w:after="0"/>
              <w:rPr>
                <w:sz w:val="20"/>
                <w:szCs w:val="20"/>
                <w:color w:val="auto"/>
              </w:rPr>
            </w:pPr>
          </w:p>
        </w:tc>
        <w:tc>
          <w:tcPr>
            <w:tcW w:w="12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1,059</w:t>
            </w:r>
          </w:p>
        </w:tc>
        <w:tc>
          <w:tcPr>
            <w:tcW w:w="20" w:type="dxa"/>
            <w:vAlign w:val="bottom"/>
            <w:tcBorders>
              <w:bottom w:val="single" w:sz="8" w:color="auto"/>
            </w:tcBorders>
            <w:shd w:val="clear" w:color="auto" w:fill="FDFDFD"/>
          </w:tcPr>
          <w:p>
            <w:pPr>
              <w:spacing w:after="0"/>
              <w:rPr>
                <w:sz w:val="20"/>
                <w:szCs w:val="20"/>
                <w:color w:val="auto"/>
              </w:rPr>
            </w:pPr>
          </w:p>
        </w:tc>
        <w:tc>
          <w:tcPr>
            <w:tcW w:w="60" w:type="dxa"/>
            <w:vAlign w:val="bottom"/>
            <w:tcBorders>
              <w:bottom w:val="single" w:sz="8" w:color="D3ECED"/>
            </w:tcBorders>
            <w:shd w:val="clear" w:color="auto" w:fill="FDFDFD"/>
          </w:tcPr>
          <w:p>
            <w:pPr>
              <w:spacing w:after="0"/>
              <w:rPr>
                <w:sz w:val="20"/>
                <w:szCs w:val="20"/>
                <w:color w:val="auto"/>
              </w:rPr>
            </w:pPr>
          </w:p>
        </w:tc>
      </w:tr>
      <w:tr>
        <w:trPr>
          <w:trHeight w:val="243"/>
        </w:trPr>
        <w:tc>
          <w:tcPr>
            <w:tcW w:w="6020" w:type="dxa"/>
            <w:vAlign w:val="bottom"/>
            <w:tcBorders>
              <w:bottom w:val="single" w:sz="8" w:color="FDFDFD"/>
              <w:right w:val="single" w:sz="8" w:color="D3ECED"/>
            </w:tcBorders>
            <w:shd w:val="clear" w:color="auto" w:fill="D3ECED"/>
          </w:tcPr>
          <w:p>
            <w:pPr>
              <w:spacing w:after="0"/>
              <w:rPr>
                <w:sz w:val="20"/>
                <w:szCs w:val="20"/>
                <w:color w:val="auto"/>
              </w:rPr>
            </w:pPr>
            <w:r>
              <w:rPr>
                <w:rFonts w:ascii="Arial" w:cs="Arial" w:eastAsia="Arial" w:hAnsi="Arial"/>
                <w:sz w:val="19"/>
                <w:szCs w:val="19"/>
                <w:color w:val="auto"/>
              </w:rPr>
              <w:t>Comprehensive loss</w:t>
            </w:r>
          </w:p>
        </w:tc>
        <w:tc>
          <w:tcPr>
            <w:tcW w:w="80" w:type="dxa"/>
            <w:vAlign w:val="bottom"/>
            <w:tcBorders>
              <w:bottom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1220" w:type="dxa"/>
            <w:vAlign w:val="bottom"/>
            <w:tcBorders>
              <w:bottom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(86,271)</w:t>
            </w:r>
          </w:p>
        </w:tc>
        <w:tc>
          <w:tcPr>
            <w:tcW w:w="20" w:type="dxa"/>
            <w:vAlign w:val="bottom"/>
            <w:tcBorders>
              <w:bottom w:val="single" w:sz="8" w:color="FDFDFD"/>
            </w:tcBorders>
            <w:shd w:val="clear" w:color="auto" w:fill="D3ECED"/>
          </w:tcPr>
          <w:p>
            <w:pPr>
              <w:spacing w:after="0"/>
              <w:rPr>
                <w:sz w:val="21"/>
                <w:szCs w:val="21"/>
                <w:color w:val="auto"/>
              </w:rPr>
            </w:pPr>
          </w:p>
        </w:tc>
        <w:tc>
          <w:tcPr>
            <w:tcW w:w="220" w:type="dxa"/>
            <w:vAlign w:val="bottom"/>
            <w:tcBorders>
              <w:bottom w:val="single" w:sz="8" w:color="FDFDFD"/>
            </w:tcBorders>
            <w:shd w:val="clear" w:color="auto" w:fill="D3ECED"/>
          </w:tcPr>
          <w:p>
            <w:pPr>
              <w:spacing w:after="0"/>
              <w:rPr>
                <w:sz w:val="21"/>
                <w:szCs w:val="21"/>
                <w:color w:val="auto"/>
              </w:rPr>
            </w:pPr>
          </w:p>
        </w:tc>
        <w:tc>
          <w:tcPr>
            <w:tcW w:w="20" w:type="dxa"/>
            <w:vAlign w:val="bottom"/>
            <w:tcBorders>
              <w:bottom w:val="single" w:sz="8" w:color="FDFDFD"/>
            </w:tcBorders>
            <w:shd w:val="clear" w:color="auto" w:fill="D3ECED"/>
          </w:tcPr>
          <w:p>
            <w:pPr>
              <w:spacing w:after="0"/>
              <w:rPr>
                <w:sz w:val="21"/>
                <w:szCs w:val="21"/>
                <w:color w:val="auto"/>
              </w:rPr>
            </w:pPr>
          </w:p>
        </w:tc>
        <w:tc>
          <w:tcPr>
            <w:tcW w:w="80" w:type="dxa"/>
            <w:vAlign w:val="bottom"/>
            <w:tcBorders>
              <w:bottom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1240" w:type="dxa"/>
            <w:vAlign w:val="bottom"/>
            <w:tcBorders>
              <w:bottom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(85,218)</w:t>
            </w:r>
          </w:p>
        </w:tc>
        <w:tc>
          <w:tcPr>
            <w:tcW w:w="20" w:type="dxa"/>
            <w:vAlign w:val="bottom"/>
            <w:tcBorders>
              <w:bottom w:val="single" w:sz="8" w:color="FDFDFD"/>
            </w:tcBorders>
            <w:shd w:val="clear" w:color="auto" w:fill="D3ECED"/>
          </w:tcPr>
          <w:p>
            <w:pPr>
              <w:spacing w:after="0"/>
              <w:rPr>
                <w:sz w:val="21"/>
                <w:szCs w:val="21"/>
                <w:color w:val="auto"/>
              </w:rPr>
            </w:pPr>
          </w:p>
        </w:tc>
        <w:tc>
          <w:tcPr>
            <w:tcW w:w="60" w:type="dxa"/>
            <w:vAlign w:val="bottom"/>
            <w:tcBorders>
              <w:bottom w:val="single" w:sz="8" w:color="FDFDFD"/>
            </w:tcBorders>
            <w:shd w:val="clear" w:color="auto" w:fill="D3ECED"/>
          </w:tcPr>
          <w:p>
            <w:pPr>
              <w:spacing w:after="0"/>
              <w:rPr>
                <w:sz w:val="21"/>
                <w:szCs w:val="21"/>
                <w:color w:val="auto"/>
              </w:rPr>
            </w:pPr>
          </w:p>
        </w:tc>
      </w:tr>
      <w:tr>
        <w:trPr>
          <w:trHeight w:val="211"/>
        </w:trPr>
        <w:tc>
          <w:tcPr>
            <w:tcW w:w="6020" w:type="dxa"/>
            <w:vAlign w:val="bottom"/>
            <w:tcBorders>
              <w:right w:val="single" w:sz="8" w:color="FDFDFD"/>
            </w:tcBorders>
            <w:shd w:val="clear" w:color="auto" w:fill="FDFDFD"/>
          </w:tcPr>
          <w:p>
            <w:pPr>
              <w:spacing w:after="0" w:line="211" w:lineRule="exact"/>
              <w:rPr>
                <w:sz w:val="20"/>
                <w:szCs w:val="20"/>
                <w:color w:val="auto"/>
              </w:rPr>
            </w:pPr>
            <w:r>
              <w:rPr>
                <w:rFonts w:ascii="Arial" w:cs="Arial" w:eastAsia="Arial" w:hAnsi="Arial"/>
                <w:sz w:val="19"/>
                <w:szCs w:val="19"/>
                <w:color w:val="auto"/>
                <w:w w:val="92"/>
              </w:rPr>
              <w:t>Net loss per share attributable to Class A and Class B common stockholders,</w:t>
            </w:r>
          </w:p>
        </w:tc>
        <w:tc>
          <w:tcPr>
            <w:tcW w:w="80" w:type="dxa"/>
            <w:vAlign w:val="bottom"/>
            <w:shd w:val="clear" w:color="auto" w:fill="FDFDFD"/>
          </w:tcPr>
          <w:p>
            <w:pPr>
              <w:spacing w:after="0"/>
              <w:rPr>
                <w:sz w:val="18"/>
                <w:szCs w:val="18"/>
                <w:color w:val="auto"/>
              </w:rPr>
            </w:pPr>
          </w:p>
        </w:tc>
        <w:tc>
          <w:tcPr>
            <w:tcW w:w="122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22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c>
          <w:tcPr>
            <w:tcW w:w="1240" w:type="dxa"/>
            <w:vAlign w:val="bottom"/>
            <w:shd w:val="clear" w:color="auto" w:fill="FDFDFD"/>
          </w:tcPr>
          <w:p>
            <w:pPr>
              <w:spacing w:after="0"/>
              <w:rPr>
                <w:sz w:val="18"/>
                <w:szCs w:val="18"/>
                <w:color w:val="auto"/>
              </w:rPr>
            </w:pPr>
          </w:p>
        </w:tc>
        <w:tc>
          <w:tcPr>
            <w:tcW w:w="20" w:type="dxa"/>
            <w:vAlign w:val="bottom"/>
            <w:shd w:val="clear" w:color="auto" w:fill="FDFDFD"/>
          </w:tcPr>
          <w:p>
            <w:pPr>
              <w:spacing w:after="0"/>
              <w:rPr>
                <w:sz w:val="18"/>
                <w:szCs w:val="18"/>
                <w:color w:val="auto"/>
              </w:rPr>
            </w:pPr>
          </w:p>
        </w:tc>
        <w:tc>
          <w:tcPr>
            <w:tcW w:w="60" w:type="dxa"/>
            <w:vAlign w:val="bottom"/>
            <w:shd w:val="clear" w:color="auto" w:fill="FDFDFD"/>
          </w:tcPr>
          <w:p>
            <w:pPr>
              <w:spacing w:after="0"/>
              <w:rPr>
                <w:sz w:val="18"/>
                <w:szCs w:val="18"/>
                <w:color w:val="auto"/>
              </w:rPr>
            </w:pPr>
          </w:p>
        </w:tc>
      </w:tr>
      <w:tr>
        <w:trPr>
          <w:trHeight w:val="259"/>
        </w:trPr>
        <w:tc>
          <w:tcPr>
            <w:tcW w:w="6020" w:type="dxa"/>
            <w:vAlign w:val="bottom"/>
            <w:tcBorders>
              <w:bottom w:val="single" w:sz="8" w:color="D3ECED"/>
              <w:right w:val="single" w:sz="8" w:color="FDFDFD"/>
            </w:tcBorders>
            <w:shd w:val="clear" w:color="auto" w:fill="FDFDFD"/>
          </w:tcPr>
          <w:p>
            <w:pPr>
              <w:ind w:left="100"/>
              <w:spacing w:after="0"/>
              <w:rPr>
                <w:sz w:val="20"/>
                <w:szCs w:val="20"/>
                <w:color w:val="auto"/>
              </w:rPr>
            </w:pPr>
            <w:r>
              <w:rPr>
                <w:rFonts w:ascii="Arial" w:cs="Arial" w:eastAsia="Arial" w:hAnsi="Arial"/>
                <w:sz w:val="19"/>
                <w:szCs w:val="19"/>
                <w:color w:val="auto"/>
              </w:rPr>
              <w:t>basic and diluted</w:t>
            </w:r>
          </w:p>
        </w:tc>
        <w:tc>
          <w:tcPr>
            <w:tcW w:w="8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(1.39)</w:t>
            </w:r>
          </w:p>
        </w:tc>
        <w:tc>
          <w:tcPr>
            <w:tcW w:w="20" w:type="dxa"/>
            <w:vAlign w:val="bottom"/>
            <w:tcBorders>
              <w:bottom w:val="single" w:sz="8" w:color="D3ECED"/>
            </w:tcBorders>
            <w:shd w:val="clear" w:color="auto" w:fill="FDFDFD"/>
          </w:tcPr>
          <w:p>
            <w:pPr>
              <w:spacing w:after="0"/>
              <w:rPr>
                <w:sz w:val="22"/>
                <w:szCs w:val="22"/>
                <w:color w:val="auto"/>
              </w:rPr>
            </w:pPr>
          </w:p>
        </w:tc>
        <w:tc>
          <w:tcPr>
            <w:tcW w:w="220" w:type="dxa"/>
            <w:vAlign w:val="bottom"/>
            <w:tcBorders>
              <w:bottom w:val="single" w:sz="8" w:color="D3ECED"/>
            </w:tcBorders>
            <w:shd w:val="clear" w:color="auto" w:fill="FDFDFD"/>
          </w:tcPr>
          <w:p>
            <w:pPr>
              <w:spacing w:after="0"/>
              <w:rPr>
                <w:sz w:val="22"/>
                <w:szCs w:val="22"/>
                <w:color w:val="auto"/>
              </w:rPr>
            </w:pPr>
          </w:p>
        </w:tc>
        <w:tc>
          <w:tcPr>
            <w:tcW w:w="20" w:type="dxa"/>
            <w:vAlign w:val="bottom"/>
            <w:tcBorders>
              <w:bottom w:val="single" w:sz="8" w:color="D3ECED"/>
            </w:tcBorders>
            <w:shd w:val="clear" w:color="auto" w:fill="FDFDFD"/>
          </w:tcPr>
          <w:p>
            <w:pPr>
              <w:spacing w:after="0"/>
              <w:rPr>
                <w:sz w:val="22"/>
                <w:szCs w:val="22"/>
                <w:color w:val="auto"/>
              </w:rPr>
            </w:pPr>
          </w:p>
        </w:tc>
        <w:tc>
          <w:tcPr>
            <w:tcW w:w="8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(1.35)</w:t>
            </w:r>
          </w:p>
        </w:tc>
        <w:tc>
          <w:tcPr>
            <w:tcW w:w="20" w:type="dxa"/>
            <w:vAlign w:val="bottom"/>
            <w:tcBorders>
              <w:bottom w:val="single" w:sz="8" w:color="D3ECED"/>
            </w:tcBorders>
            <w:shd w:val="clear" w:color="auto" w:fill="FDFDFD"/>
          </w:tcPr>
          <w:p>
            <w:pPr>
              <w:spacing w:after="0"/>
              <w:rPr>
                <w:sz w:val="22"/>
                <w:szCs w:val="22"/>
                <w:color w:val="auto"/>
              </w:rPr>
            </w:pPr>
          </w:p>
        </w:tc>
        <w:tc>
          <w:tcPr>
            <w:tcW w:w="60" w:type="dxa"/>
            <w:vAlign w:val="bottom"/>
            <w:tcBorders>
              <w:bottom w:val="single" w:sz="8" w:color="D3ECED"/>
            </w:tcBorders>
            <w:shd w:val="clear" w:color="auto" w:fill="FDFDFD"/>
          </w:tcPr>
          <w:p>
            <w:pPr>
              <w:spacing w:after="0"/>
              <w:rPr>
                <w:sz w:val="22"/>
                <w:szCs w:val="22"/>
                <w:color w:val="auto"/>
              </w:rPr>
            </w:pPr>
          </w:p>
        </w:tc>
      </w:tr>
      <w:tr>
        <w:trPr>
          <w:trHeight w:val="211"/>
        </w:trPr>
        <w:tc>
          <w:tcPr>
            <w:tcW w:w="6020" w:type="dxa"/>
            <w:vAlign w:val="bottom"/>
            <w:tcBorders>
              <w:right w:val="single" w:sz="8" w:color="D3ECED"/>
            </w:tcBorders>
            <w:shd w:val="clear" w:color="auto" w:fill="D3ECED"/>
          </w:tcPr>
          <w:p>
            <w:pPr>
              <w:spacing w:after="0" w:line="211" w:lineRule="exact"/>
              <w:rPr>
                <w:sz w:val="20"/>
                <w:szCs w:val="20"/>
                <w:color w:val="auto"/>
              </w:rPr>
            </w:pPr>
            <w:r>
              <w:rPr>
                <w:rFonts w:ascii="Arial" w:cs="Arial" w:eastAsia="Arial" w:hAnsi="Arial"/>
                <w:sz w:val="19"/>
                <w:szCs w:val="19"/>
                <w:color w:val="auto"/>
                <w:w w:val="91"/>
              </w:rPr>
              <w:t>Weighted-average shares used in computing net loss per share attributable to</w:t>
            </w:r>
          </w:p>
        </w:tc>
        <w:tc>
          <w:tcPr>
            <w:tcW w:w="80" w:type="dxa"/>
            <w:vAlign w:val="bottom"/>
            <w:shd w:val="clear" w:color="auto" w:fill="D3ECED"/>
          </w:tcPr>
          <w:p>
            <w:pPr>
              <w:spacing w:after="0"/>
              <w:rPr>
                <w:sz w:val="18"/>
                <w:szCs w:val="18"/>
                <w:color w:val="auto"/>
              </w:rPr>
            </w:pPr>
          </w:p>
        </w:tc>
        <w:tc>
          <w:tcPr>
            <w:tcW w:w="122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22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80" w:type="dxa"/>
            <w:vAlign w:val="bottom"/>
            <w:shd w:val="clear" w:color="auto" w:fill="D3ECED"/>
          </w:tcPr>
          <w:p>
            <w:pPr>
              <w:spacing w:after="0"/>
              <w:rPr>
                <w:sz w:val="18"/>
                <w:szCs w:val="18"/>
                <w:color w:val="auto"/>
              </w:rPr>
            </w:pPr>
          </w:p>
        </w:tc>
        <w:tc>
          <w:tcPr>
            <w:tcW w:w="1240" w:type="dxa"/>
            <w:vAlign w:val="bottom"/>
            <w:shd w:val="clear" w:color="auto" w:fill="D3ECED"/>
          </w:tcPr>
          <w:p>
            <w:pPr>
              <w:spacing w:after="0"/>
              <w:rPr>
                <w:sz w:val="18"/>
                <w:szCs w:val="18"/>
                <w:color w:val="auto"/>
              </w:rPr>
            </w:pPr>
          </w:p>
        </w:tc>
        <w:tc>
          <w:tcPr>
            <w:tcW w:w="20" w:type="dxa"/>
            <w:vAlign w:val="bottom"/>
            <w:shd w:val="clear" w:color="auto" w:fill="D3ECED"/>
          </w:tcPr>
          <w:p>
            <w:pPr>
              <w:spacing w:after="0"/>
              <w:rPr>
                <w:sz w:val="18"/>
                <w:szCs w:val="18"/>
                <w:color w:val="auto"/>
              </w:rPr>
            </w:pPr>
          </w:p>
        </w:tc>
        <w:tc>
          <w:tcPr>
            <w:tcW w:w="60" w:type="dxa"/>
            <w:vAlign w:val="bottom"/>
            <w:shd w:val="clear" w:color="auto" w:fill="D3ECED"/>
          </w:tcPr>
          <w:p>
            <w:pPr>
              <w:spacing w:after="0"/>
              <w:rPr>
                <w:sz w:val="18"/>
                <w:szCs w:val="18"/>
                <w:color w:val="auto"/>
              </w:rPr>
            </w:pPr>
          </w:p>
        </w:tc>
      </w:tr>
      <w:tr>
        <w:trPr>
          <w:trHeight w:val="238"/>
        </w:trPr>
        <w:tc>
          <w:tcPr>
            <w:tcW w:w="6020" w:type="dxa"/>
            <w:vAlign w:val="bottom"/>
            <w:tcBorders>
              <w:right w:val="single" w:sz="8" w:color="D3ECED"/>
            </w:tcBorders>
            <w:shd w:val="clear" w:color="auto" w:fill="D3ECED"/>
          </w:tcPr>
          <w:p>
            <w:pPr>
              <w:ind w:left="100"/>
              <w:spacing w:after="0"/>
              <w:rPr>
                <w:sz w:val="20"/>
                <w:szCs w:val="20"/>
                <w:color w:val="auto"/>
              </w:rPr>
            </w:pPr>
            <w:r>
              <w:rPr>
                <w:rFonts w:ascii="Arial" w:cs="Arial" w:eastAsia="Arial" w:hAnsi="Arial"/>
                <w:sz w:val="19"/>
                <w:szCs w:val="19"/>
                <w:color w:val="auto"/>
              </w:rPr>
              <w:t>Class A and Class B common stockholders, basic and diluted</w:t>
            </w:r>
          </w:p>
        </w:tc>
        <w:tc>
          <w:tcPr>
            <w:tcW w:w="80" w:type="dxa"/>
            <w:vAlign w:val="bottom"/>
            <w:shd w:val="clear" w:color="auto" w:fill="D3ECED"/>
          </w:tcPr>
          <w:p>
            <w:pPr>
              <w:spacing w:after="0"/>
              <w:rPr>
                <w:sz w:val="20"/>
                <w:szCs w:val="20"/>
                <w:color w:val="auto"/>
              </w:rPr>
            </w:pPr>
          </w:p>
        </w:tc>
        <w:tc>
          <w:tcPr>
            <w:tcW w:w="12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62,348,012</w:t>
            </w:r>
          </w:p>
        </w:tc>
        <w:tc>
          <w:tcPr>
            <w:tcW w:w="20" w:type="dxa"/>
            <w:vAlign w:val="bottom"/>
            <w:shd w:val="clear" w:color="auto" w:fill="D3ECED"/>
          </w:tcPr>
          <w:p>
            <w:pPr>
              <w:spacing w:after="0"/>
              <w:rPr>
                <w:sz w:val="20"/>
                <w:szCs w:val="20"/>
                <w:color w:val="auto"/>
              </w:rPr>
            </w:pPr>
          </w:p>
        </w:tc>
        <w:tc>
          <w:tcPr>
            <w:tcW w:w="22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2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63,850,490</w:t>
            </w:r>
          </w:p>
        </w:tc>
        <w:tc>
          <w:tcPr>
            <w:tcW w:w="20" w:type="dxa"/>
            <w:vAlign w:val="bottom"/>
            <w:shd w:val="clear" w:color="auto" w:fill="D3ECED"/>
          </w:tcPr>
          <w:p>
            <w:pPr>
              <w:spacing w:after="0"/>
              <w:rPr>
                <w:sz w:val="20"/>
                <w:szCs w:val="20"/>
                <w:color w:val="auto"/>
              </w:rPr>
            </w:pPr>
          </w:p>
        </w:tc>
        <w:tc>
          <w:tcPr>
            <w:tcW w:w="60" w:type="dxa"/>
            <w:vAlign w:val="bottom"/>
            <w:shd w:val="clear" w:color="auto" w:fill="D3ECED"/>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-635000</wp:posOffset>
            </wp:positionV>
            <wp:extent cx="1865630" cy="6750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71">
                      <a:extLst>
                        <a:ext uri="{28A0092B-C50C-407E-A947-70E740481C1C}"/>
                      </a:extLst>
                    </a:blip>
                    <a:srcRect/>
                    <a:stretch>
                      <a:fillRect/>
                    </a:stretch>
                  </pic:blipFill>
                  <pic:spPr bwMode="auto">
                    <a:xfrm>
                      <a:off x="0" y="0"/>
                      <a:ext cx="1865630" cy="675005"/>
                    </a:xfrm>
                    <a:prstGeom prst="rect">
                      <a:avLst/>
                    </a:prstGeom>
                    <a:noFill/>
                  </pic:spPr>
                </pic:pic>
              </a:graphicData>
            </a:graphic>
          </wp:anchor>
        </w:drawing>
      </w:r>
    </w:p>
    <w:p>
      <w:pPr>
        <w:spacing w:after="0" w:line="24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107</w:t>
      </w:r>
    </w:p>
    <w:p>
      <w:pPr>
        <w:sectPr>
          <w:pgSz w:w="12240" w:h="15840" w:orient="portrait"/>
          <w:cols w:equalWidth="0" w:num="1">
            <w:col w:w="9360"/>
          </w:cols>
          <w:pgMar w:left="1440" w:top="1440" w:right="1440" w:bottom="610" w:gutter="0" w:footer="0" w:header="0"/>
          <w:type w:val="continuous"/>
        </w:sectPr>
      </w:pPr>
    </w:p>
    <w:bookmarkStart w:id="114" w:name="page115"/>
    <w:bookmarkEnd w:id="114"/>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SEER,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Changes in Stockholders’ Equity</w:t>
      </w:r>
    </w:p>
    <w:p>
      <w:pPr>
        <w:jc w:val="center"/>
        <w:spacing w:after="0" w:line="235" w:lineRule="auto"/>
        <w:rPr>
          <w:sz w:val="20"/>
          <w:szCs w:val="20"/>
          <w:color w:val="auto"/>
        </w:rPr>
      </w:pPr>
      <w:r>
        <w:rPr>
          <w:rFonts w:ascii="Arial" w:cs="Arial" w:eastAsia="Arial" w:hAnsi="Arial"/>
          <w:sz w:val="19"/>
          <w:szCs w:val="19"/>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144780</wp:posOffset>
            </wp:positionV>
            <wp:extent cx="7799070" cy="36023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72">
                      <a:extLst>
                        <a:ext uri="{28A0092B-C50C-407E-A947-70E740481C1C}"/>
                      </a:extLst>
                    </a:blip>
                    <a:srcRect/>
                    <a:stretch>
                      <a:fillRect/>
                    </a:stretch>
                  </pic:blipFill>
                  <pic:spPr bwMode="auto">
                    <a:xfrm>
                      <a:off x="0" y="0"/>
                      <a:ext cx="7799070" cy="3602355"/>
                    </a:xfrm>
                    <a:prstGeom prst="rect">
                      <a:avLst/>
                    </a:prstGeom>
                    <a:noFill/>
                  </pic:spPr>
                </pic:pic>
              </a:graphicData>
            </a:graphic>
          </wp:anchor>
        </w:drawing>
      </w:r>
    </w:p>
    <w:p>
      <w:pPr>
        <w:spacing w:after="0" w:line="228" w:lineRule="exact"/>
        <w:rPr>
          <w:sz w:val="20"/>
          <w:szCs w:val="20"/>
          <w:color w:val="auto"/>
        </w:rPr>
      </w:pPr>
    </w:p>
    <w:tbl>
      <w:tblPr>
        <w:tblLayout w:type="fixed"/>
        <w:tblInd w:w="360" w:type="dxa"/>
        <w:tblCellMar>
          <w:top w:w="0" w:type="dxa"/>
          <w:left w:w="0" w:type="dxa"/>
          <w:bottom w:w="0" w:type="dxa"/>
          <w:right w:w="0" w:type="dxa"/>
        </w:tblCellMar>
      </w:tblPr>
      <w:tr>
        <w:trPr>
          <w:trHeight w:val="470"/>
        </w:trPr>
        <w:tc>
          <w:tcPr>
            <w:tcW w:w="5000" w:type="dxa"/>
            <w:vAlign w:val="bottom"/>
            <w:tcBorders>
              <w:bottom w:val="single" w:sz="8" w:color="FDFDFD"/>
            </w:tcBorders>
            <w:shd w:val="clear" w:color="auto" w:fill="FDFDFD"/>
          </w:tcPr>
          <w:p>
            <w:pPr>
              <w:spacing w:after="0"/>
              <w:rPr>
                <w:sz w:val="24"/>
                <w:szCs w:val="24"/>
                <w:color w:val="auto"/>
              </w:rPr>
            </w:pPr>
          </w:p>
        </w:tc>
        <w:tc>
          <w:tcPr>
            <w:tcW w:w="1020" w:type="dxa"/>
            <w:vAlign w:val="bottom"/>
            <w:tcBorders>
              <w:bottom w:val="single" w:sz="8" w:color="FDFDFD"/>
            </w:tcBorders>
            <w:shd w:val="clear" w:color="auto" w:fill="FDFDFD"/>
          </w:tcPr>
          <w:p>
            <w:pPr>
              <w:spacing w:after="0"/>
              <w:rPr>
                <w:sz w:val="24"/>
                <w:szCs w:val="24"/>
                <w:color w:val="auto"/>
              </w:rPr>
            </w:pPr>
          </w:p>
        </w:tc>
        <w:tc>
          <w:tcPr>
            <w:tcW w:w="120" w:type="dxa"/>
            <w:vAlign w:val="bottom"/>
            <w:tcBorders>
              <w:bottom w:val="single" w:sz="8" w:color="FDFDFD"/>
            </w:tcBorders>
            <w:shd w:val="clear" w:color="auto" w:fill="FDFDFD"/>
          </w:tcPr>
          <w:p>
            <w:pPr>
              <w:spacing w:after="0"/>
              <w:rPr>
                <w:sz w:val="24"/>
                <w:szCs w:val="24"/>
                <w:color w:val="auto"/>
              </w:rPr>
            </w:pPr>
          </w:p>
        </w:tc>
        <w:tc>
          <w:tcPr>
            <w:tcW w:w="560" w:type="dxa"/>
            <w:vAlign w:val="bottom"/>
            <w:tcBorders>
              <w:bottom w:val="single" w:sz="8" w:color="FDFDFD"/>
            </w:tcBorders>
            <w:shd w:val="clear" w:color="auto" w:fill="FDFDFD"/>
          </w:tcPr>
          <w:p>
            <w:pPr>
              <w:spacing w:after="0"/>
              <w:rPr>
                <w:sz w:val="24"/>
                <w:szCs w:val="24"/>
                <w:color w:val="auto"/>
              </w:rPr>
            </w:pPr>
          </w:p>
        </w:tc>
        <w:tc>
          <w:tcPr>
            <w:tcW w:w="540" w:type="dxa"/>
            <w:vAlign w:val="bottom"/>
            <w:tcBorders>
              <w:bottom w:val="single" w:sz="8" w:color="FDFDFD"/>
            </w:tcBorders>
            <w:shd w:val="clear" w:color="auto" w:fill="FDFDFD"/>
          </w:tcPr>
          <w:p>
            <w:pPr>
              <w:spacing w:after="0"/>
              <w:rPr>
                <w:sz w:val="24"/>
                <w:szCs w:val="24"/>
                <w:color w:val="auto"/>
              </w:rPr>
            </w:pPr>
          </w:p>
        </w:tc>
        <w:tc>
          <w:tcPr>
            <w:tcW w:w="500" w:type="dxa"/>
            <w:vAlign w:val="bottom"/>
            <w:tcBorders>
              <w:bottom w:val="single" w:sz="8" w:color="FDFDFD"/>
            </w:tcBorders>
            <w:shd w:val="clear" w:color="auto" w:fill="FDFDFD"/>
          </w:tcPr>
          <w:p>
            <w:pPr>
              <w:spacing w:after="0"/>
              <w:rPr>
                <w:sz w:val="24"/>
                <w:szCs w:val="24"/>
                <w:color w:val="auto"/>
              </w:rPr>
            </w:pPr>
          </w:p>
        </w:tc>
        <w:tc>
          <w:tcPr>
            <w:tcW w:w="720" w:type="dxa"/>
            <w:vAlign w:val="bottom"/>
            <w:tcBorders>
              <w:bottom w:val="single" w:sz="8" w:color="FDFDFD"/>
            </w:tcBorders>
            <w:shd w:val="clear" w:color="auto" w:fill="FDFDFD"/>
          </w:tcPr>
          <w:p>
            <w:pPr>
              <w:spacing w:after="0"/>
              <w:rPr>
                <w:sz w:val="24"/>
                <w:szCs w:val="24"/>
                <w:color w:val="auto"/>
              </w:rPr>
            </w:pPr>
          </w:p>
        </w:tc>
        <w:tc>
          <w:tcPr>
            <w:tcW w:w="120" w:type="dxa"/>
            <w:vAlign w:val="bottom"/>
            <w:tcBorders>
              <w:bottom w:val="single" w:sz="8" w:color="FDFDFD"/>
            </w:tcBorders>
            <w:shd w:val="clear" w:color="auto" w:fill="FDFDFD"/>
          </w:tcPr>
          <w:p>
            <w:pPr>
              <w:spacing w:after="0"/>
              <w:rPr>
                <w:sz w:val="24"/>
                <w:szCs w:val="24"/>
                <w:color w:val="auto"/>
              </w:rPr>
            </w:pPr>
          </w:p>
        </w:tc>
        <w:tc>
          <w:tcPr>
            <w:tcW w:w="340" w:type="dxa"/>
            <w:vAlign w:val="bottom"/>
            <w:tcBorders>
              <w:bottom w:val="single" w:sz="8" w:color="FDFDFD"/>
            </w:tcBorders>
            <w:shd w:val="clear" w:color="auto" w:fill="FDFDFD"/>
          </w:tcPr>
          <w:p>
            <w:pPr>
              <w:spacing w:after="0"/>
              <w:rPr>
                <w:sz w:val="24"/>
                <w:szCs w:val="24"/>
                <w:color w:val="auto"/>
              </w:rPr>
            </w:pPr>
          </w:p>
        </w:tc>
        <w:tc>
          <w:tcPr>
            <w:tcW w:w="880" w:type="dxa"/>
            <w:vAlign w:val="bottom"/>
            <w:tcBorders>
              <w:bottom w:val="single" w:sz="8" w:color="FDFDFD"/>
            </w:tcBorders>
            <w:shd w:val="clear" w:color="auto" w:fill="FDFDFD"/>
          </w:tcPr>
          <w:p>
            <w:pPr>
              <w:spacing w:after="0"/>
              <w:rPr>
                <w:sz w:val="24"/>
                <w:szCs w:val="24"/>
                <w:color w:val="auto"/>
              </w:rPr>
            </w:pPr>
          </w:p>
        </w:tc>
        <w:tc>
          <w:tcPr>
            <w:tcW w:w="420" w:type="dxa"/>
            <w:vAlign w:val="bottom"/>
            <w:tcBorders>
              <w:bottom w:val="single" w:sz="8" w:color="FDFDFD"/>
            </w:tcBorders>
            <w:shd w:val="clear" w:color="auto" w:fill="FDFDFD"/>
          </w:tcPr>
          <w:p>
            <w:pPr>
              <w:spacing w:after="0"/>
              <w:rPr>
                <w:sz w:val="24"/>
                <w:szCs w:val="24"/>
                <w:color w:val="auto"/>
              </w:rPr>
            </w:pPr>
          </w:p>
        </w:tc>
        <w:tc>
          <w:tcPr>
            <w:tcW w:w="680" w:type="dxa"/>
            <w:vAlign w:val="bottom"/>
            <w:tcBorders>
              <w:bottom w:val="single" w:sz="8" w:color="FDFDFD"/>
            </w:tcBorders>
            <w:shd w:val="clear" w:color="auto" w:fill="FDFDFD"/>
          </w:tcPr>
          <w:p>
            <w:pPr>
              <w:spacing w:after="0"/>
              <w:rPr>
                <w:sz w:val="24"/>
                <w:szCs w:val="24"/>
                <w:color w:val="auto"/>
              </w:rPr>
            </w:pPr>
          </w:p>
        </w:tc>
        <w:tc>
          <w:tcPr>
            <w:tcW w:w="120" w:type="dxa"/>
            <w:vAlign w:val="bottom"/>
            <w:tcBorders>
              <w:bottom w:val="single" w:sz="8" w:color="FDFDFD"/>
            </w:tcBorders>
          </w:tcPr>
          <w:p>
            <w:pPr>
              <w:spacing w:after="0"/>
              <w:rPr>
                <w:sz w:val="24"/>
                <w:szCs w:val="24"/>
                <w:color w:val="auto"/>
              </w:rPr>
            </w:pPr>
          </w:p>
        </w:tc>
        <w:tc>
          <w:tcPr>
            <w:tcW w:w="360" w:type="dxa"/>
            <w:vAlign w:val="bottom"/>
            <w:tcBorders>
              <w:bottom w:val="single" w:sz="8" w:color="FDFDFD"/>
            </w:tcBorders>
          </w:tcPr>
          <w:p>
            <w:pPr>
              <w:spacing w:after="0"/>
              <w:rPr>
                <w:sz w:val="24"/>
                <w:szCs w:val="24"/>
                <w:color w:val="auto"/>
              </w:rPr>
            </w:pPr>
          </w:p>
        </w:tc>
        <w:tc>
          <w:tcPr>
            <w:tcW w:w="740" w:type="dxa"/>
            <w:vAlign w:val="bottom"/>
            <w:tcBorders>
              <w:bottom w:val="single" w:sz="8" w:color="FDFDFD"/>
            </w:tcBorders>
          </w:tcPr>
          <w:p>
            <w:pPr>
              <w:spacing w:after="0"/>
              <w:rPr>
                <w:sz w:val="24"/>
                <w:szCs w:val="24"/>
                <w:color w:val="auto"/>
              </w:rPr>
            </w:pPr>
          </w:p>
        </w:tc>
        <w:tc>
          <w:tcPr>
            <w:tcW w:w="120" w:type="dxa"/>
            <w:vAlign w:val="bottom"/>
            <w:tcBorders>
              <w:bottom w:val="single" w:sz="8" w:color="FDFDFD"/>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13"/>
                <w:szCs w:val="13"/>
                <w:color w:val="auto"/>
              </w:rPr>
            </w:pPr>
          </w:p>
        </w:tc>
        <w:tc>
          <w:tcPr>
            <w:tcW w:w="10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560" w:type="dxa"/>
            <w:vAlign w:val="bottom"/>
            <w:shd w:val="clear" w:color="auto" w:fill="FDFDFD"/>
          </w:tcPr>
          <w:p>
            <w:pPr>
              <w:spacing w:after="0"/>
              <w:rPr>
                <w:sz w:val="13"/>
                <w:szCs w:val="13"/>
                <w:color w:val="auto"/>
              </w:rPr>
            </w:pPr>
          </w:p>
        </w:tc>
        <w:tc>
          <w:tcPr>
            <w:tcW w:w="540" w:type="dxa"/>
            <w:vAlign w:val="bottom"/>
            <w:shd w:val="clear" w:color="auto" w:fill="FDFDFD"/>
          </w:tcPr>
          <w:p>
            <w:pPr>
              <w:spacing w:after="0"/>
              <w:rPr>
                <w:sz w:val="13"/>
                <w:szCs w:val="13"/>
                <w:color w:val="auto"/>
              </w:rPr>
            </w:pPr>
          </w:p>
        </w:tc>
        <w:tc>
          <w:tcPr>
            <w:tcW w:w="500" w:type="dxa"/>
            <w:vAlign w:val="bottom"/>
            <w:shd w:val="clear" w:color="auto" w:fill="FDFDFD"/>
          </w:tcPr>
          <w:p>
            <w:pPr>
              <w:spacing w:after="0"/>
              <w:rPr>
                <w:sz w:val="13"/>
                <w:szCs w:val="13"/>
                <w:color w:val="auto"/>
              </w:rPr>
            </w:pPr>
          </w:p>
        </w:tc>
        <w:tc>
          <w:tcPr>
            <w:tcW w:w="72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340" w:type="dxa"/>
            <w:vAlign w:val="bottom"/>
            <w:shd w:val="clear" w:color="auto" w:fill="FDFDFD"/>
          </w:tcPr>
          <w:p>
            <w:pPr>
              <w:spacing w:after="0"/>
              <w:rPr>
                <w:sz w:val="13"/>
                <w:szCs w:val="13"/>
                <w:color w:val="auto"/>
              </w:rPr>
            </w:pPr>
          </w:p>
        </w:tc>
        <w:tc>
          <w:tcPr>
            <w:tcW w:w="880" w:type="dxa"/>
            <w:vAlign w:val="bottom"/>
            <w:shd w:val="clear" w:color="auto" w:fill="FDFDFD"/>
          </w:tcPr>
          <w:p>
            <w:pPr>
              <w:spacing w:after="0"/>
              <w:rPr>
                <w:sz w:val="13"/>
                <w:szCs w:val="13"/>
                <w:color w:val="auto"/>
              </w:rPr>
            </w:pPr>
          </w:p>
        </w:tc>
        <w:tc>
          <w:tcPr>
            <w:tcW w:w="420" w:type="dxa"/>
            <w:vAlign w:val="bottom"/>
            <w:shd w:val="clear" w:color="auto" w:fill="FDFDFD"/>
          </w:tcPr>
          <w:p>
            <w:pPr>
              <w:spacing w:after="0"/>
              <w:rPr>
                <w:sz w:val="13"/>
                <w:szCs w:val="13"/>
                <w:color w:val="auto"/>
              </w:rPr>
            </w:pPr>
          </w:p>
        </w:tc>
        <w:tc>
          <w:tcPr>
            <w:tcW w:w="68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360" w:type="dxa"/>
            <w:vAlign w:val="bottom"/>
            <w:shd w:val="clear" w:color="auto" w:fill="FDFDFD"/>
          </w:tcPr>
          <w:p>
            <w:pPr>
              <w:spacing w:after="0"/>
              <w:rPr>
                <w:sz w:val="13"/>
                <w:szCs w:val="13"/>
                <w:color w:val="auto"/>
              </w:rPr>
            </w:pPr>
          </w:p>
        </w:tc>
        <w:tc>
          <w:tcPr>
            <w:tcW w:w="74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D3ECED"/>
          </w:tcPr>
          <w:p>
            <w:pPr>
              <w:spacing w:after="0"/>
              <w:rPr>
                <w:sz w:val="20"/>
                <w:szCs w:val="20"/>
                <w:color w:val="auto"/>
              </w:rPr>
            </w:pPr>
            <w:r>
              <w:rPr>
                <w:rFonts w:ascii="Arial" w:cs="Arial" w:eastAsia="Arial" w:hAnsi="Arial"/>
                <w:sz w:val="17"/>
                <w:szCs w:val="17"/>
                <w:color w:val="auto"/>
              </w:rPr>
              <w:t>Balance at December 31, 2022</w:t>
            </w:r>
          </w:p>
        </w:tc>
        <w:tc>
          <w:tcPr>
            <w:tcW w:w="10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63,411,046</w:t>
            </w:r>
          </w:p>
        </w:tc>
        <w:tc>
          <w:tcPr>
            <w:tcW w:w="120" w:type="dxa"/>
            <w:vAlign w:val="bottom"/>
            <w:shd w:val="clear" w:color="auto" w:fill="D3ECED"/>
          </w:tcPr>
          <w:p>
            <w:pPr>
              <w:spacing w:after="0"/>
              <w:rPr>
                <w:sz w:val="18"/>
                <w:szCs w:val="18"/>
                <w:color w:val="auto"/>
              </w:rPr>
            </w:pPr>
          </w:p>
        </w:tc>
        <w:tc>
          <w:tcPr>
            <w:tcW w:w="560" w:type="dxa"/>
            <w:vAlign w:val="bottom"/>
            <w:shd w:val="clear" w:color="auto" w:fill="D3ECED"/>
          </w:tcPr>
          <w:p>
            <w:pPr>
              <w:jc w:val="right"/>
              <w:ind w:right="255"/>
              <w:spacing w:after="0"/>
              <w:rPr>
                <w:sz w:val="20"/>
                <w:szCs w:val="20"/>
                <w:color w:val="auto"/>
              </w:rPr>
            </w:pPr>
            <w:r>
              <w:rPr>
                <w:rFonts w:ascii="Arial" w:cs="Arial" w:eastAsia="Arial" w:hAnsi="Arial"/>
                <w:sz w:val="17"/>
                <w:szCs w:val="17"/>
                <w:color w:val="auto"/>
              </w:rPr>
              <w:t>$</w:t>
            </w:r>
          </w:p>
        </w:tc>
        <w:tc>
          <w:tcPr>
            <w:tcW w:w="5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1</w:t>
            </w:r>
          </w:p>
        </w:tc>
        <w:tc>
          <w:tcPr>
            <w:tcW w:w="500" w:type="dxa"/>
            <w:vAlign w:val="bottom"/>
            <w:shd w:val="clear" w:color="auto" w:fill="D3ECED"/>
          </w:tcPr>
          <w:p>
            <w:pPr>
              <w:jc w:val="right"/>
              <w:ind w:right="75"/>
              <w:spacing w:after="0"/>
              <w:rPr>
                <w:sz w:val="20"/>
                <w:szCs w:val="20"/>
                <w:color w:val="auto"/>
              </w:rPr>
            </w:pPr>
            <w:r>
              <w:rPr>
                <w:rFonts w:ascii="Arial" w:cs="Arial" w:eastAsia="Arial" w:hAnsi="Arial"/>
                <w:sz w:val="17"/>
                <w:szCs w:val="17"/>
                <w:color w:val="auto"/>
              </w:rPr>
              <w:t>$</w:t>
            </w:r>
          </w:p>
        </w:tc>
        <w:tc>
          <w:tcPr>
            <w:tcW w:w="7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667,739</w:t>
            </w:r>
          </w:p>
        </w:tc>
        <w:tc>
          <w:tcPr>
            <w:tcW w:w="120" w:type="dxa"/>
            <w:vAlign w:val="bottom"/>
            <w:shd w:val="clear" w:color="auto" w:fill="D3ECED"/>
          </w:tcPr>
          <w:p>
            <w:pPr>
              <w:spacing w:after="0"/>
              <w:rPr>
                <w:sz w:val="18"/>
                <w:szCs w:val="18"/>
                <w:color w:val="auto"/>
              </w:rPr>
            </w:pPr>
          </w:p>
        </w:tc>
        <w:tc>
          <w:tcPr>
            <w:tcW w:w="340" w:type="dxa"/>
            <w:vAlign w:val="bottom"/>
            <w:shd w:val="clear" w:color="auto" w:fill="D3ECED"/>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shd w:val="clear" w:color="auto" w:fill="D3ECED"/>
          </w:tcPr>
          <w:p>
            <w:pPr>
              <w:jc w:val="right"/>
              <w:ind w:right="35"/>
              <w:spacing w:after="0"/>
              <w:rPr>
                <w:sz w:val="20"/>
                <w:szCs w:val="20"/>
                <w:color w:val="auto"/>
              </w:rPr>
            </w:pPr>
            <w:r>
              <w:rPr>
                <w:rFonts w:ascii="Arial" w:cs="Arial" w:eastAsia="Arial" w:hAnsi="Arial"/>
                <w:sz w:val="17"/>
                <w:szCs w:val="17"/>
                <w:color w:val="auto"/>
              </w:rPr>
              <w:t>(219,496)</w:t>
            </w:r>
          </w:p>
        </w:tc>
        <w:tc>
          <w:tcPr>
            <w:tcW w:w="420" w:type="dxa"/>
            <w:vAlign w:val="bottom"/>
            <w:shd w:val="clear" w:color="auto" w:fill="D3ECED"/>
          </w:tcPr>
          <w:p>
            <w:pPr>
              <w:jc w:val="right"/>
              <w:ind w:right="135"/>
              <w:spacing w:after="0"/>
              <w:rPr>
                <w:sz w:val="20"/>
                <w:szCs w:val="20"/>
                <w:color w:val="auto"/>
              </w:rPr>
            </w:pPr>
            <w:r>
              <w:rPr>
                <w:rFonts w:ascii="Arial" w:cs="Arial" w:eastAsia="Arial" w:hAnsi="Arial"/>
                <w:sz w:val="17"/>
                <w:szCs w:val="17"/>
                <w:color w:val="auto"/>
              </w:rPr>
              <w:t>$</w:t>
            </w:r>
          </w:p>
        </w:tc>
        <w:tc>
          <w:tcPr>
            <w:tcW w:w="680" w:type="dxa"/>
            <w:vAlign w:val="bottom"/>
            <w:shd w:val="clear" w:color="auto" w:fill="D3ECED"/>
          </w:tcPr>
          <w:p>
            <w:pPr>
              <w:jc w:val="right"/>
              <w:spacing w:after="0"/>
              <w:rPr>
                <w:sz w:val="20"/>
                <w:szCs w:val="20"/>
                <w:color w:val="auto"/>
              </w:rPr>
            </w:pPr>
            <w:r>
              <w:rPr>
                <w:rFonts w:ascii="Arial" w:cs="Arial" w:eastAsia="Arial" w:hAnsi="Arial"/>
                <w:sz w:val="17"/>
                <w:szCs w:val="17"/>
                <w:color w:val="auto"/>
              </w:rPr>
              <w:t>(1,251)</w:t>
            </w:r>
          </w:p>
        </w:tc>
        <w:tc>
          <w:tcPr>
            <w:tcW w:w="120" w:type="dxa"/>
            <w:vAlign w:val="bottom"/>
            <w:shd w:val="clear" w:color="auto" w:fill="D3ECED"/>
          </w:tcPr>
          <w:p>
            <w:pPr>
              <w:spacing w:after="0"/>
              <w:rPr>
                <w:sz w:val="18"/>
                <w:szCs w:val="18"/>
                <w:color w:val="auto"/>
              </w:rPr>
            </w:pPr>
          </w:p>
        </w:tc>
        <w:tc>
          <w:tcPr>
            <w:tcW w:w="360" w:type="dxa"/>
            <w:vAlign w:val="bottom"/>
            <w:shd w:val="clear" w:color="auto" w:fill="D3ECED"/>
          </w:tcPr>
          <w:p>
            <w:pPr>
              <w:jc w:val="right"/>
              <w:ind w:right="75"/>
              <w:spacing w:after="0"/>
              <w:rPr>
                <w:sz w:val="20"/>
                <w:szCs w:val="20"/>
                <w:color w:val="auto"/>
              </w:rPr>
            </w:pPr>
            <w:r>
              <w:rPr>
                <w:rFonts w:ascii="Arial" w:cs="Arial" w:eastAsia="Arial" w:hAnsi="Arial"/>
                <w:sz w:val="17"/>
                <w:szCs w:val="17"/>
                <w:color w:val="auto"/>
              </w:rPr>
              <w:t>$</w:t>
            </w:r>
          </w:p>
        </w:tc>
        <w:tc>
          <w:tcPr>
            <w:tcW w:w="7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446,993</w:t>
            </w:r>
          </w:p>
        </w:tc>
        <w:tc>
          <w:tcPr>
            <w:tcW w:w="120" w:type="dxa"/>
            <w:vAlign w:val="bottom"/>
            <w:shd w:val="clear" w:color="auto" w:fill="D3ECED"/>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000" w:type="dxa"/>
            <w:vAlign w:val="bottom"/>
            <w:shd w:val="clear" w:color="auto" w:fill="FDFDFD"/>
          </w:tcPr>
          <w:p>
            <w:pPr>
              <w:ind w:left="180"/>
              <w:spacing w:after="0" w:line="173" w:lineRule="exact"/>
              <w:rPr>
                <w:sz w:val="20"/>
                <w:szCs w:val="20"/>
                <w:color w:val="auto"/>
              </w:rPr>
            </w:pPr>
            <w:r>
              <w:rPr>
                <w:rFonts w:ascii="Arial" w:cs="Arial" w:eastAsia="Arial" w:hAnsi="Arial"/>
                <w:sz w:val="17"/>
                <w:szCs w:val="17"/>
                <w:color w:val="auto"/>
                <w:w w:val="99"/>
              </w:rPr>
              <w:t>Issuance of Class A common stock from exercise of options and</w:t>
            </w:r>
          </w:p>
        </w:tc>
        <w:tc>
          <w:tcPr>
            <w:tcW w:w="10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560" w:type="dxa"/>
            <w:vAlign w:val="bottom"/>
            <w:shd w:val="clear" w:color="auto" w:fill="FDFDFD"/>
          </w:tcPr>
          <w:p>
            <w:pPr>
              <w:spacing w:after="0"/>
              <w:rPr>
                <w:sz w:val="15"/>
                <w:szCs w:val="15"/>
                <w:color w:val="auto"/>
              </w:rPr>
            </w:pPr>
          </w:p>
        </w:tc>
        <w:tc>
          <w:tcPr>
            <w:tcW w:w="540" w:type="dxa"/>
            <w:vAlign w:val="bottom"/>
            <w:shd w:val="clear" w:color="auto" w:fill="FDFDFD"/>
          </w:tcPr>
          <w:p>
            <w:pPr>
              <w:spacing w:after="0"/>
              <w:rPr>
                <w:sz w:val="15"/>
                <w:szCs w:val="15"/>
                <w:color w:val="auto"/>
              </w:rPr>
            </w:pPr>
          </w:p>
        </w:tc>
        <w:tc>
          <w:tcPr>
            <w:tcW w:w="500" w:type="dxa"/>
            <w:vAlign w:val="bottom"/>
            <w:shd w:val="clear" w:color="auto" w:fill="FDFDFD"/>
          </w:tcPr>
          <w:p>
            <w:pPr>
              <w:spacing w:after="0"/>
              <w:rPr>
                <w:sz w:val="15"/>
                <w:szCs w:val="15"/>
                <w:color w:val="auto"/>
              </w:rPr>
            </w:pPr>
          </w:p>
        </w:tc>
        <w:tc>
          <w:tcPr>
            <w:tcW w:w="7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340" w:type="dxa"/>
            <w:vAlign w:val="bottom"/>
            <w:shd w:val="clear" w:color="auto" w:fill="FDFDFD"/>
          </w:tcPr>
          <w:p>
            <w:pPr>
              <w:spacing w:after="0"/>
              <w:rPr>
                <w:sz w:val="15"/>
                <w:szCs w:val="15"/>
                <w:color w:val="auto"/>
              </w:rPr>
            </w:pPr>
          </w:p>
        </w:tc>
        <w:tc>
          <w:tcPr>
            <w:tcW w:w="880" w:type="dxa"/>
            <w:vAlign w:val="bottom"/>
            <w:shd w:val="clear" w:color="auto" w:fill="FDFDFD"/>
          </w:tcPr>
          <w:p>
            <w:pPr>
              <w:spacing w:after="0"/>
              <w:rPr>
                <w:sz w:val="15"/>
                <w:szCs w:val="15"/>
                <w:color w:val="auto"/>
              </w:rPr>
            </w:pPr>
          </w:p>
        </w:tc>
        <w:tc>
          <w:tcPr>
            <w:tcW w:w="420" w:type="dxa"/>
            <w:vAlign w:val="bottom"/>
            <w:shd w:val="clear" w:color="auto" w:fill="FDFDFD"/>
          </w:tcPr>
          <w:p>
            <w:pPr>
              <w:spacing w:after="0"/>
              <w:rPr>
                <w:sz w:val="15"/>
                <w:szCs w:val="15"/>
                <w:color w:val="auto"/>
              </w:rPr>
            </w:pPr>
          </w:p>
        </w:tc>
        <w:tc>
          <w:tcPr>
            <w:tcW w:w="68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360" w:type="dxa"/>
            <w:vAlign w:val="bottom"/>
            <w:shd w:val="clear" w:color="auto" w:fill="FDFDFD"/>
          </w:tcPr>
          <w:p>
            <w:pPr>
              <w:spacing w:after="0"/>
              <w:rPr>
                <w:sz w:val="15"/>
                <w:szCs w:val="15"/>
                <w:color w:val="auto"/>
              </w:rPr>
            </w:pPr>
          </w:p>
        </w:tc>
        <w:tc>
          <w:tcPr>
            <w:tcW w:w="74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FDFDFD"/>
          </w:tcPr>
          <w:p>
            <w:pPr>
              <w:ind w:left="320"/>
              <w:spacing w:after="0"/>
              <w:rPr>
                <w:sz w:val="20"/>
                <w:szCs w:val="20"/>
                <w:color w:val="auto"/>
              </w:rPr>
            </w:pPr>
            <w:r>
              <w:rPr>
                <w:rFonts w:ascii="Arial" w:cs="Arial" w:eastAsia="Arial" w:hAnsi="Arial"/>
                <w:sz w:val="17"/>
                <w:szCs w:val="17"/>
                <w:color w:val="auto"/>
              </w:rPr>
              <w:t>release of restricted stock units</w:t>
            </w:r>
          </w:p>
        </w:tc>
        <w:tc>
          <w:tcPr>
            <w:tcW w:w="1020" w:type="dxa"/>
            <w:vAlign w:val="bottom"/>
            <w:shd w:val="clear" w:color="auto" w:fill="FDFDFD"/>
          </w:tcPr>
          <w:p>
            <w:pPr>
              <w:jc w:val="right"/>
              <w:spacing w:after="0"/>
              <w:rPr>
                <w:sz w:val="20"/>
                <w:szCs w:val="20"/>
                <w:color w:val="auto"/>
              </w:rPr>
            </w:pPr>
            <w:r>
              <w:rPr>
                <w:rFonts w:ascii="Arial" w:cs="Arial" w:eastAsia="Arial" w:hAnsi="Arial"/>
                <w:sz w:val="17"/>
                <w:szCs w:val="17"/>
                <w:color w:val="auto"/>
              </w:rPr>
              <w:t>699,536</w:t>
            </w:r>
          </w:p>
        </w:tc>
        <w:tc>
          <w:tcPr>
            <w:tcW w:w="120" w:type="dxa"/>
            <w:vAlign w:val="bottom"/>
            <w:shd w:val="clear" w:color="auto" w:fill="FDFDFD"/>
          </w:tcPr>
          <w:p>
            <w:pPr>
              <w:spacing w:after="0"/>
              <w:rPr>
                <w:sz w:val="20"/>
                <w:szCs w:val="20"/>
                <w:color w:val="auto"/>
              </w:rPr>
            </w:pPr>
          </w:p>
        </w:tc>
        <w:tc>
          <w:tcPr>
            <w:tcW w:w="560" w:type="dxa"/>
            <w:vAlign w:val="bottom"/>
            <w:shd w:val="clear" w:color="auto" w:fill="FDFDFD"/>
          </w:tcPr>
          <w:p>
            <w:pPr>
              <w:spacing w:after="0"/>
              <w:rPr>
                <w:sz w:val="20"/>
                <w:szCs w:val="20"/>
                <w:color w:val="auto"/>
              </w:rPr>
            </w:pPr>
          </w:p>
        </w:tc>
        <w:tc>
          <w:tcPr>
            <w:tcW w:w="5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FDFDFD"/>
          </w:tcPr>
          <w:p>
            <w:pPr>
              <w:spacing w:after="0"/>
              <w:rPr>
                <w:sz w:val="20"/>
                <w:szCs w:val="20"/>
                <w:color w:val="auto"/>
              </w:rPr>
            </w:pPr>
          </w:p>
        </w:tc>
        <w:tc>
          <w:tcPr>
            <w:tcW w:w="720" w:type="dxa"/>
            <w:vAlign w:val="bottom"/>
            <w:shd w:val="clear" w:color="auto" w:fill="FDFDFD"/>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FDFDFD"/>
          </w:tcPr>
          <w:p>
            <w:pPr>
              <w:spacing w:after="0"/>
              <w:rPr>
                <w:sz w:val="20"/>
                <w:szCs w:val="20"/>
                <w:color w:val="auto"/>
              </w:rPr>
            </w:pPr>
          </w:p>
        </w:tc>
        <w:tc>
          <w:tcPr>
            <w:tcW w:w="340" w:type="dxa"/>
            <w:vAlign w:val="bottom"/>
            <w:shd w:val="clear" w:color="auto" w:fill="FDFDFD"/>
          </w:tcPr>
          <w:p>
            <w:pPr>
              <w:spacing w:after="0"/>
              <w:rPr>
                <w:sz w:val="20"/>
                <w:szCs w:val="20"/>
                <w:color w:val="auto"/>
              </w:rPr>
            </w:pPr>
          </w:p>
        </w:tc>
        <w:tc>
          <w:tcPr>
            <w:tcW w:w="880" w:type="dxa"/>
            <w:vAlign w:val="bottom"/>
            <w:shd w:val="clear" w:color="auto" w:fill="FDFDF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FDFDFD"/>
          </w:tcPr>
          <w:p>
            <w:pPr>
              <w:spacing w:after="0"/>
              <w:rPr>
                <w:sz w:val="20"/>
                <w:szCs w:val="20"/>
                <w:color w:val="auto"/>
              </w:rPr>
            </w:pPr>
          </w:p>
        </w:tc>
        <w:tc>
          <w:tcPr>
            <w:tcW w:w="800" w:type="dxa"/>
            <w:vAlign w:val="bottom"/>
            <w:gridSpan w:val="2"/>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FDFDFD"/>
          </w:tcPr>
          <w:p>
            <w:pPr>
              <w:spacing w:after="0"/>
              <w:rPr>
                <w:sz w:val="20"/>
                <w:szCs w:val="20"/>
                <w:color w:val="auto"/>
              </w:rPr>
            </w:pPr>
          </w:p>
        </w:tc>
        <w:tc>
          <w:tcPr>
            <w:tcW w:w="7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000" w:type="dxa"/>
            <w:vAlign w:val="bottom"/>
            <w:shd w:val="clear" w:color="auto" w:fill="D3ECED"/>
          </w:tcPr>
          <w:p>
            <w:pPr>
              <w:ind w:left="180"/>
              <w:spacing w:after="0"/>
              <w:rPr>
                <w:sz w:val="20"/>
                <w:szCs w:val="20"/>
                <w:color w:val="auto"/>
              </w:rPr>
            </w:pPr>
            <w:r>
              <w:rPr>
                <w:rFonts w:ascii="Arial" w:cs="Arial" w:eastAsia="Arial" w:hAnsi="Arial"/>
                <w:sz w:val="17"/>
                <w:szCs w:val="17"/>
                <w:color w:val="auto"/>
              </w:rPr>
              <w:t>Repurchase of Class A common stock</w:t>
            </w:r>
          </w:p>
        </w:tc>
        <w:tc>
          <w:tcPr>
            <w:tcW w:w="10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(5,063)</w:t>
            </w:r>
          </w:p>
        </w:tc>
        <w:tc>
          <w:tcPr>
            <w:tcW w:w="120" w:type="dxa"/>
            <w:vAlign w:val="bottom"/>
            <w:shd w:val="clear" w:color="auto" w:fill="D3ECED"/>
          </w:tcPr>
          <w:p>
            <w:pPr>
              <w:spacing w:after="0"/>
              <w:rPr>
                <w:sz w:val="18"/>
                <w:szCs w:val="18"/>
                <w:color w:val="auto"/>
              </w:rPr>
            </w:pPr>
          </w:p>
        </w:tc>
        <w:tc>
          <w:tcPr>
            <w:tcW w:w="560" w:type="dxa"/>
            <w:vAlign w:val="bottom"/>
            <w:shd w:val="clear" w:color="auto" w:fill="D3ECED"/>
          </w:tcPr>
          <w:p>
            <w:pPr>
              <w:spacing w:after="0"/>
              <w:rPr>
                <w:sz w:val="18"/>
                <w:szCs w:val="18"/>
                <w:color w:val="auto"/>
              </w:rPr>
            </w:pPr>
          </w:p>
        </w:tc>
        <w:tc>
          <w:tcPr>
            <w:tcW w:w="5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D3ECED"/>
          </w:tcPr>
          <w:p>
            <w:pPr>
              <w:spacing w:after="0"/>
              <w:rPr>
                <w:sz w:val="18"/>
                <w:szCs w:val="18"/>
                <w:color w:val="auto"/>
              </w:rPr>
            </w:pPr>
          </w:p>
        </w:tc>
        <w:tc>
          <w:tcPr>
            <w:tcW w:w="7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D3ECED"/>
          </w:tcPr>
          <w:p>
            <w:pPr>
              <w:spacing w:after="0"/>
              <w:rPr>
                <w:sz w:val="18"/>
                <w:szCs w:val="18"/>
                <w:color w:val="auto"/>
              </w:rPr>
            </w:pPr>
          </w:p>
        </w:tc>
        <w:tc>
          <w:tcPr>
            <w:tcW w:w="340" w:type="dxa"/>
            <w:vAlign w:val="bottom"/>
            <w:shd w:val="clear" w:color="auto" w:fill="D3ECED"/>
          </w:tcPr>
          <w:p>
            <w:pPr>
              <w:spacing w:after="0"/>
              <w:rPr>
                <w:sz w:val="18"/>
                <w:szCs w:val="18"/>
                <w:color w:val="auto"/>
              </w:rPr>
            </w:pPr>
          </w:p>
        </w:tc>
        <w:tc>
          <w:tcPr>
            <w:tcW w:w="880" w:type="dxa"/>
            <w:vAlign w:val="bottom"/>
            <w:shd w:val="clear" w:color="auto" w:fill="D3ECE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D3ECED"/>
          </w:tcPr>
          <w:p>
            <w:pPr>
              <w:spacing w:after="0"/>
              <w:rPr>
                <w:sz w:val="18"/>
                <w:szCs w:val="18"/>
                <w:color w:val="auto"/>
              </w:rPr>
            </w:pPr>
          </w:p>
        </w:tc>
        <w:tc>
          <w:tcPr>
            <w:tcW w:w="800" w:type="dxa"/>
            <w:vAlign w:val="bottom"/>
            <w:gridSpan w:val="2"/>
            <w:shd w:val="clear" w:color="auto" w:fill="D3ECED"/>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D3ECED"/>
          </w:tcPr>
          <w:p>
            <w:pPr>
              <w:spacing w:after="0"/>
              <w:rPr>
                <w:sz w:val="18"/>
                <w:szCs w:val="18"/>
                <w:color w:val="auto"/>
              </w:rPr>
            </w:pPr>
          </w:p>
        </w:tc>
        <w:tc>
          <w:tcPr>
            <w:tcW w:w="7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D3ECED"/>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000" w:type="dxa"/>
            <w:vAlign w:val="bottom"/>
            <w:shd w:val="clear" w:color="auto" w:fill="FDFDFD"/>
          </w:tcPr>
          <w:p>
            <w:pPr>
              <w:ind w:left="180"/>
              <w:spacing w:after="0" w:line="173" w:lineRule="exact"/>
              <w:rPr>
                <w:sz w:val="20"/>
                <w:szCs w:val="20"/>
                <w:color w:val="auto"/>
              </w:rPr>
            </w:pPr>
            <w:r>
              <w:rPr>
                <w:rFonts w:ascii="Arial" w:cs="Arial" w:eastAsia="Arial" w:hAnsi="Arial"/>
                <w:sz w:val="17"/>
                <w:szCs w:val="17"/>
                <w:color w:val="auto"/>
              </w:rPr>
              <w:t>Vesting of early exercised stock options and restricted</w:t>
            </w:r>
          </w:p>
        </w:tc>
        <w:tc>
          <w:tcPr>
            <w:tcW w:w="1140" w:type="dxa"/>
            <w:vAlign w:val="bottom"/>
            <w:gridSpan w:val="2"/>
            <w:vMerge w:val="restart"/>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FDFDFD"/>
          </w:tcPr>
          <w:p>
            <w:pPr>
              <w:spacing w:after="0"/>
              <w:rPr>
                <w:sz w:val="15"/>
                <w:szCs w:val="15"/>
                <w:color w:val="auto"/>
              </w:rPr>
            </w:pPr>
          </w:p>
        </w:tc>
        <w:tc>
          <w:tcPr>
            <w:tcW w:w="540" w:type="dxa"/>
            <w:vAlign w:val="bottom"/>
            <w:vMerge w:val="restart"/>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FDFDFD"/>
          </w:tcPr>
          <w:p>
            <w:pPr>
              <w:spacing w:after="0"/>
              <w:rPr>
                <w:sz w:val="15"/>
                <w:szCs w:val="15"/>
                <w:color w:val="auto"/>
              </w:rPr>
            </w:pPr>
          </w:p>
        </w:tc>
        <w:tc>
          <w:tcPr>
            <w:tcW w:w="720" w:type="dxa"/>
            <w:vAlign w:val="bottom"/>
            <w:vMerge w:val="restart"/>
            <w:shd w:val="clear" w:color="auto" w:fill="FDFDFD"/>
          </w:tcPr>
          <w:p>
            <w:pPr>
              <w:jc w:val="right"/>
              <w:spacing w:after="0"/>
              <w:rPr>
                <w:sz w:val="20"/>
                <w:szCs w:val="20"/>
                <w:color w:val="auto"/>
              </w:rPr>
            </w:pPr>
            <w:r>
              <w:rPr>
                <w:rFonts w:ascii="Arial" w:cs="Arial" w:eastAsia="Arial" w:hAnsi="Arial"/>
                <w:sz w:val="17"/>
                <w:szCs w:val="17"/>
                <w:color w:val="auto"/>
              </w:rPr>
              <w:t>240</w:t>
            </w:r>
          </w:p>
        </w:tc>
        <w:tc>
          <w:tcPr>
            <w:tcW w:w="120" w:type="dxa"/>
            <w:vAlign w:val="bottom"/>
            <w:shd w:val="clear" w:color="auto" w:fill="FDFDFD"/>
          </w:tcPr>
          <w:p>
            <w:pPr>
              <w:spacing w:after="0"/>
              <w:rPr>
                <w:sz w:val="15"/>
                <w:szCs w:val="15"/>
                <w:color w:val="auto"/>
              </w:rPr>
            </w:pPr>
          </w:p>
        </w:tc>
        <w:tc>
          <w:tcPr>
            <w:tcW w:w="340" w:type="dxa"/>
            <w:vAlign w:val="bottom"/>
            <w:shd w:val="clear" w:color="auto" w:fill="FDFDFD"/>
          </w:tcPr>
          <w:p>
            <w:pPr>
              <w:spacing w:after="0"/>
              <w:rPr>
                <w:sz w:val="15"/>
                <w:szCs w:val="15"/>
                <w:color w:val="auto"/>
              </w:rPr>
            </w:pPr>
          </w:p>
        </w:tc>
        <w:tc>
          <w:tcPr>
            <w:tcW w:w="880" w:type="dxa"/>
            <w:vAlign w:val="bottom"/>
            <w:vMerge w:val="restart"/>
            <w:shd w:val="clear" w:color="auto" w:fill="FDFDF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FDFDFD"/>
          </w:tcPr>
          <w:p>
            <w:pPr>
              <w:spacing w:after="0"/>
              <w:rPr>
                <w:sz w:val="15"/>
                <w:szCs w:val="15"/>
                <w:color w:val="auto"/>
              </w:rPr>
            </w:pPr>
          </w:p>
        </w:tc>
        <w:tc>
          <w:tcPr>
            <w:tcW w:w="800" w:type="dxa"/>
            <w:vAlign w:val="bottom"/>
            <w:gridSpan w:val="2"/>
            <w:vMerge w:val="restart"/>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FDFDFD"/>
          </w:tcPr>
          <w:p>
            <w:pPr>
              <w:spacing w:after="0"/>
              <w:rPr>
                <w:sz w:val="15"/>
                <w:szCs w:val="15"/>
                <w:color w:val="auto"/>
              </w:rPr>
            </w:pPr>
          </w:p>
        </w:tc>
        <w:tc>
          <w:tcPr>
            <w:tcW w:w="740" w:type="dxa"/>
            <w:vAlign w:val="bottom"/>
            <w:vMerge w:val="restart"/>
            <w:shd w:val="clear" w:color="auto" w:fill="FDFDFD"/>
          </w:tcPr>
          <w:p>
            <w:pPr>
              <w:jc w:val="right"/>
              <w:spacing w:after="0"/>
              <w:rPr>
                <w:sz w:val="20"/>
                <w:szCs w:val="20"/>
                <w:color w:val="auto"/>
              </w:rPr>
            </w:pPr>
            <w:r>
              <w:rPr>
                <w:rFonts w:ascii="Arial" w:cs="Arial" w:eastAsia="Arial" w:hAnsi="Arial"/>
                <w:sz w:val="17"/>
                <w:szCs w:val="17"/>
                <w:color w:val="auto"/>
              </w:rPr>
              <w:t>240</w:t>
            </w:r>
          </w:p>
        </w:tc>
        <w:tc>
          <w:tcPr>
            <w:tcW w:w="12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FDFDFD"/>
          </w:tcPr>
          <w:p>
            <w:pPr>
              <w:ind w:left="320"/>
              <w:spacing w:after="0"/>
              <w:rPr>
                <w:sz w:val="20"/>
                <w:szCs w:val="20"/>
                <w:color w:val="auto"/>
              </w:rPr>
            </w:pPr>
            <w:r>
              <w:rPr>
                <w:rFonts w:ascii="Arial" w:cs="Arial" w:eastAsia="Arial" w:hAnsi="Arial"/>
                <w:sz w:val="17"/>
                <w:szCs w:val="17"/>
                <w:color w:val="auto"/>
              </w:rPr>
              <w:t>common stock</w:t>
            </w:r>
          </w:p>
        </w:tc>
        <w:tc>
          <w:tcPr>
            <w:tcW w:w="1140" w:type="dxa"/>
            <w:vAlign w:val="bottom"/>
            <w:gridSpan w:val="2"/>
            <w:vMerge w:val="continue"/>
            <w:shd w:val="clear" w:color="auto" w:fill="FDFDFD"/>
          </w:tcPr>
          <w:p>
            <w:pPr>
              <w:spacing w:after="0"/>
              <w:rPr>
                <w:sz w:val="19"/>
                <w:szCs w:val="19"/>
                <w:color w:val="auto"/>
              </w:rPr>
            </w:pPr>
          </w:p>
        </w:tc>
        <w:tc>
          <w:tcPr>
            <w:tcW w:w="560" w:type="dxa"/>
            <w:vAlign w:val="bottom"/>
            <w:shd w:val="clear" w:color="auto" w:fill="FDFDFD"/>
          </w:tcPr>
          <w:p>
            <w:pPr>
              <w:spacing w:after="0"/>
              <w:rPr>
                <w:sz w:val="19"/>
                <w:szCs w:val="19"/>
                <w:color w:val="auto"/>
              </w:rPr>
            </w:pPr>
          </w:p>
        </w:tc>
        <w:tc>
          <w:tcPr>
            <w:tcW w:w="540" w:type="dxa"/>
            <w:vAlign w:val="bottom"/>
            <w:vMerge w:val="continue"/>
            <w:shd w:val="clear" w:color="auto" w:fill="FDFDFD"/>
          </w:tcPr>
          <w:p>
            <w:pPr>
              <w:spacing w:after="0"/>
              <w:rPr>
                <w:sz w:val="19"/>
                <w:szCs w:val="19"/>
                <w:color w:val="auto"/>
              </w:rPr>
            </w:pPr>
          </w:p>
        </w:tc>
        <w:tc>
          <w:tcPr>
            <w:tcW w:w="500" w:type="dxa"/>
            <w:vAlign w:val="bottom"/>
            <w:shd w:val="clear" w:color="auto" w:fill="FDFDFD"/>
          </w:tcPr>
          <w:p>
            <w:pPr>
              <w:spacing w:after="0"/>
              <w:rPr>
                <w:sz w:val="19"/>
                <w:szCs w:val="19"/>
                <w:color w:val="auto"/>
              </w:rPr>
            </w:pPr>
          </w:p>
        </w:tc>
        <w:tc>
          <w:tcPr>
            <w:tcW w:w="720" w:type="dxa"/>
            <w:vAlign w:val="bottom"/>
            <w:vMerge w:val="continue"/>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340" w:type="dxa"/>
            <w:vAlign w:val="bottom"/>
            <w:shd w:val="clear" w:color="auto" w:fill="FDFDFD"/>
          </w:tcPr>
          <w:p>
            <w:pPr>
              <w:spacing w:after="0"/>
              <w:rPr>
                <w:sz w:val="19"/>
                <w:szCs w:val="19"/>
                <w:color w:val="auto"/>
              </w:rPr>
            </w:pPr>
          </w:p>
        </w:tc>
        <w:tc>
          <w:tcPr>
            <w:tcW w:w="880" w:type="dxa"/>
            <w:vAlign w:val="bottom"/>
            <w:vMerge w:val="continue"/>
            <w:shd w:val="clear" w:color="auto" w:fill="FDFDFD"/>
          </w:tcPr>
          <w:p>
            <w:pPr>
              <w:spacing w:after="0"/>
              <w:rPr>
                <w:sz w:val="19"/>
                <w:szCs w:val="19"/>
                <w:color w:val="auto"/>
              </w:rPr>
            </w:pPr>
          </w:p>
        </w:tc>
        <w:tc>
          <w:tcPr>
            <w:tcW w:w="420" w:type="dxa"/>
            <w:vAlign w:val="bottom"/>
            <w:shd w:val="clear" w:color="auto" w:fill="FDFDFD"/>
          </w:tcPr>
          <w:p>
            <w:pPr>
              <w:spacing w:after="0"/>
              <w:rPr>
                <w:sz w:val="19"/>
                <w:szCs w:val="19"/>
                <w:color w:val="auto"/>
              </w:rPr>
            </w:pPr>
          </w:p>
        </w:tc>
        <w:tc>
          <w:tcPr>
            <w:tcW w:w="800" w:type="dxa"/>
            <w:vAlign w:val="bottom"/>
            <w:gridSpan w:val="2"/>
            <w:vMerge w:val="continue"/>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740" w:type="dxa"/>
            <w:vAlign w:val="bottom"/>
            <w:vMerge w:val="continue"/>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000" w:type="dxa"/>
            <w:vAlign w:val="bottom"/>
            <w:shd w:val="clear" w:color="auto" w:fill="D3ECED"/>
          </w:tcPr>
          <w:p>
            <w:pPr>
              <w:ind w:left="180"/>
              <w:spacing w:after="0" w:line="174" w:lineRule="exact"/>
              <w:rPr>
                <w:sz w:val="20"/>
                <w:szCs w:val="20"/>
                <w:color w:val="auto"/>
              </w:rPr>
            </w:pPr>
            <w:r>
              <w:rPr>
                <w:rFonts w:ascii="Arial" w:cs="Arial" w:eastAsia="Arial" w:hAnsi="Arial"/>
                <w:sz w:val="17"/>
                <w:szCs w:val="17"/>
                <w:color w:val="auto"/>
                <w:w w:val="99"/>
              </w:rPr>
              <w:t>Issuance of Class A common stock in connection with employee</w:t>
            </w:r>
          </w:p>
        </w:tc>
        <w:tc>
          <w:tcPr>
            <w:tcW w:w="102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560" w:type="dxa"/>
            <w:vAlign w:val="bottom"/>
            <w:shd w:val="clear" w:color="auto" w:fill="D3ECED"/>
          </w:tcPr>
          <w:p>
            <w:pPr>
              <w:spacing w:after="0"/>
              <w:rPr>
                <w:sz w:val="15"/>
                <w:szCs w:val="15"/>
                <w:color w:val="auto"/>
              </w:rPr>
            </w:pPr>
          </w:p>
        </w:tc>
        <w:tc>
          <w:tcPr>
            <w:tcW w:w="540" w:type="dxa"/>
            <w:vAlign w:val="bottom"/>
            <w:shd w:val="clear" w:color="auto" w:fill="D3ECED"/>
          </w:tcPr>
          <w:p>
            <w:pPr>
              <w:spacing w:after="0"/>
              <w:rPr>
                <w:sz w:val="15"/>
                <w:szCs w:val="15"/>
                <w:color w:val="auto"/>
              </w:rPr>
            </w:pPr>
          </w:p>
        </w:tc>
        <w:tc>
          <w:tcPr>
            <w:tcW w:w="500" w:type="dxa"/>
            <w:vAlign w:val="bottom"/>
            <w:shd w:val="clear" w:color="auto" w:fill="D3ECED"/>
          </w:tcPr>
          <w:p>
            <w:pPr>
              <w:spacing w:after="0"/>
              <w:rPr>
                <w:sz w:val="15"/>
                <w:szCs w:val="15"/>
                <w:color w:val="auto"/>
              </w:rPr>
            </w:pPr>
          </w:p>
        </w:tc>
        <w:tc>
          <w:tcPr>
            <w:tcW w:w="72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340" w:type="dxa"/>
            <w:vAlign w:val="bottom"/>
            <w:shd w:val="clear" w:color="auto" w:fill="D3ECED"/>
          </w:tcPr>
          <w:p>
            <w:pPr>
              <w:spacing w:after="0"/>
              <w:rPr>
                <w:sz w:val="15"/>
                <w:szCs w:val="15"/>
                <w:color w:val="auto"/>
              </w:rPr>
            </w:pPr>
          </w:p>
        </w:tc>
        <w:tc>
          <w:tcPr>
            <w:tcW w:w="880" w:type="dxa"/>
            <w:vAlign w:val="bottom"/>
            <w:shd w:val="clear" w:color="auto" w:fill="D3ECED"/>
          </w:tcPr>
          <w:p>
            <w:pPr>
              <w:spacing w:after="0"/>
              <w:rPr>
                <w:sz w:val="15"/>
                <w:szCs w:val="15"/>
                <w:color w:val="auto"/>
              </w:rPr>
            </w:pPr>
          </w:p>
        </w:tc>
        <w:tc>
          <w:tcPr>
            <w:tcW w:w="420" w:type="dxa"/>
            <w:vAlign w:val="bottom"/>
            <w:shd w:val="clear" w:color="auto" w:fill="D3ECED"/>
          </w:tcPr>
          <w:p>
            <w:pPr>
              <w:spacing w:after="0"/>
              <w:rPr>
                <w:sz w:val="15"/>
                <w:szCs w:val="15"/>
                <w:color w:val="auto"/>
              </w:rPr>
            </w:pPr>
          </w:p>
        </w:tc>
        <w:tc>
          <w:tcPr>
            <w:tcW w:w="68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360" w:type="dxa"/>
            <w:vAlign w:val="bottom"/>
            <w:shd w:val="clear" w:color="auto" w:fill="D3ECED"/>
          </w:tcPr>
          <w:p>
            <w:pPr>
              <w:spacing w:after="0"/>
              <w:rPr>
                <w:sz w:val="15"/>
                <w:szCs w:val="15"/>
                <w:color w:val="auto"/>
              </w:rPr>
            </w:pPr>
          </w:p>
        </w:tc>
        <w:tc>
          <w:tcPr>
            <w:tcW w:w="74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000" w:type="dxa"/>
            <w:vAlign w:val="bottom"/>
            <w:shd w:val="clear" w:color="auto" w:fill="D3ECED"/>
          </w:tcPr>
          <w:p>
            <w:pPr>
              <w:ind w:left="320"/>
              <w:spacing w:after="0"/>
              <w:rPr>
                <w:sz w:val="20"/>
                <w:szCs w:val="20"/>
                <w:color w:val="auto"/>
              </w:rPr>
            </w:pPr>
            <w:r>
              <w:rPr>
                <w:rFonts w:ascii="Arial" w:cs="Arial" w:eastAsia="Arial" w:hAnsi="Arial"/>
                <w:sz w:val="17"/>
                <w:szCs w:val="17"/>
                <w:color w:val="auto"/>
              </w:rPr>
              <w:t>stock purchase plan</w:t>
            </w:r>
          </w:p>
        </w:tc>
        <w:tc>
          <w:tcPr>
            <w:tcW w:w="10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193,157</w:t>
            </w:r>
          </w:p>
        </w:tc>
        <w:tc>
          <w:tcPr>
            <w:tcW w:w="120" w:type="dxa"/>
            <w:vAlign w:val="bottom"/>
            <w:shd w:val="clear" w:color="auto" w:fill="D3ECED"/>
          </w:tcPr>
          <w:p>
            <w:pPr>
              <w:spacing w:after="0"/>
              <w:rPr>
                <w:sz w:val="20"/>
                <w:szCs w:val="20"/>
                <w:color w:val="auto"/>
              </w:rPr>
            </w:pPr>
          </w:p>
        </w:tc>
        <w:tc>
          <w:tcPr>
            <w:tcW w:w="560" w:type="dxa"/>
            <w:vAlign w:val="bottom"/>
            <w:shd w:val="clear" w:color="auto" w:fill="D3ECED"/>
          </w:tcPr>
          <w:p>
            <w:pPr>
              <w:spacing w:after="0"/>
              <w:rPr>
                <w:sz w:val="20"/>
                <w:szCs w:val="20"/>
                <w:color w:val="auto"/>
              </w:rPr>
            </w:pPr>
          </w:p>
        </w:tc>
        <w:tc>
          <w:tcPr>
            <w:tcW w:w="5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D3ECED"/>
          </w:tcPr>
          <w:p>
            <w:pPr>
              <w:spacing w:after="0"/>
              <w:rPr>
                <w:sz w:val="20"/>
                <w:szCs w:val="20"/>
                <w:color w:val="auto"/>
              </w:rPr>
            </w:pPr>
          </w:p>
        </w:tc>
        <w:tc>
          <w:tcPr>
            <w:tcW w:w="7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368</w:t>
            </w:r>
          </w:p>
        </w:tc>
        <w:tc>
          <w:tcPr>
            <w:tcW w:w="120" w:type="dxa"/>
            <w:vAlign w:val="bottom"/>
            <w:shd w:val="clear" w:color="auto" w:fill="D3ECED"/>
          </w:tcPr>
          <w:p>
            <w:pPr>
              <w:spacing w:after="0"/>
              <w:rPr>
                <w:sz w:val="20"/>
                <w:szCs w:val="20"/>
                <w:color w:val="auto"/>
              </w:rPr>
            </w:pPr>
          </w:p>
        </w:tc>
        <w:tc>
          <w:tcPr>
            <w:tcW w:w="340" w:type="dxa"/>
            <w:vAlign w:val="bottom"/>
            <w:shd w:val="clear" w:color="auto" w:fill="D3ECED"/>
          </w:tcPr>
          <w:p>
            <w:pPr>
              <w:spacing w:after="0"/>
              <w:rPr>
                <w:sz w:val="20"/>
                <w:szCs w:val="20"/>
                <w:color w:val="auto"/>
              </w:rPr>
            </w:pPr>
          </w:p>
        </w:tc>
        <w:tc>
          <w:tcPr>
            <w:tcW w:w="880" w:type="dxa"/>
            <w:vAlign w:val="bottom"/>
            <w:shd w:val="clear" w:color="auto" w:fill="D3ECE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D3ECED"/>
          </w:tcPr>
          <w:p>
            <w:pPr>
              <w:spacing w:after="0"/>
              <w:rPr>
                <w:sz w:val="20"/>
                <w:szCs w:val="20"/>
                <w:color w:val="auto"/>
              </w:rPr>
            </w:pPr>
          </w:p>
        </w:tc>
        <w:tc>
          <w:tcPr>
            <w:tcW w:w="800" w:type="dxa"/>
            <w:vAlign w:val="bottom"/>
            <w:gridSpan w:val="2"/>
            <w:shd w:val="clear" w:color="auto" w:fill="D3ECED"/>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D3ECED"/>
          </w:tcPr>
          <w:p>
            <w:pPr>
              <w:spacing w:after="0"/>
              <w:rPr>
                <w:sz w:val="20"/>
                <w:szCs w:val="20"/>
                <w:color w:val="auto"/>
              </w:rPr>
            </w:pPr>
          </w:p>
        </w:tc>
        <w:tc>
          <w:tcPr>
            <w:tcW w:w="7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368</w:t>
            </w:r>
          </w:p>
        </w:tc>
        <w:tc>
          <w:tcPr>
            <w:tcW w:w="120" w:type="dxa"/>
            <w:vAlign w:val="bottom"/>
            <w:shd w:val="clear" w:color="auto" w:fill="D3ECED"/>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000" w:type="dxa"/>
            <w:vAlign w:val="bottom"/>
            <w:shd w:val="clear" w:color="auto" w:fill="FDFDFD"/>
          </w:tcPr>
          <w:p>
            <w:pPr>
              <w:ind w:left="180"/>
              <w:spacing w:after="0"/>
              <w:rPr>
                <w:sz w:val="20"/>
                <w:szCs w:val="20"/>
                <w:color w:val="auto"/>
              </w:rPr>
            </w:pPr>
            <w:r>
              <w:rPr>
                <w:rFonts w:ascii="Arial" w:cs="Arial" w:eastAsia="Arial" w:hAnsi="Arial"/>
                <w:sz w:val="17"/>
                <w:szCs w:val="17"/>
                <w:color w:val="auto"/>
              </w:rPr>
              <w:t>Stock-based compensation</w:t>
            </w:r>
          </w:p>
        </w:tc>
        <w:tc>
          <w:tcPr>
            <w:tcW w:w="1020" w:type="dxa"/>
            <w:vAlign w:val="bottom"/>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FDFDFD"/>
          </w:tcPr>
          <w:p>
            <w:pPr>
              <w:spacing w:after="0"/>
              <w:rPr>
                <w:sz w:val="17"/>
                <w:szCs w:val="17"/>
                <w:color w:val="auto"/>
              </w:rPr>
            </w:pPr>
          </w:p>
        </w:tc>
        <w:tc>
          <w:tcPr>
            <w:tcW w:w="560" w:type="dxa"/>
            <w:vAlign w:val="bottom"/>
            <w:shd w:val="clear" w:color="auto" w:fill="FDFDFD"/>
          </w:tcPr>
          <w:p>
            <w:pPr>
              <w:spacing w:after="0"/>
              <w:rPr>
                <w:sz w:val="17"/>
                <w:szCs w:val="17"/>
                <w:color w:val="auto"/>
              </w:rPr>
            </w:pPr>
          </w:p>
        </w:tc>
        <w:tc>
          <w:tcPr>
            <w:tcW w:w="5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FDFDFD"/>
          </w:tcPr>
          <w:p>
            <w:pPr>
              <w:spacing w:after="0"/>
              <w:rPr>
                <w:sz w:val="17"/>
                <w:szCs w:val="17"/>
                <w:color w:val="auto"/>
              </w:rPr>
            </w:pPr>
          </w:p>
        </w:tc>
        <w:tc>
          <w:tcPr>
            <w:tcW w:w="720" w:type="dxa"/>
            <w:vAlign w:val="bottom"/>
            <w:shd w:val="clear" w:color="auto" w:fill="FDFDFD"/>
          </w:tcPr>
          <w:p>
            <w:pPr>
              <w:jc w:val="right"/>
              <w:spacing w:after="0"/>
              <w:rPr>
                <w:sz w:val="20"/>
                <w:szCs w:val="20"/>
                <w:color w:val="auto"/>
              </w:rPr>
            </w:pPr>
            <w:r>
              <w:rPr>
                <w:rFonts w:ascii="Arial" w:cs="Arial" w:eastAsia="Arial" w:hAnsi="Arial"/>
                <w:sz w:val="17"/>
                <w:szCs w:val="17"/>
                <w:color w:val="auto"/>
              </w:rPr>
              <w:t>34,424</w:t>
            </w:r>
          </w:p>
        </w:tc>
        <w:tc>
          <w:tcPr>
            <w:tcW w:w="120" w:type="dxa"/>
            <w:vAlign w:val="bottom"/>
            <w:shd w:val="clear" w:color="auto" w:fill="FDFDFD"/>
          </w:tcPr>
          <w:p>
            <w:pPr>
              <w:spacing w:after="0"/>
              <w:rPr>
                <w:sz w:val="17"/>
                <w:szCs w:val="17"/>
                <w:color w:val="auto"/>
              </w:rPr>
            </w:pPr>
          </w:p>
        </w:tc>
        <w:tc>
          <w:tcPr>
            <w:tcW w:w="340" w:type="dxa"/>
            <w:vAlign w:val="bottom"/>
            <w:shd w:val="clear" w:color="auto" w:fill="FDFDFD"/>
          </w:tcPr>
          <w:p>
            <w:pPr>
              <w:spacing w:after="0"/>
              <w:rPr>
                <w:sz w:val="17"/>
                <w:szCs w:val="17"/>
                <w:color w:val="auto"/>
              </w:rPr>
            </w:pPr>
          </w:p>
        </w:tc>
        <w:tc>
          <w:tcPr>
            <w:tcW w:w="880" w:type="dxa"/>
            <w:vAlign w:val="bottom"/>
            <w:shd w:val="clear" w:color="auto" w:fill="FDFDF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FDFDFD"/>
          </w:tcPr>
          <w:p>
            <w:pPr>
              <w:spacing w:after="0"/>
              <w:rPr>
                <w:sz w:val="17"/>
                <w:szCs w:val="17"/>
                <w:color w:val="auto"/>
              </w:rPr>
            </w:pPr>
          </w:p>
        </w:tc>
        <w:tc>
          <w:tcPr>
            <w:tcW w:w="800" w:type="dxa"/>
            <w:vAlign w:val="bottom"/>
            <w:gridSpan w:val="2"/>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FDFDFD"/>
          </w:tcPr>
          <w:p>
            <w:pPr>
              <w:spacing w:after="0"/>
              <w:rPr>
                <w:sz w:val="17"/>
                <w:szCs w:val="17"/>
                <w:color w:val="auto"/>
              </w:rPr>
            </w:pPr>
          </w:p>
        </w:tc>
        <w:tc>
          <w:tcPr>
            <w:tcW w:w="7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34,424</w:t>
            </w:r>
          </w:p>
        </w:tc>
        <w:tc>
          <w:tcPr>
            <w:tcW w:w="12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D3ECED"/>
          </w:tcPr>
          <w:p>
            <w:pPr>
              <w:ind w:left="180"/>
              <w:spacing w:after="0"/>
              <w:rPr>
                <w:sz w:val="20"/>
                <w:szCs w:val="20"/>
                <w:color w:val="auto"/>
              </w:rPr>
            </w:pPr>
            <w:r>
              <w:rPr>
                <w:rFonts w:ascii="Arial" w:cs="Arial" w:eastAsia="Arial" w:hAnsi="Arial"/>
                <w:sz w:val="17"/>
                <w:szCs w:val="17"/>
                <w:color w:val="auto"/>
              </w:rPr>
              <w:t>Other comprehensive gain</w:t>
            </w:r>
          </w:p>
        </w:tc>
        <w:tc>
          <w:tcPr>
            <w:tcW w:w="1140" w:type="dxa"/>
            <w:vAlign w:val="bottom"/>
            <w:gridSpan w:val="2"/>
            <w:shd w:val="clear" w:color="auto" w:fill="D3ECED"/>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D3ECED"/>
          </w:tcPr>
          <w:p>
            <w:pPr>
              <w:spacing w:after="0"/>
              <w:rPr>
                <w:sz w:val="18"/>
                <w:szCs w:val="18"/>
                <w:color w:val="auto"/>
              </w:rPr>
            </w:pPr>
          </w:p>
        </w:tc>
        <w:tc>
          <w:tcPr>
            <w:tcW w:w="5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D3ECED"/>
          </w:tcPr>
          <w:p>
            <w:pPr>
              <w:spacing w:after="0"/>
              <w:rPr>
                <w:sz w:val="18"/>
                <w:szCs w:val="18"/>
                <w:color w:val="auto"/>
              </w:rPr>
            </w:pPr>
          </w:p>
        </w:tc>
        <w:tc>
          <w:tcPr>
            <w:tcW w:w="7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D3ECED"/>
          </w:tcPr>
          <w:p>
            <w:pPr>
              <w:spacing w:after="0"/>
              <w:rPr>
                <w:sz w:val="18"/>
                <w:szCs w:val="18"/>
                <w:color w:val="auto"/>
              </w:rPr>
            </w:pPr>
          </w:p>
        </w:tc>
        <w:tc>
          <w:tcPr>
            <w:tcW w:w="340" w:type="dxa"/>
            <w:vAlign w:val="bottom"/>
            <w:shd w:val="clear" w:color="auto" w:fill="D3ECED"/>
          </w:tcPr>
          <w:p>
            <w:pPr>
              <w:spacing w:after="0"/>
              <w:rPr>
                <w:sz w:val="18"/>
                <w:szCs w:val="18"/>
                <w:color w:val="auto"/>
              </w:rPr>
            </w:pPr>
          </w:p>
        </w:tc>
        <w:tc>
          <w:tcPr>
            <w:tcW w:w="880" w:type="dxa"/>
            <w:vAlign w:val="bottom"/>
            <w:shd w:val="clear" w:color="auto" w:fill="D3ECE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D3ECED"/>
          </w:tcPr>
          <w:p>
            <w:pPr>
              <w:spacing w:after="0"/>
              <w:rPr>
                <w:sz w:val="18"/>
                <w:szCs w:val="18"/>
                <w:color w:val="auto"/>
              </w:rPr>
            </w:pPr>
          </w:p>
        </w:tc>
        <w:tc>
          <w:tcPr>
            <w:tcW w:w="680" w:type="dxa"/>
            <w:vAlign w:val="bottom"/>
            <w:shd w:val="clear" w:color="auto" w:fill="D3ECED"/>
          </w:tcPr>
          <w:p>
            <w:pPr>
              <w:jc w:val="right"/>
              <w:spacing w:after="0"/>
              <w:rPr>
                <w:sz w:val="20"/>
                <w:szCs w:val="20"/>
                <w:color w:val="auto"/>
              </w:rPr>
            </w:pPr>
            <w:r>
              <w:rPr>
                <w:rFonts w:ascii="Arial" w:cs="Arial" w:eastAsia="Arial" w:hAnsi="Arial"/>
                <w:sz w:val="17"/>
                <w:szCs w:val="17"/>
                <w:color w:val="auto"/>
              </w:rPr>
              <w:t>1,059</w:t>
            </w:r>
          </w:p>
        </w:tc>
        <w:tc>
          <w:tcPr>
            <w:tcW w:w="120" w:type="dxa"/>
            <w:vAlign w:val="bottom"/>
            <w:shd w:val="clear" w:color="auto" w:fill="D3ECED"/>
          </w:tcPr>
          <w:p>
            <w:pPr>
              <w:spacing w:after="0"/>
              <w:rPr>
                <w:sz w:val="18"/>
                <w:szCs w:val="18"/>
                <w:color w:val="auto"/>
              </w:rPr>
            </w:pPr>
          </w:p>
        </w:tc>
        <w:tc>
          <w:tcPr>
            <w:tcW w:w="360" w:type="dxa"/>
            <w:vAlign w:val="bottom"/>
            <w:shd w:val="clear" w:color="auto" w:fill="D3ECED"/>
          </w:tcPr>
          <w:p>
            <w:pPr>
              <w:spacing w:after="0"/>
              <w:rPr>
                <w:sz w:val="18"/>
                <w:szCs w:val="18"/>
                <w:color w:val="auto"/>
              </w:rPr>
            </w:pPr>
          </w:p>
        </w:tc>
        <w:tc>
          <w:tcPr>
            <w:tcW w:w="7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1,059</w:t>
            </w:r>
          </w:p>
        </w:tc>
        <w:tc>
          <w:tcPr>
            <w:tcW w:w="120" w:type="dxa"/>
            <w:vAlign w:val="bottom"/>
            <w:shd w:val="clear" w:color="auto" w:fill="D3ECED"/>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FDFDFD"/>
          </w:tcPr>
          <w:p>
            <w:pPr>
              <w:ind w:left="180"/>
              <w:spacing w:after="0"/>
              <w:rPr>
                <w:sz w:val="20"/>
                <w:szCs w:val="20"/>
                <w:color w:val="auto"/>
              </w:rPr>
            </w:pPr>
            <w:r>
              <w:rPr>
                <w:rFonts w:ascii="Arial" w:cs="Arial" w:eastAsia="Arial" w:hAnsi="Arial"/>
                <w:sz w:val="17"/>
                <w:szCs w:val="17"/>
                <w:color w:val="auto"/>
              </w:rPr>
              <w:t>Net loss</w:t>
            </w:r>
          </w:p>
        </w:tc>
        <w:tc>
          <w:tcPr>
            <w:tcW w:w="1140" w:type="dxa"/>
            <w:vAlign w:val="bottom"/>
            <w:gridSpan w:val="2"/>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FDFDFD"/>
          </w:tcPr>
          <w:p>
            <w:pPr>
              <w:spacing w:after="0"/>
              <w:rPr>
                <w:sz w:val="18"/>
                <w:szCs w:val="18"/>
                <w:color w:val="auto"/>
              </w:rPr>
            </w:pPr>
          </w:p>
        </w:tc>
        <w:tc>
          <w:tcPr>
            <w:tcW w:w="5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FDFDFD"/>
          </w:tcPr>
          <w:p>
            <w:pPr>
              <w:spacing w:after="0"/>
              <w:rPr>
                <w:sz w:val="18"/>
                <w:szCs w:val="18"/>
                <w:color w:val="auto"/>
              </w:rPr>
            </w:pPr>
          </w:p>
        </w:tc>
        <w:tc>
          <w:tcPr>
            <w:tcW w:w="840" w:type="dxa"/>
            <w:vAlign w:val="bottom"/>
            <w:gridSpan w:val="2"/>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FDFDFD"/>
          </w:tcPr>
          <w:p>
            <w:pPr>
              <w:spacing w:after="0"/>
              <w:rPr>
                <w:sz w:val="18"/>
                <w:szCs w:val="18"/>
                <w:color w:val="auto"/>
              </w:rPr>
            </w:pPr>
          </w:p>
        </w:tc>
        <w:tc>
          <w:tcPr>
            <w:tcW w:w="880" w:type="dxa"/>
            <w:vAlign w:val="bottom"/>
            <w:shd w:val="clear" w:color="auto" w:fill="FDFDFD"/>
          </w:tcPr>
          <w:p>
            <w:pPr>
              <w:jc w:val="right"/>
              <w:ind w:right="35"/>
              <w:spacing w:after="0"/>
              <w:rPr>
                <w:sz w:val="20"/>
                <w:szCs w:val="20"/>
                <w:color w:val="auto"/>
              </w:rPr>
            </w:pPr>
            <w:r>
              <w:rPr>
                <w:rFonts w:ascii="Arial" w:cs="Arial" w:eastAsia="Arial" w:hAnsi="Arial"/>
                <w:sz w:val="17"/>
                <w:szCs w:val="17"/>
                <w:color w:val="auto"/>
              </w:rPr>
              <w:t>(86,277)</w:t>
            </w:r>
          </w:p>
        </w:tc>
        <w:tc>
          <w:tcPr>
            <w:tcW w:w="420" w:type="dxa"/>
            <w:vAlign w:val="bottom"/>
            <w:shd w:val="clear" w:color="auto" w:fill="FDFDFD"/>
          </w:tcPr>
          <w:p>
            <w:pPr>
              <w:spacing w:after="0"/>
              <w:rPr>
                <w:sz w:val="18"/>
                <w:szCs w:val="18"/>
                <w:color w:val="auto"/>
              </w:rPr>
            </w:pPr>
          </w:p>
        </w:tc>
        <w:tc>
          <w:tcPr>
            <w:tcW w:w="680" w:type="dxa"/>
            <w:vAlign w:val="bottom"/>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FDFDFD"/>
          </w:tcPr>
          <w:p>
            <w:pPr>
              <w:spacing w:after="0"/>
              <w:rPr>
                <w:sz w:val="18"/>
                <w:szCs w:val="18"/>
                <w:color w:val="auto"/>
              </w:rPr>
            </w:pPr>
          </w:p>
        </w:tc>
        <w:tc>
          <w:tcPr>
            <w:tcW w:w="360" w:type="dxa"/>
            <w:vAlign w:val="bottom"/>
            <w:shd w:val="clear" w:color="auto" w:fill="FDFDFD"/>
          </w:tcPr>
          <w:p>
            <w:pPr>
              <w:spacing w:after="0"/>
              <w:rPr>
                <w:sz w:val="18"/>
                <w:szCs w:val="18"/>
                <w:color w:val="auto"/>
              </w:rPr>
            </w:pPr>
          </w:p>
        </w:tc>
        <w:tc>
          <w:tcPr>
            <w:tcW w:w="7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(86,277)</w:t>
            </w:r>
          </w:p>
        </w:tc>
        <w:tc>
          <w:tcPr>
            <w:tcW w:w="120" w:type="dxa"/>
            <w:vAlign w:val="bottom"/>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D3ECED"/>
          </w:tcPr>
          <w:p>
            <w:pPr>
              <w:spacing w:after="0"/>
              <w:rPr>
                <w:sz w:val="20"/>
                <w:szCs w:val="20"/>
                <w:color w:val="auto"/>
              </w:rPr>
            </w:pPr>
            <w:r>
              <w:rPr>
                <w:rFonts w:ascii="Arial" w:cs="Arial" w:eastAsia="Arial" w:hAnsi="Arial"/>
                <w:sz w:val="17"/>
                <w:szCs w:val="17"/>
                <w:color w:val="auto"/>
              </w:rPr>
              <w:t>Balance at December 31, 2023</w:t>
            </w:r>
          </w:p>
        </w:tc>
        <w:tc>
          <w:tcPr>
            <w:tcW w:w="10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64,298,676</w:t>
            </w:r>
          </w:p>
        </w:tc>
        <w:tc>
          <w:tcPr>
            <w:tcW w:w="120" w:type="dxa"/>
            <w:vAlign w:val="bottom"/>
            <w:shd w:val="clear" w:color="auto" w:fill="D3ECED"/>
          </w:tcPr>
          <w:p>
            <w:pPr>
              <w:spacing w:after="0"/>
              <w:rPr>
                <w:sz w:val="18"/>
                <w:szCs w:val="18"/>
                <w:color w:val="auto"/>
              </w:rPr>
            </w:pPr>
          </w:p>
        </w:tc>
        <w:tc>
          <w:tcPr>
            <w:tcW w:w="560" w:type="dxa"/>
            <w:vAlign w:val="bottom"/>
            <w:shd w:val="clear" w:color="auto" w:fill="D3ECED"/>
          </w:tcPr>
          <w:p>
            <w:pPr>
              <w:spacing w:after="0"/>
              <w:rPr>
                <w:sz w:val="18"/>
                <w:szCs w:val="18"/>
                <w:color w:val="auto"/>
              </w:rPr>
            </w:pPr>
          </w:p>
        </w:tc>
        <w:tc>
          <w:tcPr>
            <w:tcW w:w="5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1</w:t>
            </w:r>
          </w:p>
        </w:tc>
        <w:tc>
          <w:tcPr>
            <w:tcW w:w="500" w:type="dxa"/>
            <w:vAlign w:val="bottom"/>
            <w:shd w:val="clear" w:color="auto" w:fill="D3ECED"/>
          </w:tcPr>
          <w:p>
            <w:pPr>
              <w:spacing w:after="0"/>
              <w:rPr>
                <w:sz w:val="18"/>
                <w:szCs w:val="18"/>
                <w:color w:val="auto"/>
              </w:rPr>
            </w:pPr>
          </w:p>
        </w:tc>
        <w:tc>
          <w:tcPr>
            <w:tcW w:w="7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702,868</w:t>
            </w:r>
          </w:p>
        </w:tc>
        <w:tc>
          <w:tcPr>
            <w:tcW w:w="120" w:type="dxa"/>
            <w:vAlign w:val="bottom"/>
            <w:shd w:val="clear" w:color="auto" w:fill="D3ECED"/>
          </w:tcPr>
          <w:p>
            <w:pPr>
              <w:spacing w:after="0"/>
              <w:rPr>
                <w:sz w:val="18"/>
                <w:szCs w:val="18"/>
                <w:color w:val="auto"/>
              </w:rPr>
            </w:pPr>
          </w:p>
        </w:tc>
        <w:tc>
          <w:tcPr>
            <w:tcW w:w="340" w:type="dxa"/>
            <w:vAlign w:val="bottom"/>
            <w:shd w:val="clear" w:color="auto" w:fill="D3ECED"/>
          </w:tcPr>
          <w:p>
            <w:pPr>
              <w:spacing w:after="0"/>
              <w:rPr>
                <w:sz w:val="18"/>
                <w:szCs w:val="18"/>
                <w:color w:val="auto"/>
              </w:rPr>
            </w:pPr>
          </w:p>
        </w:tc>
        <w:tc>
          <w:tcPr>
            <w:tcW w:w="880" w:type="dxa"/>
            <w:vAlign w:val="bottom"/>
            <w:shd w:val="clear" w:color="auto" w:fill="D3ECED"/>
          </w:tcPr>
          <w:p>
            <w:pPr>
              <w:jc w:val="right"/>
              <w:ind w:right="35"/>
              <w:spacing w:after="0"/>
              <w:rPr>
                <w:sz w:val="20"/>
                <w:szCs w:val="20"/>
                <w:color w:val="auto"/>
              </w:rPr>
            </w:pPr>
            <w:r>
              <w:rPr>
                <w:rFonts w:ascii="Arial" w:cs="Arial" w:eastAsia="Arial" w:hAnsi="Arial"/>
                <w:sz w:val="17"/>
                <w:szCs w:val="17"/>
                <w:color w:val="auto"/>
              </w:rPr>
              <w:t>(305,773)</w:t>
            </w:r>
          </w:p>
        </w:tc>
        <w:tc>
          <w:tcPr>
            <w:tcW w:w="420" w:type="dxa"/>
            <w:vAlign w:val="bottom"/>
            <w:shd w:val="clear" w:color="auto" w:fill="D3ECED"/>
          </w:tcPr>
          <w:p>
            <w:pPr>
              <w:spacing w:after="0"/>
              <w:rPr>
                <w:sz w:val="18"/>
                <w:szCs w:val="18"/>
                <w:color w:val="auto"/>
              </w:rPr>
            </w:pPr>
          </w:p>
        </w:tc>
        <w:tc>
          <w:tcPr>
            <w:tcW w:w="680" w:type="dxa"/>
            <w:vAlign w:val="bottom"/>
            <w:shd w:val="clear" w:color="auto" w:fill="D3ECED"/>
          </w:tcPr>
          <w:p>
            <w:pPr>
              <w:jc w:val="right"/>
              <w:spacing w:after="0"/>
              <w:rPr>
                <w:sz w:val="20"/>
                <w:szCs w:val="20"/>
                <w:color w:val="auto"/>
              </w:rPr>
            </w:pPr>
            <w:r>
              <w:rPr>
                <w:rFonts w:ascii="Arial" w:cs="Arial" w:eastAsia="Arial" w:hAnsi="Arial"/>
                <w:sz w:val="17"/>
                <w:szCs w:val="17"/>
                <w:color w:val="auto"/>
              </w:rPr>
              <w:t>(192)</w:t>
            </w:r>
          </w:p>
        </w:tc>
        <w:tc>
          <w:tcPr>
            <w:tcW w:w="120" w:type="dxa"/>
            <w:vAlign w:val="bottom"/>
            <w:shd w:val="clear" w:color="auto" w:fill="D3ECED"/>
          </w:tcPr>
          <w:p>
            <w:pPr>
              <w:spacing w:after="0"/>
              <w:rPr>
                <w:sz w:val="18"/>
                <w:szCs w:val="18"/>
                <w:color w:val="auto"/>
              </w:rPr>
            </w:pPr>
          </w:p>
        </w:tc>
        <w:tc>
          <w:tcPr>
            <w:tcW w:w="360" w:type="dxa"/>
            <w:vAlign w:val="bottom"/>
            <w:shd w:val="clear" w:color="auto" w:fill="D3ECED"/>
          </w:tcPr>
          <w:p>
            <w:pPr>
              <w:spacing w:after="0"/>
              <w:rPr>
                <w:sz w:val="18"/>
                <w:szCs w:val="18"/>
                <w:color w:val="auto"/>
              </w:rPr>
            </w:pPr>
          </w:p>
        </w:tc>
        <w:tc>
          <w:tcPr>
            <w:tcW w:w="7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396,904</w:t>
            </w:r>
          </w:p>
        </w:tc>
        <w:tc>
          <w:tcPr>
            <w:tcW w:w="120" w:type="dxa"/>
            <w:vAlign w:val="bottom"/>
            <w:shd w:val="clear" w:color="auto" w:fill="D3ECED"/>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000" w:type="dxa"/>
            <w:vAlign w:val="bottom"/>
            <w:shd w:val="clear" w:color="auto" w:fill="FDFDFD"/>
          </w:tcPr>
          <w:p>
            <w:pPr>
              <w:ind w:left="180"/>
              <w:spacing w:after="0" w:line="173" w:lineRule="exact"/>
              <w:rPr>
                <w:sz w:val="20"/>
                <w:szCs w:val="20"/>
                <w:color w:val="auto"/>
              </w:rPr>
            </w:pPr>
            <w:r>
              <w:rPr>
                <w:rFonts w:ascii="Arial" w:cs="Arial" w:eastAsia="Arial" w:hAnsi="Arial"/>
                <w:sz w:val="17"/>
                <w:szCs w:val="17"/>
                <w:color w:val="auto"/>
                <w:w w:val="99"/>
              </w:rPr>
              <w:t>Issuance of Class A common stock from exercise of options and</w:t>
            </w:r>
          </w:p>
        </w:tc>
        <w:tc>
          <w:tcPr>
            <w:tcW w:w="1020" w:type="dxa"/>
            <w:vAlign w:val="bottom"/>
            <w:vMerge w:val="restart"/>
            <w:shd w:val="clear" w:color="auto" w:fill="FDFDFD"/>
          </w:tcPr>
          <w:p>
            <w:pPr>
              <w:jc w:val="right"/>
              <w:spacing w:after="0"/>
              <w:rPr>
                <w:sz w:val="20"/>
                <w:szCs w:val="20"/>
                <w:color w:val="auto"/>
              </w:rPr>
            </w:pPr>
            <w:r>
              <w:rPr>
                <w:rFonts w:ascii="Arial" w:cs="Arial" w:eastAsia="Arial" w:hAnsi="Arial"/>
                <w:sz w:val="17"/>
                <w:szCs w:val="17"/>
                <w:color w:val="auto"/>
              </w:rPr>
              <w:t>1,085,291</w:t>
            </w:r>
          </w:p>
        </w:tc>
        <w:tc>
          <w:tcPr>
            <w:tcW w:w="120" w:type="dxa"/>
            <w:vAlign w:val="bottom"/>
            <w:shd w:val="clear" w:color="auto" w:fill="FDFDFD"/>
          </w:tcPr>
          <w:p>
            <w:pPr>
              <w:spacing w:after="0"/>
              <w:rPr>
                <w:sz w:val="15"/>
                <w:szCs w:val="15"/>
                <w:color w:val="auto"/>
              </w:rPr>
            </w:pPr>
          </w:p>
        </w:tc>
        <w:tc>
          <w:tcPr>
            <w:tcW w:w="560" w:type="dxa"/>
            <w:vAlign w:val="bottom"/>
            <w:shd w:val="clear" w:color="auto" w:fill="FDFDFD"/>
          </w:tcPr>
          <w:p>
            <w:pPr>
              <w:spacing w:after="0"/>
              <w:rPr>
                <w:sz w:val="15"/>
                <w:szCs w:val="15"/>
                <w:color w:val="auto"/>
              </w:rPr>
            </w:pPr>
          </w:p>
        </w:tc>
        <w:tc>
          <w:tcPr>
            <w:tcW w:w="540" w:type="dxa"/>
            <w:vAlign w:val="bottom"/>
            <w:vMerge w:val="restart"/>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FDFDFD"/>
          </w:tcPr>
          <w:p>
            <w:pPr>
              <w:spacing w:after="0"/>
              <w:rPr>
                <w:sz w:val="15"/>
                <w:szCs w:val="15"/>
                <w:color w:val="auto"/>
              </w:rPr>
            </w:pPr>
          </w:p>
        </w:tc>
        <w:tc>
          <w:tcPr>
            <w:tcW w:w="840" w:type="dxa"/>
            <w:vAlign w:val="bottom"/>
            <w:gridSpan w:val="2"/>
            <w:vMerge w:val="restart"/>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FDFDFD"/>
          </w:tcPr>
          <w:p>
            <w:pPr>
              <w:spacing w:after="0"/>
              <w:rPr>
                <w:sz w:val="15"/>
                <w:szCs w:val="15"/>
                <w:color w:val="auto"/>
              </w:rPr>
            </w:pPr>
          </w:p>
        </w:tc>
        <w:tc>
          <w:tcPr>
            <w:tcW w:w="880" w:type="dxa"/>
            <w:vAlign w:val="bottom"/>
            <w:vMerge w:val="restart"/>
            <w:shd w:val="clear" w:color="auto" w:fill="FDFDF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FDFDFD"/>
          </w:tcPr>
          <w:p>
            <w:pPr>
              <w:spacing w:after="0"/>
              <w:rPr>
                <w:sz w:val="15"/>
                <w:szCs w:val="15"/>
                <w:color w:val="auto"/>
              </w:rPr>
            </w:pPr>
          </w:p>
        </w:tc>
        <w:tc>
          <w:tcPr>
            <w:tcW w:w="800" w:type="dxa"/>
            <w:vAlign w:val="bottom"/>
            <w:gridSpan w:val="2"/>
            <w:vMerge w:val="restart"/>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FDFDFD"/>
          </w:tcPr>
          <w:p>
            <w:pPr>
              <w:spacing w:after="0"/>
              <w:rPr>
                <w:sz w:val="15"/>
                <w:szCs w:val="15"/>
                <w:color w:val="auto"/>
              </w:rPr>
            </w:pPr>
          </w:p>
        </w:tc>
        <w:tc>
          <w:tcPr>
            <w:tcW w:w="860" w:type="dxa"/>
            <w:vAlign w:val="bottom"/>
            <w:gridSpan w:val="2"/>
            <w:vMerge w:val="restart"/>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FDFDFD"/>
          </w:tcPr>
          <w:p>
            <w:pPr>
              <w:ind w:left="320"/>
              <w:spacing w:after="0"/>
              <w:rPr>
                <w:sz w:val="20"/>
                <w:szCs w:val="20"/>
                <w:color w:val="auto"/>
              </w:rPr>
            </w:pPr>
            <w:r>
              <w:rPr>
                <w:rFonts w:ascii="Arial" w:cs="Arial" w:eastAsia="Arial" w:hAnsi="Arial"/>
                <w:sz w:val="17"/>
                <w:szCs w:val="17"/>
                <w:color w:val="auto"/>
              </w:rPr>
              <w:t>release of restricted stock units</w:t>
            </w:r>
          </w:p>
        </w:tc>
        <w:tc>
          <w:tcPr>
            <w:tcW w:w="1020" w:type="dxa"/>
            <w:vAlign w:val="bottom"/>
            <w:vMerge w:val="continue"/>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560" w:type="dxa"/>
            <w:vAlign w:val="bottom"/>
            <w:shd w:val="clear" w:color="auto" w:fill="FDFDFD"/>
          </w:tcPr>
          <w:p>
            <w:pPr>
              <w:spacing w:after="0"/>
              <w:rPr>
                <w:sz w:val="20"/>
                <w:szCs w:val="20"/>
                <w:color w:val="auto"/>
              </w:rPr>
            </w:pPr>
          </w:p>
        </w:tc>
        <w:tc>
          <w:tcPr>
            <w:tcW w:w="540" w:type="dxa"/>
            <w:vAlign w:val="bottom"/>
            <w:vMerge w:val="continue"/>
            <w:shd w:val="clear" w:color="auto" w:fill="FDFDFD"/>
          </w:tcPr>
          <w:p>
            <w:pPr>
              <w:spacing w:after="0"/>
              <w:rPr>
                <w:sz w:val="20"/>
                <w:szCs w:val="20"/>
                <w:color w:val="auto"/>
              </w:rPr>
            </w:pPr>
          </w:p>
        </w:tc>
        <w:tc>
          <w:tcPr>
            <w:tcW w:w="500" w:type="dxa"/>
            <w:vAlign w:val="bottom"/>
            <w:shd w:val="clear" w:color="auto" w:fill="FDFDFD"/>
          </w:tcPr>
          <w:p>
            <w:pPr>
              <w:spacing w:after="0"/>
              <w:rPr>
                <w:sz w:val="20"/>
                <w:szCs w:val="20"/>
                <w:color w:val="auto"/>
              </w:rPr>
            </w:pPr>
          </w:p>
        </w:tc>
        <w:tc>
          <w:tcPr>
            <w:tcW w:w="840" w:type="dxa"/>
            <w:vAlign w:val="bottom"/>
            <w:gridSpan w:val="2"/>
            <w:vMerge w:val="continue"/>
            <w:shd w:val="clear" w:color="auto" w:fill="FDFDFD"/>
          </w:tcPr>
          <w:p>
            <w:pPr>
              <w:spacing w:after="0"/>
              <w:rPr>
                <w:sz w:val="20"/>
                <w:szCs w:val="20"/>
                <w:color w:val="auto"/>
              </w:rPr>
            </w:pPr>
          </w:p>
        </w:tc>
        <w:tc>
          <w:tcPr>
            <w:tcW w:w="340" w:type="dxa"/>
            <w:vAlign w:val="bottom"/>
            <w:shd w:val="clear" w:color="auto" w:fill="FDFDFD"/>
          </w:tcPr>
          <w:p>
            <w:pPr>
              <w:spacing w:after="0"/>
              <w:rPr>
                <w:sz w:val="20"/>
                <w:szCs w:val="20"/>
                <w:color w:val="auto"/>
              </w:rPr>
            </w:pPr>
          </w:p>
        </w:tc>
        <w:tc>
          <w:tcPr>
            <w:tcW w:w="880" w:type="dxa"/>
            <w:vAlign w:val="bottom"/>
            <w:vMerge w:val="continue"/>
            <w:shd w:val="clear" w:color="auto" w:fill="FDFDFD"/>
          </w:tcPr>
          <w:p>
            <w:pPr>
              <w:spacing w:after="0"/>
              <w:rPr>
                <w:sz w:val="20"/>
                <w:szCs w:val="20"/>
                <w:color w:val="auto"/>
              </w:rPr>
            </w:pPr>
          </w:p>
        </w:tc>
        <w:tc>
          <w:tcPr>
            <w:tcW w:w="420" w:type="dxa"/>
            <w:vAlign w:val="bottom"/>
            <w:shd w:val="clear" w:color="auto" w:fill="FDFDFD"/>
          </w:tcPr>
          <w:p>
            <w:pPr>
              <w:spacing w:after="0"/>
              <w:rPr>
                <w:sz w:val="20"/>
                <w:szCs w:val="20"/>
                <w:color w:val="auto"/>
              </w:rPr>
            </w:pPr>
          </w:p>
        </w:tc>
        <w:tc>
          <w:tcPr>
            <w:tcW w:w="800" w:type="dxa"/>
            <w:vAlign w:val="bottom"/>
            <w:gridSpan w:val="2"/>
            <w:vMerge w:val="continue"/>
            <w:shd w:val="clear" w:color="auto" w:fill="FDFDFD"/>
          </w:tcPr>
          <w:p>
            <w:pPr>
              <w:spacing w:after="0"/>
              <w:rPr>
                <w:sz w:val="20"/>
                <w:szCs w:val="20"/>
                <w:color w:val="auto"/>
              </w:rPr>
            </w:pPr>
          </w:p>
        </w:tc>
        <w:tc>
          <w:tcPr>
            <w:tcW w:w="360" w:type="dxa"/>
            <w:vAlign w:val="bottom"/>
            <w:shd w:val="clear" w:color="auto" w:fill="FDFDFD"/>
          </w:tcPr>
          <w:p>
            <w:pPr>
              <w:spacing w:after="0"/>
              <w:rPr>
                <w:sz w:val="20"/>
                <w:szCs w:val="20"/>
                <w:color w:val="auto"/>
              </w:rPr>
            </w:pPr>
          </w:p>
        </w:tc>
        <w:tc>
          <w:tcPr>
            <w:tcW w:w="860" w:type="dxa"/>
            <w:vAlign w:val="bottom"/>
            <w:gridSpan w:val="2"/>
            <w:vMerge w:val="continue"/>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0" w:type="dxa"/>
            <w:vAlign w:val="bottom"/>
            <w:shd w:val="clear" w:color="auto" w:fill="D3ECED"/>
          </w:tcPr>
          <w:p>
            <w:pPr>
              <w:ind w:left="180"/>
              <w:spacing w:after="0" w:line="176" w:lineRule="exact"/>
              <w:rPr>
                <w:sz w:val="20"/>
                <w:szCs w:val="20"/>
                <w:color w:val="auto"/>
              </w:rPr>
            </w:pPr>
            <w:r>
              <w:rPr>
                <w:rFonts w:ascii="Arial" w:cs="Arial" w:eastAsia="Arial" w:hAnsi="Arial"/>
                <w:sz w:val="17"/>
                <w:szCs w:val="17"/>
                <w:color w:val="auto"/>
              </w:rPr>
              <w:t>Vesting of early exercised stock options and restricted</w:t>
            </w:r>
          </w:p>
        </w:tc>
        <w:tc>
          <w:tcPr>
            <w:tcW w:w="102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560" w:type="dxa"/>
            <w:vAlign w:val="bottom"/>
            <w:shd w:val="clear" w:color="auto" w:fill="D3ECED"/>
          </w:tcPr>
          <w:p>
            <w:pPr>
              <w:spacing w:after="0"/>
              <w:rPr>
                <w:sz w:val="15"/>
                <w:szCs w:val="15"/>
                <w:color w:val="auto"/>
              </w:rPr>
            </w:pPr>
          </w:p>
        </w:tc>
        <w:tc>
          <w:tcPr>
            <w:tcW w:w="540" w:type="dxa"/>
            <w:vAlign w:val="bottom"/>
            <w:shd w:val="clear" w:color="auto" w:fill="D3ECED"/>
          </w:tcPr>
          <w:p>
            <w:pPr>
              <w:spacing w:after="0"/>
              <w:rPr>
                <w:sz w:val="15"/>
                <w:szCs w:val="15"/>
                <w:color w:val="auto"/>
              </w:rPr>
            </w:pPr>
          </w:p>
        </w:tc>
        <w:tc>
          <w:tcPr>
            <w:tcW w:w="500" w:type="dxa"/>
            <w:vAlign w:val="bottom"/>
            <w:shd w:val="clear" w:color="auto" w:fill="D3ECED"/>
          </w:tcPr>
          <w:p>
            <w:pPr>
              <w:spacing w:after="0"/>
              <w:rPr>
                <w:sz w:val="15"/>
                <w:szCs w:val="15"/>
                <w:color w:val="auto"/>
              </w:rPr>
            </w:pPr>
          </w:p>
        </w:tc>
        <w:tc>
          <w:tcPr>
            <w:tcW w:w="72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340" w:type="dxa"/>
            <w:vAlign w:val="bottom"/>
            <w:shd w:val="clear" w:color="auto" w:fill="D3ECED"/>
          </w:tcPr>
          <w:p>
            <w:pPr>
              <w:spacing w:after="0"/>
              <w:rPr>
                <w:sz w:val="15"/>
                <w:szCs w:val="15"/>
                <w:color w:val="auto"/>
              </w:rPr>
            </w:pPr>
          </w:p>
        </w:tc>
        <w:tc>
          <w:tcPr>
            <w:tcW w:w="880" w:type="dxa"/>
            <w:vAlign w:val="bottom"/>
            <w:shd w:val="clear" w:color="auto" w:fill="D3ECED"/>
          </w:tcPr>
          <w:p>
            <w:pPr>
              <w:spacing w:after="0"/>
              <w:rPr>
                <w:sz w:val="15"/>
                <w:szCs w:val="15"/>
                <w:color w:val="auto"/>
              </w:rPr>
            </w:pPr>
          </w:p>
        </w:tc>
        <w:tc>
          <w:tcPr>
            <w:tcW w:w="420" w:type="dxa"/>
            <w:vAlign w:val="bottom"/>
            <w:shd w:val="clear" w:color="auto" w:fill="D3ECED"/>
          </w:tcPr>
          <w:p>
            <w:pPr>
              <w:spacing w:after="0"/>
              <w:rPr>
                <w:sz w:val="15"/>
                <w:szCs w:val="15"/>
                <w:color w:val="auto"/>
              </w:rPr>
            </w:pPr>
          </w:p>
        </w:tc>
        <w:tc>
          <w:tcPr>
            <w:tcW w:w="68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360" w:type="dxa"/>
            <w:vAlign w:val="bottom"/>
            <w:shd w:val="clear" w:color="auto" w:fill="D3ECED"/>
          </w:tcPr>
          <w:p>
            <w:pPr>
              <w:spacing w:after="0"/>
              <w:rPr>
                <w:sz w:val="15"/>
                <w:szCs w:val="15"/>
                <w:color w:val="auto"/>
              </w:rPr>
            </w:pPr>
          </w:p>
        </w:tc>
        <w:tc>
          <w:tcPr>
            <w:tcW w:w="74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D3ECED"/>
          </w:tcPr>
          <w:p>
            <w:pPr>
              <w:ind w:left="320"/>
              <w:spacing w:after="0"/>
              <w:rPr>
                <w:sz w:val="20"/>
                <w:szCs w:val="20"/>
                <w:color w:val="auto"/>
              </w:rPr>
            </w:pPr>
            <w:r>
              <w:rPr>
                <w:rFonts w:ascii="Arial" w:cs="Arial" w:eastAsia="Arial" w:hAnsi="Arial"/>
                <w:sz w:val="17"/>
                <w:szCs w:val="17"/>
                <w:color w:val="auto"/>
              </w:rPr>
              <w:t>common stock</w:t>
            </w:r>
          </w:p>
        </w:tc>
        <w:tc>
          <w:tcPr>
            <w:tcW w:w="1140" w:type="dxa"/>
            <w:vAlign w:val="bottom"/>
            <w:gridSpan w:val="2"/>
            <w:shd w:val="clear" w:color="auto" w:fill="D3ECED"/>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D3ECED"/>
          </w:tcPr>
          <w:p>
            <w:pPr>
              <w:spacing w:after="0"/>
              <w:rPr>
                <w:sz w:val="20"/>
                <w:szCs w:val="20"/>
                <w:color w:val="auto"/>
              </w:rPr>
            </w:pPr>
          </w:p>
        </w:tc>
        <w:tc>
          <w:tcPr>
            <w:tcW w:w="5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D3ECED"/>
          </w:tcPr>
          <w:p>
            <w:pPr>
              <w:spacing w:after="0"/>
              <w:rPr>
                <w:sz w:val="20"/>
                <w:szCs w:val="20"/>
                <w:color w:val="auto"/>
              </w:rPr>
            </w:pPr>
          </w:p>
        </w:tc>
        <w:tc>
          <w:tcPr>
            <w:tcW w:w="7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D3ECED"/>
          </w:tcPr>
          <w:p>
            <w:pPr>
              <w:spacing w:after="0"/>
              <w:rPr>
                <w:sz w:val="20"/>
                <w:szCs w:val="20"/>
                <w:color w:val="auto"/>
              </w:rPr>
            </w:pPr>
          </w:p>
        </w:tc>
        <w:tc>
          <w:tcPr>
            <w:tcW w:w="340" w:type="dxa"/>
            <w:vAlign w:val="bottom"/>
            <w:shd w:val="clear" w:color="auto" w:fill="D3ECED"/>
          </w:tcPr>
          <w:p>
            <w:pPr>
              <w:spacing w:after="0"/>
              <w:rPr>
                <w:sz w:val="20"/>
                <w:szCs w:val="20"/>
                <w:color w:val="auto"/>
              </w:rPr>
            </w:pPr>
          </w:p>
        </w:tc>
        <w:tc>
          <w:tcPr>
            <w:tcW w:w="880" w:type="dxa"/>
            <w:vAlign w:val="bottom"/>
            <w:shd w:val="clear" w:color="auto" w:fill="D3ECE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D3ECED"/>
          </w:tcPr>
          <w:p>
            <w:pPr>
              <w:spacing w:after="0"/>
              <w:rPr>
                <w:sz w:val="20"/>
                <w:szCs w:val="20"/>
                <w:color w:val="auto"/>
              </w:rPr>
            </w:pPr>
          </w:p>
        </w:tc>
        <w:tc>
          <w:tcPr>
            <w:tcW w:w="800" w:type="dxa"/>
            <w:vAlign w:val="bottom"/>
            <w:gridSpan w:val="2"/>
            <w:shd w:val="clear" w:color="auto" w:fill="D3ECED"/>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D3ECED"/>
          </w:tcPr>
          <w:p>
            <w:pPr>
              <w:spacing w:after="0"/>
              <w:rPr>
                <w:sz w:val="20"/>
                <w:szCs w:val="20"/>
                <w:color w:val="auto"/>
              </w:rPr>
            </w:pPr>
          </w:p>
        </w:tc>
        <w:tc>
          <w:tcPr>
            <w:tcW w:w="7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D3ECED"/>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000" w:type="dxa"/>
            <w:vAlign w:val="bottom"/>
            <w:shd w:val="clear" w:color="auto" w:fill="FDFDFD"/>
          </w:tcPr>
          <w:p>
            <w:pPr>
              <w:ind w:left="180"/>
              <w:spacing w:after="0" w:line="173" w:lineRule="exact"/>
              <w:rPr>
                <w:sz w:val="20"/>
                <w:szCs w:val="20"/>
                <w:color w:val="auto"/>
              </w:rPr>
            </w:pPr>
            <w:r>
              <w:rPr>
                <w:rFonts w:ascii="Arial" w:cs="Arial" w:eastAsia="Arial" w:hAnsi="Arial"/>
                <w:sz w:val="17"/>
                <w:szCs w:val="17"/>
                <w:color w:val="auto"/>
                <w:w w:val="99"/>
              </w:rPr>
              <w:t>Issuance of Class A common stock in connection with employee</w:t>
            </w:r>
          </w:p>
        </w:tc>
        <w:tc>
          <w:tcPr>
            <w:tcW w:w="10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560" w:type="dxa"/>
            <w:vAlign w:val="bottom"/>
            <w:shd w:val="clear" w:color="auto" w:fill="FDFDFD"/>
          </w:tcPr>
          <w:p>
            <w:pPr>
              <w:spacing w:after="0"/>
              <w:rPr>
                <w:sz w:val="15"/>
                <w:szCs w:val="15"/>
                <w:color w:val="auto"/>
              </w:rPr>
            </w:pPr>
          </w:p>
        </w:tc>
        <w:tc>
          <w:tcPr>
            <w:tcW w:w="540" w:type="dxa"/>
            <w:vAlign w:val="bottom"/>
            <w:shd w:val="clear" w:color="auto" w:fill="FDFDFD"/>
          </w:tcPr>
          <w:p>
            <w:pPr>
              <w:spacing w:after="0"/>
              <w:rPr>
                <w:sz w:val="15"/>
                <w:szCs w:val="15"/>
                <w:color w:val="auto"/>
              </w:rPr>
            </w:pPr>
          </w:p>
        </w:tc>
        <w:tc>
          <w:tcPr>
            <w:tcW w:w="500" w:type="dxa"/>
            <w:vAlign w:val="bottom"/>
            <w:shd w:val="clear" w:color="auto" w:fill="FDFDFD"/>
          </w:tcPr>
          <w:p>
            <w:pPr>
              <w:spacing w:after="0"/>
              <w:rPr>
                <w:sz w:val="15"/>
                <w:szCs w:val="15"/>
                <w:color w:val="auto"/>
              </w:rPr>
            </w:pPr>
          </w:p>
        </w:tc>
        <w:tc>
          <w:tcPr>
            <w:tcW w:w="72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340" w:type="dxa"/>
            <w:vAlign w:val="bottom"/>
            <w:shd w:val="clear" w:color="auto" w:fill="FDFDFD"/>
          </w:tcPr>
          <w:p>
            <w:pPr>
              <w:spacing w:after="0"/>
              <w:rPr>
                <w:sz w:val="15"/>
                <w:szCs w:val="15"/>
                <w:color w:val="auto"/>
              </w:rPr>
            </w:pPr>
          </w:p>
        </w:tc>
        <w:tc>
          <w:tcPr>
            <w:tcW w:w="880" w:type="dxa"/>
            <w:vAlign w:val="bottom"/>
            <w:shd w:val="clear" w:color="auto" w:fill="FDFDFD"/>
          </w:tcPr>
          <w:p>
            <w:pPr>
              <w:spacing w:after="0"/>
              <w:rPr>
                <w:sz w:val="15"/>
                <w:szCs w:val="15"/>
                <w:color w:val="auto"/>
              </w:rPr>
            </w:pPr>
          </w:p>
        </w:tc>
        <w:tc>
          <w:tcPr>
            <w:tcW w:w="420" w:type="dxa"/>
            <w:vAlign w:val="bottom"/>
            <w:shd w:val="clear" w:color="auto" w:fill="FDFDFD"/>
          </w:tcPr>
          <w:p>
            <w:pPr>
              <w:spacing w:after="0"/>
              <w:rPr>
                <w:sz w:val="15"/>
                <w:szCs w:val="15"/>
                <w:color w:val="auto"/>
              </w:rPr>
            </w:pPr>
          </w:p>
        </w:tc>
        <w:tc>
          <w:tcPr>
            <w:tcW w:w="68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360" w:type="dxa"/>
            <w:vAlign w:val="bottom"/>
            <w:shd w:val="clear" w:color="auto" w:fill="FDFDFD"/>
          </w:tcPr>
          <w:p>
            <w:pPr>
              <w:spacing w:after="0"/>
              <w:rPr>
                <w:sz w:val="15"/>
                <w:szCs w:val="15"/>
                <w:color w:val="auto"/>
              </w:rPr>
            </w:pPr>
          </w:p>
        </w:tc>
        <w:tc>
          <w:tcPr>
            <w:tcW w:w="74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FDFDFD"/>
          </w:tcPr>
          <w:p>
            <w:pPr>
              <w:ind w:left="320"/>
              <w:spacing w:after="0"/>
              <w:rPr>
                <w:sz w:val="20"/>
                <w:szCs w:val="20"/>
                <w:color w:val="auto"/>
              </w:rPr>
            </w:pPr>
            <w:r>
              <w:rPr>
                <w:rFonts w:ascii="Arial" w:cs="Arial" w:eastAsia="Arial" w:hAnsi="Arial"/>
                <w:sz w:val="17"/>
                <w:szCs w:val="17"/>
                <w:color w:val="auto"/>
              </w:rPr>
              <w:t>stock purchase plan</w:t>
            </w:r>
          </w:p>
        </w:tc>
        <w:tc>
          <w:tcPr>
            <w:tcW w:w="1020" w:type="dxa"/>
            <w:vAlign w:val="bottom"/>
            <w:shd w:val="clear" w:color="auto" w:fill="FDFDFD"/>
          </w:tcPr>
          <w:p>
            <w:pPr>
              <w:jc w:val="right"/>
              <w:spacing w:after="0"/>
              <w:rPr>
                <w:sz w:val="20"/>
                <w:szCs w:val="20"/>
                <w:color w:val="auto"/>
              </w:rPr>
            </w:pPr>
            <w:r>
              <w:rPr>
                <w:rFonts w:ascii="Arial" w:cs="Arial" w:eastAsia="Arial" w:hAnsi="Arial"/>
                <w:sz w:val="17"/>
                <w:szCs w:val="17"/>
                <w:color w:val="auto"/>
              </w:rPr>
              <w:t>214,227</w:t>
            </w:r>
          </w:p>
        </w:tc>
        <w:tc>
          <w:tcPr>
            <w:tcW w:w="120" w:type="dxa"/>
            <w:vAlign w:val="bottom"/>
            <w:shd w:val="clear" w:color="auto" w:fill="FDFDFD"/>
          </w:tcPr>
          <w:p>
            <w:pPr>
              <w:spacing w:after="0"/>
              <w:rPr>
                <w:sz w:val="20"/>
                <w:szCs w:val="20"/>
                <w:color w:val="auto"/>
              </w:rPr>
            </w:pPr>
          </w:p>
        </w:tc>
        <w:tc>
          <w:tcPr>
            <w:tcW w:w="560" w:type="dxa"/>
            <w:vAlign w:val="bottom"/>
            <w:shd w:val="clear" w:color="auto" w:fill="FDFDFD"/>
          </w:tcPr>
          <w:p>
            <w:pPr>
              <w:spacing w:after="0"/>
              <w:rPr>
                <w:sz w:val="20"/>
                <w:szCs w:val="20"/>
                <w:color w:val="auto"/>
              </w:rPr>
            </w:pPr>
          </w:p>
        </w:tc>
        <w:tc>
          <w:tcPr>
            <w:tcW w:w="5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FDFDFD"/>
          </w:tcPr>
          <w:p>
            <w:pPr>
              <w:spacing w:after="0"/>
              <w:rPr>
                <w:sz w:val="20"/>
                <w:szCs w:val="20"/>
                <w:color w:val="auto"/>
              </w:rPr>
            </w:pPr>
          </w:p>
        </w:tc>
        <w:tc>
          <w:tcPr>
            <w:tcW w:w="720" w:type="dxa"/>
            <w:vAlign w:val="bottom"/>
            <w:shd w:val="clear" w:color="auto" w:fill="FDFDFD"/>
          </w:tcPr>
          <w:p>
            <w:pPr>
              <w:jc w:val="right"/>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FDFDFD"/>
          </w:tcPr>
          <w:p>
            <w:pPr>
              <w:spacing w:after="0"/>
              <w:rPr>
                <w:sz w:val="20"/>
                <w:szCs w:val="20"/>
                <w:color w:val="auto"/>
              </w:rPr>
            </w:pPr>
          </w:p>
        </w:tc>
        <w:tc>
          <w:tcPr>
            <w:tcW w:w="340" w:type="dxa"/>
            <w:vAlign w:val="bottom"/>
            <w:shd w:val="clear" w:color="auto" w:fill="FDFDFD"/>
          </w:tcPr>
          <w:p>
            <w:pPr>
              <w:spacing w:after="0"/>
              <w:rPr>
                <w:sz w:val="20"/>
                <w:szCs w:val="20"/>
                <w:color w:val="auto"/>
              </w:rPr>
            </w:pPr>
          </w:p>
        </w:tc>
        <w:tc>
          <w:tcPr>
            <w:tcW w:w="880" w:type="dxa"/>
            <w:vAlign w:val="bottom"/>
            <w:shd w:val="clear" w:color="auto" w:fill="FDFDF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FDFDFD"/>
          </w:tcPr>
          <w:p>
            <w:pPr>
              <w:spacing w:after="0"/>
              <w:rPr>
                <w:sz w:val="20"/>
                <w:szCs w:val="20"/>
                <w:color w:val="auto"/>
              </w:rPr>
            </w:pPr>
          </w:p>
        </w:tc>
        <w:tc>
          <w:tcPr>
            <w:tcW w:w="800" w:type="dxa"/>
            <w:vAlign w:val="bottom"/>
            <w:gridSpan w:val="2"/>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FDFDFD"/>
          </w:tcPr>
          <w:p>
            <w:pPr>
              <w:spacing w:after="0"/>
              <w:rPr>
                <w:sz w:val="20"/>
                <w:szCs w:val="20"/>
                <w:color w:val="auto"/>
              </w:rPr>
            </w:pPr>
          </w:p>
        </w:tc>
        <w:tc>
          <w:tcPr>
            <w:tcW w:w="7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0" w:type="dxa"/>
            <w:vAlign w:val="bottom"/>
            <w:shd w:val="clear" w:color="auto" w:fill="D3ECED"/>
          </w:tcPr>
          <w:p>
            <w:pPr>
              <w:ind w:left="180"/>
              <w:spacing w:after="0" w:line="176" w:lineRule="exact"/>
              <w:rPr>
                <w:sz w:val="20"/>
                <w:szCs w:val="20"/>
                <w:color w:val="auto"/>
              </w:rPr>
            </w:pPr>
            <w:r>
              <w:rPr>
                <w:rFonts w:ascii="Arial" w:cs="Arial" w:eastAsia="Arial" w:hAnsi="Arial"/>
                <w:sz w:val="17"/>
                <w:szCs w:val="17"/>
                <w:color w:val="auto"/>
                <w:w w:val="99"/>
              </w:rPr>
              <w:t>Repurchases of Class A common stock under share repurchase</w:t>
            </w:r>
          </w:p>
        </w:tc>
        <w:tc>
          <w:tcPr>
            <w:tcW w:w="102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560" w:type="dxa"/>
            <w:vAlign w:val="bottom"/>
            <w:shd w:val="clear" w:color="auto" w:fill="D3ECED"/>
          </w:tcPr>
          <w:p>
            <w:pPr>
              <w:spacing w:after="0"/>
              <w:rPr>
                <w:sz w:val="15"/>
                <w:szCs w:val="15"/>
                <w:color w:val="auto"/>
              </w:rPr>
            </w:pPr>
          </w:p>
        </w:tc>
        <w:tc>
          <w:tcPr>
            <w:tcW w:w="540" w:type="dxa"/>
            <w:vAlign w:val="bottom"/>
            <w:shd w:val="clear" w:color="auto" w:fill="D3ECED"/>
          </w:tcPr>
          <w:p>
            <w:pPr>
              <w:spacing w:after="0"/>
              <w:rPr>
                <w:sz w:val="15"/>
                <w:szCs w:val="15"/>
                <w:color w:val="auto"/>
              </w:rPr>
            </w:pPr>
          </w:p>
        </w:tc>
        <w:tc>
          <w:tcPr>
            <w:tcW w:w="500" w:type="dxa"/>
            <w:vAlign w:val="bottom"/>
            <w:shd w:val="clear" w:color="auto" w:fill="D3ECED"/>
          </w:tcPr>
          <w:p>
            <w:pPr>
              <w:spacing w:after="0"/>
              <w:rPr>
                <w:sz w:val="15"/>
                <w:szCs w:val="15"/>
                <w:color w:val="auto"/>
              </w:rPr>
            </w:pPr>
          </w:p>
        </w:tc>
        <w:tc>
          <w:tcPr>
            <w:tcW w:w="72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340" w:type="dxa"/>
            <w:vAlign w:val="bottom"/>
            <w:shd w:val="clear" w:color="auto" w:fill="D3ECED"/>
          </w:tcPr>
          <w:p>
            <w:pPr>
              <w:spacing w:after="0"/>
              <w:rPr>
                <w:sz w:val="15"/>
                <w:szCs w:val="15"/>
                <w:color w:val="auto"/>
              </w:rPr>
            </w:pPr>
          </w:p>
        </w:tc>
        <w:tc>
          <w:tcPr>
            <w:tcW w:w="880" w:type="dxa"/>
            <w:vAlign w:val="bottom"/>
            <w:shd w:val="clear" w:color="auto" w:fill="D3ECED"/>
          </w:tcPr>
          <w:p>
            <w:pPr>
              <w:spacing w:after="0"/>
              <w:rPr>
                <w:sz w:val="15"/>
                <w:szCs w:val="15"/>
                <w:color w:val="auto"/>
              </w:rPr>
            </w:pPr>
          </w:p>
        </w:tc>
        <w:tc>
          <w:tcPr>
            <w:tcW w:w="420" w:type="dxa"/>
            <w:vAlign w:val="bottom"/>
            <w:shd w:val="clear" w:color="auto" w:fill="D3ECED"/>
          </w:tcPr>
          <w:p>
            <w:pPr>
              <w:spacing w:after="0"/>
              <w:rPr>
                <w:sz w:val="15"/>
                <w:szCs w:val="15"/>
                <w:color w:val="auto"/>
              </w:rPr>
            </w:pPr>
          </w:p>
        </w:tc>
        <w:tc>
          <w:tcPr>
            <w:tcW w:w="68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360" w:type="dxa"/>
            <w:vAlign w:val="bottom"/>
            <w:shd w:val="clear" w:color="auto" w:fill="D3ECED"/>
          </w:tcPr>
          <w:p>
            <w:pPr>
              <w:spacing w:after="0"/>
              <w:rPr>
                <w:sz w:val="15"/>
                <w:szCs w:val="15"/>
                <w:color w:val="auto"/>
              </w:rPr>
            </w:pPr>
          </w:p>
        </w:tc>
        <w:tc>
          <w:tcPr>
            <w:tcW w:w="740" w:type="dxa"/>
            <w:vAlign w:val="bottom"/>
            <w:shd w:val="clear" w:color="auto" w:fill="D3ECED"/>
          </w:tcPr>
          <w:p>
            <w:pPr>
              <w:spacing w:after="0"/>
              <w:rPr>
                <w:sz w:val="15"/>
                <w:szCs w:val="15"/>
                <w:color w:val="auto"/>
              </w:rPr>
            </w:pPr>
          </w:p>
        </w:tc>
        <w:tc>
          <w:tcPr>
            <w:tcW w:w="120" w:type="dxa"/>
            <w:vAlign w:val="bottom"/>
            <w:shd w:val="clear" w:color="auto" w:fill="D3ECED"/>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D3ECED"/>
          </w:tcPr>
          <w:p>
            <w:pPr>
              <w:ind w:left="360"/>
              <w:spacing w:after="0"/>
              <w:rPr>
                <w:sz w:val="20"/>
                <w:szCs w:val="20"/>
                <w:color w:val="auto"/>
              </w:rPr>
            </w:pPr>
            <w:r>
              <w:rPr>
                <w:rFonts w:ascii="Arial" w:cs="Arial" w:eastAsia="Arial" w:hAnsi="Arial"/>
                <w:sz w:val="17"/>
                <w:szCs w:val="17"/>
                <w:color w:val="auto"/>
              </w:rPr>
              <w:t>program</w:t>
            </w:r>
          </w:p>
        </w:tc>
        <w:tc>
          <w:tcPr>
            <w:tcW w:w="10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(6,470,102)</w:t>
            </w:r>
          </w:p>
        </w:tc>
        <w:tc>
          <w:tcPr>
            <w:tcW w:w="120" w:type="dxa"/>
            <w:vAlign w:val="bottom"/>
            <w:shd w:val="clear" w:color="auto" w:fill="D3ECED"/>
          </w:tcPr>
          <w:p>
            <w:pPr>
              <w:spacing w:after="0"/>
              <w:rPr>
                <w:sz w:val="20"/>
                <w:szCs w:val="20"/>
                <w:color w:val="auto"/>
              </w:rPr>
            </w:pPr>
          </w:p>
        </w:tc>
        <w:tc>
          <w:tcPr>
            <w:tcW w:w="560" w:type="dxa"/>
            <w:vAlign w:val="bottom"/>
            <w:shd w:val="clear" w:color="auto" w:fill="D3ECED"/>
          </w:tcPr>
          <w:p>
            <w:pPr>
              <w:spacing w:after="0"/>
              <w:rPr>
                <w:sz w:val="20"/>
                <w:szCs w:val="20"/>
                <w:color w:val="auto"/>
              </w:rPr>
            </w:pPr>
          </w:p>
        </w:tc>
        <w:tc>
          <w:tcPr>
            <w:tcW w:w="5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D3ECED"/>
          </w:tcPr>
          <w:p>
            <w:pPr>
              <w:spacing w:after="0"/>
              <w:rPr>
                <w:sz w:val="20"/>
                <w:szCs w:val="20"/>
                <w:color w:val="auto"/>
              </w:rPr>
            </w:pPr>
          </w:p>
        </w:tc>
        <w:tc>
          <w:tcPr>
            <w:tcW w:w="7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(11,816)</w:t>
            </w:r>
          </w:p>
        </w:tc>
        <w:tc>
          <w:tcPr>
            <w:tcW w:w="120" w:type="dxa"/>
            <w:vAlign w:val="bottom"/>
            <w:shd w:val="clear" w:color="auto" w:fill="D3ECED"/>
          </w:tcPr>
          <w:p>
            <w:pPr>
              <w:spacing w:after="0"/>
              <w:rPr>
                <w:sz w:val="20"/>
                <w:szCs w:val="20"/>
                <w:color w:val="auto"/>
              </w:rPr>
            </w:pPr>
          </w:p>
        </w:tc>
        <w:tc>
          <w:tcPr>
            <w:tcW w:w="340" w:type="dxa"/>
            <w:vAlign w:val="bottom"/>
            <w:shd w:val="clear" w:color="auto" w:fill="D3ECED"/>
          </w:tcPr>
          <w:p>
            <w:pPr>
              <w:spacing w:after="0"/>
              <w:rPr>
                <w:sz w:val="20"/>
                <w:szCs w:val="20"/>
                <w:color w:val="auto"/>
              </w:rPr>
            </w:pPr>
          </w:p>
        </w:tc>
        <w:tc>
          <w:tcPr>
            <w:tcW w:w="880" w:type="dxa"/>
            <w:vAlign w:val="bottom"/>
            <w:shd w:val="clear" w:color="auto" w:fill="D3ECE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D3ECED"/>
          </w:tcPr>
          <w:p>
            <w:pPr>
              <w:spacing w:after="0"/>
              <w:rPr>
                <w:sz w:val="20"/>
                <w:szCs w:val="20"/>
                <w:color w:val="auto"/>
              </w:rPr>
            </w:pPr>
          </w:p>
        </w:tc>
        <w:tc>
          <w:tcPr>
            <w:tcW w:w="800" w:type="dxa"/>
            <w:vAlign w:val="bottom"/>
            <w:gridSpan w:val="2"/>
            <w:shd w:val="clear" w:color="auto" w:fill="D3ECED"/>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D3ECED"/>
          </w:tcPr>
          <w:p>
            <w:pPr>
              <w:spacing w:after="0"/>
              <w:rPr>
                <w:sz w:val="20"/>
                <w:szCs w:val="20"/>
                <w:color w:val="auto"/>
              </w:rPr>
            </w:pPr>
          </w:p>
        </w:tc>
        <w:tc>
          <w:tcPr>
            <w:tcW w:w="7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(11,816)</w:t>
            </w:r>
          </w:p>
        </w:tc>
        <w:tc>
          <w:tcPr>
            <w:tcW w:w="120" w:type="dxa"/>
            <w:vAlign w:val="bottom"/>
            <w:shd w:val="clear" w:color="auto" w:fill="D3ECED"/>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FDFDFD"/>
          </w:tcPr>
          <w:p>
            <w:pPr>
              <w:ind w:left="180"/>
              <w:spacing w:after="0"/>
              <w:rPr>
                <w:sz w:val="20"/>
                <w:szCs w:val="20"/>
                <w:color w:val="auto"/>
              </w:rPr>
            </w:pPr>
            <w:r>
              <w:rPr>
                <w:rFonts w:ascii="Arial" w:cs="Arial" w:eastAsia="Arial" w:hAnsi="Arial"/>
                <w:sz w:val="17"/>
                <w:szCs w:val="17"/>
                <w:color w:val="auto"/>
              </w:rPr>
              <w:t>Stock-based compensation</w:t>
            </w:r>
          </w:p>
        </w:tc>
        <w:tc>
          <w:tcPr>
            <w:tcW w:w="1020" w:type="dxa"/>
            <w:vAlign w:val="bottom"/>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FDFDFD"/>
          </w:tcPr>
          <w:p>
            <w:pPr>
              <w:spacing w:after="0"/>
              <w:rPr>
                <w:sz w:val="18"/>
                <w:szCs w:val="18"/>
                <w:color w:val="auto"/>
              </w:rPr>
            </w:pPr>
          </w:p>
        </w:tc>
        <w:tc>
          <w:tcPr>
            <w:tcW w:w="560" w:type="dxa"/>
            <w:vAlign w:val="bottom"/>
            <w:shd w:val="clear" w:color="auto" w:fill="FDFDFD"/>
          </w:tcPr>
          <w:p>
            <w:pPr>
              <w:spacing w:after="0"/>
              <w:rPr>
                <w:sz w:val="18"/>
                <w:szCs w:val="18"/>
                <w:color w:val="auto"/>
              </w:rPr>
            </w:pPr>
          </w:p>
        </w:tc>
        <w:tc>
          <w:tcPr>
            <w:tcW w:w="5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FDFDFD"/>
          </w:tcPr>
          <w:p>
            <w:pPr>
              <w:spacing w:after="0"/>
              <w:rPr>
                <w:sz w:val="18"/>
                <w:szCs w:val="18"/>
                <w:color w:val="auto"/>
              </w:rPr>
            </w:pPr>
          </w:p>
        </w:tc>
        <w:tc>
          <w:tcPr>
            <w:tcW w:w="720" w:type="dxa"/>
            <w:vAlign w:val="bottom"/>
            <w:shd w:val="clear" w:color="auto" w:fill="FDFDFD"/>
          </w:tcPr>
          <w:p>
            <w:pPr>
              <w:jc w:val="right"/>
              <w:spacing w:after="0"/>
              <w:rPr>
                <w:sz w:val="20"/>
                <w:szCs w:val="20"/>
                <w:color w:val="auto"/>
              </w:rPr>
            </w:pPr>
            <w:r>
              <w:rPr>
                <w:rFonts w:ascii="Arial" w:cs="Arial" w:eastAsia="Arial" w:hAnsi="Arial"/>
                <w:sz w:val="17"/>
                <w:szCs w:val="17"/>
                <w:color w:val="auto"/>
              </w:rPr>
              <w:t>28,427</w:t>
            </w:r>
          </w:p>
        </w:tc>
        <w:tc>
          <w:tcPr>
            <w:tcW w:w="120" w:type="dxa"/>
            <w:vAlign w:val="bottom"/>
            <w:shd w:val="clear" w:color="auto" w:fill="FDFDFD"/>
          </w:tcPr>
          <w:p>
            <w:pPr>
              <w:spacing w:after="0"/>
              <w:rPr>
                <w:sz w:val="18"/>
                <w:szCs w:val="18"/>
                <w:color w:val="auto"/>
              </w:rPr>
            </w:pPr>
          </w:p>
        </w:tc>
        <w:tc>
          <w:tcPr>
            <w:tcW w:w="340" w:type="dxa"/>
            <w:vAlign w:val="bottom"/>
            <w:shd w:val="clear" w:color="auto" w:fill="FDFDFD"/>
          </w:tcPr>
          <w:p>
            <w:pPr>
              <w:spacing w:after="0"/>
              <w:rPr>
                <w:sz w:val="18"/>
                <w:szCs w:val="18"/>
                <w:color w:val="auto"/>
              </w:rPr>
            </w:pPr>
          </w:p>
        </w:tc>
        <w:tc>
          <w:tcPr>
            <w:tcW w:w="880" w:type="dxa"/>
            <w:vAlign w:val="bottom"/>
            <w:shd w:val="clear" w:color="auto" w:fill="FDFDF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FDFDFD"/>
          </w:tcPr>
          <w:p>
            <w:pPr>
              <w:spacing w:after="0"/>
              <w:rPr>
                <w:sz w:val="18"/>
                <w:szCs w:val="18"/>
                <w:color w:val="auto"/>
              </w:rPr>
            </w:pPr>
          </w:p>
        </w:tc>
        <w:tc>
          <w:tcPr>
            <w:tcW w:w="800" w:type="dxa"/>
            <w:vAlign w:val="bottom"/>
            <w:gridSpan w:val="2"/>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FDFDFD"/>
          </w:tcPr>
          <w:p>
            <w:pPr>
              <w:spacing w:after="0"/>
              <w:rPr>
                <w:sz w:val="18"/>
                <w:szCs w:val="18"/>
                <w:color w:val="auto"/>
              </w:rPr>
            </w:pPr>
          </w:p>
        </w:tc>
        <w:tc>
          <w:tcPr>
            <w:tcW w:w="7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28,427</w:t>
            </w:r>
          </w:p>
        </w:tc>
        <w:tc>
          <w:tcPr>
            <w:tcW w:w="120" w:type="dxa"/>
            <w:vAlign w:val="bottom"/>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D3ECED"/>
          </w:tcPr>
          <w:p>
            <w:pPr>
              <w:ind w:left="180"/>
              <w:spacing w:after="0"/>
              <w:rPr>
                <w:sz w:val="20"/>
                <w:szCs w:val="20"/>
                <w:color w:val="auto"/>
              </w:rPr>
            </w:pPr>
            <w:r>
              <w:rPr>
                <w:rFonts w:ascii="Arial" w:cs="Arial" w:eastAsia="Arial" w:hAnsi="Arial"/>
                <w:sz w:val="17"/>
                <w:szCs w:val="17"/>
                <w:color w:val="auto"/>
              </w:rPr>
              <w:t>Other comprehensive gain</w:t>
            </w:r>
          </w:p>
        </w:tc>
        <w:tc>
          <w:tcPr>
            <w:tcW w:w="1140" w:type="dxa"/>
            <w:vAlign w:val="bottom"/>
            <w:gridSpan w:val="2"/>
            <w:shd w:val="clear" w:color="auto" w:fill="D3ECED"/>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D3ECED"/>
          </w:tcPr>
          <w:p>
            <w:pPr>
              <w:spacing w:after="0"/>
              <w:rPr>
                <w:sz w:val="18"/>
                <w:szCs w:val="18"/>
                <w:color w:val="auto"/>
              </w:rPr>
            </w:pPr>
          </w:p>
        </w:tc>
        <w:tc>
          <w:tcPr>
            <w:tcW w:w="5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D3ECED"/>
          </w:tcPr>
          <w:p>
            <w:pPr>
              <w:spacing w:after="0"/>
              <w:rPr>
                <w:sz w:val="18"/>
                <w:szCs w:val="18"/>
                <w:color w:val="auto"/>
              </w:rPr>
            </w:pPr>
          </w:p>
        </w:tc>
        <w:tc>
          <w:tcPr>
            <w:tcW w:w="7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D3ECED"/>
          </w:tcPr>
          <w:p>
            <w:pPr>
              <w:spacing w:after="0"/>
              <w:rPr>
                <w:sz w:val="18"/>
                <w:szCs w:val="18"/>
                <w:color w:val="auto"/>
              </w:rPr>
            </w:pPr>
          </w:p>
        </w:tc>
        <w:tc>
          <w:tcPr>
            <w:tcW w:w="340" w:type="dxa"/>
            <w:vAlign w:val="bottom"/>
            <w:shd w:val="clear" w:color="auto" w:fill="D3ECED"/>
          </w:tcPr>
          <w:p>
            <w:pPr>
              <w:spacing w:after="0"/>
              <w:rPr>
                <w:sz w:val="18"/>
                <w:szCs w:val="18"/>
                <w:color w:val="auto"/>
              </w:rPr>
            </w:pPr>
          </w:p>
        </w:tc>
        <w:tc>
          <w:tcPr>
            <w:tcW w:w="880" w:type="dxa"/>
            <w:vAlign w:val="bottom"/>
            <w:shd w:val="clear" w:color="auto" w:fill="D3ECED"/>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shd w:val="clear" w:color="auto" w:fill="D3ECED"/>
          </w:tcPr>
          <w:p>
            <w:pPr>
              <w:spacing w:after="0"/>
              <w:rPr>
                <w:sz w:val="18"/>
                <w:szCs w:val="18"/>
                <w:color w:val="auto"/>
              </w:rPr>
            </w:pPr>
          </w:p>
        </w:tc>
        <w:tc>
          <w:tcPr>
            <w:tcW w:w="680" w:type="dxa"/>
            <w:vAlign w:val="bottom"/>
            <w:shd w:val="clear" w:color="auto" w:fill="D3ECED"/>
          </w:tcPr>
          <w:p>
            <w:pPr>
              <w:jc w:val="right"/>
              <w:spacing w:after="0"/>
              <w:rPr>
                <w:sz w:val="20"/>
                <w:szCs w:val="20"/>
                <w:color w:val="auto"/>
              </w:rPr>
            </w:pPr>
            <w:r>
              <w:rPr>
                <w:rFonts w:ascii="Arial" w:cs="Arial" w:eastAsia="Arial" w:hAnsi="Arial"/>
                <w:sz w:val="17"/>
                <w:szCs w:val="17"/>
                <w:color w:val="auto"/>
              </w:rPr>
              <w:t>328</w:t>
            </w:r>
          </w:p>
        </w:tc>
        <w:tc>
          <w:tcPr>
            <w:tcW w:w="120" w:type="dxa"/>
            <w:vAlign w:val="bottom"/>
            <w:shd w:val="clear" w:color="auto" w:fill="D3ECED"/>
          </w:tcPr>
          <w:p>
            <w:pPr>
              <w:spacing w:after="0"/>
              <w:rPr>
                <w:sz w:val="18"/>
                <w:szCs w:val="18"/>
                <w:color w:val="auto"/>
              </w:rPr>
            </w:pPr>
          </w:p>
        </w:tc>
        <w:tc>
          <w:tcPr>
            <w:tcW w:w="360" w:type="dxa"/>
            <w:vAlign w:val="bottom"/>
            <w:shd w:val="clear" w:color="auto" w:fill="D3ECED"/>
          </w:tcPr>
          <w:p>
            <w:pPr>
              <w:spacing w:after="0"/>
              <w:rPr>
                <w:sz w:val="18"/>
                <w:szCs w:val="18"/>
                <w:color w:val="auto"/>
              </w:rPr>
            </w:pPr>
          </w:p>
        </w:tc>
        <w:tc>
          <w:tcPr>
            <w:tcW w:w="7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328</w:t>
            </w:r>
          </w:p>
        </w:tc>
        <w:tc>
          <w:tcPr>
            <w:tcW w:w="120" w:type="dxa"/>
            <w:vAlign w:val="bottom"/>
            <w:shd w:val="clear" w:color="auto" w:fill="D3ECED"/>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FDFDFD"/>
          </w:tcPr>
          <w:p>
            <w:pPr>
              <w:ind w:left="180"/>
              <w:spacing w:after="0"/>
              <w:rPr>
                <w:sz w:val="20"/>
                <w:szCs w:val="20"/>
                <w:color w:val="auto"/>
              </w:rPr>
            </w:pPr>
            <w:r>
              <w:rPr>
                <w:rFonts w:ascii="Arial" w:cs="Arial" w:eastAsia="Arial" w:hAnsi="Arial"/>
                <w:sz w:val="17"/>
                <w:szCs w:val="17"/>
                <w:color w:val="auto"/>
              </w:rPr>
              <w:t>Net loss</w:t>
            </w:r>
          </w:p>
        </w:tc>
        <w:tc>
          <w:tcPr>
            <w:tcW w:w="1140" w:type="dxa"/>
            <w:vAlign w:val="bottom"/>
            <w:gridSpan w:val="2"/>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FDFDFD"/>
          </w:tcPr>
          <w:p>
            <w:pPr>
              <w:spacing w:after="0"/>
              <w:rPr>
                <w:sz w:val="18"/>
                <w:szCs w:val="18"/>
                <w:color w:val="auto"/>
              </w:rPr>
            </w:pPr>
          </w:p>
        </w:tc>
        <w:tc>
          <w:tcPr>
            <w:tcW w:w="5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FDFDFD"/>
          </w:tcPr>
          <w:p>
            <w:pPr>
              <w:spacing w:after="0"/>
              <w:rPr>
                <w:sz w:val="18"/>
                <w:szCs w:val="18"/>
                <w:color w:val="auto"/>
              </w:rPr>
            </w:pPr>
          </w:p>
        </w:tc>
        <w:tc>
          <w:tcPr>
            <w:tcW w:w="840" w:type="dxa"/>
            <w:vAlign w:val="bottom"/>
            <w:gridSpan w:val="2"/>
            <w:shd w:val="clear" w:color="auto" w:fill="FDFDFD"/>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FDFDFD"/>
          </w:tcPr>
          <w:p>
            <w:pPr>
              <w:spacing w:after="0"/>
              <w:rPr>
                <w:sz w:val="18"/>
                <w:szCs w:val="18"/>
                <w:color w:val="auto"/>
              </w:rPr>
            </w:pPr>
          </w:p>
        </w:tc>
        <w:tc>
          <w:tcPr>
            <w:tcW w:w="880" w:type="dxa"/>
            <w:vAlign w:val="bottom"/>
            <w:shd w:val="clear" w:color="auto" w:fill="FDFDFD"/>
          </w:tcPr>
          <w:p>
            <w:pPr>
              <w:jc w:val="right"/>
              <w:ind w:right="35"/>
              <w:spacing w:after="0"/>
              <w:rPr>
                <w:sz w:val="20"/>
                <w:szCs w:val="20"/>
                <w:color w:val="auto"/>
              </w:rPr>
            </w:pPr>
            <w:r>
              <w:rPr>
                <w:rFonts w:ascii="Arial" w:cs="Arial" w:eastAsia="Arial" w:hAnsi="Arial"/>
                <w:sz w:val="17"/>
                <w:szCs w:val="17"/>
                <w:color w:val="auto"/>
              </w:rPr>
              <w:t>(86,599)</w:t>
            </w:r>
          </w:p>
        </w:tc>
        <w:tc>
          <w:tcPr>
            <w:tcW w:w="420" w:type="dxa"/>
            <w:vAlign w:val="bottom"/>
            <w:shd w:val="clear" w:color="auto" w:fill="FDFDFD"/>
          </w:tcPr>
          <w:p>
            <w:pPr>
              <w:spacing w:after="0"/>
              <w:rPr>
                <w:sz w:val="18"/>
                <w:szCs w:val="18"/>
                <w:color w:val="auto"/>
              </w:rPr>
            </w:pPr>
          </w:p>
        </w:tc>
        <w:tc>
          <w:tcPr>
            <w:tcW w:w="680" w:type="dxa"/>
            <w:vAlign w:val="bottom"/>
            <w:shd w:val="clear" w:color="auto" w:fill="FDFDFD"/>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FDFDFD"/>
          </w:tcPr>
          <w:p>
            <w:pPr>
              <w:spacing w:after="0"/>
              <w:rPr>
                <w:sz w:val="18"/>
                <w:szCs w:val="18"/>
                <w:color w:val="auto"/>
              </w:rPr>
            </w:pPr>
          </w:p>
        </w:tc>
        <w:tc>
          <w:tcPr>
            <w:tcW w:w="360" w:type="dxa"/>
            <w:vAlign w:val="bottom"/>
            <w:shd w:val="clear" w:color="auto" w:fill="FDFDFD"/>
          </w:tcPr>
          <w:p>
            <w:pPr>
              <w:spacing w:after="0"/>
              <w:rPr>
                <w:sz w:val="18"/>
                <w:szCs w:val="18"/>
                <w:color w:val="auto"/>
              </w:rPr>
            </w:pPr>
          </w:p>
        </w:tc>
        <w:tc>
          <w:tcPr>
            <w:tcW w:w="740" w:type="dxa"/>
            <w:vAlign w:val="bottom"/>
            <w:shd w:val="clear" w:color="auto" w:fill="FDFDFD"/>
          </w:tcPr>
          <w:p>
            <w:pPr>
              <w:jc w:val="right"/>
              <w:spacing w:after="0"/>
              <w:rPr>
                <w:sz w:val="20"/>
                <w:szCs w:val="20"/>
                <w:color w:val="auto"/>
              </w:rPr>
            </w:pPr>
            <w:r>
              <w:rPr>
                <w:rFonts w:ascii="Arial" w:cs="Arial" w:eastAsia="Arial" w:hAnsi="Arial"/>
                <w:sz w:val="17"/>
                <w:szCs w:val="17"/>
                <w:color w:val="auto"/>
              </w:rPr>
              <w:t>(86,599)</w:t>
            </w:r>
          </w:p>
        </w:tc>
        <w:tc>
          <w:tcPr>
            <w:tcW w:w="120" w:type="dxa"/>
            <w:vAlign w:val="bottom"/>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D3ECED"/>
          </w:tcPr>
          <w:p>
            <w:pPr>
              <w:spacing w:after="0"/>
              <w:rPr>
                <w:sz w:val="20"/>
                <w:szCs w:val="20"/>
                <w:color w:val="auto"/>
              </w:rPr>
            </w:pPr>
            <w:r>
              <w:rPr>
                <w:rFonts w:ascii="Arial" w:cs="Arial" w:eastAsia="Arial" w:hAnsi="Arial"/>
                <w:sz w:val="17"/>
                <w:szCs w:val="17"/>
                <w:color w:val="auto"/>
              </w:rPr>
              <w:t>Balance at December 31, 2024</w:t>
            </w:r>
          </w:p>
        </w:tc>
        <w:tc>
          <w:tcPr>
            <w:tcW w:w="10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59,128,092</w:t>
            </w:r>
          </w:p>
        </w:tc>
        <w:tc>
          <w:tcPr>
            <w:tcW w:w="120" w:type="dxa"/>
            <w:vAlign w:val="bottom"/>
            <w:shd w:val="clear" w:color="auto" w:fill="D3ECED"/>
          </w:tcPr>
          <w:p>
            <w:pPr>
              <w:spacing w:after="0"/>
              <w:rPr>
                <w:sz w:val="19"/>
                <w:szCs w:val="19"/>
                <w:color w:val="auto"/>
              </w:rPr>
            </w:pPr>
          </w:p>
        </w:tc>
        <w:tc>
          <w:tcPr>
            <w:tcW w:w="560" w:type="dxa"/>
            <w:vAlign w:val="bottom"/>
            <w:shd w:val="clear" w:color="auto" w:fill="D3ECED"/>
          </w:tcPr>
          <w:p>
            <w:pPr>
              <w:jc w:val="right"/>
              <w:ind w:right="255"/>
              <w:spacing w:after="0"/>
              <w:rPr>
                <w:sz w:val="20"/>
                <w:szCs w:val="20"/>
                <w:color w:val="auto"/>
              </w:rPr>
            </w:pPr>
            <w:r>
              <w:rPr>
                <w:rFonts w:ascii="Arial" w:cs="Arial" w:eastAsia="Arial" w:hAnsi="Arial"/>
                <w:sz w:val="17"/>
                <w:szCs w:val="17"/>
                <w:color w:val="auto"/>
              </w:rPr>
              <w:t>$</w:t>
            </w:r>
          </w:p>
        </w:tc>
        <w:tc>
          <w:tcPr>
            <w:tcW w:w="5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1</w:t>
            </w:r>
          </w:p>
        </w:tc>
        <w:tc>
          <w:tcPr>
            <w:tcW w:w="500" w:type="dxa"/>
            <w:vAlign w:val="bottom"/>
            <w:shd w:val="clear" w:color="auto" w:fill="D3ECED"/>
          </w:tcPr>
          <w:p>
            <w:pPr>
              <w:jc w:val="right"/>
              <w:ind w:right="75"/>
              <w:spacing w:after="0"/>
              <w:rPr>
                <w:sz w:val="20"/>
                <w:szCs w:val="20"/>
                <w:color w:val="auto"/>
              </w:rPr>
            </w:pPr>
            <w:r>
              <w:rPr>
                <w:rFonts w:ascii="Arial" w:cs="Arial" w:eastAsia="Arial" w:hAnsi="Arial"/>
                <w:sz w:val="17"/>
                <w:szCs w:val="17"/>
                <w:color w:val="auto"/>
              </w:rPr>
              <w:t>$</w:t>
            </w:r>
          </w:p>
        </w:tc>
        <w:tc>
          <w:tcPr>
            <w:tcW w:w="720" w:type="dxa"/>
            <w:vAlign w:val="bottom"/>
            <w:shd w:val="clear" w:color="auto" w:fill="D3ECED"/>
          </w:tcPr>
          <w:p>
            <w:pPr>
              <w:jc w:val="right"/>
              <w:spacing w:after="0"/>
              <w:rPr>
                <w:sz w:val="20"/>
                <w:szCs w:val="20"/>
                <w:color w:val="auto"/>
              </w:rPr>
            </w:pPr>
            <w:r>
              <w:rPr>
                <w:rFonts w:ascii="Arial" w:cs="Arial" w:eastAsia="Arial" w:hAnsi="Arial"/>
                <w:sz w:val="17"/>
                <w:szCs w:val="17"/>
                <w:color w:val="auto"/>
              </w:rPr>
              <w:t>719,804</w:t>
            </w:r>
          </w:p>
        </w:tc>
        <w:tc>
          <w:tcPr>
            <w:tcW w:w="120" w:type="dxa"/>
            <w:vAlign w:val="bottom"/>
            <w:shd w:val="clear" w:color="auto" w:fill="D3ECED"/>
          </w:tcPr>
          <w:p>
            <w:pPr>
              <w:spacing w:after="0"/>
              <w:rPr>
                <w:sz w:val="19"/>
                <w:szCs w:val="19"/>
                <w:color w:val="auto"/>
              </w:rPr>
            </w:pPr>
          </w:p>
        </w:tc>
        <w:tc>
          <w:tcPr>
            <w:tcW w:w="340" w:type="dxa"/>
            <w:vAlign w:val="bottom"/>
            <w:shd w:val="clear" w:color="auto" w:fill="D3ECED"/>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shd w:val="clear" w:color="auto" w:fill="D3ECED"/>
          </w:tcPr>
          <w:p>
            <w:pPr>
              <w:jc w:val="right"/>
              <w:ind w:right="35"/>
              <w:spacing w:after="0"/>
              <w:rPr>
                <w:sz w:val="20"/>
                <w:szCs w:val="20"/>
                <w:color w:val="auto"/>
              </w:rPr>
            </w:pPr>
            <w:r>
              <w:rPr>
                <w:rFonts w:ascii="Arial" w:cs="Arial" w:eastAsia="Arial" w:hAnsi="Arial"/>
                <w:sz w:val="17"/>
                <w:szCs w:val="17"/>
                <w:color w:val="auto"/>
              </w:rPr>
              <w:t>(392,372)</w:t>
            </w:r>
          </w:p>
        </w:tc>
        <w:tc>
          <w:tcPr>
            <w:tcW w:w="420" w:type="dxa"/>
            <w:vAlign w:val="bottom"/>
            <w:shd w:val="clear" w:color="auto" w:fill="D3ECED"/>
          </w:tcPr>
          <w:p>
            <w:pPr>
              <w:jc w:val="right"/>
              <w:ind w:right="135"/>
              <w:spacing w:after="0"/>
              <w:rPr>
                <w:sz w:val="20"/>
                <w:szCs w:val="20"/>
                <w:color w:val="auto"/>
              </w:rPr>
            </w:pPr>
            <w:r>
              <w:rPr>
                <w:rFonts w:ascii="Arial" w:cs="Arial" w:eastAsia="Arial" w:hAnsi="Arial"/>
                <w:sz w:val="17"/>
                <w:szCs w:val="17"/>
                <w:color w:val="auto"/>
              </w:rPr>
              <w:t>$</w:t>
            </w:r>
          </w:p>
        </w:tc>
        <w:tc>
          <w:tcPr>
            <w:tcW w:w="680" w:type="dxa"/>
            <w:vAlign w:val="bottom"/>
            <w:shd w:val="clear" w:color="auto" w:fill="D3ECED"/>
          </w:tcPr>
          <w:p>
            <w:pPr>
              <w:jc w:val="right"/>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D3ECED"/>
          </w:tcPr>
          <w:p>
            <w:pPr>
              <w:spacing w:after="0"/>
              <w:rPr>
                <w:sz w:val="19"/>
                <w:szCs w:val="19"/>
                <w:color w:val="auto"/>
              </w:rPr>
            </w:pPr>
          </w:p>
        </w:tc>
        <w:tc>
          <w:tcPr>
            <w:tcW w:w="360" w:type="dxa"/>
            <w:vAlign w:val="bottom"/>
            <w:shd w:val="clear" w:color="auto" w:fill="D3ECED"/>
          </w:tcPr>
          <w:p>
            <w:pPr>
              <w:jc w:val="right"/>
              <w:ind w:right="75"/>
              <w:spacing w:after="0"/>
              <w:rPr>
                <w:sz w:val="20"/>
                <w:szCs w:val="20"/>
                <w:color w:val="auto"/>
              </w:rPr>
            </w:pPr>
            <w:r>
              <w:rPr>
                <w:rFonts w:ascii="Arial" w:cs="Arial" w:eastAsia="Arial" w:hAnsi="Arial"/>
                <w:sz w:val="17"/>
                <w:szCs w:val="17"/>
                <w:color w:val="auto"/>
              </w:rPr>
              <w:t>$</w:t>
            </w:r>
          </w:p>
        </w:tc>
        <w:tc>
          <w:tcPr>
            <w:tcW w:w="740" w:type="dxa"/>
            <w:vAlign w:val="bottom"/>
            <w:shd w:val="clear" w:color="auto" w:fill="D3ECED"/>
          </w:tcPr>
          <w:p>
            <w:pPr>
              <w:jc w:val="right"/>
              <w:spacing w:after="0"/>
              <w:rPr>
                <w:sz w:val="20"/>
                <w:szCs w:val="20"/>
                <w:color w:val="auto"/>
              </w:rPr>
            </w:pPr>
            <w:r>
              <w:rPr>
                <w:rFonts w:ascii="Arial" w:cs="Arial" w:eastAsia="Arial" w:hAnsi="Arial"/>
                <w:sz w:val="17"/>
                <w:szCs w:val="17"/>
                <w:color w:val="auto"/>
              </w:rPr>
              <w:t>327,569</w:t>
            </w:r>
          </w:p>
        </w:tc>
        <w:tc>
          <w:tcPr>
            <w:tcW w:w="120" w:type="dxa"/>
            <w:vAlign w:val="bottom"/>
            <w:shd w:val="clear" w:color="auto" w:fill="D3ECED"/>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5840" w:h="12240" w:orient="landscape"/>
          <w:cols w:equalWidth="0" w:num="1">
            <w:col w:w="12960"/>
          </w:cols>
          <w:pgMar w:left="1440" w:top="1440" w:right="1440" w:bottom="5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5840" w:h="12240" w:orient="landscape"/>
          <w:cols w:equalWidth="0" w:num="1">
            <w:col w:w="12960"/>
          </w:cols>
          <w:pgMar w:left="1440" w:top="1440" w:right="1440" w:bottom="539" w:gutter="0" w:footer="0" w:header="0"/>
          <w:type w:val="continuous"/>
        </w:sectPr>
      </w:pPr>
    </w:p>
    <w:bookmarkStart w:id="115" w:name="page116"/>
    <w:bookmarkEnd w:id="115"/>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Cash Flows</w:t>
      </w:r>
    </w:p>
    <w:p>
      <w:pPr>
        <w:jc w:val="center"/>
        <w:spacing w:after="0"/>
        <w:rPr>
          <w:sz w:val="20"/>
          <w:szCs w:val="20"/>
          <w:color w:val="auto"/>
        </w:rPr>
      </w:pPr>
      <w:r>
        <w:rPr>
          <w:rFonts w:ascii="Arial" w:cs="Arial" w:eastAsia="Arial" w:hAnsi="Arial"/>
          <w:sz w:val="19"/>
          <w:szCs w:val="19"/>
          <w:b w:val="1"/>
          <w:bCs w:val="1"/>
          <w:color w:val="auto"/>
        </w:rPr>
        <w:t>(in thousands)</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5920" w:type="dxa"/>
            <w:vAlign w:val="bottom"/>
            <w:shd w:val="clear" w:color="auto" w:fill="FDFDFD"/>
          </w:tcPr>
          <w:p>
            <w:pPr>
              <w:spacing w:after="0"/>
              <w:rPr>
                <w:sz w:val="14"/>
                <w:szCs w:val="14"/>
                <w:color w:val="auto"/>
              </w:rPr>
            </w:pPr>
          </w:p>
        </w:tc>
        <w:tc>
          <w:tcPr>
            <w:tcW w:w="120" w:type="dxa"/>
            <w:vAlign w:val="bottom"/>
            <w:shd w:val="clear" w:color="auto" w:fill="FDFDFD"/>
          </w:tcPr>
          <w:p>
            <w:pPr>
              <w:spacing w:after="0"/>
              <w:rPr>
                <w:sz w:val="14"/>
                <w:szCs w:val="14"/>
                <w:color w:val="auto"/>
              </w:rPr>
            </w:pPr>
          </w:p>
        </w:tc>
        <w:tc>
          <w:tcPr>
            <w:tcW w:w="2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2700" w:type="dxa"/>
            <w:vAlign w:val="bottom"/>
            <w:gridSpan w:val="6"/>
            <w:shd w:val="clear" w:color="auto" w:fill="FDFDFD"/>
          </w:tcPr>
          <w:p>
            <w:pPr>
              <w:jc w:val="right"/>
              <w:ind w:right="695"/>
              <w:spacing w:after="0"/>
              <w:rPr>
                <w:sz w:val="20"/>
                <w:szCs w:val="20"/>
                <w:color w:val="auto"/>
              </w:rPr>
            </w:pPr>
            <w:r>
              <w:rPr>
                <w:rFonts w:ascii="Arial" w:cs="Arial" w:eastAsia="Arial" w:hAnsi="Arial"/>
                <w:sz w:val="13"/>
                <w:szCs w:val="13"/>
                <w:b w:val="1"/>
                <w:bCs w:val="1"/>
                <w:color w:val="auto"/>
              </w:rPr>
              <w:t>Year Ended December 31,</w:t>
            </w:r>
          </w:p>
        </w:tc>
      </w:tr>
      <w:tr>
        <w:trPr>
          <w:trHeight w:val="153"/>
        </w:trPr>
        <w:tc>
          <w:tcPr>
            <w:tcW w:w="5920" w:type="dxa"/>
            <w:vAlign w:val="bottom"/>
            <w:tcBorders>
              <w:top w:val="single" w:sz="8" w:color="FDFDFD"/>
              <w:bottom w:val="single" w:sz="8" w:color="D3ECED"/>
            </w:tcBorders>
            <w:shd w:val="clear" w:color="auto" w:fill="FDFDFD"/>
          </w:tcPr>
          <w:p>
            <w:pPr>
              <w:spacing w:after="0"/>
              <w:rPr>
                <w:sz w:val="13"/>
                <w:szCs w:val="13"/>
                <w:color w:val="auto"/>
              </w:rPr>
            </w:pPr>
          </w:p>
        </w:tc>
        <w:tc>
          <w:tcPr>
            <w:tcW w:w="120" w:type="dxa"/>
            <w:vAlign w:val="bottom"/>
            <w:tcBorders>
              <w:top w:val="single" w:sz="8" w:color="FDFDFD"/>
              <w:bottom w:val="single" w:sz="8" w:color="D3ECED"/>
            </w:tcBorders>
            <w:shd w:val="clear" w:color="auto" w:fill="FDFDFD"/>
          </w:tcPr>
          <w:p>
            <w:pPr>
              <w:spacing w:after="0"/>
              <w:rPr>
                <w:sz w:val="13"/>
                <w:szCs w:val="13"/>
                <w:color w:val="auto"/>
              </w:rPr>
            </w:pPr>
          </w:p>
        </w:tc>
        <w:tc>
          <w:tcPr>
            <w:tcW w:w="20" w:type="dxa"/>
            <w:vAlign w:val="bottom"/>
            <w:tcBorders>
              <w:top w:val="single" w:sz="8" w:color="auto"/>
              <w:bottom w:val="single" w:sz="8" w:color="auto"/>
            </w:tcBorders>
            <w:shd w:val="clear" w:color="auto" w:fill="FDFDFD"/>
          </w:tcPr>
          <w:p>
            <w:pPr>
              <w:spacing w:after="0"/>
              <w:rPr>
                <w:sz w:val="13"/>
                <w:szCs w:val="13"/>
                <w:color w:val="auto"/>
              </w:rPr>
            </w:pPr>
          </w:p>
        </w:tc>
        <w:tc>
          <w:tcPr>
            <w:tcW w:w="80" w:type="dxa"/>
            <w:vAlign w:val="bottom"/>
            <w:tcBorders>
              <w:top w:val="single" w:sz="8" w:color="auto"/>
              <w:bottom w:val="single" w:sz="8" w:color="auto"/>
            </w:tcBorders>
            <w:shd w:val="clear" w:color="auto" w:fill="FDFDFD"/>
          </w:tcPr>
          <w:p>
            <w:pPr>
              <w:spacing w:after="0"/>
              <w:rPr>
                <w:sz w:val="13"/>
                <w:szCs w:val="13"/>
                <w:color w:val="auto"/>
              </w:rPr>
            </w:pPr>
          </w:p>
        </w:tc>
        <w:tc>
          <w:tcPr>
            <w:tcW w:w="1160" w:type="dxa"/>
            <w:vAlign w:val="bottom"/>
            <w:tcBorders>
              <w:top w:val="single" w:sz="8" w:color="auto"/>
              <w:bottom w:val="single" w:sz="8" w:color="auto"/>
            </w:tcBorders>
            <w:shd w:val="clear" w:color="auto" w:fill="FDFDFD"/>
          </w:tcPr>
          <w:p>
            <w:pPr>
              <w:jc w:val="right"/>
              <w:ind w:right="425"/>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bottom w:val="single" w:sz="8" w:color="D3ECED"/>
            </w:tcBorders>
            <w:shd w:val="clear" w:color="auto" w:fill="FDFDFD"/>
          </w:tcPr>
          <w:p>
            <w:pPr>
              <w:spacing w:after="0"/>
              <w:rPr>
                <w:sz w:val="13"/>
                <w:szCs w:val="13"/>
                <w:color w:val="auto"/>
              </w:rPr>
            </w:pPr>
          </w:p>
        </w:tc>
        <w:tc>
          <w:tcPr>
            <w:tcW w:w="140" w:type="dxa"/>
            <w:vAlign w:val="bottom"/>
            <w:tcBorders>
              <w:top w:val="single" w:sz="8" w:color="auto"/>
              <w:bottom w:val="single" w:sz="8" w:color="D3ECED"/>
            </w:tcBorders>
            <w:shd w:val="clear" w:color="auto" w:fill="FDFDFD"/>
          </w:tcPr>
          <w:p>
            <w:pPr>
              <w:spacing w:after="0"/>
              <w:rPr>
                <w:sz w:val="13"/>
                <w:szCs w:val="13"/>
                <w:color w:val="auto"/>
              </w:rPr>
            </w:pPr>
          </w:p>
        </w:tc>
        <w:tc>
          <w:tcPr>
            <w:tcW w:w="80" w:type="dxa"/>
            <w:vAlign w:val="bottom"/>
            <w:tcBorders>
              <w:top w:val="single" w:sz="8" w:color="auto"/>
              <w:bottom w:val="single" w:sz="8" w:color="auto"/>
            </w:tcBorders>
            <w:shd w:val="clear" w:color="auto" w:fill="FDFDFD"/>
          </w:tcPr>
          <w:p>
            <w:pPr>
              <w:spacing w:after="0"/>
              <w:rPr>
                <w:sz w:val="13"/>
                <w:szCs w:val="13"/>
                <w:color w:val="auto"/>
              </w:rPr>
            </w:pPr>
          </w:p>
        </w:tc>
        <w:tc>
          <w:tcPr>
            <w:tcW w:w="1180" w:type="dxa"/>
            <w:vAlign w:val="bottom"/>
            <w:tcBorders>
              <w:top w:val="single" w:sz="8" w:color="auto"/>
              <w:bottom w:val="single" w:sz="8" w:color="auto"/>
              <w:right w:val="single" w:sz="8" w:color="FDFDFD"/>
            </w:tcBorders>
            <w:shd w:val="clear" w:color="auto" w:fill="FDFDFD"/>
          </w:tcPr>
          <w:p>
            <w:pPr>
              <w:jc w:val="right"/>
              <w:ind w:right="445"/>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top w:val="single" w:sz="8" w:color="FDFDFD"/>
              <w:bottom w:val="single" w:sz="8" w:color="D3ECED"/>
            </w:tcBorders>
            <w:shd w:val="clear" w:color="auto" w:fill="FDFDFD"/>
          </w:tcPr>
          <w:p>
            <w:pPr>
              <w:spacing w:after="0"/>
              <w:rPr>
                <w:sz w:val="13"/>
                <w:szCs w:val="13"/>
                <w:color w:val="auto"/>
              </w:rPr>
            </w:pPr>
          </w:p>
        </w:tc>
      </w:tr>
      <w:tr>
        <w:trPr>
          <w:trHeight w:val="177"/>
        </w:trPr>
        <w:tc>
          <w:tcPr>
            <w:tcW w:w="6040" w:type="dxa"/>
            <w:vAlign w:val="bottom"/>
            <w:gridSpan w:val="2"/>
            <w:shd w:val="clear" w:color="auto" w:fill="D3ECED"/>
          </w:tcPr>
          <w:p>
            <w:pPr>
              <w:spacing w:after="0"/>
              <w:rPr>
                <w:sz w:val="20"/>
                <w:szCs w:val="20"/>
                <w:color w:val="auto"/>
              </w:rPr>
            </w:pPr>
            <w:r>
              <w:rPr>
                <w:rFonts w:ascii="Arial" w:cs="Arial" w:eastAsia="Arial" w:hAnsi="Arial"/>
                <w:sz w:val="15"/>
                <w:szCs w:val="15"/>
                <w:b w:val="1"/>
                <w:bCs w:val="1"/>
                <w:color w:val="auto"/>
              </w:rPr>
              <w:t>OPERATING ACTIVITIES</w:t>
            </w:r>
          </w:p>
        </w:tc>
        <w:tc>
          <w:tcPr>
            <w:tcW w:w="20" w:type="dxa"/>
            <w:vAlign w:val="bottom"/>
            <w:shd w:val="clear" w:color="auto" w:fill="D3ECED"/>
          </w:tcPr>
          <w:p>
            <w:pPr>
              <w:spacing w:after="0"/>
              <w:rPr>
                <w:sz w:val="15"/>
                <w:szCs w:val="15"/>
                <w:color w:val="auto"/>
              </w:rPr>
            </w:pPr>
          </w:p>
        </w:tc>
        <w:tc>
          <w:tcPr>
            <w:tcW w:w="80" w:type="dxa"/>
            <w:vAlign w:val="bottom"/>
            <w:shd w:val="clear" w:color="auto" w:fill="D3ECED"/>
          </w:tcPr>
          <w:p>
            <w:pPr>
              <w:spacing w:after="0"/>
              <w:rPr>
                <w:sz w:val="15"/>
                <w:szCs w:val="15"/>
                <w:color w:val="auto"/>
              </w:rPr>
            </w:pPr>
          </w:p>
        </w:tc>
        <w:tc>
          <w:tcPr>
            <w:tcW w:w="1160" w:type="dxa"/>
            <w:vAlign w:val="bottom"/>
            <w:shd w:val="clear" w:color="auto" w:fill="D3ECED"/>
          </w:tcPr>
          <w:p>
            <w:pPr>
              <w:spacing w:after="0"/>
              <w:rPr>
                <w:sz w:val="15"/>
                <w:szCs w:val="15"/>
                <w:color w:val="auto"/>
              </w:rPr>
            </w:pPr>
          </w:p>
        </w:tc>
        <w:tc>
          <w:tcPr>
            <w:tcW w:w="80" w:type="dxa"/>
            <w:vAlign w:val="bottom"/>
            <w:shd w:val="clear" w:color="auto" w:fill="D3ECED"/>
          </w:tcPr>
          <w:p>
            <w:pPr>
              <w:spacing w:after="0"/>
              <w:rPr>
                <w:sz w:val="15"/>
                <w:szCs w:val="15"/>
                <w:color w:val="auto"/>
              </w:rPr>
            </w:pPr>
          </w:p>
        </w:tc>
        <w:tc>
          <w:tcPr>
            <w:tcW w:w="140" w:type="dxa"/>
            <w:vAlign w:val="bottom"/>
            <w:shd w:val="clear" w:color="auto" w:fill="D3ECED"/>
          </w:tcPr>
          <w:p>
            <w:pPr>
              <w:spacing w:after="0"/>
              <w:rPr>
                <w:sz w:val="15"/>
                <w:szCs w:val="15"/>
                <w:color w:val="auto"/>
              </w:rPr>
            </w:pPr>
          </w:p>
        </w:tc>
        <w:tc>
          <w:tcPr>
            <w:tcW w:w="80" w:type="dxa"/>
            <w:vAlign w:val="bottom"/>
            <w:shd w:val="clear" w:color="auto" w:fill="D3ECED"/>
          </w:tcPr>
          <w:p>
            <w:pPr>
              <w:spacing w:after="0"/>
              <w:rPr>
                <w:sz w:val="15"/>
                <w:szCs w:val="15"/>
                <w:color w:val="auto"/>
              </w:rPr>
            </w:pPr>
          </w:p>
        </w:tc>
        <w:tc>
          <w:tcPr>
            <w:tcW w:w="1180" w:type="dxa"/>
            <w:vAlign w:val="bottom"/>
            <w:tcBorders>
              <w:right w:val="single" w:sz="8" w:color="D3ECED"/>
            </w:tcBorders>
            <w:shd w:val="clear" w:color="auto" w:fill="D3ECED"/>
          </w:tcPr>
          <w:p>
            <w:pPr>
              <w:spacing w:after="0"/>
              <w:rPr>
                <w:sz w:val="15"/>
                <w:szCs w:val="15"/>
                <w:color w:val="auto"/>
              </w:rPr>
            </w:pPr>
          </w:p>
        </w:tc>
        <w:tc>
          <w:tcPr>
            <w:tcW w:w="60" w:type="dxa"/>
            <w:vAlign w:val="bottom"/>
            <w:shd w:val="clear" w:color="auto" w:fill="D3ECED"/>
          </w:tcPr>
          <w:p>
            <w:pPr>
              <w:spacing w:after="0"/>
              <w:rPr>
                <w:sz w:val="15"/>
                <w:szCs w:val="15"/>
                <w:color w:val="auto"/>
              </w:rPr>
            </w:pPr>
          </w:p>
        </w:tc>
      </w:tr>
      <w:tr>
        <w:trPr>
          <w:trHeight w:val="187"/>
        </w:trPr>
        <w:tc>
          <w:tcPr>
            <w:tcW w:w="6040" w:type="dxa"/>
            <w:vAlign w:val="bottom"/>
            <w:gridSpan w:val="2"/>
            <w:shd w:val="clear" w:color="auto" w:fill="FDFDFD"/>
          </w:tcPr>
          <w:p>
            <w:pPr>
              <w:spacing w:after="0"/>
              <w:rPr>
                <w:sz w:val="20"/>
                <w:szCs w:val="20"/>
                <w:color w:val="auto"/>
              </w:rPr>
            </w:pPr>
            <w:r>
              <w:rPr>
                <w:rFonts w:ascii="Arial" w:cs="Arial" w:eastAsia="Arial" w:hAnsi="Arial"/>
                <w:sz w:val="15"/>
                <w:szCs w:val="15"/>
                <w:color w:val="auto"/>
              </w:rPr>
              <w:t>Net loss</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(86,599)</w:t>
            </w: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(86,277)</w:t>
            </w:r>
          </w:p>
        </w:tc>
        <w:tc>
          <w:tcPr>
            <w:tcW w:w="60" w:type="dxa"/>
            <w:vAlign w:val="bottom"/>
            <w:shd w:val="clear" w:color="auto" w:fill="FDFDFD"/>
          </w:tcPr>
          <w:p>
            <w:pPr>
              <w:spacing w:after="0"/>
              <w:rPr>
                <w:sz w:val="16"/>
                <w:szCs w:val="16"/>
                <w:color w:val="auto"/>
              </w:rPr>
            </w:pPr>
          </w:p>
        </w:tc>
      </w:tr>
      <w:tr>
        <w:trPr>
          <w:trHeight w:val="187"/>
        </w:trPr>
        <w:tc>
          <w:tcPr>
            <w:tcW w:w="6040" w:type="dxa"/>
            <w:vAlign w:val="bottom"/>
            <w:gridSpan w:val="2"/>
            <w:shd w:val="clear" w:color="auto" w:fill="D3ECED"/>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2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6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4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80" w:type="dxa"/>
            <w:vAlign w:val="bottom"/>
            <w:tcBorders>
              <w:right w:val="single" w:sz="8" w:color="D3ECED"/>
            </w:tcBorders>
            <w:shd w:val="clear" w:color="auto" w:fill="D3ECED"/>
          </w:tcPr>
          <w:p>
            <w:pPr>
              <w:spacing w:after="0"/>
              <w:rPr>
                <w:sz w:val="16"/>
                <w:szCs w:val="16"/>
                <w:color w:val="auto"/>
              </w:rPr>
            </w:pPr>
          </w:p>
        </w:tc>
        <w:tc>
          <w:tcPr>
            <w:tcW w:w="60" w:type="dxa"/>
            <w:vAlign w:val="bottom"/>
            <w:shd w:val="clear" w:color="auto" w:fill="D3ECED"/>
          </w:tcPr>
          <w:p>
            <w:pPr>
              <w:spacing w:after="0"/>
              <w:rPr>
                <w:sz w:val="16"/>
                <w:szCs w:val="16"/>
                <w:color w:val="auto"/>
              </w:rPr>
            </w:pPr>
          </w:p>
        </w:tc>
      </w:tr>
      <w:tr>
        <w:trPr>
          <w:trHeight w:val="187"/>
        </w:trPr>
        <w:tc>
          <w:tcPr>
            <w:tcW w:w="6040" w:type="dxa"/>
            <w:vAlign w:val="bottom"/>
            <w:gridSpan w:val="2"/>
            <w:shd w:val="clear" w:color="auto" w:fill="FDFDFD"/>
          </w:tcPr>
          <w:p>
            <w:pPr>
              <w:ind w:left="180"/>
              <w:spacing w:after="0"/>
              <w:rPr>
                <w:sz w:val="20"/>
                <w:szCs w:val="20"/>
                <w:color w:val="auto"/>
              </w:rPr>
            </w:pPr>
            <w:r>
              <w:rPr>
                <w:rFonts w:ascii="Arial" w:cs="Arial" w:eastAsia="Arial" w:hAnsi="Arial"/>
                <w:sz w:val="15"/>
                <w:szCs w:val="15"/>
                <w:color w:val="auto"/>
              </w:rPr>
              <w:t>Stock-based compensation</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28,207</w:t>
            </w: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34,424</w:t>
            </w:r>
          </w:p>
        </w:tc>
        <w:tc>
          <w:tcPr>
            <w:tcW w:w="60" w:type="dxa"/>
            <w:vAlign w:val="bottom"/>
            <w:shd w:val="clear" w:color="auto" w:fill="FDFDFD"/>
          </w:tcPr>
          <w:p>
            <w:pPr>
              <w:spacing w:after="0"/>
              <w:rPr>
                <w:sz w:val="16"/>
                <w:szCs w:val="16"/>
                <w:color w:val="auto"/>
              </w:rPr>
            </w:pPr>
          </w:p>
        </w:tc>
      </w:tr>
      <w:tr>
        <w:trPr>
          <w:trHeight w:val="187"/>
        </w:trPr>
        <w:tc>
          <w:tcPr>
            <w:tcW w:w="6040" w:type="dxa"/>
            <w:vAlign w:val="bottom"/>
            <w:gridSpan w:val="2"/>
            <w:shd w:val="clear" w:color="auto" w:fill="D3ECED"/>
          </w:tcPr>
          <w:p>
            <w:pPr>
              <w:ind w:left="180"/>
              <w:spacing w:after="0"/>
              <w:rPr>
                <w:sz w:val="20"/>
                <w:szCs w:val="20"/>
                <w:color w:val="auto"/>
              </w:rPr>
            </w:pPr>
            <w:r>
              <w:rPr>
                <w:rFonts w:ascii="Arial" w:cs="Arial" w:eastAsia="Arial" w:hAnsi="Arial"/>
                <w:sz w:val="15"/>
                <w:szCs w:val="15"/>
                <w:color w:val="auto"/>
              </w:rPr>
              <w:t>Depreciation and amortization</w:t>
            </w:r>
          </w:p>
        </w:tc>
        <w:tc>
          <w:tcPr>
            <w:tcW w:w="2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6,176</w:t>
            </w:r>
          </w:p>
        </w:tc>
        <w:tc>
          <w:tcPr>
            <w:tcW w:w="80" w:type="dxa"/>
            <w:vAlign w:val="bottom"/>
            <w:shd w:val="clear" w:color="auto" w:fill="D3ECED"/>
          </w:tcPr>
          <w:p>
            <w:pPr>
              <w:spacing w:after="0"/>
              <w:rPr>
                <w:sz w:val="16"/>
                <w:szCs w:val="16"/>
                <w:color w:val="auto"/>
              </w:rPr>
            </w:pPr>
          </w:p>
        </w:tc>
        <w:tc>
          <w:tcPr>
            <w:tcW w:w="14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5,578</w:t>
            </w:r>
          </w:p>
        </w:tc>
        <w:tc>
          <w:tcPr>
            <w:tcW w:w="60" w:type="dxa"/>
            <w:vAlign w:val="bottom"/>
            <w:shd w:val="clear" w:color="auto" w:fill="D3ECED"/>
          </w:tcPr>
          <w:p>
            <w:pPr>
              <w:spacing w:after="0"/>
              <w:rPr>
                <w:sz w:val="16"/>
                <w:szCs w:val="16"/>
                <w:color w:val="auto"/>
              </w:rPr>
            </w:pPr>
          </w:p>
        </w:tc>
      </w:tr>
      <w:tr>
        <w:trPr>
          <w:trHeight w:val="187"/>
        </w:trPr>
        <w:tc>
          <w:tcPr>
            <w:tcW w:w="6040" w:type="dxa"/>
            <w:vAlign w:val="bottom"/>
            <w:gridSpan w:val="2"/>
            <w:shd w:val="clear" w:color="auto" w:fill="FDFDFD"/>
          </w:tcPr>
          <w:p>
            <w:pPr>
              <w:ind w:left="180"/>
              <w:spacing w:after="0"/>
              <w:rPr>
                <w:sz w:val="20"/>
                <w:szCs w:val="20"/>
                <w:color w:val="auto"/>
              </w:rPr>
            </w:pPr>
            <w:r>
              <w:rPr>
                <w:rFonts w:ascii="Arial" w:cs="Arial" w:eastAsia="Arial" w:hAnsi="Arial"/>
                <w:sz w:val="15"/>
                <w:szCs w:val="15"/>
                <w:color w:val="auto"/>
              </w:rPr>
              <w:t>Loss on disposal of property and equipment</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279</w:t>
            </w: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399</w:t>
            </w:r>
          </w:p>
        </w:tc>
        <w:tc>
          <w:tcPr>
            <w:tcW w:w="60" w:type="dxa"/>
            <w:vAlign w:val="bottom"/>
            <w:shd w:val="clear" w:color="auto" w:fill="FDFDFD"/>
          </w:tcPr>
          <w:p>
            <w:pPr>
              <w:spacing w:after="0"/>
              <w:rPr>
                <w:sz w:val="16"/>
                <w:szCs w:val="16"/>
                <w:color w:val="auto"/>
              </w:rPr>
            </w:pPr>
          </w:p>
        </w:tc>
      </w:tr>
      <w:tr>
        <w:trPr>
          <w:trHeight w:val="187"/>
        </w:trPr>
        <w:tc>
          <w:tcPr>
            <w:tcW w:w="6040" w:type="dxa"/>
            <w:vAlign w:val="bottom"/>
            <w:gridSpan w:val="2"/>
            <w:shd w:val="clear" w:color="auto" w:fill="D3ECED"/>
          </w:tcPr>
          <w:p>
            <w:pPr>
              <w:ind w:left="180"/>
              <w:spacing w:after="0"/>
              <w:rPr>
                <w:sz w:val="20"/>
                <w:szCs w:val="20"/>
                <w:color w:val="auto"/>
              </w:rPr>
            </w:pPr>
            <w:r>
              <w:rPr>
                <w:rFonts w:ascii="Arial" w:cs="Arial" w:eastAsia="Arial" w:hAnsi="Arial"/>
                <w:sz w:val="15"/>
                <w:szCs w:val="15"/>
                <w:color w:val="auto"/>
              </w:rPr>
              <w:t>Net amortization (accretion) of premium (discount) on available-for-sale securities</w:t>
            </w:r>
          </w:p>
        </w:tc>
        <w:tc>
          <w:tcPr>
            <w:tcW w:w="2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3,053</w:t>
            </w:r>
          </w:p>
        </w:tc>
        <w:tc>
          <w:tcPr>
            <w:tcW w:w="80" w:type="dxa"/>
            <w:vAlign w:val="bottom"/>
            <w:shd w:val="clear" w:color="auto" w:fill="D3ECED"/>
          </w:tcPr>
          <w:p>
            <w:pPr>
              <w:spacing w:after="0"/>
              <w:rPr>
                <w:sz w:val="16"/>
                <w:szCs w:val="16"/>
                <w:color w:val="auto"/>
              </w:rPr>
            </w:pPr>
          </w:p>
        </w:tc>
        <w:tc>
          <w:tcPr>
            <w:tcW w:w="14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(11,548)</w:t>
            </w:r>
          </w:p>
        </w:tc>
        <w:tc>
          <w:tcPr>
            <w:tcW w:w="60" w:type="dxa"/>
            <w:vAlign w:val="bottom"/>
            <w:shd w:val="clear" w:color="auto" w:fill="D3ECED"/>
          </w:tcPr>
          <w:p>
            <w:pPr>
              <w:spacing w:after="0"/>
              <w:rPr>
                <w:sz w:val="16"/>
                <w:szCs w:val="16"/>
                <w:color w:val="auto"/>
              </w:rPr>
            </w:pPr>
          </w:p>
        </w:tc>
      </w:tr>
      <w:tr>
        <w:trPr>
          <w:trHeight w:val="187"/>
        </w:trPr>
        <w:tc>
          <w:tcPr>
            <w:tcW w:w="6040" w:type="dxa"/>
            <w:vAlign w:val="bottom"/>
            <w:gridSpan w:val="2"/>
            <w:shd w:val="clear" w:color="auto" w:fill="FDFDFD"/>
          </w:tcPr>
          <w:p>
            <w:pPr>
              <w:ind w:left="180"/>
              <w:spacing w:after="0"/>
              <w:rPr>
                <w:sz w:val="20"/>
                <w:szCs w:val="20"/>
                <w:color w:val="auto"/>
              </w:rPr>
            </w:pPr>
            <w:r>
              <w:rPr>
                <w:rFonts w:ascii="Arial" w:cs="Arial" w:eastAsia="Arial" w:hAnsi="Arial"/>
                <w:sz w:val="15"/>
                <w:szCs w:val="15"/>
                <w:color w:val="auto"/>
              </w:rPr>
              <w:t>Provision for inventory excess and obsolescence</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179</w:t>
            </w: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872</w:t>
            </w:r>
          </w:p>
        </w:tc>
        <w:tc>
          <w:tcPr>
            <w:tcW w:w="60" w:type="dxa"/>
            <w:vAlign w:val="bottom"/>
            <w:shd w:val="clear" w:color="auto" w:fill="FDFDFD"/>
          </w:tcPr>
          <w:p>
            <w:pPr>
              <w:spacing w:after="0"/>
              <w:rPr>
                <w:sz w:val="16"/>
                <w:szCs w:val="16"/>
                <w:color w:val="auto"/>
              </w:rPr>
            </w:pPr>
          </w:p>
        </w:tc>
      </w:tr>
      <w:tr>
        <w:trPr>
          <w:trHeight w:val="187"/>
        </w:trPr>
        <w:tc>
          <w:tcPr>
            <w:tcW w:w="6040" w:type="dxa"/>
            <w:vAlign w:val="bottom"/>
            <w:gridSpan w:val="2"/>
            <w:shd w:val="clear" w:color="auto" w:fill="D3ECED"/>
          </w:tcPr>
          <w:p>
            <w:pPr>
              <w:ind w:left="180"/>
              <w:spacing w:after="0"/>
              <w:rPr>
                <w:sz w:val="20"/>
                <w:szCs w:val="20"/>
                <w:color w:val="auto"/>
              </w:rPr>
            </w:pPr>
            <w:r>
              <w:rPr>
                <w:rFonts w:ascii="Arial" w:cs="Arial" w:eastAsia="Arial" w:hAnsi="Arial"/>
                <w:sz w:val="15"/>
                <w:szCs w:val="15"/>
                <w:color w:val="auto"/>
              </w:rPr>
              <w:t>Non-cash operating lease expense</w:t>
            </w:r>
          </w:p>
        </w:tc>
        <w:tc>
          <w:tcPr>
            <w:tcW w:w="2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91</w:t>
            </w:r>
          </w:p>
        </w:tc>
        <w:tc>
          <w:tcPr>
            <w:tcW w:w="80" w:type="dxa"/>
            <w:vAlign w:val="bottom"/>
            <w:shd w:val="clear" w:color="auto" w:fill="D3ECED"/>
          </w:tcPr>
          <w:p>
            <w:pPr>
              <w:spacing w:after="0"/>
              <w:rPr>
                <w:sz w:val="16"/>
                <w:szCs w:val="16"/>
                <w:color w:val="auto"/>
              </w:rPr>
            </w:pPr>
          </w:p>
        </w:tc>
        <w:tc>
          <w:tcPr>
            <w:tcW w:w="14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211</w:t>
            </w:r>
          </w:p>
        </w:tc>
        <w:tc>
          <w:tcPr>
            <w:tcW w:w="60" w:type="dxa"/>
            <w:vAlign w:val="bottom"/>
            <w:shd w:val="clear" w:color="auto" w:fill="D3ECED"/>
          </w:tcPr>
          <w:p>
            <w:pPr>
              <w:spacing w:after="0"/>
              <w:rPr>
                <w:sz w:val="16"/>
                <w:szCs w:val="16"/>
                <w:color w:val="auto"/>
              </w:rPr>
            </w:pPr>
          </w:p>
        </w:tc>
      </w:tr>
      <w:tr>
        <w:trPr>
          <w:trHeight w:val="185"/>
        </w:trPr>
        <w:tc>
          <w:tcPr>
            <w:tcW w:w="6040" w:type="dxa"/>
            <w:vAlign w:val="bottom"/>
            <w:gridSpan w:val="2"/>
            <w:shd w:val="clear" w:color="auto" w:fill="FDFDFD"/>
          </w:tcPr>
          <w:p>
            <w:pPr>
              <w:ind w:left="180"/>
              <w:spacing w:after="0"/>
              <w:rPr>
                <w:sz w:val="20"/>
                <w:szCs w:val="20"/>
                <w:color w:val="auto"/>
              </w:rPr>
            </w:pPr>
            <w:r>
              <w:rPr>
                <w:rFonts w:ascii="Arial" w:cs="Arial" w:eastAsia="Arial" w:hAnsi="Arial"/>
                <w:sz w:val="15"/>
                <w:szCs w:val="15"/>
                <w:color w:val="auto"/>
              </w:rPr>
              <w:t>Loss on equity method investment</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2,649</w:t>
            </w: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FDFDFD"/>
          </w:tcPr>
          <w:p>
            <w:pPr>
              <w:spacing w:after="0"/>
              <w:rPr>
                <w:sz w:val="16"/>
                <w:szCs w:val="16"/>
                <w:color w:val="auto"/>
              </w:rPr>
            </w:pPr>
          </w:p>
        </w:tc>
      </w:tr>
      <w:tr>
        <w:trPr>
          <w:trHeight w:val="187"/>
        </w:trPr>
        <w:tc>
          <w:tcPr>
            <w:tcW w:w="6040" w:type="dxa"/>
            <w:vAlign w:val="bottom"/>
            <w:gridSpan w:val="2"/>
            <w:shd w:val="clear" w:color="auto" w:fill="D3ECED"/>
          </w:tcPr>
          <w:p>
            <w:pPr>
              <w:ind w:left="180"/>
              <w:spacing w:after="0"/>
              <w:rPr>
                <w:sz w:val="20"/>
                <w:szCs w:val="20"/>
                <w:color w:val="auto"/>
              </w:rPr>
            </w:pPr>
            <w:r>
              <w:rPr>
                <w:rFonts w:ascii="Arial" w:cs="Arial" w:eastAsia="Arial" w:hAnsi="Arial"/>
                <w:sz w:val="15"/>
                <w:szCs w:val="15"/>
                <w:color w:val="auto"/>
              </w:rPr>
              <w:t>Changes in operating assets and liabilities:</w:t>
            </w:r>
          </w:p>
        </w:tc>
        <w:tc>
          <w:tcPr>
            <w:tcW w:w="2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6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4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80" w:type="dxa"/>
            <w:vAlign w:val="bottom"/>
            <w:tcBorders>
              <w:right w:val="single" w:sz="8" w:color="D3ECED"/>
            </w:tcBorders>
            <w:shd w:val="clear" w:color="auto" w:fill="D3ECED"/>
          </w:tcPr>
          <w:p>
            <w:pPr>
              <w:spacing w:after="0"/>
              <w:rPr>
                <w:sz w:val="16"/>
                <w:szCs w:val="16"/>
                <w:color w:val="auto"/>
              </w:rPr>
            </w:pPr>
          </w:p>
        </w:tc>
        <w:tc>
          <w:tcPr>
            <w:tcW w:w="60" w:type="dxa"/>
            <w:vAlign w:val="bottom"/>
            <w:shd w:val="clear" w:color="auto" w:fill="D3ECED"/>
          </w:tcPr>
          <w:p>
            <w:pPr>
              <w:spacing w:after="0"/>
              <w:rPr>
                <w:sz w:val="16"/>
                <w:szCs w:val="16"/>
                <w:color w:val="auto"/>
              </w:rPr>
            </w:pPr>
          </w:p>
        </w:tc>
      </w:tr>
      <w:tr>
        <w:trPr>
          <w:trHeight w:val="187"/>
        </w:trPr>
        <w:tc>
          <w:tcPr>
            <w:tcW w:w="6040" w:type="dxa"/>
            <w:vAlign w:val="bottom"/>
            <w:gridSpan w:val="2"/>
            <w:shd w:val="clear" w:color="auto" w:fill="FDFDFD"/>
          </w:tcPr>
          <w:p>
            <w:pPr>
              <w:ind w:left="380"/>
              <w:spacing w:after="0"/>
              <w:rPr>
                <w:sz w:val="20"/>
                <w:szCs w:val="20"/>
                <w:color w:val="auto"/>
              </w:rPr>
            </w:pPr>
            <w:r>
              <w:rPr>
                <w:rFonts w:ascii="Arial" w:cs="Arial" w:eastAsia="Arial" w:hAnsi="Arial"/>
                <w:sz w:val="15"/>
                <w:szCs w:val="15"/>
                <w:color w:val="auto"/>
              </w:rPr>
              <w:t>Accounts receivable, net</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487</w:t>
            </w: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302</w:t>
            </w:r>
          </w:p>
        </w:tc>
        <w:tc>
          <w:tcPr>
            <w:tcW w:w="60" w:type="dxa"/>
            <w:vAlign w:val="bottom"/>
            <w:shd w:val="clear" w:color="auto" w:fill="FDFDFD"/>
          </w:tcPr>
          <w:p>
            <w:pPr>
              <w:spacing w:after="0"/>
              <w:rPr>
                <w:sz w:val="16"/>
                <w:szCs w:val="16"/>
                <w:color w:val="auto"/>
              </w:rPr>
            </w:pPr>
          </w:p>
        </w:tc>
      </w:tr>
      <w:tr>
        <w:trPr>
          <w:trHeight w:val="187"/>
        </w:trPr>
        <w:tc>
          <w:tcPr>
            <w:tcW w:w="6040" w:type="dxa"/>
            <w:vAlign w:val="bottom"/>
            <w:gridSpan w:val="2"/>
            <w:shd w:val="clear" w:color="auto" w:fill="D3ECED"/>
          </w:tcPr>
          <w:p>
            <w:pPr>
              <w:ind w:left="380"/>
              <w:spacing w:after="0"/>
              <w:rPr>
                <w:sz w:val="20"/>
                <w:szCs w:val="20"/>
                <w:color w:val="auto"/>
              </w:rPr>
            </w:pPr>
            <w:r>
              <w:rPr>
                <w:rFonts w:ascii="Arial" w:cs="Arial" w:eastAsia="Arial" w:hAnsi="Arial"/>
                <w:sz w:val="15"/>
                <w:szCs w:val="15"/>
                <w:color w:val="auto"/>
              </w:rPr>
              <w:t>Prepaid expenses and other assets</w:t>
            </w:r>
          </w:p>
        </w:tc>
        <w:tc>
          <w:tcPr>
            <w:tcW w:w="2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(92</w:t>
            </w:r>
          </w:p>
        </w:tc>
        <w:tc>
          <w:tcPr>
            <w:tcW w:w="80" w:type="dxa"/>
            <w:vAlign w:val="bottom"/>
            <w:shd w:val="clear" w:color="auto" w:fill="D3ECED"/>
          </w:tcPr>
          <w:p>
            <w:pPr>
              <w:jc w:val="right"/>
              <w:ind w:right="2"/>
              <w:spacing w:after="0"/>
              <w:rPr>
                <w:sz w:val="20"/>
                <w:szCs w:val="20"/>
                <w:color w:val="auto"/>
              </w:rPr>
            </w:pPr>
            <w:r>
              <w:rPr>
                <w:rFonts w:ascii="Arial" w:cs="Arial" w:eastAsia="Arial" w:hAnsi="Arial"/>
                <w:sz w:val="8"/>
                <w:szCs w:val="8"/>
                <w:color w:val="auto"/>
                <w:w w:val="73"/>
                <w:shd w:val="clear" w:color="auto" w:fill="D3ECED"/>
              </w:rPr>
              <w:t>)</w:t>
            </w:r>
          </w:p>
        </w:tc>
        <w:tc>
          <w:tcPr>
            <w:tcW w:w="14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(1,313</w:t>
            </w:r>
          </w:p>
        </w:tc>
        <w:tc>
          <w:tcPr>
            <w:tcW w:w="60" w:type="dxa"/>
            <w:vAlign w:val="bottom"/>
            <w:shd w:val="clear" w:color="auto" w:fill="D3ECED"/>
          </w:tcPr>
          <w:p>
            <w:pPr>
              <w:jc w:val="right"/>
              <w:ind w:right="35"/>
              <w:spacing w:after="0"/>
              <w:rPr>
                <w:sz w:val="20"/>
                <w:szCs w:val="20"/>
                <w:color w:val="auto"/>
              </w:rPr>
            </w:pPr>
            <w:r>
              <w:rPr>
                <w:rFonts w:ascii="Arial" w:cs="Arial" w:eastAsia="Arial" w:hAnsi="Arial"/>
                <w:sz w:val="1"/>
                <w:szCs w:val="1"/>
                <w:color w:val="auto"/>
                <w:w w:val="4294967281"/>
                <w:shd w:val="clear" w:color="auto" w:fill="D3ECED"/>
              </w:rPr>
              <w:t>)</w:t>
            </w:r>
          </w:p>
        </w:tc>
      </w:tr>
      <w:tr>
        <w:trPr>
          <w:trHeight w:val="187"/>
        </w:trPr>
        <w:tc>
          <w:tcPr>
            <w:tcW w:w="6040" w:type="dxa"/>
            <w:vAlign w:val="bottom"/>
            <w:gridSpan w:val="2"/>
            <w:shd w:val="clear" w:color="auto" w:fill="FDFDFD"/>
          </w:tcPr>
          <w:p>
            <w:pPr>
              <w:ind w:left="380"/>
              <w:spacing w:after="0"/>
              <w:rPr>
                <w:sz w:val="20"/>
                <w:szCs w:val="20"/>
                <w:color w:val="auto"/>
              </w:rPr>
            </w:pPr>
            <w:r>
              <w:rPr>
                <w:rFonts w:ascii="Arial" w:cs="Arial" w:eastAsia="Arial" w:hAnsi="Arial"/>
                <w:sz w:val="15"/>
                <w:szCs w:val="15"/>
                <w:color w:val="auto"/>
              </w:rPr>
              <w:t>Inventory</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(2,668</w:t>
            </w:r>
          </w:p>
        </w:tc>
        <w:tc>
          <w:tcPr>
            <w:tcW w:w="80" w:type="dxa"/>
            <w:vAlign w:val="bottom"/>
            <w:shd w:val="clear" w:color="auto" w:fill="FDFDFD"/>
          </w:tcPr>
          <w:p>
            <w:pPr>
              <w:jc w:val="right"/>
              <w:ind w:right="2"/>
              <w:spacing w:after="0"/>
              <w:rPr>
                <w:sz w:val="20"/>
                <w:szCs w:val="20"/>
                <w:color w:val="auto"/>
              </w:rPr>
            </w:pPr>
            <w:r>
              <w:rPr>
                <w:rFonts w:ascii="Arial" w:cs="Arial" w:eastAsia="Arial" w:hAnsi="Arial"/>
                <w:sz w:val="8"/>
                <w:szCs w:val="8"/>
                <w:color w:val="auto"/>
                <w:highlight w:val="white"/>
                <w:w w:val="73"/>
              </w:rPr>
              <w:t>)</w:t>
            </w: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(1,948</w:t>
            </w:r>
          </w:p>
        </w:tc>
        <w:tc>
          <w:tcPr>
            <w:tcW w:w="60" w:type="dxa"/>
            <w:vAlign w:val="bottom"/>
            <w:shd w:val="clear" w:color="auto" w:fill="FDFDFD"/>
          </w:tcPr>
          <w:p>
            <w:pPr>
              <w:jc w:val="right"/>
              <w:ind w:right="35"/>
              <w:spacing w:after="0"/>
              <w:rPr>
                <w:sz w:val="20"/>
                <w:szCs w:val="20"/>
                <w:color w:val="auto"/>
              </w:rPr>
            </w:pPr>
            <w:r>
              <w:rPr>
                <w:rFonts w:ascii="Arial" w:cs="Arial" w:eastAsia="Arial" w:hAnsi="Arial"/>
                <w:sz w:val="1"/>
                <w:szCs w:val="1"/>
                <w:color w:val="auto"/>
                <w:highlight w:val="white"/>
                <w:w w:val="4294967281"/>
              </w:rPr>
              <w:t>)</w:t>
            </w:r>
          </w:p>
        </w:tc>
      </w:tr>
      <w:tr>
        <w:trPr>
          <w:trHeight w:val="187"/>
        </w:trPr>
        <w:tc>
          <w:tcPr>
            <w:tcW w:w="6040" w:type="dxa"/>
            <w:vAlign w:val="bottom"/>
            <w:gridSpan w:val="2"/>
            <w:shd w:val="clear" w:color="auto" w:fill="D3ECED"/>
          </w:tcPr>
          <w:p>
            <w:pPr>
              <w:ind w:left="380"/>
              <w:spacing w:after="0"/>
              <w:rPr>
                <w:sz w:val="20"/>
                <w:szCs w:val="20"/>
                <w:color w:val="auto"/>
              </w:rPr>
            </w:pPr>
            <w:r>
              <w:rPr>
                <w:rFonts w:ascii="Arial" w:cs="Arial" w:eastAsia="Arial" w:hAnsi="Arial"/>
                <w:sz w:val="15"/>
                <w:szCs w:val="15"/>
                <w:color w:val="auto"/>
              </w:rPr>
              <w:t>Accounts payable</w:t>
            </w:r>
          </w:p>
        </w:tc>
        <w:tc>
          <w:tcPr>
            <w:tcW w:w="2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3,355</w:t>
            </w:r>
          </w:p>
        </w:tc>
        <w:tc>
          <w:tcPr>
            <w:tcW w:w="80" w:type="dxa"/>
            <w:vAlign w:val="bottom"/>
            <w:shd w:val="clear" w:color="auto" w:fill="D3ECED"/>
          </w:tcPr>
          <w:p>
            <w:pPr>
              <w:spacing w:after="0"/>
              <w:rPr>
                <w:sz w:val="16"/>
                <w:szCs w:val="16"/>
                <w:color w:val="auto"/>
              </w:rPr>
            </w:pPr>
          </w:p>
        </w:tc>
        <w:tc>
          <w:tcPr>
            <w:tcW w:w="14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(987)</w:t>
            </w:r>
          </w:p>
        </w:tc>
        <w:tc>
          <w:tcPr>
            <w:tcW w:w="60" w:type="dxa"/>
            <w:vAlign w:val="bottom"/>
            <w:shd w:val="clear" w:color="auto" w:fill="D3ECED"/>
          </w:tcPr>
          <w:p>
            <w:pPr>
              <w:spacing w:after="0"/>
              <w:rPr>
                <w:sz w:val="16"/>
                <w:szCs w:val="16"/>
                <w:color w:val="auto"/>
              </w:rPr>
            </w:pPr>
          </w:p>
        </w:tc>
      </w:tr>
      <w:tr>
        <w:trPr>
          <w:trHeight w:val="187"/>
        </w:trPr>
        <w:tc>
          <w:tcPr>
            <w:tcW w:w="6040" w:type="dxa"/>
            <w:vAlign w:val="bottom"/>
            <w:gridSpan w:val="2"/>
            <w:shd w:val="clear" w:color="auto" w:fill="FDFDFD"/>
          </w:tcPr>
          <w:p>
            <w:pPr>
              <w:ind w:left="380"/>
              <w:spacing w:after="0"/>
              <w:rPr>
                <w:sz w:val="20"/>
                <w:szCs w:val="20"/>
                <w:color w:val="auto"/>
              </w:rPr>
            </w:pPr>
            <w:r>
              <w:rPr>
                <w:rFonts w:ascii="Arial" w:cs="Arial" w:eastAsia="Arial" w:hAnsi="Arial"/>
                <w:sz w:val="15"/>
                <w:szCs w:val="15"/>
                <w:color w:val="auto"/>
              </w:rPr>
              <w:t>Deferred revenue</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202</w:t>
            </w: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73</w:t>
            </w:r>
          </w:p>
        </w:tc>
        <w:tc>
          <w:tcPr>
            <w:tcW w:w="60" w:type="dxa"/>
            <w:vAlign w:val="bottom"/>
            <w:shd w:val="clear" w:color="auto" w:fill="FDFDFD"/>
          </w:tcPr>
          <w:p>
            <w:pPr>
              <w:spacing w:after="0"/>
              <w:rPr>
                <w:sz w:val="16"/>
                <w:szCs w:val="16"/>
                <w:color w:val="auto"/>
              </w:rPr>
            </w:pPr>
          </w:p>
        </w:tc>
      </w:tr>
      <w:tr>
        <w:trPr>
          <w:trHeight w:val="212"/>
        </w:trPr>
        <w:tc>
          <w:tcPr>
            <w:tcW w:w="6040" w:type="dxa"/>
            <w:vAlign w:val="bottom"/>
            <w:tcBorders>
              <w:bottom w:val="single" w:sz="8" w:color="D3ECED"/>
            </w:tcBorders>
            <w:gridSpan w:val="2"/>
            <w:shd w:val="clear" w:color="auto" w:fill="D3ECED"/>
          </w:tcPr>
          <w:p>
            <w:pPr>
              <w:ind w:left="380"/>
              <w:spacing w:after="0"/>
              <w:rPr>
                <w:sz w:val="20"/>
                <w:szCs w:val="20"/>
                <w:color w:val="auto"/>
              </w:rPr>
            </w:pPr>
            <w:r>
              <w:rPr>
                <w:rFonts w:ascii="Arial" w:cs="Arial" w:eastAsia="Arial" w:hAnsi="Arial"/>
                <w:sz w:val="15"/>
                <w:szCs w:val="15"/>
                <w:color w:val="auto"/>
              </w:rPr>
              <w:t>Accrued liabilities and other liabilities</w:t>
            </w:r>
          </w:p>
        </w:tc>
        <w:tc>
          <w:tcPr>
            <w:tcW w:w="20" w:type="dxa"/>
            <w:vAlign w:val="bottom"/>
            <w:tcBorders>
              <w:bottom w:val="single" w:sz="8" w:color="auto"/>
            </w:tcBorders>
            <w:shd w:val="clear" w:color="auto" w:fill="D3ECED"/>
          </w:tcPr>
          <w:p>
            <w:pPr>
              <w:spacing w:after="0"/>
              <w:rPr>
                <w:sz w:val="18"/>
                <w:szCs w:val="18"/>
                <w:color w:val="auto"/>
              </w:rPr>
            </w:pPr>
          </w:p>
        </w:tc>
        <w:tc>
          <w:tcPr>
            <w:tcW w:w="80" w:type="dxa"/>
            <w:vAlign w:val="bottom"/>
            <w:tcBorders>
              <w:bottom w:val="single" w:sz="8" w:color="auto"/>
            </w:tcBorders>
            <w:shd w:val="clear" w:color="auto" w:fill="D3ECED"/>
          </w:tcPr>
          <w:p>
            <w:pPr>
              <w:spacing w:after="0"/>
              <w:rPr>
                <w:sz w:val="18"/>
                <w:szCs w:val="18"/>
                <w:color w:val="auto"/>
              </w:rPr>
            </w:pPr>
          </w:p>
        </w:tc>
        <w:tc>
          <w:tcPr>
            <w:tcW w:w="116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5"/>
                <w:szCs w:val="15"/>
                <w:color w:val="auto"/>
              </w:rPr>
              <w:t>(1,428</w:t>
            </w:r>
          </w:p>
        </w:tc>
        <w:tc>
          <w:tcPr>
            <w:tcW w:w="80" w:type="dxa"/>
            <w:vAlign w:val="bottom"/>
            <w:tcBorders>
              <w:bottom w:val="single" w:sz="8" w:color="D3ECED"/>
            </w:tcBorders>
            <w:shd w:val="clear" w:color="auto" w:fill="D3ECED"/>
          </w:tcPr>
          <w:p>
            <w:pPr>
              <w:jc w:val="right"/>
              <w:ind w:right="2"/>
              <w:spacing w:after="0"/>
              <w:rPr>
                <w:sz w:val="20"/>
                <w:szCs w:val="20"/>
                <w:color w:val="auto"/>
              </w:rPr>
            </w:pPr>
            <w:r>
              <w:rPr>
                <w:rFonts w:ascii="Arial" w:cs="Arial" w:eastAsia="Arial" w:hAnsi="Arial"/>
                <w:sz w:val="8"/>
                <w:szCs w:val="8"/>
                <w:color w:val="auto"/>
                <w:w w:val="73"/>
                <w:shd w:val="clear" w:color="auto" w:fill="D3ECED"/>
              </w:rPr>
              <w:t>)</w:t>
            </w:r>
          </w:p>
        </w:tc>
        <w:tc>
          <w:tcPr>
            <w:tcW w:w="140" w:type="dxa"/>
            <w:vAlign w:val="bottom"/>
            <w:tcBorders>
              <w:bottom w:val="single" w:sz="8" w:color="D3ECED"/>
            </w:tcBorders>
            <w:shd w:val="clear" w:color="auto" w:fill="D3ECED"/>
          </w:tcPr>
          <w:p>
            <w:pPr>
              <w:spacing w:after="0"/>
              <w:rPr>
                <w:sz w:val="18"/>
                <w:szCs w:val="18"/>
                <w:color w:val="auto"/>
              </w:rPr>
            </w:pPr>
          </w:p>
        </w:tc>
        <w:tc>
          <w:tcPr>
            <w:tcW w:w="80" w:type="dxa"/>
            <w:vAlign w:val="bottom"/>
            <w:tcBorders>
              <w:bottom w:val="single" w:sz="8" w:color="auto"/>
            </w:tcBorders>
            <w:shd w:val="clear" w:color="auto" w:fill="D3ECED"/>
          </w:tcPr>
          <w:p>
            <w:pPr>
              <w:spacing w:after="0"/>
              <w:rPr>
                <w:sz w:val="18"/>
                <w:szCs w:val="18"/>
                <w:color w:val="auto"/>
              </w:rPr>
            </w:pPr>
          </w:p>
        </w:tc>
        <w:tc>
          <w:tcPr>
            <w:tcW w:w="1180" w:type="dxa"/>
            <w:vAlign w:val="bottom"/>
            <w:tcBorders>
              <w:bottom w:val="single" w:sz="8" w:color="auto"/>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1,149</w:t>
            </w:r>
          </w:p>
        </w:tc>
        <w:tc>
          <w:tcPr>
            <w:tcW w:w="60" w:type="dxa"/>
            <w:vAlign w:val="bottom"/>
            <w:tcBorders>
              <w:bottom w:val="single" w:sz="8" w:color="D3ECED"/>
            </w:tcBorders>
            <w:shd w:val="clear" w:color="auto" w:fill="D3ECED"/>
          </w:tcPr>
          <w:p>
            <w:pPr>
              <w:spacing w:after="0"/>
              <w:rPr>
                <w:sz w:val="18"/>
                <w:szCs w:val="18"/>
                <w:color w:val="auto"/>
              </w:rPr>
            </w:pPr>
          </w:p>
        </w:tc>
      </w:tr>
      <w:tr>
        <w:trPr>
          <w:trHeight w:val="157"/>
        </w:trPr>
        <w:tc>
          <w:tcPr>
            <w:tcW w:w="6040" w:type="dxa"/>
            <w:vAlign w:val="bottom"/>
            <w:tcBorders>
              <w:top w:val="single" w:sz="8" w:color="FDFDFD"/>
              <w:bottom w:val="single" w:sz="8" w:color="D3ECED"/>
            </w:tcBorders>
            <w:gridSpan w:val="2"/>
            <w:shd w:val="clear" w:color="auto" w:fill="FDFDFD"/>
          </w:tcPr>
          <w:p>
            <w:pPr>
              <w:ind w:left="560"/>
              <w:spacing w:after="0" w:line="157" w:lineRule="exact"/>
              <w:rPr>
                <w:sz w:val="20"/>
                <w:szCs w:val="20"/>
                <w:color w:val="auto"/>
              </w:rPr>
            </w:pPr>
            <w:r>
              <w:rPr>
                <w:rFonts w:ascii="Arial" w:cs="Arial" w:eastAsia="Arial" w:hAnsi="Arial"/>
                <w:sz w:val="15"/>
                <w:szCs w:val="15"/>
                <w:color w:val="auto"/>
              </w:rPr>
              <w:t>Net cash used in operating activities</w:t>
            </w:r>
          </w:p>
        </w:tc>
        <w:tc>
          <w:tcPr>
            <w:tcW w:w="20" w:type="dxa"/>
            <w:vAlign w:val="bottom"/>
            <w:tcBorders>
              <w:top w:val="single" w:sz="8" w:color="auto"/>
              <w:bottom w:val="single" w:sz="8" w:color="auto"/>
            </w:tcBorders>
            <w:shd w:val="clear" w:color="auto" w:fill="FDFDFD"/>
          </w:tcPr>
          <w:p>
            <w:pPr>
              <w:spacing w:after="0"/>
              <w:rPr>
                <w:sz w:val="13"/>
                <w:szCs w:val="13"/>
                <w:color w:val="auto"/>
              </w:rPr>
            </w:pPr>
          </w:p>
        </w:tc>
        <w:tc>
          <w:tcPr>
            <w:tcW w:w="80" w:type="dxa"/>
            <w:vAlign w:val="bottom"/>
            <w:tcBorders>
              <w:top w:val="single" w:sz="8" w:color="auto"/>
              <w:bottom w:val="single" w:sz="8" w:color="auto"/>
            </w:tcBorders>
            <w:shd w:val="clear" w:color="auto" w:fill="FDFDFD"/>
          </w:tcPr>
          <w:p>
            <w:pPr>
              <w:spacing w:after="0"/>
              <w:rPr>
                <w:sz w:val="13"/>
                <w:szCs w:val="13"/>
                <w:color w:val="auto"/>
              </w:rPr>
            </w:pPr>
          </w:p>
        </w:tc>
        <w:tc>
          <w:tcPr>
            <w:tcW w:w="1160" w:type="dxa"/>
            <w:vAlign w:val="bottom"/>
            <w:tcBorders>
              <w:top w:val="single" w:sz="8" w:color="auto"/>
              <w:bottom w:val="single" w:sz="8" w:color="auto"/>
            </w:tcBorders>
            <w:shd w:val="clear" w:color="auto" w:fill="FDFDFD"/>
          </w:tcPr>
          <w:p>
            <w:pPr>
              <w:jc w:val="right"/>
              <w:spacing w:after="0" w:line="157" w:lineRule="exact"/>
              <w:rPr>
                <w:sz w:val="20"/>
                <w:szCs w:val="20"/>
                <w:color w:val="auto"/>
              </w:rPr>
            </w:pPr>
            <w:r>
              <w:rPr>
                <w:rFonts w:ascii="Arial" w:cs="Arial" w:eastAsia="Arial" w:hAnsi="Arial"/>
                <w:sz w:val="15"/>
                <w:szCs w:val="15"/>
                <w:color w:val="auto"/>
              </w:rPr>
              <w:t>(46,109)</w:t>
            </w:r>
          </w:p>
        </w:tc>
        <w:tc>
          <w:tcPr>
            <w:tcW w:w="80" w:type="dxa"/>
            <w:vAlign w:val="bottom"/>
            <w:tcBorders>
              <w:top w:val="single" w:sz="8" w:color="FDFDFD"/>
              <w:bottom w:val="single" w:sz="8" w:color="D3ECED"/>
            </w:tcBorders>
            <w:shd w:val="clear" w:color="auto" w:fill="FDFDFD"/>
          </w:tcPr>
          <w:p>
            <w:pPr>
              <w:spacing w:after="0"/>
              <w:rPr>
                <w:sz w:val="13"/>
                <w:szCs w:val="13"/>
                <w:color w:val="auto"/>
              </w:rPr>
            </w:pPr>
          </w:p>
        </w:tc>
        <w:tc>
          <w:tcPr>
            <w:tcW w:w="140" w:type="dxa"/>
            <w:vAlign w:val="bottom"/>
            <w:tcBorders>
              <w:top w:val="single" w:sz="8" w:color="FDFDFD"/>
              <w:bottom w:val="single" w:sz="8" w:color="D3ECED"/>
            </w:tcBorders>
            <w:shd w:val="clear" w:color="auto" w:fill="FDFDFD"/>
          </w:tcPr>
          <w:p>
            <w:pPr>
              <w:spacing w:after="0"/>
              <w:rPr>
                <w:sz w:val="13"/>
                <w:szCs w:val="13"/>
                <w:color w:val="auto"/>
              </w:rPr>
            </w:pPr>
          </w:p>
        </w:tc>
        <w:tc>
          <w:tcPr>
            <w:tcW w:w="80" w:type="dxa"/>
            <w:vAlign w:val="bottom"/>
            <w:tcBorders>
              <w:top w:val="single" w:sz="8" w:color="auto"/>
              <w:bottom w:val="single" w:sz="8" w:color="auto"/>
            </w:tcBorders>
            <w:shd w:val="clear" w:color="auto" w:fill="FDFDFD"/>
          </w:tcPr>
          <w:p>
            <w:pPr>
              <w:spacing w:after="0"/>
              <w:rPr>
                <w:sz w:val="13"/>
                <w:szCs w:val="13"/>
                <w:color w:val="auto"/>
              </w:rPr>
            </w:pPr>
          </w:p>
        </w:tc>
        <w:tc>
          <w:tcPr>
            <w:tcW w:w="1180" w:type="dxa"/>
            <w:vAlign w:val="bottom"/>
            <w:tcBorders>
              <w:top w:val="single" w:sz="8" w:color="auto"/>
              <w:bottom w:val="single" w:sz="8" w:color="auto"/>
              <w:right w:val="single" w:sz="8" w:color="FDFDFD"/>
            </w:tcBorders>
            <w:shd w:val="clear" w:color="auto" w:fill="FDFDFD"/>
          </w:tcPr>
          <w:p>
            <w:pPr>
              <w:jc w:val="right"/>
              <w:spacing w:after="0" w:line="157" w:lineRule="exact"/>
              <w:rPr>
                <w:sz w:val="20"/>
                <w:szCs w:val="20"/>
                <w:color w:val="auto"/>
              </w:rPr>
            </w:pPr>
            <w:r>
              <w:rPr>
                <w:rFonts w:ascii="Arial" w:cs="Arial" w:eastAsia="Arial" w:hAnsi="Arial"/>
                <w:sz w:val="15"/>
                <w:szCs w:val="15"/>
                <w:color w:val="auto"/>
              </w:rPr>
              <w:t>(59,065)</w:t>
            </w:r>
          </w:p>
        </w:tc>
        <w:tc>
          <w:tcPr>
            <w:tcW w:w="60" w:type="dxa"/>
            <w:vAlign w:val="bottom"/>
            <w:tcBorders>
              <w:top w:val="single" w:sz="8" w:color="FDFDFD"/>
              <w:bottom w:val="single" w:sz="8" w:color="D3ECED"/>
            </w:tcBorders>
            <w:shd w:val="clear" w:color="auto" w:fill="FDFDFD"/>
          </w:tcPr>
          <w:p>
            <w:pPr>
              <w:spacing w:after="0"/>
              <w:rPr>
                <w:sz w:val="13"/>
                <w:szCs w:val="13"/>
                <w:color w:val="auto"/>
              </w:rPr>
            </w:pPr>
          </w:p>
        </w:tc>
      </w:tr>
      <w:tr>
        <w:trPr>
          <w:trHeight w:val="174"/>
        </w:trPr>
        <w:tc>
          <w:tcPr>
            <w:tcW w:w="6040" w:type="dxa"/>
            <w:vAlign w:val="bottom"/>
            <w:gridSpan w:val="2"/>
            <w:shd w:val="clear" w:color="auto" w:fill="D3ECED"/>
          </w:tcPr>
          <w:p>
            <w:pPr>
              <w:spacing w:after="0"/>
              <w:rPr>
                <w:sz w:val="20"/>
                <w:szCs w:val="20"/>
                <w:color w:val="auto"/>
              </w:rPr>
            </w:pPr>
            <w:r>
              <w:rPr>
                <w:rFonts w:ascii="Arial" w:cs="Arial" w:eastAsia="Arial" w:hAnsi="Arial"/>
                <w:sz w:val="15"/>
                <w:szCs w:val="15"/>
                <w:b w:val="1"/>
                <w:bCs w:val="1"/>
                <w:color w:val="auto"/>
              </w:rPr>
              <w:t>INVESTING ACTIVITIES</w:t>
            </w:r>
          </w:p>
        </w:tc>
        <w:tc>
          <w:tcPr>
            <w:tcW w:w="20" w:type="dxa"/>
            <w:vAlign w:val="bottom"/>
            <w:shd w:val="clear" w:color="auto" w:fill="D3ECED"/>
          </w:tcPr>
          <w:p>
            <w:pPr>
              <w:spacing w:after="0"/>
              <w:rPr>
                <w:sz w:val="15"/>
                <w:szCs w:val="15"/>
                <w:color w:val="auto"/>
              </w:rPr>
            </w:pPr>
          </w:p>
        </w:tc>
        <w:tc>
          <w:tcPr>
            <w:tcW w:w="80" w:type="dxa"/>
            <w:vAlign w:val="bottom"/>
            <w:shd w:val="clear" w:color="auto" w:fill="D3ECED"/>
          </w:tcPr>
          <w:p>
            <w:pPr>
              <w:spacing w:after="0"/>
              <w:rPr>
                <w:sz w:val="15"/>
                <w:szCs w:val="15"/>
                <w:color w:val="auto"/>
              </w:rPr>
            </w:pPr>
          </w:p>
        </w:tc>
        <w:tc>
          <w:tcPr>
            <w:tcW w:w="1160" w:type="dxa"/>
            <w:vAlign w:val="bottom"/>
            <w:shd w:val="clear" w:color="auto" w:fill="D3ECED"/>
          </w:tcPr>
          <w:p>
            <w:pPr>
              <w:spacing w:after="0"/>
              <w:rPr>
                <w:sz w:val="15"/>
                <w:szCs w:val="15"/>
                <w:color w:val="auto"/>
              </w:rPr>
            </w:pPr>
          </w:p>
        </w:tc>
        <w:tc>
          <w:tcPr>
            <w:tcW w:w="80" w:type="dxa"/>
            <w:vAlign w:val="bottom"/>
            <w:shd w:val="clear" w:color="auto" w:fill="D3ECED"/>
          </w:tcPr>
          <w:p>
            <w:pPr>
              <w:spacing w:after="0"/>
              <w:rPr>
                <w:sz w:val="15"/>
                <w:szCs w:val="15"/>
                <w:color w:val="auto"/>
              </w:rPr>
            </w:pPr>
          </w:p>
        </w:tc>
        <w:tc>
          <w:tcPr>
            <w:tcW w:w="140" w:type="dxa"/>
            <w:vAlign w:val="bottom"/>
            <w:shd w:val="clear" w:color="auto" w:fill="D3ECED"/>
          </w:tcPr>
          <w:p>
            <w:pPr>
              <w:spacing w:after="0"/>
              <w:rPr>
                <w:sz w:val="15"/>
                <w:szCs w:val="15"/>
                <w:color w:val="auto"/>
              </w:rPr>
            </w:pPr>
          </w:p>
        </w:tc>
        <w:tc>
          <w:tcPr>
            <w:tcW w:w="80" w:type="dxa"/>
            <w:vAlign w:val="bottom"/>
            <w:shd w:val="clear" w:color="auto" w:fill="D3ECED"/>
          </w:tcPr>
          <w:p>
            <w:pPr>
              <w:spacing w:after="0"/>
              <w:rPr>
                <w:sz w:val="15"/>
                <w:szCs w:val="15"/>
                <w:color w:val="auto"/>
              </w:rPr>
            </w:pPr>
          </w:p>
        </w:tc>
        <w:tc>
          <w:tcPr>
            <w:tcW w:w="1180" w:type="dxa"/>
            <w:vAlign w:val="bottom"/>
            <w:tcBorders>
              <w:right w:val="single" w:sz="8" w:color="D3ECED"/>
            </w:tcBorders>
            <w:shd w:val="clear" w:color="auto" w:fill="D3ECED"/>
          </w:tcPr>
          <w:p>
            <w:pPr>
              <w:spacing w:after="0"/>
              <w:rPr>
                <w:sz w:val="15"/>
                <w:szCs w:val="15"/>
                <w:color w:val="auto"/>
              </w:rPr>
            </w:pPr>
          </w:p>
        </w:tc>
        <w:tc>
          <w:tcPr>
            <w:tcW w:w="60" w:type="dxa"/>
            <w:vAlign w:val="bottom"/>
            <w:shd w:val="clear" w:color="auto" w:fill="D3ECED"/>
          </w:tcPr>
          <w:p>
            <w:pPr>
              <w:spacing w:after="0"/>
              <w:rPr>
                <w:sz w:val="15"/>
                <w:szCs w:val="15"/>
                <w:color w:val="auto"/>
              </w:rPr>
            </w:pPr>
          </w:p>
        </w:tc>
      </w:tr>
      <w:tr>
        <w:trPr>
          <w:trHeight w:val="187"/>
        </w:trPr>
        <w:tc>
          <w:tcPr>
            <w:tcW w:w="6040" w:type="dxa"/>
            <w:vAlign w:val="bottom"/>
            <w:gridSpan w:val="2"/>
            <w:shd w:val="clear" w:color="auto" w:fill="FDFDFD"/>
          </w:tcPr>
          <w:p>
            <w:pPr>
              <w:spacing w:after="0"/>
              <w:rPr>
                <w:sz w:val="20"/>
                <w:szCs w:val="20"/>
                <w:color w:val="auto"/>
              </w:rPr>
            </w:pPr>
            <w:r>
              <w:rPr>
                <w:rFonts w:ascii="Arial" w:cs="Arial" w:eastAsia="Arial" w:hAnsi="Arial"/>
                <w:sz w:val="15"/>
                <w:szCs w:val="15"/>
                <w:color w:val="auto"/>
              </w:rPr>
              <w:t>Purchases of property and equipment</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(3,584</w:t>
            </w:r>
          </w:p>
        </w:tc>
        <w:tc>
          <w:tcPr>
            <w:tcW w:w="80" w:type="dxa"/>
            <w:vAlign w:val="bottom"/>
            <w:shd w:val="clear" w:color="auto" w:fill="FDFDFD"/>
          </w:tcPr>
          <w:p>
            <w:pPr>
              <w:jc w:val="right"/>
              <w:ind w:right="2"/>
              <w:spacing w:after="0"/>
              <w:rPr>
                <w:sz w:val="20"/>
                <w:szCs w:val="20"/>
                <w:color w:val="auto"/>
              </w:rPr>
            </w:pPr>
            <w:r>
              <w:rPr>
                <w:rFonts w:ascii="Arial" w:cs="Arial" w:eastAsia="Arial" w:hAnsi="Arial"/>
                <w:sz w:val="8"/>
                <w:szCs w:val="8"/>
                <w:color w:val="auto"/>
                <w:highlight w:val="white"/>
                <w:w w:val="73"/>
              </w:rPr>
              <w:t>)</w:t>
            </w: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(7,309</w:t>
            </w:r>
          </w:p>
        </w:tc>
        <w:tc>
          <w:tcPr>
            <w:tcW w:w="60" w:type="dxa"/>
            <w:vAlign w:val="bottom"/>
            <w:shd w:val="clear" w:color="auto" w:fill="FDFDFD"/>
          </w:tcPr>
          <w:p>
            <w:pPr>
              <w:jc w:val="right"/>
              <w:ind w:right="35"/>
              <w:spacing w:after="0"/>
              <w:rPr>
                <w:sz w:val="20"/>
                <w:szCs w:val="20"/>
                <w:color w:val="auto"/>
              </w:rPr>
            </w:pPr>
            <w:r>
              <w:rPr>
                <w:rFonts w:ascii="Arial" w:cs="Arial" w:eastAsia="Arial" w:hAnsi="Arial"/>
                <w:sz w:val="1"/>
                <w:szCs w:val="1"/>
                <w:color w:val="auto"/>
                <w:highlight w:val="white"/>
                <w:w w:val="4294967281"/>
              </w:rPr>
              <w:t>)</w:t>
            </w:r>
          </w:p>
        </w:tc>
      </w:tr>
      <w:tr>
        <w:trPr>
          <w:trHeight w:val="187"/>
        </w:trPr>
        <w:tc>
          <w:tcPr>
            <w:tcW w:w="6040" w:type="dxa"/>
            <w:vAlign w:val="bottom"/>
            <w:gridSpan w:val="2"/>
            <w:shd w:val="clear" w:color="auto" w:fill="D3ECED"/>
          </w:tcPr>
          <w:p>
            <w:pPr>
              <w:spacing w:after="0"/>
              <w:rPr>
                <w:sz w:val="20"/>
                <w:szCs w:val="20"/>
                <w:color w:val="auto"/>
              </w:rPr>
            </w:pPr>
            <w:r>
              <w:rPr>
                <w:rFonts w:ascii="Arial" w:cs="Arial" w:eastAsia="Arial" w:hAnsi="Arial"/>
                <w:sz w:val="15"/>
                <w:szCs w:val="15"/>
                <w:color w:val="auto"/>
              </w:rPr>
              <w:t>Proceeds from disposal of property and equipment</w:t>
            </w:r>
          </w:p>
        </w:tc>
        <w:tc>
          <w:tcPr>
            <w:tcW w:w="2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343</w:t>
            </w:r>
          </w:p>
        </w:tc>
        <w:tc>
          <w:tcPr>
            <w:tcW w:w="80" w:type="dxa"/>
            <w:vAlign w:val="bottom"/>
            <w:shd w:val="clear" w:color="auto" w:fill="D3ECED"/>
          </w:tcPr>
          <w:p>
            <w:pPr>
              <w:spacing w:after="0"/>
              <w:rPr>
                <w:sz w:val="16"/>
                <w:szCs w:val="16"/>
                <w:color w:val="auto"/>
              </w:rPr>
            </w:pPr>
          </w:p>
        </w:tc>
        <w:tc>
          <w:tcPr>
            <w:tcW w:w="14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D3ECED"/>
          </w:tcPr>
          <w:p>
            <w:pPr>
              <w:spacing w:after="0"/>
              <w:rPr>
                <w:sz w:val="16"/>
                <w:szCs w:val="16"/>
                <w:color w:val="auto"/>
              </w:rPr>
            </w:pPr>
          </w:p>
        </w:tc>
      </w:tr>
      <w:tr>
        <w:trPr>
          <w:trHeight w:val="187"/>
        </w:trPr>
        <w:tc>
          <w:tcPr>
            <w:tcW w:w="6040" w:type="dxa"/>
            <w:vAlign w:val="bottom"/>
            <w:gridSpan w:val="2"/>
            <w:shd w:val="clear" w:color="auto" w:fill="FDFDFD"/>
          </w:tcPr>
          <w:p>
            <w:pPr>
              <w:spacing w:after="0"/>
              <w:rPr>
                <w:sz w:val="20"/>
                <w:szCs w:val="20"/>
                <w:color w:val="auto"/>
              </w:rPr>
            </w:pPr>
            <w:r>
              <w:rPr>
                <w:rFonts w:ascii="Arial" w:cs="Arial" w:eastAsia="Arial" w:hAnsi="Arial"/>
                <w:sz w:val="15"/>
                <w:szCs w:val="15"/>
                <w:color w:val="auto"/>
              </w:rPr>
              <w:t>Purchases of available-for-sale securities</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(262,926</w:t>
            </w:r>
          </w:p>
        </w:tc>
        <w:tc>
          <w:tcPr>
            <w:tcW w:w="80" w:type="dxa"/>
            <w:vAlign w:val="bottom"/>
            <w:shd w:val="clear" w:color="auto" w:fill="FDFDFD"/>
          </w:tcPr>
          <w:p>
            <w:pPr>
              <w:jc w:val="right"/>
              <w:ind w:right="2"/>
              <w:spacing w:after="0"/>
              <w:rPr>
                <w:sz w:val="20"/>
                <w:szCs w:val="20"/>
                <w:color w:val="auto"/>
              </w:rPr>
            </w:pPr>
            <w:r>
              <w:rPr>
                <w:rFonts w:ascii="Arial" w:cs="Arial" w:eastAsia="Arial" w:hAnsi="Arial"/>
                <w:sz w:val="8"/>
                <w:szCs w:val="8"/>
                <w:color w:val="auto"/>
                <w:highlight w:val="white"/>
                <w:w w:val="73"/>
              </w:rPr>
              <w:t>)</w:t>
            </w: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(403,092</w:t>
            </w:r>
          </w:p>
        </w:tc>
        <w:tc>
          <w:tcPr>
            <w:tcW w:w="60" w:type="dxa"/>
            <w:vAlign w:val="bottom"/>
            <w:shd w:val="clear" w:color="auto" w:fill="FDFDFD"/>
          </w:tcPr>
          <w:p>
            <w:pPr>
              <w:jc w:val="right"/>
              <w:ind w:right="35"/>
              <w:spacing w:after="0"/>
              <w:rPr>
                <w:sz w:val="20"/>
                <w:szCs w:val="20"/>
                <w:color w:val="auto"/>
              </w:rPr>
            </w:pPr>
            <w:r>
              <w:rPr>
                <w:rFonts w:ascii="Arial" w:cs="Arial" w:eastAsia="Arial" w:hAnsi="Arial"/>
                <w:sz w:val="1"/>
                <w:szCs w:val="1"/>
                <w:color w:val="auto"/>
                <w:highlight w:val="white"/>
                <w:w w:val="4294967281"/>
              </w:rPr>
              <w:t>)</w:t>
            </w:r>
          </w:p>
        </w:tc>
      </w:tr>
      <w:tr>
        <w:trPr>
          <w:trHeight w:val="199"/>
        </w:trPr>
        <w:tc>
          <w:tcPr>
            <w:tcW w:w="6040" w:type="dxa"/>
            <w:vAlign w:val="bottom"/>
            <w:gridSpan w:val="2"/>
            <w:shd w:val="clear" w:color="auto" w:fill="D3ECED"/>
          </w:tcPr>
          <w:p>
            <w:pPr>
              <w:spacing w:after="0"/>
              <w:rPr>
                <w:sz w:val="20"/>
                <w:szCs w:val="20"/>
                <w:color w:val="auto"/>
              </w:rPr>
            </w:pPr>
            <w:r>
              <w:rPr>
                <w:rFonts w:ascii="Arial" w:cs="Arial" w:eastAsia="Arial" w:hAnsi="Arial"/>
                <w:sz w:val="15"/>
                <w:szCs w:val="15"/>
                <w:color w:val="auto"/>
              </w:rPr>
              <w:t>Proceeds from sale of available-for-sale securities</w:t>
            </w:r>
          </w:p>
        </w:tc>
        <w:tc>
          <w:tcPr>
            <w:tcW w:w="20" w:type="dxa"/>
            <w:vAlign w:val="bottom"/>
            <w:shd w:val="clear" w:color="auto" w:fill="D3ECED"/>
          </w:tcPr>
          <w:p>
            <w:pPr>
              <w:spacing w:after="0"/>
              <w:rPr>
                <w:sz w:val="17"/>
                <w:szCs w:val="17"/>
                <w:color w:val="auto"/>
              </w:rPr>
            </w:pPr>
          </w:p>
        </w:tc>
        <w:tc>
          <w:tcPr>
            <w:tcW w:w="80" w:type="dxa"/>
            <w:vAlign w:val="bottom"/>
            <w:shd w:val="clear" w:color="auto" w:fill="D3ECED"/>
          </w:tcPr>
          <w:p>
            <w:pPr>
              <w:spacing w:after="0"/>
              <w:rPr>
                <w:sz w:val="17"/>
                <w:szCs w:val="17"/>
                <w:color w:val="auto"/>
              </w:rPr>
            </w:pPr>
          </w:p>
        </w:tc>
        <w:tc>
          <w:tcPr>
            <w:tcW w:w="1240" w:type="dxa"/>
            <w:vAlign w:val="bottom"/>
            <w:gridSpan w:val="2"/>
            <w:shd w:val="clear" w:color="auto" w:fill="D3ECED"/>
          </w:tcPr>
          <w:p>
            <w:pPr>
              <w:jc w:val="right"/>
              <w:ind w:right="62"/>
              <w:spacing w:after="0"/>
              <w:rPr>
                <w:sz w:val="20"/>
                <w:szCs w:val="20"/>
                <w:color w:val="auto"/>
              </w:rPr>
            </w:pPr>
            <w:r>
              <w:rPr>
                <w:rFonts w:ascii="Arial" w:cs="Arial" w:eastAsia="Arial" w:hAnsi="Arial"/>
                <w:sz w:val="15"/>
                <w:szCs w:val="15"/>
                <w:color w:val="auto"/>
              </w:rPr>
              <w:t>—</w:t>
            </w:r>
          </w:p>
        </w:tc>
        <w:tc>
          <w:tcPr>
            <w:tcW w:w="140" w:type="dxa"/>
            <w:vAlign w:val="bottom"/>
            <w:shd w:val="clear" w:color="auto" w:fill="D3ECED"/>
          </w:tcPr>
          <w:p>
            <w:pPr>
              <w:spacing w:after="0"/>
              <w:rPr>
                <w:sz w:val="17"/>
                <w:szCs w:val="17"/>
                <w:color w:val="auto"/>
              </w:rPr>
            </w:pPr>
          </w:p>
        </w:tc>
        <w:tc>
          <w:tcPr>
            <w:tcW w:w="80" w:type="dxa"/>
            <w:vAlign w:val="bottom"/>
            <w:shd w:val="clear" w:color="auto" w:fill="D3ECED"/>
          </w:tcPr>
          <w:p>
            <w:pPr>
              <w:spacing w:after="0"/>
              <w:rPr>
                <w:sz w:val="17"/>
                <w:szCs w:val="17"/>
                <w:color w:val="auto"/>
              </w:rPr>
            </w:pP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2,990</w:t>
            </w:r>
          </w:p>
        </w:tc>
        <w:tc>
          <w:tcPr>
            <w:tcW w:w="60" w:type="dxa"/>
            <w:vAlign w:val="bottom"/>
            <w:shd w:val="clear" w:color="auto" w:fill="D3ECED"/>
          </w:tcPr>
          <w:p>
            <w:pPr>
              <w:spacing w:after="0"/>
              <w:rPr>
                <w:sz w:val="17"/>
                <w:szCs w:val="17"/>
                <w:color w:val="auto"/>
              </w:rPr>
            </w:pPr>
          </w:p>
        </w:tc>
      </w:tr>
      <w:tr>
        <w:trPr>
          <w:trHeight w:val="185"/>
        </w:trPr>
        <w:tc>
          <w:tcPr>
            <w:tcW w:w="6040" w:type="dxa"/>
            <w:vAlign w:val="bottom"/>
            <w:gridSpan w:val="2"/>
            <w:shd w:val="clear" w:color="auto" w:fill="FDFDFD"/>
          </w:tcPr>
          <w:p>
            <w:pPr>
              <w:spacing w:after="0"/>
              <w:rPr>
                <w:sz w:val="20"/>
                <w:szCs w:val="20"/>
                <w:color w:val="auto"/>
              </w:rPr>
            </w:pPr>
            <w:r>
              <w:rPr>
                <w:rFonts w:ascii="Arial" w:cs="Arial" w:eastAsia="Arial" w:hAnsi="Arial"/>
                <w:sz w:val="15"/>
                <w:szCs w:val="15"/>
                <w:color w:val="auto"/>
              </w:rPr>
              <w:t>Proceeds from maturities of available-for-sale securities</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342,025</w:t>
            </w: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445,315</w:t>
            </w:r>
          </w:p>
        </w:tc>
        <w:tc>
          <w:tcPr>
            <w:tcW w:w="60" w:type="dxa"/>
            <w:vAlign w:val="bottom"/>
            <w:shd w:val="clear" w:color="auto" w:fill="FDFDFD"/>
          </w:tcPr>
          <w:p>
            <w:pPr>
              <w:spacing w:after="0"/>
              <w:rPr>
                <w:sz w:val="16"/>
                <w:szCs w:val="16"/>
                <w:color w:val="auto"/>
              </w:rPr>
            </w:pPr>
          </w:p>
        </w:tc>
      </w:tr>
      <w:tr>
        <w:trPr>
          <w:trHeight w:val="187"/>
        </w:trPr>
        <w:tc>
          <w:tcPr>
            <w:tcW w:w="6040" w:type="dxa"/>
            <w:vAlign w:val="bottom"/>
            <w:gridSpan w:val="2"/>
            <w:shd w:val="clear" w:color="auto" w:fill="D3ECED"/>
          </w:tcPr>
          <w:p>
            <w:pPr>
              <w:spacing w:after="0"/>
              <w:rPr>
                <w:sz w:val="20"/>
                <w:szCs w:val="20"/>
                <w:color w:val="auto"/>
              </w:rPr>
            </w:pPr>
            <w:r>
              <w:rPr>
                <w:rFonts w:ascii="Arial" w:cs="Arial" w:eastAsia="Arial" w:hAnsi="Arial"/>
                <w:sz w:val="15"/>
                <w:szCs w:val="15"/>
                <w:color w:val="auto"/>
              </w:rPr>
              <w:t>Purchase of equity security</w:t>
            </w:r>
          </w:p>
        </w:tc>
        <w:tc>
          <w:tcPr>
            <w:tcW w:w="2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D3ECED"/>
          </w:tcPr>
          <w:p>
            <w:pPr>
              <w:spacing w:after="0"/>
              <w:rPr>
                <w:sz w:val="16"/>
                <w:szCs w:val="16"/>
                <w:color w:val="auto"/>
              </w:rPr>
            </w:pPr>
          </w:p>
        </w:tc>
        <w:tc>
          <w:tcPr>
            <w:tcW w:w="14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D3ECED"/>
          </w:tcPr>
          <w:p>
            <w:pPr>
              <w:spacing w:after="0"/>
              <w:rPr>
                <w:sz w:val="16"/>
                <w:szCs w:val="16"/>
                <w:color w:val="auto"/>
              </w:rPr>
            </w:pPr>
          </w:p>
        </w:tc>
      </w:tr>
      <w:tr>
        <w:trPr>
          <w:trHeight w:val="177"/>
        </w:trPr>
        <w:tc>
          <w:tcPr>
            <w:tcW w:w="6040" w:type="dxa"/>
            <w:vAlign w:val="bottom"/>
            <w:tcBorders>
              <w:top w:val="single" w:sz="8" w:color="FDFDFD"/>
              <w:bottom w:val="single" w:sz="8" w:color="D3ECED"/>
            </w:tcBorders>
            <w:gridSpan w:val="2"/>
            <w:shd w:val="clear" w:color="auto" w:fill="FDFDFD"/>
          </w:tcPr>
          <w:p>
            <w:pPr>
              <w:ind w:left="560"/>
              <w:spacing w:after="0"/>
              <w:rPr>
                <w:sz w:val="20"/>
                <w:szCs w:val="20"/>
                <w:color w:val="auto"/>
              </w:rPr>
            </w:pPr>
            <w:r>
              <w:rPr>
                <w:rFonts w:ascii="Arial" w:cs="Arial" w:eastAsia="Arial" w:hAnsi="Arial"/>
                <w:sz w:val="15"/>
                <w:szCs w:val="15"/>
                <w:color w:val="auto"/>
              </w:rPr>
              <w:t>Net cash provided by investing activities</w:t>
            </w:r>
          </w:p>
        </w:tc>
        <w:tc>
          <w:tcPr>
            <w:tcW w:w="20" w:type="dxa"/>
            <w:vAlign w:val="bottom"/>
            <w:tcBorders>
              <w:top w:val="single" w:sz="8" w:color="auto"/>
              <w:bottom w:val="single" w:sz="8" w:color="auto"/>
            </w:tcBorders>
            <w:shd w:val="clear" w:color="auto" w:fill="FDFDFD"/>
          </w:tcPr>
          <w:p>
            <w:pPr>
              <w:spacing w:after="0"/>
              <w:rPr>
                <w:sz w:val="15"/>
                <w:szCs w:val="15"/>
                <w:color w:val="auto"/>
              </w:rPr>
            </w:pPr>
          </w:p>
        </w:tc>
        <w:tc>
          <w:tcPr>
            <w:tcW w:w="80" w:type="dxa"/>
            <w:vAlign w:val="bottom"/>
            <w:tcBorders>
              <w:top w:val="single" w:sz="8" w:color="auto"/>
              <w:bottom w:val="single" w:sz="8" w:color="auto"/>
            </w:tcBorders>
            <w:shd w:val="clear" w:color="auto" w:fill="FDFDFD"/>
          </w:tcPr>
          <w:p>
            <w:pPr>
              <w:spacing w:after="0"/>
              <w:rPr>
                <w:sz w:val="15"/>
                <w:szCs w:val="15"/>
                <w:color w:val="auto"/>
              </w:rPr>
            </w:pPr>
          </w:p>
        </w:tc>
        <w:tc>
          <w:tcPr>
            <w:tcW w:w="1160" w:type="dxa"/>
            <w:vAlign w:val="bottom"/>
            <w:tcBorders>
              <w:top w:val="single" w:sz="8" w:color="auto"/>
              <w:bottom w:val="single" w:sz="8" w:color="auto"/>
            </w:tcBorders>
            <w:shd w:val="clear" w:color="auto" w:fill="FDFDFD"/>
          </w:tcPr>
          <w:p>
            <w:pPr>
              <w:jc w:val="right"/>
              <w:spacing w:after="0"/>
              <w:rPr>
                <w:sz w:val="20"/>
                <w:szCs w:val="20"/>
                <w:color w:val="auto"/>
              </w:rPr>
            </w:pPr>
            <w:r>
              <w:rPr>
                <w:rFonts w:ascii="Arial" w:cs="Arial" w:eastAsia="Arial" w:hAnsi="Arial"/>
                <w:sz w:val="15"/>
                <w:szCs w:val="15"/>
                <w:color w:val="auto"/>
              </w:rPr>
              <w:t>65,858</w:t>
            </w:r>
          </w:p>
        </w:tc>
        <w:tc>
          <w:tcPr>
            <w:tcW w:w="80" w:type="dxa"/>
            <w:vAlign w:val="bottom"/>
            <w:tcBorders>
              <w:top w:val="single" w:sz="8" w:color="FDFDFD"/>
              <w:bottom w:val="single" w:sz="8" w:color="D3ECED"/>
            </w:tcBorders>
            <w:shd w:val="clear" w:color="auto" w:fill="FDFDFD"/>
          </w:tcPr>
          <w:p>
            <w:pPr>
              <w:spacing w:after="0"/>
              <w:rPr>
                <w:sz w:val="15"/>
                <w:szCs w:val="15"/>
                <w:color w:val="auto"/>
              </w:rPr>
            </w:pPr>
          </w:p>
        </w:tc>
        <w:tc>
          <w:tcPr>
            <w:tcW w:w="140" w:type="dxa"/>
            <w:vAlign w:val="bottom"/>
            <w:tcBorders>
              <w:top w:val="single" w:sz="8" w:color="FDFDFD"/>
              <w:bottom w:val="single" w:sz="8" w:color="D3ECED"/>
            </w:tcBorders>
            <w:shd w:val="clear" w:color="auto" w:fill="FDFDFD"/>
          </w:tcPr>
          <w:p>
            <w:pPr>
              <w:spacing w:after="0"/>
              <w:rPr>
                <w:sz w:val="15"/>
                <w:szCs w:val="15"/>
                <w:color w:val="auto"/>
              </w:rPr>
            </w:pPr>
          </w:p>
        </w:tc>
        <w:tc>
          <w:tcPr>
            <w:tcW w:w="80" w:type="dxa"/>
            <w:vAlign w:val="bottom"/>
            <w:tcBorders>
              <w:top w:val="single" w:sz="8" w:color="auto"/>
              <w:bottom w:val="single" w:sz="8" w:color="auto"/>
            </w:tcBorders>
            <w:shd w:val="clear" w:color="auto" w:fill="FDFDFD"/>
          </w:tcPr>
          <w:p>
            <w:pPr>
              <w:spacing w:after="0"/>
              <w:rPr>
                <w:sz w:val="15"/>
                <w:szCs w:val="15"/>
                <w:color w:val="auto"/>
              </w:rPr>
            </w:pPr>
          </w:p>
        </w:tc>
        <w:tc>
          <w:tcPr>
            <w:tcW w:w="1180" w:type="dxa"/>
            <w:vAlign w:val="bottom"/>
            <w:tcBorders>
              <w:top w:val="single" w:sz="8" w:color="auto"/>
              <w:bottom w:val="single" w:sz="8" w:color="auto"/>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37,904</w:t>
            </w:r>
          </w:p>
        </w:tc>
        <w:tc>
          <w:tcPr>
            <w:tcW w:w="60" w:type="dxa"/>
            <w:vAlign w:val="bottom"/>
            <w:tcBorders>
              <w:top w:val="single" w:sz="8" w:color="FDFDFD"/>
              <w:bottom w:val="single" w:sz="8" w:color="D3ECED"/>
            </w:tcBorders>
            <w:shd w:val="clear" w:color="auto" w:fill="FDFDFD"/>
          </w:tcPr>
          <w:p>
            <w:pPr>
              <w:spacing w:after="0"/>
              <w:rPr>
                <w:sz w:val="15"/>
                <w:szCs w:val="15"/>
                <w:color w:val="auto"/>
              </w:rPr>
            </w:pPr>
          </w:p>
        </w:tc>
      </w:tr>
      <w:tr>
        <w:trPr>
          <w:trHeight w:val="177"/>
        </w:trPr>
        <w:tc>
          <w:tcPr>
            <w:tcW w:w="6040" w:type="dxa"/>
            <w:vAlign w:val="bottom"/>
            <w:gridSpan w:val="2"/>
            <w:shd w:val="clear" w:color="auto" w:fill="D3ECED"/>
          </w:tcPr>
          <w:p>
            <w:pPr>
              <w:spacing w:after="0"/>
              <w:rPr>
                <w:sz w:val="20"/>
                <w:szCs w:val="20"/>
                <w:color w:val="auto"/>
              </w:rPr>
            </w:pPr>
            <w:r>
              <w:rPr>
                <w:rFonts w:ascii="Arial" w:cs="Arial" w:eastAsia="Arial" w:hAnsi="Arial"/>
                <w:sz w:val="15"/>
                <w:szCs w:val="15"/>
                <w:b w:val="1"/>
                <w:bCs w:val="1"/>
                <w:color w:val="auto"/>
              </w:rPr>
              <w:t>FINANCING ACTIVITIES</w:t>
            </w:r>
          </w:p>
        </w:tc>
        <w:tc>
          <w:tcPr>
            <w:tcW w:w="20" w:type="dxa"/>
            <w:vAlign w:val="bottom"/>
            <w:shd w:val="clear" w:color="auto" w:fill="D3ECED"/>
          </w:tcPr>
          <w:p>
            <w:pPr>
              <w:spacing w:after="0"/>
              <w:rPr>
                <w:sz w:val="15"/>
                <w:szCs w:val="15"/>
                <w:color w:val="auto"/>
              </w:rPr>
            </w:pPr>
          </w:p>
        </w:tc>
        <w:tc>
          <w:tcPr>
            <w:tcW w:w="80" w:type="dxa"/>
            <w:vAlign w:val="bottom"/>
            <w:shd w:val="clear" w:color="auto" w:fill="D3ECED"/>
          </w:tcPr>
          <w:p>
            <w:pPr>
              <w:spacing w:after="0"/>
              <w:rPr>
                <w:sz w:val="15"/>
                <w:szCs w:val="15"/>
                <w:color w:val="auto"/>
              </w:rPr>
            </w:pPr>
          </w:p>
        </w:tc>
        <w:tc>
          <w:tcPr>
            <w:tcW w:w="1160" w:type="dxa"/>
            <w:vAlign w:val="bottom"/>
            <w:shd w:val="clear" w:color="auto" w:fill="D3ECED"/>
          </w:tcPr>
          <w:p>
            <w:pPr>
              <w:spacing w:after="0"/>
              <w:rPr>
                <w:sz w:val="15"/>
                <w:szCs w:val="15"/>
                <w:color w:val="auto"/>
              </w:rPr>
            </w:pPr>
          </w:p>
        </w:tc>
        <w:tc>
          <w:tcPr>
            <w:tcW w:w="80" w:type="dxa"/>
            <w:vAlign w:val="bottom"/>
            <w:shd w:val="clear" w:color="auto" w:fill="D3ECED"/>
          </w:tcPr>
          <w:p>
            <w:pPr>
              <w:spacing w:after="0"/>
              <w:rPr>
                <w:sz w:val="15"/>
                <w:szCs w:val="15"/>
                <w:color w:val="auto"/>
              </w:rPr>
            </w:pPr>
          </w:p>
        </w:tc>
        <w:tc>
          <w:tcPr>
            <w:tcW w:w="140" w:type="dxa"/>
            <w:vAlign w:val="bottom"/>
            <w:shd w:val="clear" w:color="auto" w:fill="D3ECED"/>
          </w:tcPr>
          <w:p>
            <w:pPr>
              <w:spacing w:after="0"/>
              <w:rPr>
                <w:sz w:val="15"/>
                <w:szCs w:val="15"/>
                <w:color w:val="auto"/>
              </w:rPr>
            </w:pPr>
          </w:p>
        </w:tc>
        <w:tc>
          <w:tcPr>
            <w:tcW w:w="80" w:type="dxa"/>
            <w:vAlign w:val="bottom"/>
            <w:shd w:val="clear" w:color="auto" w:fill="D3ECED"/>
          </w:tcPr>
          <w:p>
            <w:pPr>
              <w:spacing w:after="0"/>
              <w:rPr>
                <w:sz w:val="15"/>
                <w:szCs w:val="15"/>
                <w:color w:val="auto"/>
              </w:rPr>
            </w:pPr>
          </w:p>
        </w:tc>
        <w:tc>
          <w:tcPr>
            <w:tcW w:w="1180" w:type="dxa"/>
            <w:vAlign w:val="bottom"/>
            <w:tcBorders>
              <w:right w:val="single" w:sz="8" w:color="D3ECED"/>
            </w:tcBorders>
            <w:shd w:val="clear" w:color="auto" w:fill="D3ECED"/>
          </w:tcPr>
          <w:p>
            <w:pPr>
              <w:spacing w:after="0"/>
              <w:rPr>
                <w:sz w:val="15"/>
                <w:szCs w:val="15"/>
                <w:color w:val="auto"/>
              </w:rPr>
            </w:pPr>
          </w:p>
        </w:tc>
        <w:tc>
          <w:tcPr>
            <w:tcW w:w="60" w:type="dxa"/>
            <w:vAlign w:val="bottom"/>
            <w:shd w:val="clear" w:color="auto" w:fill="D3ECED"/>
          </w:tcPr>
          <w:p>
            <w:pPr>
              <w:spacing w:after="0"/>
              <w:rPr>
                <w:sz w:val="15"/>
                <w:szCs w:val="15"/>
                <w:color w:val="auto"/>
              </w:rPr>
            </w:pPr>
          </w:p>
        </w:tc>
      </w:tr>
      <w:tr>
        <w:trPr>
          <w:trHeight w:val="187"/>
        </w:trPr>
        <w:tc>
          <w:tcPr>
            <w:tcW w:w="6040" w:type="dxa"/>
            <w:vAlign w:val="bottom"/>
            <w:gridSpan w:val="2"/>
            <w:shd w:val="clear" w:color="auto" w:fill="FDFDFD"/>
          </w:tcPr>
          <w:p>
            <w:pPr>
              <w:spacing w:after="0"/>
              <w:rPr>
                <w:sz w:val="20"/>
                <w:szCs w:val="20"/>
                <w:color w:val="auto"/>
              </w:rPr>
            </w:pPr>
            <w:r>
              <w:rPr>
                <w:rFonts w:ascii="Arial" w:cs="Arial" w:eastAsia="Arial" w:hAnsi="Arial"/>
                <w:sz w:val="15"/>
                <w:szCs w:val="15"/>
                <w:color w:val="auto"/>
              </w:rPr>
              <w:t>Repurchase of Class A common stock</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(13</w:t>
            </w:r>
          </w:p>
        </w:tc>
        <w:tc>
          <w:tcPr>
            <w:tcW w:w="60" w:type="dxa"/>
            <w:vAlign w:val="bottom"/>
            <w:shd w:val="clear" w:color="auto" w:fill="FDFDFD"/>
          </w:tcPr>
          <w:p>
            <w:pPr>
              <w:jc w:val="right"/>
              <w:ind w:right="35"/>
              <w:spacing w:after="0"/>
              <w:rPr>
                <w:sz w:val="20"/>
                <w:szCs w:val="20"/>
                <w:color w:val="auto"/>
              </w:rPr>
            </w:pPr>
            <w:r>
              <w:rPr>
                <w:rFonts w:ascii="Arial" w:cs="Arial" w:eastAsia="Arial" w:hAnsi="Arial"/>
                <w:sz w:val="1"/>
                <w:szCs w:val="1"/>
                <w:color w:val="auto"/>
                <w:highlight w:val="white"/>
                <w:w w:val="4294967281"/>
              </w:rPr>
              <w:t>)</w:t>
            </w:r>
          </w:p>
        </w:tc>
      </w:tr>
      <w:tr>
        <w:trPr>
          <w:trHeight w:val="187"/>
        </w:trPr>
        <w:tc>
          <w:tcPr>
            <w:tcW w:w="6040" w:type="dxa"/>
            <w:vAlign w:val="bottom"/>
            <w:gridSpan w:val="2"/>
            <w:shd w:val="clear" w:color="auto" w:fill="D3ECED"/>
          </w:tcPr>
          <w:p>
            <w:pPr>
              <w:spacing w:after="0"/>
              <w:rPr>
                <w:sz w:val="20"/>
                <w:szCs w:val="20"/>
                <w:color w:val="auto"/>
              </w:rPr>
            </w:pPr>
            <w:r>
              <w:rPr>
                <w:rFonts w:ascii="Arial" w:cs="Arial" w:eastAsia="Arial" w:hAnsi="Arial"/>
                <w:sz w:val="15"/>
                <w:szCs w:val="15"/>
                <w:color w:val="auto"/>
              </w:rPr>
              <w:t>Proceeds from exercise of Class A common stock options</w:t>
            </w:r>
          </w:p>
        </w:tc>
        <w:tc>
          <w:tcPr>
            <w:tcW w:w="2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240" w:type="dxa"/>
            <w:vAlign w:val="bottom"/>
            <w:gridSpan w:val="2"/>
            <w:shd w:val="clear" w:color="auto" w:fill="D3ECED"/>
          </w:tcPr>
          <w:p>
            <w:pPr>
              <w:jc w:val="right"/>
              <w:ind w:right="62"/>
              <w:spacing w:after="0"/>
              <w:rPr>
                <w:sz w:val="20"/>
                <w:szCs w:val="20"/>
                <w:color w:val="auto"/>
              </w:rPr>
            </w:pPr>
            <w:r>
              <w:rPr>
                <w:rFonts w:ascii="Arial" w:cs="Arial" w:eastAsia="Arial" w:hAnsi="Arial"/>
                <w:sz w:val="15"/>
                <w:szCs w:val="15"/>
                <w:color w:val="auto"/>
              </w:rPr>
              <w:t>—</w:t>
            </w:r>
          </w:p>
        </w:tc>
        <w:tc>
          <w:tcPr>
            <w:tcW w:w="140" w:type="dxa"/>
            <w:vAlign w:val="bottom"/>
            <w:shd w:val="clear" w:color="auto" w:fill="D3ECED"/>
          </w:tcPr>
          <w:p>
            <w:pPr>
              <w:spacing w:after="0"/>
              <w:rPr>
                <w:sz w:val="16"/>
                <w:szCs w:val="16"/>
                <w:color w:val="auto"/>
              </w:rPr>
            </w:pPr>
          </w:p>
        </w:tc>
        <w:tc>
          <w:tcPr>
            <w:tcW w:w="80" w:type="dxa"/>
            <w:vAlign w:val="bottom"/>
            <w:shd w:val="clear" w:color="auto" w:fill="D3ECED"/>
          </w:tcPr>
          <w:p>
            <w:pPr>
              <w:spacing w:after="0"/>
              <w:rPr>
                <w:sz w:val="16"/>
                <w:szCs w:val="16"/>
                <w:color w:val="auto"/>
              </w:rPr>
            </w:pP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97</w:t>
            </w:r>
          </w:p>
        </w:tc>
        <w:tc>
          <w:tcPr>
            <w:tcW w:w="60" w:type="dxa"/>
            <w:vAlign w:val="bottom"/>
            <w:shd w:val="clear" w:color="auto" w:fill="D3ECED"/>
          </w:tcPr>
          <w:p>
            <w:pPr>
              <w:spacing w:after="0"/>
              <w:rPr>
                <w:sz w:val="16"/>
                <w:szCs w:val="16"/>
                <w:color w:val="auto"/>
              </w:rPr>
            </w:pPr>
          </w:p>
        </w:tc>
      </w:tr>
      <w:tr>
        <w:trPr>
          <w:trHeight w:val="187"/>
        </w:trPr>
        <w:tc>
          <w:tcPr>
            <w:tcW w:w="6040" w:type="dxa"/>
            <w:vAlign w:val="bottom"/>
            <w:gridSpan w:val="2"/>
            <w:shd w:val="clear" w:color="auto" w:fill="FDFDFD"/>
          </w:tcPr>
          <w:p>
            <w:pPr>
              <w:spacing w:after="0"/>
              <w:rPr>
                <w:sz w:val="20"/>
                <w:szCs w:val="20"/>
                <w:color w:val="auto"/>
              </w:rPr>
            </w:pPr>
            <w:r>
              <w:rPr>
                <w:rFonts w:ascii="Arial" w:cs="Arial" w:eastAsia="Arial" w:hAnsi="Arial"/>
                <w:sz w:val="15"/>
                <w:szCs w:val="15"/>
                <w:color w:val="auto"/>
              </w:rPr>
              <w:t>Repurchases of Class A common stock under share repurchase program</w:t>
            </w:r>
          </w:p>
        </w:tc>
        <w:tc>
          <w:tcPr>
            <w:tcW w:w="2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60" w:type="dxa"/>
            <w:vAlign w:val="bottom"/>
            <w:shd w:val="clear" w:color="auto" w:fill="FDFDFD"/>
          </w:tcPr>
          <w:p>
            <w:pPr>
              <w:jc w:val="right"/>
              <w:spacing w:after="0"/>
              <w:rPr>
                <w:sz w:val="20"/>
                <w:szCs w:val="20"/>
                <w:color w:val="auto"/>
              </w:rPr>
            </w:pPr>
            <w:r>
              <w:rPr>
                <w:rFonts w:ascii="Arial" w:cs="Arial" w:eastAsia="Arial" w:hAnsi="Arial"/>
                <w:sz w:val="15"/>
                <w:szCs w:val="15"/>
                <w:color w:val="auto"/>
              </w:rPr>
              <w:t>(11,816)</w:t>
            </w:r>
          </w:p>
        </w:tc>
        <w:tc>
          <w:tcPr>
            <w:tcW w:w="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1180" w:type="dxa"/>
            <w:vAlign w:val="bottom"/>
            <w:tcBorders>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FDFDFD"/>
          </w:tcPr>
          <w:p>
            <w:pPr>
              <w:spacing w:after="0"/>
              <w:rPr>
                <w:sz w:val="16"/>
                <w:szCs w:val="16"/>
                <w:color w:val="auto"/>
              </w:rPr>
            </w:pPr>
          </w:p>
        </w:tc>
      </w:tr>
      <w:tr>
        <w:trPr>
          <w:trHeight w:val="172"/>
        </w:trPr>
        <w:tc>
          <w:tcPr>
            <w:tcW w:w="6040" w:type="dxa"/>
            <w:vAlign w:val="bottom"/>
            <w:gridSpan w:val="2"/>
            <w:shd w:val="clear" w:color="auto" w:fill="D3ECED"/>
          </w:tcPr>
          <w:p>
            <w:pPr>
              <w:spacing w:after="0"/>
              <w:rPr>
                <w:sz w:val="20"/>
                <w:szCs w:val="20"/>
                <w:color w:val="auto"/>
              </w:rPr>
            </w:pPr>
            <w:r>
              <w:rPr>
                <w:rFonts w:ascii="Arial" w:cs="Arial" w:eastAsia="Arial" w:hAnsi="Arial"/>
                <w:sz w:val="15"/>
                <w:szCs w:val="15"/>
                <w:color w:val="auto"/>
              </w:rPr>
              <w:t>Proceeds from issuance of Class A common stock in connection with</w:t>
            </w:r>
          </w:p>
        </w:tc>
        <w:tc>
          <w:tcPr>
            <w:tcW w:w="20" w:type="dxa"/>
            <w:vAlign w:val="bottom"/>
            <w:shd w:val="clear" w:color="auto" w:fill="D3ECED"/>
          </w:tcPr>
          <w:p>
            <w:pPr>
              <w:spacing w:after="0"/>
              <w:rPr>
                <w:sz w:val="14"/>
                <w:szCs w:val="14"/>
                <w:color w:val="auto"/>
              </w:rPr>
            </w:pPr>
          </w:p>
        </w:tc>
        <w:tc>
          <w:tcPr>
            <w:tcW w:w="80" w:type="dxa"/>
            <w:vAlign w:val="bottom"/>
            <w:shd w:val="clear" w:color="auto" w:fill="D3ECED"/>
          </w:tcPr>
          <w:p>
            <w:pPr>
              <w:spacing w:after="0"/>
              <w:rPr>
                <w:sz w:val="14"/>
                <w:szCs w:val="14"/>
                <w:color w:val="auto"/>
              </w:rPr>
            </w:pPr>
          </w:p>
        </w:tc>
        <w:tc>
          <w:tcPr>
            <w:tcW w:w="1160" w:type="dxa"/>
            <w:vAlign w:val="bottom"/>
            <w:shd w:val="clear" w:color="auto" w:fill="D3ECED"/>
          </w:tcPr>
          <w:p>
            <w:pPr>
              <w:spacing w:after="0"/>
              <w:rPr>
                <w:sz w:val="14"/>
                <w:szCs w:val="14"/>
                <w:color w:val="auto"/>
              </w:rPr>
            </w:pPr>
          </w:p>
        </w:tc>
        <w:tc>
          <w:tcPr>
            <w:tcW w:w="80" w:type="dxa"/>
            <w:vAlign w:val="bottom"/>
            <w:shd w:val="clear" w:color="auto" w:fill="D3ECED"/>
          </w:tcPr>
          <w:p>
            <w:pPr>
              <w:spacing w:after="0"/>
              <w:rPr>
                <w:sz w:val="14"/>
                <w:szCs w:val="14"/>
                <w:color w:val="auto"/>
              </w:rPr>
            </w:pPr>
          </w:p>
        </w:tc>
        <w:tc>
          <w:tcPr>
            <w:tcW w:w="140" w:type="dxa"/>
            <w:vAlign w:val="bottom"/>
            <w:shd w:val="clear" w:color="auto" w:fill="D3ECED"/>
          </w:tcPr>
          <w:p>
            <w:pPr>
              <w:spacing w:after="0"/>
              <w:rPr>
                <w:sz w:val="14"/>
                <w:szCs w:val="14"/>
                <w:color w:val="auto"/>
              </w:rPr>
            </w:pPr>
          </w:p>
        </w:tc>
        <w:tc>
          <w:tcPr>
            <w:tcW w:w="80" w:type="dxa"/>
            <w:vAlign w:val="bottom"/>
            <w:shd w:val="clear" w:color="auto" w:fill="D3ECED"/>
          </w:tcPr>
          <w:p>
            <w:pPr>
              <w:spacing w:after="0"/>
              <w:rPr>
                <w:sz w:val="14"/>
                <w:szCs w:val="14"/>
                <w:color w:val="auto"/>
              </w:rPr>
            </w:pPr>
          </w:p>
        </w:tc>
        <w:tc>
          <w:tcPr>
            <w:tcW w:w="1180" w:type="dxa"/>
            <w:vAlign w:val="bottom"/>
            <w:tcBorders>
              <w:right w:val="single" w:sz="8" w:color="D3ECED"/>
            </w:tcBorders>
            <w:shd w:val="clear" w:color="auto" w:fill="D3ECED"/>
          </w:tcPr>
          <w:p>
            <w:pPr>
              <w:spacing w:after="0"/>
              <w:rPr>
                <w:sz w:val="14"/>
                <w:szCs w:val="14"/>
                <w:color w:val="auto"/>
              </w:rPr>
            </w:pPr>
          </w:p>
        </w:tc>
        <w:tc>
          <w:tcPr>
            <w:tcW w:w="60" w:type="dxa"/>
            <w:vAlign w:val="bottom"/>
            <w:shd w:val="clear" w:color="auto" w:fill="D3ECED"/>
          </w:tcPr>
          <w:p>
            <w:pPr>
              <w:spacing w:after="0"/>
              <w:rPr>
                <w:sz w:val="14"/>
                <w:szCs w:val="14"/>
                <w:color w:val="auto"/>
              </w:rPr>
            </w:pPr>
          </w:p>
        </w:tc>
      </w:tr>
      <w:tr>
        <w:trPr>
          <w:trHeight w:val="188"/>
        </w:trPr>
        <w:tc>
          <w:tcPr>
            <w:tcW w:w="6040" w:type="dxa"/>
            <w:vAlign w:val="bottom"/>
            <w:tcBorders>
              <w:bottom w:val="single" w:sz="8" w:color="FDFDFD"/>
            </w:tcBorders>
            <w:gridSpan w:val="2"/>
            <w:shd w:val="clear" w:color="auto" w:fill="D3ECED"/>
          </w:tcPr>
          <w:p>
            <w:pPr>
              <w:ind w:left="80"/>
              <w:spacing w:after="0"/>
              <w:rPr>
                <w:sz w:val="20"/>
                <w:szCs w:val="20"/>
                <w:color w:val="auto"/>
              </w:rPr>
            </w:pPr>
            <w:r>
              <w:rPr>
                <w:rFonts w:ascii="Arial" w:cs="Arial" w:eastAsia="Arial" w:hAnsi="Arial"/>
                <w:sz w:val="15"/>
                <w:szCs w:val="15"/>
                <w:color w:val="auto"/>
              </w:rPr>
              <w:t>employee stock purchase plan</w:t>
            </w:r>
          </w:p>
        </w:tc>
        <w:tc>
          <w:tcPr>
            <w:tcW w:w="20" w:type="dxa"/>
            <w:vAlign w:val="bottom"/>
            <w:tcBorders>
              <w:bottom w:val="single" w:sz="8" w:color="auto"/>
            </w:tcBorders>
            <w:shd w:val="clear" w:color="auto" w:fill="D3ECED"/>
          </w:tcPr>
          <w:p>
            <w:pPr>
              <w:spacing w:after="0"/>
              <w:rPr>
                <w:sz w:val="16"/>
                <w:szCs w:val="16"/>
                <w:color w:val="auto"/>
              </w:rPr>
            </w:pPr>
          </w:p>
        </w:tc>
        <w:tc>
          <w:tcPr>
            <w:tcW w:w="80" w:type="dxa"/>
            <w:vAlign w:val="bottom"/>
            <w:tcBorders>
              <w:bottom w:val="single" w:sz="8" w:color="auto"/>
            </w:tcBorders>
            <w:shd w:val="clear" w:color="auto" w:fill="D3ECED"/>
          </w:tcPr>
          <w:p>
            <w:pPr>
              <w:spacing w:after="0"/>
              <w:rPr>
                <w:sz w:val="16"/>
                <w:szCs w:val="16"/>
                <w:color w:val="auto"/>
              </w:rPr>
            </w:pPr>
          </w:p>
        </w:tc>
        <w:tc>
          <w:tcPr>
            <w:tcW w:w="116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5"/>
                <w:szCs w:val="15"/>
                <w:color w:val="auto"/>
              </w:rPr>
              <w:t>321</w:t>
            </w:r>
          </w:p>
        </w:tc>
        <w:tc>
          <w:tcPr>
            <w:tcW w:w="80" w:type="dxa"/>
            <w:vAlign w:val="bottom"/>
            <w:tcBorders>
              <w:bottom w:val="single" w:sz="8" w:color="FDFDFD"/>
            </w:tcBorders>
            <w:shd w:val="clear" w:color="auto" w:fill="D3ECED"/>
          </w:tcPr>
          <w:p>
            <w:pPr>
              <w:spacing w:after="0"/>
              <w:rPr>
                <w:sz w:val="16"/>
                <w:szCs w:val="16"/>
                <w:color w:val="auto"/>
              </w:rPr>
            </w:pPr>
          </w:p>
        </w:tc>
        <w:tc>
          <w:tcPr>
            <w:tcW w:w="140" w:type="dxa"/>
            <w:vAlign w:val="bottom"/>
            <w:tcBorders>
              <w:bottom w:val="single" w:sz="8" w:color="FDFDFD"/>
            </w:tcBorders>
            <w:shd w:val="clear" w:color="auto" w:fill="D3ECED"/>
          </w:tcPr>
          <w:p>
            <w:pPr>
              <w:spacing w:after="0"/>
              <w:rPr>
                <w:sz w:val="16"/>
                <w:szCs w:val="16"/>
                <w:color w:val="auto"/>
              </w:rPr>
            </w:pPr>
          </w:p>
        </w:tc>
        <w:tc>
          <w:tcPr>
            <w:tcW w:w="80" w:type="dxa"/>
            <w:vAlign w:val="bottom"/>
            <w:tcBorders>
              <w:bottom w:val="single" w:sz="8" w:color="auto"/>
            </w:tcBorders>
            <w:shd w:val="clear" w:color="auto" w:fill="D3ECED"/>
          </w:tcPr>
          <w:p>
            <w:pPr>
              <w:spacing w:after="0"/>
              <w:rPr>
                <w:sz w:val="16"/>
                <w:szCs w:val="16"/>
                <w:color w:val="auto"/>
              </w:rPr>
            </w:pPr>
          </w:p>
        </w:tc>
        <w:tc>
          <w:tcPr>
            <w:tcW w:w="1180" w:type="dxa"/>
            <w:vAlign w:val="bottom"/>
            <w:tcBorders>
              <w:bottom w:val="single" w:sz="8" w:color="auto"/>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368</w:t>
            </w:r>
          </w:p>
        </w:tc>
        <w:tc>
          <w:tcPr>
            <w:tcW w:w="60" w:type="dxa"/>
            <w:vAlign w:val="bottom"/>
            <w:tcBorders>
              <w:bottom w:val="single" w:sz="8" w:color="FDFDFD"/>
            </w:tcBorders>
            <w:shd w:val="clear" w:color="auto" w:fill="D3ECED"/>
          </w:tcPr>
          <w:p>
            <w:pPr>
              <w:spacing w:after="0"/>
              <w:rPr>
                <w:sz w:val="16"/>
                <w:szCs w:val="16"/>
                <w:color w:val="auto"/>
              </w:rPr>
            </w:pPr>
          </w:p>
        </w:tc>
      </w:tr>
      <w:tr>
        <w:trPr>
          <w:trHeight w:val="177"/>
        </w:trPr>
        <w:tc>
          <w:tcPr>
            <w:tcW w:w="6040" w:type="dxa"/>
            <w:vAlign w:val="bottom"/>
            <w:tcBorders>
              <w:bottom w:val="single" w:sz="8" w:color="D3ECED"/>
            </w:tcBorders>
            <w:gridSpan w:val="2"/>
            <w:shd w:val="clear" w:color="auto" w:fill="FDFDFD"/>
          </w:tcPr>
          <w:p>
            <w:pPr>
              <w:ind w:left="560"/>
              <w:spacing w:after="0"/>
              <w:rPr>
                <w:sz w:val="20"/>
                <w:szCs w:val="20"/>
                <w:color w:val="auto"/>
              </w:rPr>
            </w:pPr>
            <w:r>
              <w:rPr>
                <w:rFonts w:ascii="Arial" w:cs="Arial" w:eastAsia="Arial" w:hAnsi="Arial"/>
                <w:sz w:val="15"/>
                <w:szCs w:val="15"/>
                <w:color w:val="auto"/>
              </w:rPr>
              <w:t>Net cash (used in) provided by financing activities</w:t>
            </w:r>
          </w:p>
        </w:tc>
        <w:tc>
          <w:tcPr>
            <w:tcW w:w="20" w:type="dxa"/>
            <w:vAlign w:val="bottom"/>
            <w:tcBorders>
              <w:bottom w:val="single" w:sz="8" w:color="auto"/>
            </w:tcBorders>
            <w:shd w:val="clear" w:color="auto" w:fill="FDFDFD"/>
          </w:tcPr>
          <w:p>
            <w:pPr>
              <w:spacing w:after="0"/>
              <w:rPr>
                <w:sz w:val="15"/>
                <w:szCs w:val="15"/>
                <w:color w:val="auto"/>
              </w:rPr>
            </w:pPr>
          </w:p>
        </w:tc>
        <w:tc>
          <w:tcPr>
            <w:tcW w:w="80" w:type="dxa"/>
            <w:vAlign w:val="bottom"/>
            <w:tcBorders>
              <w:bottom w:val="single" w:sz="8" w:color="auto"/>
            </w:tcBorders>
            <w:shd w:val="clear" w:color="auto" w:fill="FDFDFD"/>
          </w:tcPr>
          <w:p>
            <w:pPr>
              <w:spacing w:after="0"/>
              <w:rPr>
                <w:sz w:val="15"/>
                <w:szCs w:val="15"/>
                <w:color w:val="auto"/>
              </w:rPr>
            </w:pPr>
          </w:p>
        </w:tc>
        <w:tc>
          <w:tcPr>
            <w:tcW w:w="116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5"/>
                <w:szCs w:val="15"/>
                <w:color w:val="auto"/>
              </w:rPr>
              <w:t>(11,495)</w:t>
            </w:r>
          </w:p>
        </w:tc>
        <w:tc>
          <w:tcPr>
            <w:tcW w:w="80" w:type="dxa"/>
            <w:vAlign w:val="bottom"/>
            <w:tcBorders>
              <w:bottom w:val="single" w:sz="8" w:color="D3ECED"/>
            </w:tcBorders>
            <w:shd w:val="clear" w:color="auto" w:fill="FDFDFD"/>
          </w:tcPr>
          <w:p>
            <w:pPr>
              <w:spacing w:after="0"/>
              <w:rPr>
                <w:sz w:val="15"/>
                <w:szCs w:val="15"/>
                <w:color w:val="auto"/>
              </w:rPr>
            </w:pPr>
          </w:p>
        </w:tc>
        <w:tc>
          <w:tcPr>
            <w:tcW w:w="140" w:type="dxa"/>
            <w:vAlign w:val="bottom"/>
            <w:tcBorders>
              <w:bottom w:val="single" w:sz="8" w:color="D3ECED"/>
            </w:tcBorders>
            <w:shd w:val="clear" w:color="auto" w:fill="FDFDFD"/>
          </w:tcPr>
          <w:p>
            <w:pPr>
              <w:spacing w:after="0"/>
              <w:rPr>
                <w:sz w:val="15"/>
                <w:szCs w:val="15"/>
                <w:color w:val="auto"/>
              </w:rPr>
            </w:pPr>
          </w:p>
        </w:tc>
        <w:tc>
          <w:tcPr>
            <w:tcW w:w="80" w:type="dxa"/>
            <w:vAlign w:val="bottom"/>
            <w:tcBorders>
              <w:bottom w:val="single" w:sz="8" w:color="auto"/>
            </w:tcBorders>
            <w:shd w:val="clear" w:color="auto" w:fill="FDFDFD"/>
          </w:tcPr>
          <w:p>
            <w:pPr>
              <w:spacing w:after="0"/>
              <w:rPr>
                <w:sz w:val="15"/>
                <w:szCs w:val="15"/>
                <w:color w:val="auto"/>
              </w:rPr>
            </w:pPr>
          </w:p>
        </w:tc>
        <w:tc>
          <w:tcPr>
            <w:tcW w:w="1180" w:type="dxa"/>
            <w:vAlign w:val="bottom"/>
            <w:tcBorders>
              <w:bottom w:val="single" w:sz="8" w:color="auto"/>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452</w:t>
            </w:r>
          </w:p>
        </w:tc>
        <w:tc>
          <w:tcPr>
            <w:tcW w:w="60" w:type="dxa"/>
            <w:vAlign w:val="bottom"/>
            <w:tcBorders>
              <w:bottom w:val="single" w:sz="8" w:color="D3ECED"/>
            </w:tcBorders>
            <w:shd w:val="clear" w:color="auto" w:fill="FDFDFD"/>
          </w:tcPr>
          <w:p>
            <w:pPr>
              <w:spacing w:after="0"/>
              <w:rPr>
                <w:sz w:val="15"/>
                <w:szCs w:val="15"/>
                <w:color w:val="auto"/>
              </w:rPr>
            </w:pPr>
          </w:p>
        </w:tc>
      </w:tr>
      <w:tr>
        <w:trPr>
          <w:trHeight w:val="177"/>
        </w:trPr>
        <w:tc>
          <w:tcPr>
            <w:tcW w:w="6040" w:type="dxa"/>
            <w:vAlign w:val="bottom"/>
            <w:gridSpan w:val="2"/>
            <w:shd w:val="clear" w:color="auto" w:fill="D3ECED"/>
          </w:tcPr>
          <w:p>
            <w:pPr>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20" w:type="dxa"/>
            <w:vAlign w:val="bottom"/>
            <w:shd w:val="clear" w:color="auto" w:fill="D3ECED"/>
          </w:tcPr>
          <w:p>
            <w:pPr>
              <w:spacing w:after="0"/>
              <w:rPr>
                <w:sz w:val="15"/>
                <w:szCs w:val="15"/>
                <w:color w:val="auto"/>
              </w:rPr>
            </w:pPr>
          </w:p>
        </w:tc>
        <w:tc>
          <w:tcPr>
            <w:tcW w:w="80" w:type="dxa"/>
            <w:vAlign w:val="bottom"/>
            <w:shd w:val="clear" w:color="auto" w:fill="D3ECED"/>
          </w:tcPr>
          <w:p>
            <w:pPr>
              <w:spacing w:after="0"/>
              <w:rPr>
                <w:sz w:val="15"/>
                <w:szCs w:val="15"/>
                <w:color w:val="auto"/>
              </w:rPr>
            </w:pP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8,254</w:t>
            </w:r>
          </w:p>
        </w:tc>
        <w:tc>
          <w:tcPr>
            <w:tcW w:w="80" w:type="dxa"/>
            <w:vAlign w:val="bottom"/>
            <w:shd w:val="clear" w:color="auto" w:fill="D3ECED"/>
          </w:tcPr>
          <w:p>
            <w:pPr>
              <w:spacing w:after="0"/>
              <w:rPr>
                <w:sz w:val="15"/>
                <w:szCs w:val="15"/>
                <w:color w:val="auto"/>
              </w:rPr>
            </w:pPr>
          </w:p>
        </w:tc>
        <w:tc>
          <w:tcPr>
            <w:tcW w:w="140" w:type="dxa"/>
            <w:vAlign w:val="bottom"/>
            <w:shd w:val="clear" w:color="auto" w:fill="D3ECED"/>
          </w:tcPr>
          <w:p>
            <w:pPr>
              <w:spacing w:after="0"/>
              <w:rPr>
                <w:sz w:val="15"/>
                <w:szCs w:val="15"/>
                <w:color w:val="auto"/>
              </w:rPr>
            </w:pPr>
          </w:p>
        </w:tc>
        <w:tc>
          <w:tcPr>
            <w:tcW w:w="80" w:type="dxa"/>
            <w:vAlign w:val="bottom"/>
            <w:shd w:val="clear" w:color="auto" w:fill="D3ECED"/>
          </w:tcPr>
          <w:p>
            <w:pPr>
              <w:spacing w:after="0"/>
              <w:rPr>
                <w:sz w:val="15"/>
                <w:szCs w:val="15"/>
                <w:color w:val="auto"/>
              </w:rPr>
            </w:pP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(20,709)</w:t>
            </w:r>
          </w:p>
        </w:tc>
        <w:tc>
          <w:tcPr>
            <w:tcW w:w="60" w:type="dxa"/>
            <w:vAlign w:val="bottom"/>
            <w:shd w:val="clear" w:color="auto" w:fill="D3ECED"/>
          </w:tcPr>
          <w:p>
            <w:pPr>
              <w:spacing w:after="0"/>
              <w:rPr>
                <w:sz w:val="15"/>
                <w:szCs w:val="15"/>
                <w:color w:val="auto"/>
              </w:rPr>
            </w:pPr>
          </w:p>
        </w:tc>
      </w:tr>
      <w:tr>
        <w:trPr>
          <w:trHeight w:val="187"/>
        </w:trPr>
        <w:tc>
          <w:tcPr>
            <w:tcW w:w="6040" w:type="dxa"/>
            <w:vAlign w:val="bottom"/>
            <w:tcBorders>
              <w:bottom w:val="single" w:sz="8" w:color="D3ECED"/>
            </w:tcBorders>
            <w:gridSpan w:val="2"/>
            <w:shd w:val="clear" w:color="auto" w:fill="FDFDFD"/>
          </w:tcPr>
          <w:p>
            <w:pPr>
              <w:spacing w:after="0"/>
              <w:rPr>
                <w:sz w:val="20"/>
                <w:szCs w:val="20"/>
                <w:color w:val="auto"/>
              </w:rPr>
            </w:pPr>
            <w:r>
              <w:rPr>
                <w:rFonts w:ascii="Arial" w:cs="Arial" w:eastAsia="Arial" w:hAnsi="Arial"/>
                <w:sz w:val="15"/>
                <w:szCs w:val="15"/>
                <w:color w:val="auto"/>
              </w:rPr>
              <w:t>Cash, cash equivalents and restricted cash, beginning of period</w:t>
            </w:r>
          </w:p>
        </w:tc>
        <w:tc>
          <w:tcPr>
            <w:tcW w:w="2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auto"/>
            </w:tcBorders>
            <w:shd w:val="clear" w:color="auto" w:fill="FDFDFD"/>
          </w:tcPr>
          <w:p>
            <w:pPr>
              <w:spacing w:after="0"/>
              <w:rPr>
                <w:sz w:val="16"/>
                <w:szCs w:val="16"/>
                <w:color w:val="auto"/>
              </w:rPr>
            </w:pPr>
          </w:p>
        </w:tc>
        <w:tc>
          <w:tcPr>
            <w:tcW w:w="116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5"/>
                <w:szCs w:val="15"/>
                <w:color w:val="auto"/>
              </w:rPr>
              <w:t>33,023</w:t>
            </w:r>
          </w:p>
        </w:tc>
        <w:tc>
          <w:tcPr>
            <w:tcW w:w="80" w:type="dxa"/>
            <w:vAlign w:val="bottom"/>
            <w:tcBorders>
              <w:bottom w:val="single" w:sz="8" w:color="D3ECED"/>
            </w:tcBorders>
            <w:shd w:val="clear" w:color="auto" w:fill="FDFDFD"/>
          </w:tcPr>
          <w:p>
            <w:pPr>
              <w:spacing w:after="0"/>
              <w:rPr>
                <w:sz w:val="16"/>
                <w:szCs w:val="16"/>
                <w:color w:val="auto"/>
              </w:rPr>
            </w:pPr>
          </w:p>
        </w:tc>
        <w:tc>
          <w:tcPr>
            <w:tcW w:w="140" w:type="dxa"/>
            <w:vAlign w:val="bottom"/>
            <w:tcBorders>
              <w:bottom w:val="single" w:sz="8" w:color="D3ECED"/>
            </w:tcBorders>
            <w:shd w:val="clear" w:color="auto" w:fill="FDFDFD"/>
          </w:tcPr>
          <w:p>
            <w:pPr>
              <w:spacing w:after="0"/>
              <w:rPr>
                <w:sz w:val="16"/>
                <w:szCs w:val="16"/>
                <w:color w:val="auto"/>
              </w:rPr>
            </w:pPr>
          </w:p>
        </w:tc>
        <w:tc>
          <w:tcPr>
            <w:tcW w:w="80" w:type="dxa"/>
            <w:vAlign w:val="bottom"/>
            <w:tcBorders>
              <w:bottom w:val="single" w:sz="8" w:color="auto"/>
            </w:tcBorders>
            <w:shd w:val="clear" w:color="auto" w:fill="FDFDFD"/>
          </w:tcPr>
          <w:p>
            <w:pPr>
              <w:spacing w:after="0"/>
              <w:rPr>
                <w:sz w:val="16"/>
                <w:szCs w:val="16"/>
                <w:color w:val="auto"/>
              </w:rPr>
            </w:pPr>
          </w:p>
        </w:tc>
        <w:tc>
          <w:tcPr>
            <w:tcW w:w="1180" w:type="dxa"/>
            <w:vAlign w:val="bottom"/>
            <w:tcBorders>
              <w:bottom w:val="single" w:sz="8" w:color="auto"/>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53,732</w:t>
            </w:r>
          </w:p>
        </w:tc>
        <w:tc>
          <w:tcPr>
            <w:tcW w:w="60" w:type="dxa"/>
            <w:vAlign w:val="bottom"/>
            <w:tcBorders>
              <w:bottom w:val="single" w:sz="8" w:color="D3ECED"/>
            </w:tcBorders>
            <w:shd w:val="clear" w:color="auto" w:fill="FDFDFD"/>
          </w:tcPr>
          <w:p>
            <w:pPr>
              <w:spacing w:after="0"/>
              <w:rPr>
                <w:sz w:val="16"/>
                <w:szCs w:val="16"/>
                <w:color w:val="auto"/>
              </w:rPr>
            </w:pPr>
          </w:p>
        </w:tc>
      </w:tr>
      <w:tr>
        <w:trPr>
          <w:trHeight w:val="198"/>
        </w:trPr>
        <w:tc>
          <w:tcPr>
            <w:tcW w:w="6040" w:type="dxa"/>
            <w:vAlign w:val="bottom"/>
            <w:tcBorders>
              <w:bottom w:val="single" w:sz="8" w:color="FDFDFD"/>
            </w:tcBorders>
            <w:gridSpan w:val="2"/>
            <w:shd w:val="clear" w:color="auto" w:fill="D3ECED"/>
          </w:tcPr>
          <w:p>
            <w:pPr>
              <w:spacing w:after="0"/>
              <w:rPr>
                <w:sz w:val="20"/>
                <w:szCs w:val="20"/>
                <w:color w:val="auto"/>
              </w:rPr>
            </w:pPr>
            <w:r>
              <w:rPr>
                <w:rFonts w:ascii="Arial" w:cs="Arial" w:eastAsia="Arial" w:hAnsi="Arial"/>
                <w:sz w:val="15"/>
                <w:szCs w:val="15"/>
                <w:color w:val="auto"/>
              </w:rPr>
              <w:t>Cash, cash equivalents and restricted cash, end of period</w:t>
            </w:r>
          </w:p>
        </w:tc>
        <w:tc>
          <w:tcPr>
            <w:tcW w:w="20" w:type="dxa"/>
            <w:vAlign w:val="bottom"/>
            <w:tcBorders>
              <w:bottom w:val="single" w:sz="8" w:color="FDFDFD"/>
            </w:tcBorders>
            <w:shd w:val="clear" w:color="auto" w:fill="D3ECED"/>
          </w:tcPr>
          <w:p>
            <w:pPr>
              <w:spacing w:after="0"/>
              <w:rPr>
                <w:sz w:val="17"/>
                <w:szCs w:val="17"/>
                <w:color w:val="auto"/>
              </w:rPr>
            </w:pPr>
          </w:p>
        </w:tc>
        <w:tc>
          <w:tcPr>
            <w:tcW w:w="80" w:type="dxa"/>
            <w:vAlign w:val="bottom"/>
            <w:shd w:val="clear" w:color="auto" w:fill="D3ECED"/>
          </w:tcPr>
          <w:p>
            <w:pPr>
              <w:jc w:val="right"/>
              <w:spacing w:after="0"/>
              <w:rPr>
                <w:sz w:val="20"/>
                <w:szCs w:val="20"/>
                <w:color w:val="auto"/>
              </w:rPr>
            </w:pPr>
            <w:r>
              <w:rPr>
                <w:rFonts w:ascii="Arial" w:cs="Arial" w:eastAsia="Arial" w:hAnsi="Arial"/>
                <w:sz w:val="10"/>
                <w:szCs w:val="10"/>
                <w:color w:val="auto"/>
                <w:w w:val="71"/>
                <w:shd w:val="clear" w:color="auto" w:fill="D3ECED"/>
              </w:rPr>
              <w:t>$</w:t>
            </w: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41,277</w:t>
            </w:r>
          </w:p>
        </w:tc>
        <w:tc>
          <w:tcPr>
            <w:tcW w:w="80" w:type="dxa"/>
            <w:vAlign w:val="bottom"/>
            <w:tcBorders>
              <w:bottom w:val="single" w:sz="8" w:color="FDFDFD"/>
            </w:tcBorders>
            <w:shd w:val="clear" w:color="auto" w:fill="D3ECED"/>
          </w:tcPr>
          <w:p>
            <w:pPr>
              <w:spacing w:after="0"/>
              <w:rPr>
                <w:sz w:val="17"/>
                <w:szCs w:val="17"/>
                <w:color w:val="auto"/>
              </w:rPr>
            </w:pPr>
          </w:p>
        </w:tc>
        <w:tc>
          <w:tcPr>
            <w:tcW w:w="140" w:type="dxa"/>
            <w:vAlign w:val="bottom"/>
            <w:tcBorders>
              <w:bottom w:val="single" w:sz="8" w:color="FDFDFD"/>
            </w:tcBorders>
            <w:shd w:val="clear" w:color="auto" w:fill="D3ECED"/>
          </w:tcPr>
          <w:p>
            <w:pPr>
              <w:spacing w:after="0"/>
              <w:rPr>
                <w:sz w:val="17"/>
                <w:szCs w:val="17"/>
                <w:color w:val="auto"/>
              </w:rPr>
            </w:pPr>
          </w:p>
        </w:tc>
        <w:tc>
          <w:tcPr>
            <w:tcW w:w="80" w:type="dxa"/>
            <w:vAlign w:val="bottom"/>
            <w:shd w:val="clear" w:color="auto" w:fill="D3ECED"/>
          </w:tcPr>
          <w:p>
            <w:pPr>
              <w:jc w:val="right"/>
              <w:spacing w:after="0"/>
              <w:rPr>
                <w:sz w:val="20"/>
                <w:szCs w:val="20"/>
                <w:color w:val="auto"/>
              </w:rPr>
            </w:pPr>
            <w:r>
              <w:rPr>
                <w:rFonts w:ascii="Arial" w:cs="Arial" w:eastAsia="Arial" w:hAnsi="Arial"/>
                <w:sz w:val="10"/>
                <w:szCs w:val="10"/>
                <w:color w:val="auto"/>
                <w:w w:val="71"/>
                <w:shd w:val="clear" w:color="auto" w:fill="D3ECED"/>
              </w:rPr>
              <w:t>$</w:t>
            </w: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33,023</w:t>
            </w:r>
          </w:p>
        </w:tc>
        <w:tc>
          <w:tcPr>
            <w:tcW w:w="60" w:type="dxa"/>
            <w:vAlign w:val="bottom"/>
            <w:shd w:val="clear" w:color="auto" w:fill="D3ECED"/>
          </w:tcPr>
          <w:p>
            <w:pPr>
              <w:spacing w:after="0"/>
              <w:rPr>
                <w:sz w:val="17"/>
                <w:szCs w:val="17"/>
                <w:color w:val="auto"/>
              </w:rPr>
            </w:pPr>
          </w:p>
        </w:tc>
      </w:tr>
      <w:tr>
        <w:trPr>
          <w:trHeight w:val="187"/>
        </w:trPr>
        <w:tc>
          <w:tcPr>
            <w:tcW w:w="5920" w:type="dxa"/>
            <w:vAlign w:val="bottom"/>
            <w:tcBorders>
              <w:bottom w:val="single" w:sz="8" w:color="FDFDFD"/>
            </w:tcBorders>
            <w:shd w:val="clear" w:color="auto" w:fill="FDFDFD"/>
          </w:tcPr>
          <w:p>
            <w:pPr>
              <w:spacing w:after="0"/>
              <w:rPr>
                <w:sz w:val="16"/>
                <w:szCs w:val="16"/>
                <w:color w:val="auto"/>
              </w:rPr>
            </w:pPr>
          </w:p>
        </w:tc>
        <w:tc>
          <w:tcPr>
            <w:tcW w:w="120" w:type="dxa"/>
            <w:vAlign w:val="bottom"/>
            <w:tcBorders>
              <w:bottom w:val="single" w:sz="8" w:color="FDFDFD"/>
            </w:tcBorders>
            <w:shd w:val="clear" w:color="auto" w:fill="FDFDFD"/>
          </w:tcPr>
          <w:p>
            <w:pPr>
              <w:spacing w:after="0"/>
              <w:rPr>
                <w:sz w:val="16"/>
                <w:szCs w:val="16"/>
                <w:color w:val="auto"/>
              </w:rPr>
            </w:pPr>
          </w:p>
        </w:tc>
        <w:tc>
          <w:tcPr>
            <w:tcW w:w="20" w:type="dxa"/>
            <w:vAlign w:val="bottom"/>
            <w:tcBorders>
              <w:bottom w:val="single" w:sz="8" w:color="FDFDFD"/>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c>
          <w:tcPr>
            <w:tcW w:w="1160" w:type="dxa"/>
            <w:vAlign w:val="bottom"/>
            <w:tcBorders>
              <w:bottom w:val="single" w:sz="8" w:color="FDFDFD"/>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c>
          <w:tcPr>
            <w:tcW w:w="140" w:type="dxa"/>
            <w:vAlign w:val="bottom"/>
            <w:tcBorders>
              <w:bottom w:val="single" w:sz="8" w:color="FDFDFD"/>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c>
          <w:tcPr>
            <w:tcW w:w="1180" w:type="dxa"/>
            <w:vAlign w:val="bottom"/>
            <w:tcBorders>
              <w:bottom w:val="single" w:sz="8" w:color="FDFDFD"/>
              <w:right w:val="single" w:sz="8" w:color="FDFDFD"/>
            </w:tcBorders>
            <w:shd w:val="clear" w:color="auto" w:fill="FDFDFD"/>
          </w:tcPr>
          <w:p>
            <w:pPr>
              <w:spacing w:after="0"/>
              <w:rPr>
                <w:sz w:val="16"/>
                <w:szCs w:val="16"/>
                <w:color w:val="auto"/>
              </w:rPr>
            </w:pPr>
          </w:p>
        </w:tc>
        <w:tc>
          <w:tcPr>
            <w:tcW w:w="60" w:type="dxa"/>
            <w:vAlign w:val="bottom"/>
            <w:tcBorders>
              <w:bottom w:val="single" w:sz="8" w:color="FDFDFD"/>
            </w:tcBorders>
          </w:tcPr>
          <w:p>
            <w:pPr>
              <w:spacing w:after="0"/>
              <w:rPr>
                <w:sz w:val="16"/>
                <w:szCs w:val="16"/>
                <w:color w:val="auto"/>
              </w:rPr>
            </w:pPr>
          </w:p>
        </w:tc>
      </w:tr>
      <w:tr>
        <w:trPr>
          <w:trHeight w:val="167"/>
        </w:trPr>
        <w:tc>
          <w:tcPr>
            <w:tcW w:w="5920" w:type="dxa"/>
            <w:vAlign w:val="bottom"/>
          </w:tcPr>
          <w:p>
            <w:pPr>
              <w:spacing w:after="0" w:line="167"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120" w:type="dxa"/>
            <w:vAlign w:val="bottom"/>
            <w:shd w:val="clear" w:color="auto" w:fill="FDFDFD"/>
          </w:tcPr>
          <w:p>
            <w:pPr>
              <w:spacing w:after="0"/>
              <w:rPr>
                <w:sz w:val="14"/>
                <w:szCs w:val="14"/>
                <w:color w:val="auto"/>
              </w:rPr>
            </w:pPr>
          </w:p>
        </w:tc>
        <w:tc>
          <w:tcPr>
            <w:tcW w:w="2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116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14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1180" w:type="dxa"/>
            <w:vAlign w:val="bottom"/>
            <w:tcBorders>
              <w:right w:val="single" w:sz="8" w:color="FDFDFD"/>
            </w:tcBorders>
            <w:shd w:val="clear" w:color="auto" w:fill="FDFDFD"/>
          </w:tcPr>
          <w:p>
            <w:pPr>
              <w:spacing w:after="0"/>
              <w:rPr>
                <w:sz w:val="14"/>
                <w:szCs w:val="14"/>
                <w:color w:val="auto"/>
              </w:rPr>
            </w:pPr>
          </w:p>
        </w:tc>
        <w:tc>
          <w:tcPr>
            <w:tcW w:w="60" w:type="dxa"/>
            <w:vAlign w:val="bottom"/>
            <w:shd w:val="clear" w:color="auto" w:fill="FDFDFD"/>
          </w:tcPr>
          <w:p>
            <w:pPr>
              <w:spacing w:after="0"/>
              <w:rPr>
                <w:sz w:val="14"/>
                <w:szCs w:val="14"/>
                <w:color w:val="auto"/>
              </w:rPr>
            </w:pPr>
          </w:p>
        </w:tc>
      </w:tr>
      <w:tr>
        <w:trPr>
          <w:trHeight w:val="210"/>
        </w:trPr>
        <w:tc>
          <w:tcPr>
            <w:tcW w:w="5920" w:type="dxa"/>
            <w:vAlign w:val="bottom"/>
            <w:shd w:val="clear" w:color="auto" w:fill="D3ECED"/>
          </w:tcPr>
          <w:p>
            <w:pPr>
              <w:spacing w:after="0"/>
              <w:rPr>
                <w:sz w:val="20"/>
                <w:szCs w:val="20"/>
                <w:color w:val="auto"/>
              </w:rPr>
            </w:pPr>
            <w:r>
              <w:rPr>
                <w:rFonts w:ascii="Arial" w:cs="Arial" w:eastAsia="Arial" w:hAnsi="Arial"/>
                <w:sz w:val="15"/>
                <w:szCs w:val="15"/>
                <w:color w:val="auto"/>
              </w:rPr>
              <w:t>Cash paid for income taxes</w:t>
            </w:r>
          </w:p>
        </w:tc>
        <w:tc>
          <w:tcPr>
            <w:tcW w:w="120" w:type="dxa"/>
            <w:vAlign w:val="bottom"/>
            <w:shd w:val="clear" w:color="auto" w:fill="D3ECED"/>
          </w:tcPr>
          <w:p>
            <w:pPr>
              <w:spacing w:after="0"/>
              <w:rPr>
                <w:sz w:val="18"/>
                <w:szCs w:val="18"/>
                <w:color w:val="auto"/>
              </w:rPr>
            </w:pPr>
          </w:p>
        </w:tc>
        <w:tc>
          <w:tcPr>
            <w:tcW w:w="100" w:type="dxa"/>
            <w:vAlign w:val="bottom"/>
            <w:gridSpan w:val="2"/>
            <w:shd w:val="clear" w:color="auto" w:fill="D3ECED"/>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154</w:t>
            </w:r>
          </w:p>
        </w:tc>
        <w:tc>
          <w:tcPr>
            <w:tcW w:w="80" w:type="dxa"/>
            <w:vAlign w:val="bottom"/>
            <w:shd w:val="clear" w:color="auto" w:fill="D3ECED"/>
          </w:tcPr>
          <w:p>
            <w:pPr>
              <w:spacing w:after="0"/>
              <w:rPr>
                <w:sz w:val="18"/>
                <w:szCs w:val="18"/>
                <w:color w:val="auto"/>
              </w:rPr>
            </w:pPr>
          </w:p>
        </w:tc>
        <w:tc>
          <w:tcPr>
            <w:tcW w:w="220" w:type="dxa"/>
            <w:vAlign w:val="bottom"/>
            <w:gridSpan w:val="2"/>
            <w:shd w:val="clear" w:color="auto" w:fill="D3ECED"/>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D3ECED"/>
          </w:tcPr>
          <w:p>
            <w:pPr>
              <w:jc w:val="right"/>
              <w:ind w:right="95"/>
              <w:spacing w:after="0"/>
              <w:rPr>
                <w:sz w:val="20"/>
                <w:szCs w:val="20"/>
                <w:color w:val="auto"/>
              </w:rPr>
            </w:pPr>
            <w:r>
              <w:rPr>
                <w:rFonts w:ascii="Arial" w:cs="Arial" w:eastAsia="Arial" w:hAnsi="Arial"/>
                <w:sz w:val="15"/>
                <w:szCs w:val="15"/>
                <w:color w:val="auto"/>
              </w:rPr>
              <w:t>—</w:t>
            </w:r>
          </w:p>
        </w:tc>
      </w:tr>
      <w:tr>
        <w:trPr>
          <w:trHeight w:val="187"/>
        </w:trPr>
        <w:tc>
          <w:tcPr>
            <w:tcW w:w="5920" w:type="dxa"/>
            <w:vAlign w:val="bottom"/>
            <w:tcBorders>
              <w:top w:val="single" w:sz="8" w:color="FDFDFD"/>
              <w:bottom w:val="single" w:sz="8" w:color="FDFDFD"/>
            </w:tcBorders>
            <w:shd w:val="clear" w:color="auto" w:fill="FDFDFD"/>
          </w:tcPr>
          <w:p>
            <w:pPr>
              <w:spacing w:after="0"/>
              <w:rPr>
                <w:sz w:val="16"/>
                <w:szCs w:val="16"/>
                <w:color w:val="auto"/>
              </w:rPr>
            </w:pPr>
          </w:p>
        </w:tc>
        <w:tc>
          <w:tcPr>
            <w:tcW w:w="120" w:type="dxa"/>
            <w:vAlign w:val="bottom"/>
            <w:tcBorders>
              <w:top w:val="single" w:sz="8" w:color="FDFDFD"/>
              <w:bottom w:val="single" w:sz="8" w:color="FDFDFD"/>
            </w:tcBorders>
            <w:shd w:val="clear" w:color="auto" w:fill="FDFDFD"/>
          </w:tcPr>
          <w:p>
            <w:pPr>
              <w:spacing w:after="0"/>
              <w:rPr>
                <w:sz w:val="16"/>
                <w:szCs w:val="16"/>
                <w:color w:val="auto"/>
              </w:rPr>
            </w:pPr>
          </w:p>
        </w:tc>
        <w:tc>
          <w:tcPr>
            <w:tcW w:w="20" w:type="dxa"/>
            <w:vAlign w:val="bottom"/>
            <w:tcBorders>
              <w:top w:val="single" w:sz="8" w:color="FDFDFD"/>
              <w:bottom w:val="single" w:sz="8" w:color="FDFDFD"/>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c>
          <w:tcPr>
            <w:tcW w:w="1160" w:type="dxa"/>
            <w:vAlign w:val="bottom"/>
            <w:tcBorders>
              <w:bottom w:val="single" w:sz="8" w:color="FDFDFD"/>
            </w:tcBorders>
            <w:shd w:val="clear" w:color="auto" w:fill="FDFDFD"/>
          </w:tcPr>
          <w:p>
            <w:pPr>
              <w:spacing w:after="0"/>
              <w:rPr>
                <w:sz w:val="16"/>
                <w:szCs w:val="16"/>
                <w:color w:val="auto"/>
              </w:rPr>
            </w:pPr>
          </w:p>
        </w:tc>
        <w:tc>
          <w:tcPr>
            <w:tcW w:w="80" w:type="dxa"/>
            <w:vAlign w:val="bottom"/>
            <w:tcBorders>
              <w:top w:val="single" w:sz="8" w:color="FDFDFD"/>
              <w:bottom w:val="single" w:sz="8" w:color="FDFDFD"/>
            </w:tcBorders>
            <w:shd w:val="clear" w:color="auto" w:fill="FDFDFD"/>
          </w:tcPr>
          <w:p>
            <w:pPr>
              <w:spacing w:after="0"/>
              <w:rPr>
                <w:sz w:val="16"/>
                <w:szCs w:val="16"/>
                <w:color w:val="auto"/>
              </w:rPr>
            </w:pPr>
          </w:p>
        </w:tc>
        <w:tc>
          <w:tcPr>
            <w:tcW w:w="140" w:type="dxa"/>
            <w:vAlign w:val="bottom"/>
            <w:tcBorders>
              <w:top w:val="single" w:sz="8" w:color="FDFDFD"/>
              <w:bottom w:val="single" w:sz="8" w:color="FDFDFD"/>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c>
          <w:tcPr>
            <w:tcW w:w="1180" w:type="dxa"/>
            <w:vAlign w:val="bottom"/>
            <w:tcBorders>
              <w:bottom w:val="single" w:sz="8" w:color="FDFDFD"/>
              <w:right w:val="single" w:sz="8" w:color="FDFDFD"/>
            </w:tcBorders>
            <w:shd w:val="clear" w:color="auto" w:fill="FDFDFD"/>
          </w:tcPr>
          <w:p>
            <w:pPr>
              <w:spacing w:after="0"/>
              <w:rPr>
                <w:sz w:val="16"/>
                <w:szCs w:val="16"/>
                <w:color w:val="auto"/>
              </w:rPr>
            </w:pPr>
          </w:p>
        </w:tc>
        <w:tc>
          <w:tcPr>
            <w:tcW w:w="60" w:type="dxa"/>
            <w:vAlign w:val="bottom"/>
            <w:tcBorders>
              <w:bottom w:val="single" w:sz="8" w:color="FDFDFD"/>
            </w:tcBorders>
          </w:tcPr>
          <w:p>
            <w:pPr>
              <w:spacing w:after="0"/>
              <w:rPr>
                <w:sz w:val="16"/>
                <w:szCs w:val="16"/>
                <w:color w:val="auto"/>
              </w:rPr>
            </w:pPr>
          </w:p>
        </w:tc>
      </w:tr>
      <w:tr>
        <w:trPr>
          <w:trHeight w:val="167"/>
        </w:trPr>
        <w:tc>
          <w:tcPr>
            <w:tcW w:w="5920" w:type="dxa"/>
            <w:vAlign w:val="bottom"/>
          </w:tcPr>
          <w:p>
            <w:pPr>
              <w:spacing w:after="0" w:line="167" w:lineRule="exact"/>
              <w:rPr>
                <w:sz w:val="20"/>
                <w:szCs w:val="20"/>
                <w:color w:val="auto"/>
              </w:rPr>
            </w:pPr>
            <w:r>
              <w:rPr>
                <w:rFonts w:ascii="Arial" w:cs="Arial" w:eastAsia="Arial" w:hAnsi="Arial"/>
                <w:sz w:val="15"/>
                <w:szCs w:val="15"/>
                <w:b w:val="1"/>
                <w:bCs w:val="1"/>
                <w:color w:val="auto"/>
              </w:rPr>
              <w:t>SUPPLEMENTAL DISCLOSURE OF NON-CASH ACTIVITIES</w:t>
            </w:r>
          </w:p>
        </w:tc>
        <w:tc>
          <w:tcPr>
            <w:tcW w:w="120" w:type="dxa"/>
            <w:vAlign w:val="bottom"/>
            <w:shd w:val="clear" w:color="auto" w:fill="FDFDFD"/>
          </w:tcPr>
          <w:p>
            <w:pPr>
              <w:spacing w:after="0"/>
              <w:rPr>
                <w:sz w:val="14"/>
                <w:szCs w:val="14"/>
                <w:color w:val="auto"/>
              </w:rPr>
            </w:pPr>
          </w:p>
        </w:tc>
        <w:tc>
          <w:tcPr>
            <w:tcW w:w="2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116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140" w:type="dxa"/>
            <w:vAlign w:val="bottom"/>
            <w:shd w:val="clear" w:color="auto" w:fill="FDFDFD"/>
          </w:tcPr>
          <w:p>
            <w:pPr>
              <w:spacing w:after="0"/>
              <w:rPr>
                <w:sz w:val="14"/>
                <w:szCs w:val="14"/>
                <w:color w:val="auto"/>
              </w:rPr>
            </w:pPr>
          </w:p>
        </w:tc>
        <w:tc>
          <w:tcPr>
            <w:tcW w:w="80" w:type="dxa"/>
            <w:vAlign w:val="bottom"/>
            <w:shd w:val="clear" w:color="auto" w:fill="FDFDFD"/>
          </w:tcPr>
          <w:p>
            <w:pPr>
              <w:spacing w:after="0"/>
              <w:rPr>
                <w:sz w:val="14"/>
                <w:szCs w:val="14"/>
                <w:color w:val="auto"/>
              </w:rPr>
            </w:pPr>
          </w:p>
        </w:tc>
        <w:tc>
          <w:tcPr>
            <w:tcW w:w="1180" w:type="dxa"/>
            <w:vAlign w:val="bottom"/>
            <w:tcBorders>
              <w:right w:val="single" w:sz="8" w:color="FDFDFD"/>
            </w:tcBorders>
            <w:shd w:val="clear" w:color="auto" w:fill="FDFDFD"/>
          </w:tcPr>
          <w:p>
            <w:pPr>
              <w:spacing w:after="0"/>
              <w:rPr>
                <w:sz w:val="14"/>
                <w:szCs w:val="14"/>
                <w:color w:val="auto"/>
              </w:rPr>
            </w:pPr>
          </w:p>
        </w:tc>
        <w:tc>
          <w:tcPr>
            <w:tcW w:w="60" w:type="dxa"/>
            <w:vAlign w:val="bottom"/>
            <w:shd w:val="clear" w:color="auto" w:fill="FDFDFD"/>
          </w:tcPr>
          <w:p>
            <w:pPr>
              <w:spacing w:after="0"/>
              <w:rPr>
                <w:sz w:val="14"/>
                <w:szCs w:val="14"/>
                <w:color w:val="auto"/>
              </w:rPr>
            </w:pPr>
          </w:p>
        </w:tc>
      </w:tr>
      <w:tr>
        <w:trPr>
          <w:trHeight w:val="208"/>
        </w:trPr>
        <w:tc>
          <w:tcPr>
            <w:tcW w:w="5920" w:type="dxa"/>
            <w:vAlign w:val="bottom"/>
            <w:shd w:val="clear" w:color="auto" w:fill="D3ECED"/>
          </w:tcPr>
          <w:p>
            <w:pPr>
              <w:spacing w:after="0"/>
              <w:rPr>
                <w:sz w:val="20"/>
                <w:szCs w:val="20"/>
                <w:color w:val="auto"/>
              </w:rPr>
            </w:pPr>
            <w:r>
              <w:rPr>
                <w:rFonts w:ascii="Arial" w:cs="Arial" w:eastAsia="Arial" w:hAnsi="Arial"/>
                <w:sz w:val="15"/>
                <w:szCs w:val="15"/>
                <w:color w:val="auto"/>
              </w:rPr>
              <w:t>Capitalized stock-based compensation related to internal-use software development</w:t>
            </w:r>
          </w:p>
        </w:tc>
        <w:tc>
          <w:tcPr>
            <w:tcW w:w="120" w:type="dxa"/>
            <w:vAlign w:val="bottom"/>
            <w:shd w:val="clear" w:color="auto" w:fill="D3ECED"/>
          </w:tcPr>
          <w:p>
            <w:pPr>
              <w:spacing w:after="0"/>
              <w:rPr>
                <w:sz w:val="18"/>
                <w:szCs w:val="18"/>
                <w:color w:val="auto"/>
              </w:rPr>
            </w:pPr>
          </w:p>
        </w:tc>
        <w:tc>
          <w:tcPr>
            <w:tcW w:w="100" w:type="dxa"/>
            <w:vAlign w:val="bottom"/>
            <w:gridSpan w:val="2"/>
            <w:shd w:val="clear" w:color="auto" w:fill="D3ECED"/>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220</w:t>
            </w:r>
          </w:p>
        </w:tc>
        <w:tc>
          <w:tcPr>
            <w:tcW w:w="80" w:type="dxa"/>
            <w:vAlign w:val="bottom"/>
            <w:shd w:val="clear" w:color="auto" w:fill="D3ECED"/>
          </w:tcPr>
          <w:p>
            <w:pPr>
              <w:spacing w:after="0"/>
              <w:rPr>
                <w:sz w:val="18"/>
                <w:szCs w:val="18"/>
                <w:color w:val="auto"/>
              </w:rPr>
            </w:pPr>
          </w:p>
        </w:tc>
        <w:tc>
          <w:tcPr>
            <w:tcW w:w="220" w:type="dxa"/>
            <w:vAlign w:val="bottom"/>
            <w:gridSpan w:val="2"/>
            <w:shd w:val="clear" w:color="auto" w:fill="D3ECED"/>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D3ECED"/>
          </w:tcPr>
          <w:p>
            <w:pPr>
              <w:jc w:val="right"/>
              <w:ind w:right="95"/>
              <w:spacing w:after="0"/>
              <w:rPr>
                <w:sz w:val="20"/>
                <w:szCs w:val="20"/>
                <w:color w:val="auto"/>
              </w:rPr>
            </w:pPr>
            <w:r>
              <w:rPr>
                <w:rFonts w:ascii="Arial" w:cs="Arial" w:eastAsia="Arial" w:hAnsi="Arial"/>
                <w:sz w:val="15"/>
                <w:szCs w:val="15"/>
                <w:color w:val="auto"/>
              </w:rPr>
              <w:t>—</w:t>
            </w:r>
          </w:p>
        </w:tc>
      </w:tr>
      <w:tr>
        <w:trPr>
          <w:trHeight w:val="210"/>
        </w:trPr>
        <w:tc>
          <w:tcPr>
            <w:tcW w:w="6040" w:type="dxa"/>
            <w:vAlign w:val="bottom"/>
            <w:tcBorders>
              <w:top w:val="single" w:sz="8" w:color="FDFDFD"/>
              <w:bottom w:val="single" w:sz="8" w:color="D3ECED"/>
            </w:tcBorders>
            <w:gridSpan w:val="2"/>
            <w:shd w:val="clear" w:color="auto" w:fill="FDFDFD"/>
          </w:tcPr>
          <w:p>
            <w:pPr>
              <w:spacing w:after="0"/>
              <w:rPr>
                <w:sz w:val="20"/>
                <w:szCs w:val="20"/>
                <w:color w:val="auto"/>
              </w:rPr>
            </w:pPr>
            <w:r>
              <w:rPr>
                <w:rFonts w:ascii="Arial" w:cs="Arial" w:eastAsia="Arial" w:hAnsi="Arial"/>
                <w:sz w:val="15"/>
                <w:szCs w:val="15"/>
                <w:color w:val="auto"/>
              </w:rPr>
              <w:t>Property and equipment purchases included in accounts payable and accrued expenses</w:t>
            </w:r>
          </w:p>
        </w:tc>
        <w:tc>
          <w:tcPr>
            <w:tcW w:w="20" w:type="dxa"/>
            <w:vAlign w:val="bottom"/>
            <w:tcBorders>
              <w:top w:val="single" w:sz="8" w:color="FDFDFD"/>
              <w:bottom w:val="single" w:sz="8" w:color="D3ECED"/>
            </w:tcBorders>
            <w:shd w:val="clear" w:color="auto" w:fill="FDFDFD"/>
          </w:tcPr>
          <w:p>
            <w:pPr>
              <w:spacing w:after="0"/>
              <w:rPr>
                <w:sz w:val="18"/>
                <w:szCs w:val="18"/>
                <w:color w:val="auto"/>
              </w:rPr>
            </w:pPr>
          </w:p>
        </w:tc>
        <w:tc>
          <w:tcPr>
            <w:tcW w:w="80" w:type="dxa"/>
            <w:vAlign w:val="bottom"/>
            <w:tcBorders>
              <w:top w:val="single" w:sz="8" w:color="D3ECED"/>
              <w:bottom w:val="single" w:sz="8" w:color="FDFDFD"/>
            </w:tcBorders>
            <w:shd w:val="clear" w:color="auto" w:fill="FDFDFD"/>
          </w:tcPr>
          <w:p>
            <w:pPr>
              <w:jc w:val="right"/>
              <w:spacing w:after="0"/>
              <w:rPr>
                <w:sz w:val="20"/>
                <w:szCs w:val="20"/>
                <w:color w:val="auto"/>
              </w:rPr>
            </w:pPr>
            <w:r>
              <w:rPr>
                <w:rFonts w:ascii="Arial" w:cs="Arial" w:eastAsia="Arial" w:hAnsi="Arial"/>
                <w:sz w:val="10"/>
                <w:szCs w:val="10"/>
                <w:color w:val="auto"/>
                <w:highlight w:val="white"/>
                <w:w w:val="71"/>
              </w:rPr>
              <w:t>$</w:t>
            </w:r>
          </w:p>
        </w:tc>
        <w:tc>
          <w:tcPr>
            <w:tcW w:w="1160" w:type="dxa"/>
            <w:vAlign w:val="bottom"/>
            <w:tcBorders>
              <w:top w:val="single" w:sz="8" w:color="D3ECED"/>
              <w:bottom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248</w:t>
            </w:r>
          </w:p>
        </w:tc>
        <w:tc>
          <w:tcPr>
            <w:tcW w:w="80" w:type="dxa"/>
            <w:vAlign w:val="bottom"/>
            <w:tcBorders>
              <w:top w:val="single" w:sz="8" w:color="FDFDFD"/>
              <w:bottom w:val="single" w:sz="8" w:color="D3ECED"/>
            </w:tcBorders>
            <w:shd w:val="clear" w:color="auto" w:fill="FDFDFD"/>
          </w:tcPr>
          <w:p>
            <w:pPr>
              <w:spacing w:after="0"/>
              <w:rPr>
                <w:sz w:val="18"/>
                <w:szCs w:val="18"/>
                <w:color w:val="auto"/>
              </w:rPr>
            </w:pPr>
          </w:p>
        </w:tc>
        <w:tc>
          <w:tcPr>
            <w:tcW w:w="140" w:type="dxa"/>
            <w:vAlign w:val="bottom"/>
            <w:tcBorders>
              <w:top w:val="single" w:sz="8" w:color="FDFDFD"/>
              <w:bottom w:val="single" w:sz="8" w:color="D3ECED"/>
            </w:tcBorders>
            <w:shd w:val="clear" w:color="auto" w:fill="FDFDFD"/>
          </w:tcPr>
          <w:p>
            <w:pPr>
              <w:spacing w:after="0"/>
              <w:rPr>
                <w:sz w:val="18"/>
                <w:szCs w:val="18"/>
                <w:color w:val="auto"/>
              </w:rPr>
            </w:pPr>
          </w:p>
        </w:tc>
        <w:tc>
          <w:tcPr>
            <w:tcW w:w="80" w:type="dxa"/>
            <w:vAlign w:val="bottom"/>
            <w:tcBorders>
              <w:top w:val="single" w:sz="8" w:color="D3ECED"/>
              <w:bottom w:val="single" w:sz="8" w:color="FDFDFD"/>
            </w:tcBorders>
            <w:shd w:val="clear" w:color="auto" w:fill="FDFDFD"/>
          </w:tcPr>
          <w:p>
            <w:pPr>
              <w:jc w:val="right"/>
              <w:spacing w:after="0"/>
              <w:rPr>
                <w:sz w:val="20"/>
                <w:szCs w:val="20"/>
                <w:color w:val="auto"/>
              </w:rPr>
            </w:pPr>
            <w:r>
              <w:rPr>
                <w:rFonts w:ascii="Arial" w:cs="Arial" w:eastAsia="Arial" w:hAnsi="Arial"/>
                <w:sz w:val="10"/>
                <w:szCs w:val="10"/>
                <w:color w:val="auto"/>
                <w:highlight w:val="white"/>
                <w:w w:val="71"/>
              </w:rPr>
              <w:t>$</w:t>
            </w:r>
          </w:p>
        </w:tc>
        <w:tc>
          <w:tcPr>
            <w:tcW w:w="1180" w:type="dxa"/>
            <w:vAlign w:val="bottom"/>
            <w:tcBorders>
              <w:top w:val="single" w:sz="8" w:color="D3ECED"/>
              <w:bottom w:val="single" w:sz="8" w:color="FDFDFD"/>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415</w:t>
            </w:r>
          </w:p>
        </w:tc>
        <w:tc>
          <w:tcPr>
            <w:tcW w:w="60" w:type="dxa"/>
            <w:vAlign w:val="bottom"/>
            <w:tcBorders>
              <w:top w:val="single" w:sz="8" w:color="FDFDFD"/>
              <w:bottom w:val="single" w:sz="8" w:color="D3ECED"/>
            </w:tcBorders>
            <w:shd w:val="clear" w:color="auto" w:fill="FDFDFD"/>
          </w:tcPr>
          <w:p>
            <w:pPr>
              <w:spacing w:after="0"/>
              <w:rPr>
                <w:sz w:val="18"/>
                <w:szCs w:val="18"/>
                <w:color w:val="auto"/>
              </w:rPr>
            </w:pPr>
          </w:p>
        </w:tc>
      </w:tr>
      <w:tr>
        <w:trPr>
          <w:trHeight w:val="208"/>
        </w:trPr>
        <w:tc>
          <w:tcPr>
            <w:tcW w:w="6040" w:type="dxa"/>
            <w:vAlign w:val="bottom"/>
            <w:tcBorders>
              <w:bottom w:val="single" w:sz="8" w:color="FDFDFD"/>
            </w:tcBorders>
            <w:gridSpan w:val="2"/>
            <w:shd w:val="clear" w:color="auto" w:fill="D3ECED"/>
          </w:tcPr>
          <w:p>
            <w:pPr>
              <w:spacing w:after="0"/>
              <w:rPr>
                <w:sz w:val="20"/>
                <w:szCs w:val="20"/>
                <w:color w:val="auto"/>
              </w:rPr>
            </w:pPr>
            <w:r>
              <w:rPr>
                <w:rFonts w:ascii="Arial" w:cs="Arial" w:eastAsia="Arial" w:hAnsi="Arial"/>
                <w:sz w:val="15"/>
                <w:szCs w:val="15"/>
                <w:color w:val="auto"/>
              </w:rPr>
              <w:t>Property and equipment transferred to inventory</w:t>
            </w:r>
          </w:p>
        </w:tc>
        <w:tc>
          <w:tcPr>
            <w:tcW w:w="20" w:type="dxa"/>
            <w:vAlign w:val="bottom"/>
            <w:tcBorders>
              <w:bottom w:val="single" w:sz="8" w:color="FDFDFD"/>
            </w:tcBorders>
            <w:shd w:val="clear" w:color="auto" w:fill="D3ECED"/>
          </w:tcPr>
          <w:p>
            <w:pPr>
              <w:spacing w:after="0"/>
              <w:rPr>
                <w:sz w:val="18"/>
                <w:szCs w:val="18"/>
                <w:color w:val="auto"/>
              </w:rPr>
            </w:pPr>
          </w:p>
        </w:tc>
        <w:tc>
          <w:tcPr>
            <w:tcW w:w="80" w:type="dxa"/>
            <w:vAlign w:val="bottom"/>
            <w:tcBorders>
              <w:bottom w:val="single" w:sz="8" w:color="D3ECED"/>
            </w:tcBorders>
            <w:shd w:val="clear" w:color="auto" w:fill="D3ECED"/>
          </w:tcPr>
          <w:p>
            <w:pPr>
              <w:jc w:val="right"/>
              <w:spacing w:after="0"/>
              <w:rPr>
                <w:sz w:val="20"/>
                <w:szCs w:val="20"/>
                <w:color w:val="auto"/>
              </w:rPr>
            </w:pPr>
            <w:r>
              <w:rPr>
                <w:rFonts w:ascii="Arial" w:cs="Arial" w:eastAsia="Arial" w:hAnsi="Arial"/>
                <w:sz w:val="10"/>
                <w:szCs w:val="10"/>
                <w:color w:val="auto"/>
                <w:w w:val="71"/>
                <w:shd w:val="clear" w:color="auto" w:fill="D3ECED"/>
              </w:rPr>
              <w:t>$</w:t>
            </w:r>
          </w:p>
        </w:tc>
        <w:tc>
          <w:tcPr>
            <w:tcW w:w="1160" w:type="dxa"/>
            <w:vAlign w:val="bottom"/>
            <w:tcBorders>
              <w:bottom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699</w:t>
            </w:r>
          </w:p>
        </w:tc>
        <w:tc>
          <w:tcPr>
            <w:tcW w:w="80" w:type="dxa"/>
            <w:vAlign w:val="bottom"/>
            <w:tcBorders>
              <w:bottom w:val="single" w:sz="8" w:color="FDFDFD"/>
            </w:tcBorders>
            <w:shd w:val="clear" w:color="auto" w:fill="D3ECED"/>
          </w:tcPr>
          <w:p>
            <w:pPr>
              <w:spacing w:after="0"/>
              <w:rPr>
                <w:sz w:val="18"/>
                <w:szCs w:val="18"/>
                <w:color w:val="auto"/>
              </w:rPr>
            </w:pPr>
          </w:p>
        </w:tc>
        <w:tc>
          <w:tcPr>
            <w:tcW w:w="140" w:type="dxa"/>
            <w:vAlign w:val="bottom"/>
            <w:tcBorders>
              <w:bottom w:val="single" w:sz="8" w:color="FDFDFD"/>
            </w:tcBorders>
            <w:shd w:val="clear" w:color="auto" w:fill="D3ECED"/>
          </w:tcPr>
          <w:p>
            <w:pPr>
              <w:spacing w:after="0"/>
              <w:rPr>
                <w:sz w:val="18"/>
                <w:szCs w:val="18"/>
                <w:color w:val="auto"/>
              </w:rPr>
            </w:pPr>
          </w:p>
        </w:tc>
        <w:tc>
          <w:tcPr>
            <w:tcW w:w="80" w:type="dxa"/>
            <w:vAlign w:val="bottom"/>
            <w:tcBorders>
              <w:bottom w:val="single" w:sz="8" w:color="D3ECED"/>
            </w:tcBorders>
            <w:shd w:val="clear" w:color="auto" w:fill="D3ECED"/>
          </w:tcPr>
          <w:p>
            <w:pPr>
              <w:jc w:val="right"/>
              <w:spacing w:after="0"/>
              <w:rPr>
                <w:sz w:val="20"/>
                <w:szCs w:val="20"/>
                <w:color w:val="auto"/>
              </w:rPr>
            </w:pPr>
            <w:r>
              <w:rPr>
                <w:rFonts w:ascii="Arial" w:cs="Arial" w:eastAsia="Arial" w:hAnsi="Arial"/>
                <w:sz w:val="10"/>
                <w:szCs w:val="10"/>
                <w:color w:val="auto"/>
                <w:w w:val="71"/>
                <w:shd w:val="clear" w:color="auto" w:fill="D3ECED"/>
              </w:rPr>
              <w:t>$</w:t>
            </w:r>
          </w:p>
        </w:tc>
        <w:tc>
          <w:tcPr>
            <w:tcW w:w="1180" w:type="dxa"/>
            <w:vAlign w:val="bottom"/>
            <w:tcBorders>
              <w:bottom w:val="single" w:sz="8" w:color="D3ECED"/>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121</w:t>
            </w:r>
          </w:p>
        </w:tc>
        <w:tc>
          <w:tcPr>
            <w:tcW w:w="60" w:type="dxa"/>
            <w:vAlign w:val="bottom"/>
            <w:tcBorders>
              <w:bottom w:val="single" w:sz="8" w:color="FDFDFD"/>
            </w:tcBorders>
            <w:shd w:val="clear" w:color="auto" w:fill="D3ECED"/>
          </w:tcPr>
          <w:p>
            <w:pPr>
              <w:spacing w:after="0"/>
              <w:rPr>
                <w:sz w:val="18"/>
                <w:szCs w:val="18"/>
                <w:color w:val="auto"/>
              </w:rPr>
            </w:pPr>
          </w:p>
        </w:tc>
      </w:tr>
      <w:tr>
        <w:trPr>
          <w:trHeight w:val="210"/>
        </w:trPr>
        <w:tc>
          <w:tcPr>
            <w:tcW w:w="6040" w:type="dxa"/>
            <w:vAlign w:val="bottom"/>
            <w:tcBorders>
              <w:bottom w:val="single" w:sz="8" w:color="D3ECED"/>
            </w:tcBorders>
            <w:gridSpan w:val="2"/>
            <w:shd w:val="clear" w:color="auto" w:fill="FDFDFD"/>
          </w:tcPr>
          <w:p>
            <w:pPr>
              <w:spacing w:after="0"/>
              <w:rPr>
                <w:sz w:val="20"/>
                <w:szCs w:val="20"/>
                <w:color w:val="auto"/>
              </w:rPr>
            </w:pPr>
            <w:r>
              <w:rPr>
                <w:rFonts w:ascii="Arial" w:cs="Arial" w:eastAsia="Arial" w:hAnsi="Arial"/>
                <w:sz w:val="15"/>
                <w:szCs w:val="15"/>
                <w:color w:val="auto"/>
              </w:rPr>
              <w:t>Inventory transferred to property and equipment</w:t>
            </w:r>
          </w:p>
        </w:tc>
        <w:tc>
          <w:tcPr>
            <w:tcW w:w="20" w:type="dxa"/>
            <w:vAlign w:val="bottom"/>
            <w:tcBorders>
              <w:bottom w:val="single" w:sz="8" w:color="D3ECED"/>
            </w:tcBorders>
            <w:shd w:val="clear" w:color="auto" w:fill="FDFDFD"/>
          </w:tcPr>
          <w:p>
            <w:pPr>
              <w:spacing w:after="0"/>
              <w:rPr>
                <w:sz w:val="18"/>
                <w:szCs w:val="18"/>
                <w:color w:val="auto"/>
              </w:rPr>
            </w:pPr>
          </w:p>
        </w:tc>
        <w:tc>
          <w:tcPr>
            <w:tcW w:w="8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0"/>
                <w:szCs w:val="10"/>
                <w:color w:val="auto"/>
                <w:highlight w:val="white"/>
                <w:w w:val="71"/>
              </w:rPr>
              <w:t>$</w:t>
            </w:r>
          </w:p>
        </w:tc>
        <w:tc>
          <w:tcPr>
            <w:tcW w:w="116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242</w:t>
            </w:r>
          </w:p>
        </w:tc>
        <w:tc>
          <w:tcPr>
            <w:tcW w:w="80" w:type="dxa"/>
            <w:vAlign w:val="bottom"/>
            <w:tcBorders>
              <w:bottom w:val="single" w:sz="8" w:color="D3ECED"/>
            </w:tcBorders>
            <w:shd w:val="clear" w:color="auto" w:fill="FDFDFD"/>
          </w:tcPr>
          <w:p>
            <w:pPr>
              <w:spacing w:after="0"/>
              <w:rPr>
                <w:sz w:val="18"/>
                <w:szCs w:val="18"/>
                <w:color w:val="auto"/>
              </w:rPr>
            </w:pPr>
          </w:p>
        </w:tc>
        <w:tc>
          <w:tcPr>
            <w:tcW w:w="140" w:type="dxa"/>
            <w:vAlign w:val="bottom"/>
            <w:tcBorders>
              <w:bottom w:val="single" w:sz="8" w:color="D3ECED"/>
            </w:tcBorders>
            <w:shd w:val="clear" w:color="auto" w:fill="FDFDFD"/>
          </w:tcPr>
          <w:p>
            <w:pPr>
              <w:spacing w:after="0"/>
              <w:rPr>
                <w:sz w:val="18"/>
                <w:szCs w:val="18"/>
                <w:color w:val="auto"/>
              </w:rPr>
            </w:pPr>
          </w:p>
        </w:tc>
        <w:tc>
          <w:tcPr>
            <w:tcW w:w="8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0"/>
                <w:szCs w:val="10"/>
                <w:color w:val="auto"/>
                <w:highlight w:val="white"/>
                <w:w w:val="71"/>
              </w:rPr>
              <w:t>$</w:t>
            </w:r>
          </w:p>
        </w:tc>
        <w:tc>
          <w:tcPr>
            <w:tcW w:w="1180" w:type="dxa"/>
            <w:vAlign w:val="bottom"/>
            <w:tcBorders>
              <w:bottom w:val="single" w:sz="8" w:color="FDFDFD"/>
              <w:right w:val="single" w:sz="8" w:color="FDFDFD"/>
            </w:tcBorders>
            <w:shd w:val="clear" w:color="auto" w:fill="FDFDFD"/>
          </w:tcPr>
          <w:p>
            <w:pPr>
              <w:jc w:val="right"/>
              <w:spacing w:after="0"/>
              <w:rPr>
                <w:sz w:val="20"/>
                <w:szCs w:val="20"/>
                <w:color w:val="auto"/>
              </w:rPr>
            </w:pPr>
            <w:r>
              <w:rPr>
                <w:rFonts w:ascii="Arial" w:cs="Arial" w:eastAsia="Arial" w:hAnsi="Arial"/>
                <w:sz w:val="15"/>
                <w:szCs w:val="15"/>
                <w:color w:val="auto"/>
              </w:rPr>
              <w:t>1,332</w:t>
            </w:r>
          </w:p>
        </w:tc>
        <w:tc>
          <w:tcPr>
            <w:tcW w:w="60" w:type="dxa"/>
            <w:vAlign w:val="bottom"/>
            <w:tcBorders>
              <w:bottom w:val="single" w:sz="8" w:color="D3ECED"/>
            </w:tcBorders>
            <w:shd w:val="clear" w:color="auto" w:fill="FDFDFD"/>
          </w:tcPr>
          <w:p>
            <w:pPr>
              <w:spacing w:after="0"/>
              <w:rPr>
                <w:sz w:val="18"/>
                <w:szCs w:val="18"/>
                <w:color w:val="auto"/>
              </w:rPr>
            </w:pPr>
          </w:p>
        </w:tc>
      </w:tr>
      <w:tr>
        <w:trPr>
          <w:trHeight w:val="190"/>
        </w:trPr>
        <w:tc>
          <w:tcPr>
            <w:tcW w:w="6040" w:type="dxa"/>
            <w:vAlign w:val="bottom"/>
            <w:gridSpan w:val="2"/>
            <w:shd w:val="clear" w:color="auto" w:fill="D3ECED"/>
          </w:tcPr>
          <w:p>
            <w:pPr>
              <w:spacing w:after="0"/>
              <w:rPr>
                <w:sz w:val="20"/>
                <w:szCs w:val="20"/>
                <w:color w:val="auto"/>
              </w:rPr>
            </w:pPr>
            <w:r>
              <w:rPr>
                <w:rFonts w:ascii="Arial" w:cs="Arial" w:eastAsia="Arial" w:hAnsi="Arial"/>
                <w:sz w:val="15"/>
                <w:szCs w:val="15"/>
                <w:color w:val="auto"/>
              </w:rPr>
              <w:t>Prepaid expenses and other assets transferred to fixed asset</w:t>
            </w:r>
          </w:p>
        </w:tc>
        <w:tc>
          <w:tcPr>
            <w:tcW w:w="20" w:type="dxa"/>
            <w:vAlign w:val="bottom"/>
            <w:shd w:val="clear" w:color="auto" w:fill="D3ECED"/>
          </w:tcPr>
          <w:p>
            <w:pPr>
              <w:spacing w:after="0"/>
              <w:rPr>
                <w:sz w:val="16"/>
                <w:szCs w:val="16"/>
                <w:color w:val="auto"/>
              </w:rPr>
            </w:pPr>
          </w:p>
        </w:tc>
        <w:tc>
          <w:tcPr>
            <w:tcW w:w="80" w:type="dxa"/>
            <w:vAlign w:val="bottom"/>
            <w:shd w:val="clear" w:color="auto" w:fill="D3ECED"/>
          </w:tcPr>
          <w:p>
            <w:pPr>
              <w:jc w:val="right"/>
              <w:spacing w:after="0"/>
              <w:rPr>
                <w:sz w:val="20"/>
                <w:szCs w:val="20"/>
                <w:color w:val="auto"/>
              </w:rPr>
            </w:pPr>
            <w:r>
              <w:rPr>
                <w:rFonts w:ascii="Arial" w:cs="Arial" w:eastAsia="Arial" w:hAnsi="Arial"/>
                <w:sz w:val="10"/>
                <w:szCs w:val="10"/>
                <w:color w:val="auto"/>
                <w:w w:val="71"/>
                <w:shd w:val="clear" w:color="auto" w:fill="D3ECED"/>
              </w:rPr>
              <w:t>$</w:t>
            </w:r>
          </w:p>
        </w:tc>
        <w:tc>
          <w:tcPr>
            <w:tcW w:w="1160" w:type="dxa"/>
            <w:vAlign w:val="bottom"/>
            <w:shd w:val="clear" w:color="auto" w:fill="D3ECED"/>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D3ECED"/>
          </w:tcPr>
          <w:p>
            <w:pPr>
              <w:spacing w:after="0"/>
              <w:rPr>
                <w:sz w:val="16"/>
                <w:szCs w:val="16"/>
                <w:color w:val="auto"/>
              </w:rPr>
            </w:pPr>
          </w:p>
        </w:tc>
        <w:tc>
          <w:tcPr>
            <w:tcW w:w="140" w:type="dxa"/>
            <w:vAlign w:val="bottom"/>
            <w:shd w:val="clear" w:color="auto" w:fill="D3ECED"/>
          </w:tcPr>
          <w:p>
            <w:pPr>
              <w:spacing w:after="0"/>
              <w:rPr>
                <w:sz w:val="16"/>
                <w:szCs w:val="16"/>
                <w:color w:val="auto"/>
              </w:rPr>
            </w:pPr>
          </w:p>
        </w:tc>
        <w:tc>
          <w:tcPr>
            <w:tcW w:w="80" w:type="dxa"/>
            <w:vAlign w:val="bottom"/>
            <w:shd w:val="clear" w:color="auto" w:fill="D3ECED"/>
          </w:tcPr>
          <w:p>
            <w:pPr>
              <w:jc w:val="right"/>
              <w:spacing w:after="0"/>
              <w:rPr>
                <w:sz w:val="20"/>
                <w:szCs w:val="20"/>
                <w:color w:val="auto"/>
              </w:rPr>
            </w:pPr>
            <w:r>
              <w:rPr>
                <w:rFonts w:ascii="Arial" w:cs="Arial" w:eastAsia="Arial" w:hAnsi="Arial"/>
                <w:sz w:val="10"/>
                <w:szCs w:val="10"/>
                <w:color w:val="auto"/>
                <w:w w:val="71"/>
                <w:shd w:val="clear" w:color="auto" w:fill="D3ECED"/>
              </w:rPr>
              <w:t>$</w:t>
            </w:r>
          </w:p>
        </w:tc>
        <w:tc>
          <w:tcPr>
            <w:tcW w:w="1180" w:type="dxa"/>
            <w:vAlign w:val="bottom"/>
            <w:tcBorders>
              <w:right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rPr>
              <w:t>181</w:t>
            </w:r>
          </w:p>
        </w:tc>
        <w:tc>
          <w:tcPr>
            <w:tcW w:w="60" w:type="dxa"/>
            <w:vAlign w:val="bottom"/>
            <w:shd w:val="clear" w:color="auto" w:fill="D3ECED"/>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-1362075</wp:posOffset>
            </wp:positionV>
            <wp:extent cx="5640070" cy="1402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73">
                      <a:extLst>
                        <a:ext uri="{28A0092B-C50C-407E-A947-70E740481C1C}"/>
                      </a:extLst>
                    </a:blip>
                    <a:srcRect/>
                    <a:stretch>
                      <a:fillRect/>
                    </a:stretch>
                  </pic:blipFill>
                  <pic:spPr bwMode="auto">
                    <a:xfrm>
                      <a:off x="0" y="0"/>
                      <a:ext cx="5640070" cy="140271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2240" w:h="15840" w:orient="portrait"/>
          <w:cols w:equalWidth="0" w:num="1">
            <w:col w:w="9360"/>
          </w:cols>
          <w:pgMar w:left="1440" w:top="1440" w:right="1440" w:bottom="610" w:gutter="0" w:footer="0" w:header="0"/>
          <w:type w:val="continuous"/>
        </w:sectPr>
      </w:pPr>
    </w:p>
    <w:bookmarkStart w:id="116" w:name="page117"/>
    <w:bookmarkEnd w:id="116"/>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SEER,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600" w:hanging="336"/>
        <w:spacing w:after="0"/>
        <w:tabs>
          <w:tab w:leader="none" w:pos="6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ORGANIZATION AND DESCRIPTION OF THE BUSINESS</w:t>
      </w:r>
    </w:p>
    <w:p>
      <w:pPr>
        <w:spacing w:after="0" w:line="213" w:lineRule="exact"/>
        <w:rPr>
          <w:sz w:val="20"/>
          <w:szCs w:val="20"/>
          <w:color w:val="auto"/>
        </w:rPr>
      </w:pPr>
    </w:p>
    <w:p>
      <w:pPr>
        <w:ind w:left="260" w:right="360"/>
        <w:spacing w:after="0" w:line="355" w:lineRule="auto"/>
        <w:rPr>
          <w:sz w:val="20"/>
          <w:szCs w:val="20"/>
          <w:color w:val="auto"/>
        </w:rPr>
      </w:pPr>
      <w:r>
        <w:rPr>
          <w:rFonts w:ascii="Arial" w:cs="Arial" w:eastAsia="Arial" w:hAnsi="Arial"/>
          <w:sz w:val="17"/>
          <w:szCs w:val="17"/>
          <w:color w:val="auto"/>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Liquidity</w:t>
      </w:r>
    </w:p>
    <w:p>
      <w:pPr>
        <w:spacing w:after="0" w:line="209" w:lineRule="exact"/>
        <w:rPr>
          <w:sz w:val="20"/>
          <w:szCs w:val="20"/>
          <w:color w:val="auto"/>
        </w:rPr>
      </w:pPr>
    </w:p>
    <w:p>
      <w:pPr>
        <w:ind w:left="260" w:right="280"/>
        <w:spacing w:after="0" w:line="332" w:lineRule="auto"/>
        <w:rPr>
          <w:sz w:val="20"/>
          <w:szCs w:val="20"/>
          <w:color w:val="auto"/>
        </w:rPr>
      </w:pPr>
      <w:r>
        <w:rPr>
          <w:rFonts w:ascii="Arial" w:cs="Arial" w:eastAsia="Arial" w:hAnsi="Arial"/>
          <w:sz w:val="17"/>
          <w:szCs w:val="17"/>
          <w:color w:val="auto"/>
        </w:rPr>
        <w:t>As of December 31, 2024, the Company has incurred significant losses and has had negative cash flows from operations. As of December 31, 2024, the Company had cash and cash equivalents and investments of $299.5 million and an accumulated deficit of $392.4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December 31, 2024 provide sufficient capital resources to continue its operations for at least twelve months from the issuance date of the accompanying consolidated financial statements.</w:t>
      </w:r>
    </w:p>
    <w:p>
      <w:pPr>
        <w:spacing w:after="0" w:line="97" w:lineRule="exact"/>
        <w:rPr>
          <w:sz w:val="20"/>
          <w:szCs w:val="20"/>
          <w:color w:val="auto"/>
        </w:rPr>
      </w:pPr>
    </w:p>
    <w:p>
      <w:pPr>
        <w:ind w:left="940" w:hanging="676"/>
        <w:spacing w:after="0"/>
        <w:tabs>
          <w:tab w:leader="none" w:pos="94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 AND BASIS OF PRESENTATION</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Basis of Presentation and Principles of Consolidation</w:t>
      </w:r>
    </w:p>
    <w:p>
      <w:pPr>
        <w:spacing w:after="0" w:line="211" w:lineRule="exact"/>
        <w:rPr>
          <w:sz w:val="20"/>
          <w:szCs w:val="20"/>
          <w:color w:val="auto"/>
        </w:rPr>
      </w:pPr>
    </w:p>
    <w:p>
      <w:pPr>
        <w:ind w:left="260" w:right="400"/>
        <w:spacing w:after="0" w:line="355"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of America (U.S. GAAP). The consolidated financial statements include the accounts of Seer, Inc. and its wholly-owned subsidiaries. All intercompany transactions and balances have been eliminated.</w:t>
      </w:r>
    </w:p>
    <w:p>
      <w:pPr>
        <w:spacing w:after="0" w:line="84"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Use of Estimates</w:t>
      </w:r>
    </w:p>
    <w:p>
      <w:pPr>
        <w:spacing w:after="0" w:line="211" w:lineRule="exact"/>
        <w:rPr>
          <w:sz w:val="20"/>
          <w:szCs w:val="20"/>
          <w:color w:val="auto"/>
        </w:rPr>
      </w:pPr>
    </w:p>
    <w:p>
      <w:pPr>
        <w:ind w:left="260" w:right="300"/>
        <w:spacing w:after="0" w:line="30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liabilities, and the disclosure of contingent assets and liabilities at the date of the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stock-based compensation, allowance for credit losses, inventory valuation, operating lease right-of-use assets and liabilities, useful lives and valuation of property and equipment, capitalization and useful life of capitalized internal-use software, income tax uncertainties, and tax valuation allowances.</w:t>
      </w:r>
    </w:p>
    <w:p>
      <w:pPr>
        <w:spacing w:after="0" w:line="119" w:lineRule="exact"/>
        <w:rPr>
          <w:sz w:val="20"/>
          <w:szCs w:val="20"/>
          <w:color w:val="auto"/>
        </w:rPr>
      </w:pPr>
    </w:p>
    <w:p>
      <w:pPr>
        <w:ind w:left="260" w:right="440"/>
        <w:spacing w:after="0" w:line="299" w:lineRule="auto"/>
        <w:rPr>
          <w:sz w:val="20"/>
          <w:szCs w:val="20"/>
          <w:color w:val="auto"/>
        </w:rPr>
      </w:pPr>
      <w:r>
        <w:rPr>
          <w:rFonts w:ascii="Arial" w:cs="Arial" w:eastAsia="Arial" w:hAnsi="Arial"/>
          <w:sz w:val="19"/>
          <w:szCs w:val="19"/>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Concentration of Credit Risk and Other Risks and Uncertainties</w:t>
      </w:r>
    </w:p>
    <w:p>
      <w:pPr>
        <w:spacing w:after="0" w:line="209" w:lineRule="exact"/>
        <w:rPr>
          <w:sz w:val="20"/>
          <w:szCs w:val="20"/>
          <w:color w:val="auto"/>
        </w:rPr>
      </w:pPr>
    </w:p>
    <w:p>
      <w:pPr>
        <w:ind w:left="260" w:right="260"/>
        <w:spacing w:after="0" w:line="338"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2240" w:h="15840" w:orient="portrait"/>
          <w:cols w:equalWidth="0" w:num="1">
            <w:col w:w="9360"/>
          </w:cols>
          <w:pgMar w:left="1440" w:top="1440" w:right="1440" w:bottom="61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380"/>
        <w:spacing w:after="0" w:line="324" w:lineRule="auto"/>
        <w:rPr>
          <w:sz w:val="20"/>
          <w:szCs w:val="20"/>
          <w:color w:val="auto"/>
        </w:rPr>
      </w:pPr>
      <w:r>
        <w:rPr>
          <w:rFonts w:ascii="Arial" w:cs="Arial" w:eastAsia="Arial" w:hAnsi="Arial"/>
          <w:sz w:val="19"/>
          <w:szCs w:val="19"/>
          <w:color w:val="auto"/>
        </w:rPr>
        <w:t>In fiscal year 2024 and 2023, the Company recognized revenue from a related party that represented 17% and 28%, respectively, of the Company’s total revenue.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9"/>
          <w:szCs w:val="19"/>
          <w:color w:val="auto"/>
        </w:rPr>
        <w:t>In fiscal year 2024 and 2023,</w:t>
      </w:r>
    </w:p>
    <w:p>
      <w:pPr>
        <w:spacing w:after="0" w:line="40" w:lineRule="exact"/>
        <w:rPr>
          <w:sz w:val="20"/>
          <w:szCs w:val="20"/>
          <w:color w:val="auto"/>
        </w:rPr>
      </w:pPr>
    </w:p>
    <w:p>
      <w:pPr>
        <w:ind w:left="320" w:right="260" w:hanging="46"/>
        <w:spacing w:after="0" w:line="326" w:lineRule="auto"/>
        <w:rPr>
          <w:sz w:val="20"/>
          <w:szCs w:val="20"/>
          <w:color w:val="auto"/>
        </w:rPr>
      </w:pPr>
      <w:r>
        <w:rPr>
          <w:rFonts w:ascii="Arial" w:cs="Arial" w:eastAsia="Arial" w:hAnsi="Arial"/>
          <w:sz w:val="19"/>
          <w:szCs w:val="19"/>
          <w:color w:val="auto"/>
        </w:rPr>
        <w:t>33% and 30%, respectively, of the total revenue was generated outside of the United States, primarily from countries in Asia and Europe.</w:t>
      </w:r>
    </w:p>
    <w:p>
      <w:pPr>
        <w:spacing w:after="0" w:line="97" w:lineRule="exact"/>
        <w:rPr>
          <w:sz w:val="20"/>
          <w:szCs w:val="20"/>
          <w:color w:val="auto"/>
        </w:rPr>
      </w:pPr>
    </w:p>
    <w:p>
      <w:pPr>
        <w:ind w:left="260" w:right="280"/>
        <w:spacing w:after="0" w:line="330" w:lineRule="auto"/>
        <w:rPr>
          <w:sz w:val="20"/>
          <w:szCs w:val="20"/>
          <w:color w:val="auto"/>
        </w:rPr>
      </w:pPr>
      <w:r>
        <w:rPr>
          <w:rFonts w:ascii="Arial" w:cs="Arial" w:eastAsia="Arial" w:hAnsi="Arial"/>
          <w:sz w:val="18"/>
          <w:szCs w:val="18"/>
          <w:color w:val="auto"/>
        </w:rPr>
        <w:t>As of December 31, 2024, no single customer accounted for 10% or more of the total accounts receivable balance, including related party receivables. As of December 31, 2023, there were two customers which represented 14% and 10% of the total accounts receivable balance, including related party receivables.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Equity Method Investments</w:t>
      </w:r>
    </w:p>
    <w:p>
      <w:pPr>
        <w:spacing w:after="0" w:line="209" w:lineRule="exact"/>
        <w:rPr>
          <w:sz w:val="20"/>
          <w:szCs w:val="20"/>
          <w:color w:val="auto"/>
        </w:rPr>
      </w:pPr>
    </w:p>
    <w:p>
      <w:pPr>
        <w:ind w:left="260" w:right="940"/>
        <w:spacing w:after="0" w:line="393" w:lineRule="auto"/>
        <w:rPr>
          <w:sz w:val="20"/>
          <w:szCs w:val="20"/>
          <w:color w:val="auto"/>
        </w:rPr>
      </w:pPr>
      <w:r>
        <w:rPr>
          <w:rFonts w:ascii="Arial" w:cs="Arial" w:eastAsia="Arial" w:hAnsi="Arial"/>
          <w:sz w:val="17"/>
          <w:szCs w:val="17"/>
          <w:color w:val="auto"/>
        </w:rPr>
        <w:t>The Company utilizes the equity method to account for investments when it possesses the ability to exercise significant influence, but not control, over the operating and financial decisions of the investee.</w:t>
      </w:r>
    </w:p>
    <w:p>
      <w:pPr>
        <w:spacing w:after="0" w:line="50" w:lineRule="exact"/>
        <w:rPr>
          <w:sz w:val="20"/>
          <w:szCs w:val="20"/>
          <w:color w:val="auto"/>
        </w:rPr>
      </w:pPr>
    </w:p>
    <w:p>
      <w:pPr>
        <w:ind w:left="260" w:right="360"/>
        <w:spacing w:after="0" w:line="310" w:lineRule="auto"/>
        <w:rPr>
          <w:sz w:val="20"/>
          <w:szCs w:val="20"/>
          <w:color w:val="auto"/>
        </w:rPr>
      </w:pPr>
      <w:r>
        <w:rPr>
          <w:rFonts w:ascii="Arial" w:cs="Arial" w:eastAsia="Arial" w:hAnsi="Arial"/>
          <w:sz w:val="18"/>
          <w:szCs w:val="18"/>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15" w:lineRule="exact"/>
        <w:rPr>
          <w:sz w:val="20"/>
          <w:szCs w:val="20"/>
          <w:color w:val="auto"/>
        </w:rPr>
      </w:pPr>
    </w:p>
    <w:p>
      <w:pPr>
        <w:ind w:left="260" w:right="760"/>
        <w:spacing w:after="0" w:line="326" w:lineRule="auto"/>
        <w:rPr>
          <w:sz w:val="20"/>
          <w:szCs w:val="20"/>
          <w:color w:val="auto"/>
        </w:rPr>
      </w:pPr>
      <w:r>
        <w:rPr>
          <w:rFonts w:ascii="Arial" w:cs="Arial" w:eastAsia="Arial" w:hAnsi="Arial"/>
          <w:sz w:val="19"/>
          <w:szCs w:val="19"/>
          <w:color w:val="auto"/>
        </w:rPr>
        <w:t>As of December 31, 2024, the Company has an equity method investment in PrognomiQ. Refer to Note 11 for additional information.</w:t>
      </w:r>
    </w:p>
    <w:p>
      <w:pPr>
        <w:spacing w:after="0" w:line="99"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Cash, Cash Equivalents and Restricted Cash</w:t>
      </w:r>
    </w:p>
    <w:p>
      <w:pPr>
        <w:spacing w:after="0" w:line="211" w:lineRule="exact"/>
        <w:rPr>
          <w:sz w:val="20"/>
          <w:szCs w:val="20"/>
          <w:color w:val="auto"/>
        </w:rPr>
      </w:pPr>
    </w:p>
    <w:p>
      <w:pPr>
        <w:ind w:left="260" w:right="320"/>
        <w:spacing w:after="0" w:line="295" w:lineRule="auto"/>
        <w:rPr>
          <w:sz w:val="20"/>
          <w:szCs w:val="20"/>
          <w:color w:val="auto"/>
        </w:rPr>
      </w:pPr>
      <w:r>
        <w:rPr>
          <w:rFonts w:ascii="Arial" w:cs="Arial" w:eastAsia="Arial" w:hAnsi="Arial"/>
          <w:sz w:val="19"/>
          <w:szCs w:val="19"/>
          <w:color w:val="auto"/>
        </w:rPr>
        <w:t>The Company considers all highly liquid investments with an original maturity of three months or less at the date of purchase to be cash equivalents. As of December 31, 2024, all amounts recorded as cash and cash equivalents consist of money market funds and commercial paper are stated at fair value. As of December 31, 2023, all amounts recorded as cash and cash equivalents consist of cash, money market funds, corporate debt securities, and U.S. Treasury securities are stated at fair value.</w:t>
      </w:r>
    </w:p>
    <w:p>
      <w:pPr>
        <w:spacing w:after="0" w:line="127" w:lineRule="exact"/>
        <w:rPr>
          <w:sz w:val="20"/>
          <w:szCs w:val="20"/>
          <w:color w:val="auto"/>
        </w:rPr>
      </w:pPr>
    </w:p>
    <w:p>
      <w:pPr>
        <w:ind w:left="260" w:right="560"/>
        <w:spacing w:after="0" w:line="393" w:lineRule="auto"/>
        <w:rPr>
          <w:sz w:val="20"/>
          <w:szCs w:val="20"/>
          <w:color w:val="auto"/>
        </w:rPr>
      </w:pPr>
      <w:r>
        <w:rPr>
          <w:rFonts w:ascii="Arial" w:cs="Arial" w:eastAsia="Arial" w:hAnsi="Arial"/>
          <w:sz w:val="17"/>
          <w:szCs w:val="17"/>
          <w:color w:val="auto"/>
        </w:rPr>
        <w:t>Restricted cash as of December 31, 2024 and 2023 represents cash held by a financial institution as security for a letter of credit issued to the lessor for one of the Company’s operating leases and is classified as noncurrent.</w:t>
      </w:r>
    </w:p>
    <w:p>
      <w:pPr>
        <w:spacing w:after="0" w:line="50" w:lineRule="exact"/>
        <w:rPr>
          <w:sz w:val="20"/>
          <w:szCs w:val="20"/>
          <w:color w:val="auto"/>
        </w:rPr>
      </w:pPr>
    </w:p>
    <w:p>
      <w:pPr>
        <w:ind w:left="260" w:right="420"/>
        <w:spacing w:after="0" w:line="306" w:lineRule="auto"/>
        <w:rPr>
          <w:sz w:val="20"/>
          <w:szCs w:val="20"/>
          <w:color w:val="auto"/>
        </w:rPr>
      </w:pPr>
      <w:r>
        <w:rPr>
          <w:rFonts w:ascii="Arial" w:cs="Arial" w:eastAsia="Arial" w:hAnsi="Arial"/>
          <w:sz w:val="19"/>
          <w:szCs w:val="19"/>
          <w:color w:val="auto"/>
        </w:rPr>
        <w:t>The following table provides a reconciliation of cash, cash equivalents, and restricted cash reported within the consolidated balance sheets that sum to the total of the same amounts shown in the consolidated statements of cash flows (in thousands):</w:t>
      </w:r>
    </w:p>
    <w:p>
      <w:pPr>
        <w:spacing w:after="0" w:line="212" w:lineRule="exact"/>
        <w:rPr>
          <w:sz w:val="20"/>
          <w:szCs w:val="20"/>
          <w:color w:val="auto"/>
        </w:rPr>
      </w:pPr>
    </w:p>
    <w:tbl>
      <w:tblPr>
        <w:tblLayout w:type="fixed"/>
        <w:tblInd w:w="260" w:type="dxa"/>
        <w:tblCellMar>
          <w:top w:w="0" w:type="dxa"/>
          <w:left w:w="0" w:type="dxa"/>
          <w:bottom w:w="0" w:type="dxa"/>
          <w:right w:w="0" w:type="dxa"/>
        </w:tblCellMar>
      </w:tblPr>
      <w:tr>
        <w:trPr>
          <w:trHeight w:val="252"/>
        </w:trPr>
        <w:tc>
          <w:tcPr>
            <w:tcW w:w="6060" w:type="dxa"/>
            <w:vAlign w:val="bottom"/>
            <w:tcBorders>
              <w:bottom w:val="single" w:sz="8" w:color="FDFDFD"/>
            </w:tcBorders>
            <w:shd w:val="clear" w:color="auto" w:fill="FDFDFD"/>
          </w:tcPr>
          <w:p>
            <w:pPr>
              <w:spacing w:after="0"/>
              <w:rPr>
                <w:sz w:val="21"/>
                <w:szCs w:val="21"/>
                <w:color w:val="auto"/>
              </w:rPr>
            </w:pPr>
          </w:p>
        </w:tc>
        <w:tc>
          <w:tcPr>
            <w:tcW w:w="100" w:type="dxa"/>
            <w:vAlign w:val="bottom"/>
            <w:tcBorders>
              <w:bottom w:val="single" w:sz="8" w:color="auto"/>
            </w:tcBorders>
            <w:shd w:val="clear" w:color="auto" w:fill="FDFDFD"/>
          </w:tcPr>
          <w:p>
            <w:pPr>
              <w:spacing w:after="0"/>
              <w:rPr>
                <w:sz w:val="21"/>
                <w:szCs w:val="21"/>
                <w:color w:val="auto"/>
              </w:rPr>
            </w:pPr>
          </w:p>
        </w:tc>
        <w:tc>
          <w:tcPr>
            <w:tcW w:w="1760" w:type="dxa"/>
            <w:vAlign w:val="bottom"/>
            <w:tcBorders>
              <w:bottom w:val="single" w:sz="8" w:color="auto"/>
            </w:tcBorders>
            <w:gridSpan w:val="3"/>
            <w:shd w:val="clear" w:color="auto" w:fill="FDFDFD"/>
          </w:tcPr>
          <w:p>
            <w:pPr>
              <w:jc w:val="right"/>
              <w:spacing w:after="0"/>
              <w:rPr>
                <w:sz w:val="20"/>
                <w:szCs w:val="20"/>
                <w:color w:val="auto"/>
              </w:rPr>
            </w:pPr>
            <w:r>
              <w:rPr>
                <w:rFonts w:ascii="Arial" w:cs="Arial" w:eastAsia="Arial" w:hAnsi="Arial"/>
                <w:sz w:val="15"/>
                <w:szCs w:val="15"/>
                <w:b w:val="1"/>
                <w:bCs w:val="1"/>
                <w:color w:val="auto"/>
              </w:rPr>
              <w:t>December 31,</w:t>
            </w:r>
          </w:p>
        </w:tc>
        <w:tc>
          <w:tcPr>
            <w:tcW w:w="840" w:type="dxa"/>
            <w:vAlign w:val="bottom"/>
            <w:tcBorders>
              <w:bottom w:val="single" w:sz="8" w:color="auto"/>
            </w:tcBorders>
            <w:shd w:val="clear" w:color="auto" w:fill="FDFDFD"/>
          </w:tcPr>
          <w:p>
            <w:pPr>
              <w:spacing w:after="0"/>
              <w:rPr>
                <w:sz w:val="21"/>
                <w:szCs w:val="21"/>
                <w:color w:val="auto"/>
              </w:rPr>
            </w:pPr>
          </w:p>
        </w:tc>
        <w:tc>
          <w:tcPr>
            <w:tcW w:w="80" w:type="dxa"/>
            <w:vAlign w:val="bottom"/>
            <w:tcBorders>
              <w:bottom w:val="single" w:sz="8" w:color="FDFDFD"/>
            </w:tcBorders>
            <w:shd w:val="clear" w:color="auto" w:fill="FDFDFD"/>
          </w:tcPr>
          <w:p>
            <w:pPr>
              <w:spacing w:after="0"/>
              <w:rPr>
                <w:sz w:val="21"/>
                <w:szCs w:val="21"/>
                <w:color w:val="auto"/>
              </w:rPr>
            </w:pPr>
          </w:p>
        </w:tc>
      </w:tr>
      <w:tr>
        <w:trPr>
          <w:trHeight w:val="177"/>
        </w:trPr>
        <w:tc>
          <w:tcPr>
            <w:tcW w:w="6060" w:type="dxa"/>
            <w:vAlign w:val="bottom"/>
            <w:tcBorders>
              <w:bottom w:val="single" w:sz="8" w:color="D3ECED"/>
            </w:tcBorders>
            <w:shd w:val="clear" w:color="auto" w:fill="FDFDFD"/>
          </w:tcPr>
          <w:p>
            <w:pPr>
              <w:spacing w:after="0"/>
              <w:rPr>
                <w:sz w:val="15"/>
                <w:szCs w:val="15"/>
                <w:color w:val="auto"/>
              </w:rPr>
            </w:pPr>
          </w:p>
        </w:tc>
        <w:tc>
          <w:tcPr>
            <w:tcW w:w="100" w:type="dxa"/>
            <w:vAlign w:val="bottom"/>
            <w:tcBorders>
              <w:bottom w:val="single" w:sz="8" w:color="auto"/>
            </w:tcBorders>
            <w:shd w:val="clear" w:color="auto" w:fill="FDFDFD"/>
          </w:tcPr>
          <w:p>
            <w:pPr>
              <w:spacing w:after="0"/>
              <w:rPr>
                <w:sz w:val="15"/>
                <w:szCs w:val="15"/>
                <w:color w:val="auto"/>
              </w:rPr>
            </w:pPr>
          </w:p>
        </w:tc>
        <w:tc>
          <w:tcPr>
            <w:tcW w:w="1140" w:type="dxa"/>
            <w:vAlign w:val="bottom"/>
            <w:tcBorders>
              <w:bottom w:val="single" w:sz="8" w:color="auto"/>
            </w:tcBorders>
            <w:shd w:val="clear" w:color="auto" w:fill="FDFDFD"/>
          </w:tcPr>
          <w:p>
            <w:pPr>
              <w:jc w:val="right"/>
              <w:ind w:right="393"/>
              <w:spacing w:after="0"/>
              <w:rPr>
                <w:sz w:val="20"/>
                <w:szCs w:val="20"/>
                <w:color w:val="auto"/>
              </w:rPr>
            </w:pPr>
            <w:r>
              <w:rPr>
                <w:rFonts w:ascii="Arial" w:cs="Arial" w:eastAsia="Arial" w:hAnsi="Arial"/>
                <w:sz w:val="15"/>
                <w:szCs w:val="15"/>
                <w:b w:val="1"/>
                <w:bCs w:val="1"/>
                <w:color w:val="auto"/>
              </w:rPr>
              <w:t>2024</w:t>
            </w:r>
          </w:p>
        </w:tc>
        <w:tc>
          <w:tcPr>
            <w:tcW w:w="220" w:type="dxa"/>
            <w:vAlign w:val="bottom"/>
            <w:tcBorders>
              <w:bottom w:val="single" w:sz="8" w:color="D3ECED"/>
            </w:tcBorders>
            <w:shd w:val="clear" w:color="auto" w:fill="FDFDFD"/>
          </w:tcPr>
          <w:p>
            <w:pPr>
              <w:spacing w:after="0"/>
              <w:rPr>
                <w:sz w:val="15"/>
                <w:szCs w:val="15"/>
                <w:color w:val="auto"/>
              </w:rPr>
            </w:pPr>
          </w:p>
        </w:tc>
        <w:tc>
          <w:tcPr>
            <w:tcW w:w="400" w:type="dxa"/>
            <w:vAlign w:val="bottom"/>
            <w:tcBorders>
              <w:bottom w:val="single" w:sz="8" w:color="auto"/>
            </w:tcBorders>
            <w:shd w:val="clear" w:color="auto" w:fill="FDFDFD"/>
          </w:tcPr>
          <w:p>
            <w:pPr>
              <w:spacing w:after="0"/>
              <w:rPr>
                <w:sz w:val="15"/>
                <w:szCs w:val="15"/>
                <w:color w:val="auto"/>
              </w:rPr>
            </w:pPr>
          </w:p>
        </w:tc>
        <w:tc>
          <w:tcPr>
            <w:tcW w:w="840" w:type="dxa"/>
            <w:vAlign w:val="bottom"/>
            <w:tcBorders>
              <w:bottom w:val="single" w:sz="8" w:color="auto"/>
            </w:tcBorders>
            <w:shd w:val="clear" w:color="auto" w:fill="FDFDFD"/>
          </w:tcPr>
          <w:p>
            <w:pPr>
              <w:jc w:val="right"/>
              <w:ind w:right="390"/>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D3ECED"/>
            </w:tcBorders>
            <w:shd w:val="clear" w:color="auto" w:fill="FDFDFD"/>
          </w:tcPr>
          <w:p>
            <w:pPr>
              <w:spacing w:after="0"/>
              <w:rPr>
                <w:sz w:val="15"/>
                <w:szCs w:val="15"/>
                <w:color w:val="auto"/>
              </w:rPr>
            </w:pPr>
          </w:p>
        </w:tc>
      </w:tr>
      <w:tr>
        <w:trPr>
          <w:trHeight w:val="22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Cash and cash equivalents</w:t>
            </w: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40,753</w:t>
            </w:r>
          </w:p>
        </w:tc>
        <w:tc>
          <w:tcPr>
            <w:tcW w:w="220" w:type="dxa"/>
            <w:vAlign w:val="bottom"/>
            <w:shd w:val="clear" w:color="auto" w:fill="D3ECED"/>
          </w:tcPr>
          <w:p>
            <w:pPr>
              <w:spacing w:after="0"/>
              <w:rPr>
                <w:sz w:val="19"/>
                <w:szCs w:val="19"/>
                <w:color w:val="auto"/>
              </w:rPr>
            </w:pPr>
          </w:p>
        </w:tc>
        <w:tc>
          <w:tcPr>
            <w:tcW w:w="400" w:type="dxa"/>
            <w:vAlign w:val="bottom"/>
            <w:shd w:val="clear" w:color="auto" w:fill="D3ECED"/>
          </w:tcPr>
          <w:p>
            <w:pPr>
              <w:jc w:val="right"/>
              <w:ind w:right="205"/>
              <w:spacing w:after="0"/>
              <w:rPr>
                <w:sz w:val="20"/>
                <w:szCs w:val="20"/>
                <w:color w:val="auto"/>
              </w:rPr>
            </w:pPr>
            <w:r>
              <w:rPr>
                <w:rFonts w:ascii="Arial" w:cs="Arial" w:eastAsia="Arial" w:hAnsi="Arial"/>
                <w:sz w:val="19"/>
                <w:szCs w:val="19"/>
                <w:color w:val="auto"/>
                <w:w w:val="75"/>
                <w:shd w:val="clear" w:color="auto" w:fill="D3ECED"/>
              </w:rPr>
              <w:t>$</w:t>
            </w: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32,499</w:t>
            </w:r>
          </w:p>
        </w:tc>
        <w:tc>
          <w:tcPr>
            <w:tcW w:w="80" w:type="dxa"/>
            <w:vAlign w:val="bottom"/>
            <w:shd w:val="clear" w:color="auto" w:fill="D3ECED"/>
          </w:tcPr>
          <w:p>
            <w:pPr>
              <w:spacing w:after="0"/>
              <w:rPr>
                <w:sz w:val="19"/>
                <w:szCs w:val="19"/>
                <w:color w:val="auto"/>
              </w:rPr>
            </w:pPr>
          </w:p>
        </w:tc>
      </w:tr>
      <w:tr>
        <w:trPr>
          <w:trHeight w:val="230"/>
        </w:trPr>
        <w:tc>
          <w:tcPr>
            <w:tcW w:w="6060" w:type="dxa"/>
            <w:vAlign w:val="bottom"/>
            <w:tcBorders>
              <w:bottom w:val="single" w:sz="8" w:color="D3ECED"/>
            </w:tcBorders>
            <w:shd w:val="clear" w:color="auto" w:fill="FDFDFD"/>
          </w:tcPr>
          <w:p>
            <w:pPr>
              <w:spacing w:after="0"/>
              <w:rPr>
                <w:sz w:val="20"/>
                <w:szCs w:val="20"/>
                <w:color w:val="auto"/>
              </w:rPr>
            </w:pPr>
            <w:r>
              <w:rPr>
                <w:rFonts w:ascii="Arial" w:cs="Arial" w:eastAsia="Arial" w:hAnsi="Arial"/>
                <w:sz w:val="19"/>
                <w:szCs w:val="19"/>
                <w:color w:val="auto"/>
              </w:rPr>
              <w:t>Restricted cash</w:t>
            </w:r>
          </w:p>
        </w:tc>
        <w:tc>
          <w:tcPr>
            <w:tcW w:w="100" w:type="dxa"/>
            <w:vAlign w:val="bottom"/>
            <w:tcBorders>
              <w:bottom w:val="single" w:sz="8" w:color="auto"/>
            </w:tcBorders>
            <w:shd w:val="clear" w:color="auto" w:fill="FDFDFD"/>
          </w:tcPr>
          <w:p>
            <w:pPr>
              <w:spacing w:after="0"/>
              <w:rPr>
                <w:sz w:val="20"/>
                <w:szCs w:val="20"/>
                <w:color w:val="auto"/>
              </w:rPr>
            </w:pPr>
          </w:p>
        </w:tc>
        <w:tc>
          <w:tcPr>
            <w:tcW w:w="11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524</w:t>
            </w:r>
          </w:p>
        </w:tc>
        <w:tc>
          <w:tcPr>
            <w:tcW w:w="220" w:type="dxa"/>
            <w:vAlign w:val="bottom"/>
            <w:tcBorders>
              <w:bottom w:val="single" w:sz="8" w:color="D3ECED"/>
            </w:tcBorders>
            <w:shd w:val="clear" w:color="auto" w:fill="FDFDFD"/>
          </w:tcPr>
          <w:p>
            <w:pPr>
              <w:spacing w:after="0"/>
              <w:rPr>
                <w:sz w:val="20"/>
                <w:szCs w:val="20"/>
                <w:color w:val="auto"/>
              </w:rPr>
            </w:pPr>
          </w:p>
        </w:tc>
        <w:tc>
          <w:tcPr>
            <w:tcW w:w="400" w:type="dxa"/>
            <w:vAlign w:val="bottom"/>
            <w:tcBorders>
              <w:bottom w:val="single" w:sz="8" w:color="auto"/>
            </w:tcBorders>
            <w:shd w:val="clear" w:color="auto" w:fill="FDFDFD"/>
          </w:tcPr>
          <w:p>
            <w:pPr>
              <w:spacing w:after="0"/>
              <w:rPr>
                <w:sz w:val="20"/>
                <w:szCs w:val="20"/>
                <w:color w:val="auto"/>
              </w:rPr>
            </w:pPr>
          </w:p>
        </w:tc>
        <w:tc>
          <w:tcPr>
            <w:tcW w:w="8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524</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22"/>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Total cash, cash equivalents and restricted cash</w:t>
            </w: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41,277</w:t>
            </w:r>
          </w:p>
        </w:tc>
        <w:tc>
          <w:tcPr>
            <w:tcW w:w="220" w:type="dxa"/>
            <w:vAlign w:val="bottom"/>
            <w:shd w:val="clear" w:color="auto" w:fill="D3ECED"/>
          </w:tcPr>
          <w:p>
            <w:pPr>
              <w:spacing w:after="0"/>
              <w:rPr>
                <w:sz w:val="19"/>
                <w:szCs w:val="19"/>
                <w:color w:val="auto"/>
              </w:rPr>
            </w:pPr>
          </w:p>
        </w:tc>
        <w:tc>
          <w:tcPr>
            <w:tcW w:w="400" w:type="dxa"/>
            <w:vAlign w:val="bottom"/>
            <w:shd w:val="clear" w:color="auto" w:fill="D3ECED"/>
          </w:tcPr>
          <w:p>
            <w:pPr>
              <w:jc w:val="right"/>
              <w:ind w:right="205"/>
              <w:spacing w:after="0"/>
              <w:rPr>
                <w:sz w:val="20"/>
                <w:szCs w:val="20"/>
                <w:color w:val="auto"/>
              </w:rPr>
            </w:pPr>
            <w:r>
              <w:rPr>
                <w:rFonts w:ascii="Arial" w:cs="Arial" w:eastAsia="Arial" w:hAnsi="Arial"/>
                <w:sz w:val="19"/>
                <w:szCs w:val="19"/>
                <w:color w:val="auto"/>
                <w:w w:val="75"/>
                <w:shd w:val="clear" w:color="auto" w:fill="D3ECED"/>
              </w:rPr>
              <w:t>$</w:t>
            </w: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33,023</w:t>
            </w:r>
          </w:p>
        </w:tc>
        <w:tc>
          <w:tcPr>
            <w:tcW w:w="80" w:type="dxa"/>
            <w:vAlign w:val="bottom"/>
            <w:shd w:val="clear" w:color="auto" w:fill="D3ECE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-13335</wp:posOffset>
            </wp:positionV>
            <wp:extent cx="1740535" cy="520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74">
                      <a:extLst>
                        <a:ext uri="{28A0092B-C50C-407E-A947-70E740481C1C}"/>
                      </a:extLst>
                    </a:blip>
                    <a:srcRect/>
                    <a:stretch>
                      <a:fillRect/>
                    </a:stretch>
                  </pic:blipFill>
                  <pic:spPr bwMode="auto">
                    <a:xfrm>
                      <a:off x="0" y="0"/>
                      <a:ext cx="1740535" cy="52070"/>
                    </a:xfrm>
                    <a:prstGeom prst="rect">
                      <a:avLst/>
                    </a:prstGeom>
                    <a:noFill/>
                  </pic:spPr>
                </pic:pic>
              </a:graphicData>
            </a:graphic>
          </wp:anchor>
        </w:drawing>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2240" w:h="15840" w:orient="portrait"/>
          <w:cols w:equalWidth="0" w:num="1">
            <w:col w:w="9360"/>
          </w:cols>
          <w:pgMar w:left="1440" w:top="1358" w:right="1440" w:bottom="624"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Investments</w:t>
      </w:r>
    </w:p>
    <w:p>
      <w:pPr>
        <w:spacing w:after="0" w:line="209" w:lineRule="exact"/>
        <w:rPr>
          <w:sz w:val="20"/>
          <w:szCs w:val="20"/>
          <w:color w:val="auto"/>
        </w:rPr>
      </w:pPr>
    </w:p>
    <w:p>
      <w:pPr>
        <w:ind w:left="260" w:right="280"/>
        <w:spacing w:after="0" w:line="326" w:lineRule="auto"/>
        <w:rPr>
          <w:sz w:val="20"/>
          <w:szCs w:val="20"/>
          <w:color w:val="auto"/>
        </w:rPr>
      </w:pPr>
      <w:r>
        <w:rPr>
          <w:rFonts w:ascii="Arial" w:cs="Arial" w:eastAsia="Arial" w:hAnsi="Arial"/>
          <w:sz w:val="17"/>
          <w:szCs w:val="17"/>
          <w:color w:val="auto"/>
        </w:rPr>
        <w:t>The Company has designated all investments, which include U.S. Treasury securities, U.S. Non-Treasury securities, commercial paper, and corporate debt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December 31, 2024, the Company classifies its available-for-sale securities as short-term investments or long-term investments based on the remaining contractual maturity of the securities.</w:t>
      </w:r>
    </w:p>
    <w:p>
      <w:pPr>
        <w:spacing w:after="0" w:line="115" w:lineRule="exact"/>
        <w:rPr>
          <w:sz w:val="20"/>
          <w:szCs w:val="20"/>
          <w:color w:val="auto"/>
        </w:rPr>
      </w:pPr>
    </w:p>
    <w:p>
      <w:pPr>
        <w:ind w:left="260" w:right="320"/>
        <w:spacing w:after="0" w:line="309" w:lineRule="auto"/>
        <w:rPr>
          <w:sz w:val="20"/>
          <w:szCs w:val="20"/>
          <w:color w:val="auto"/>
        </w:rPr>
      </w:pPr>
      <w:r>
        <w:rPr>
          <w:rFonts w:ascii="Arial" w:cs="Arial" w:eastAsia="Arial" w:hAnsi="Arial"/>
          <w:sz w:val="18"/>
          <w:szCs w:val="18"/>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 ended December 31, 2024, the Company did not recognize any impairment charges on its investments.</w:t>
      </w:r>
    </w:p>
    <w:p>
      <w:pPr>
        <w:spacing w:after="0" w:line="119" w:lineRule="exact"/>
        <w:rPr>
          <w:sz w:val="20"/>
          <w:szCs w:val="20"/>
          <w:color w:val="auto"/>
        </w:rPr>
      </w:pPr>
    </w:p>
    <w:p>
      <w:pPr>
        <w:ind w:left="260" w:right="860"/>
        <w:spacing w:after="0" w:line="393" w:lineRule="auto"/>
        <w:rPr>
          <w:sz w:val="20"/>
          <w:szCs w:val="20"/>
          <w:color w:val="auto"/>
        </w:rPr>
      </w:pPr>
      <w:r>
        <w:rPr>
          <w:rFonts w:ascii="Arial" w:cs="Arial" w:eastAsia="Arial" w:hAnsi="Arial"/>
          <w:sz w:val="17"/>
          <w:szCs w:val="17"/>
          <w:color w:val="auto"/>
        </w:rPr>
        <w:t>Any unrealized losses on available-for-sale debt securities that are attributed to credit risk are recorded to the consolidated statements of operations and comprehensive loss through an allowance for credit losses.</w:t>
      </w:r>
    </w:p>
    <w:p>
      <w:pPr>
        <w:spacing w:after="0" w:line="52"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Investment in Equity Security</w:t>
      </w:r>
    </w:p>
    <w:p>
      <w:pPr>
        <w:spacing w:after="0" w:line="211" w:lineRule="exact"/>
        <w:rPr>
          <w:sz w:val="20"/>
          <w:szCs w:val="20"/>
          <w:color w:val="auto"/>
        </w:rPr>
      </w:pPr>
    </w:p>
    <w:p>
      <w:pPr>
        <w:ind w:left="260" w:right="360"/>
        <w:spacing w:after="0" w:line="329" w:lineRule="auto"/>
        <w:rPr>
          <w:sz w:val="20"/>
          <w:szCs w:val="20"/>
          <w:color w:val="auto"/>
        </w:rPr>
      </w:pPr>
      <w:r>
        <w:rPr>
          <w:rFonts w:ascii="Arial" w:cs="Arial" w:eastAsia="Arial" w:hAnsi="Arial"/>
          <w:sz w:val="17"/>
          <w:szCs w:val="17"/>
          <w:color w:val="auto"/>
        </w:rPr>
        <w:t>Equity investments without readily determinable fair values are non-marketable equity securities. These are investments in certain equity securities of privately-held companies that do not provide the Company the ability to exercise significant influence. Such investments are accounted for under the measurement alternative in accordance with Accounting Standards Codification (ASC) 321, Investments - Equity Securities. Under the measurement alternative, equity investment is accounted for at cost, adjusted for impairment and changes resulting from observable price fluctuations in orderly transactions for the identical or a similar investment of the same issuer. The election is reassessed each reporting period to determine whether investment under the measurement alternative has readily determinable fair values, in which case it would no longer be eligible for this election.</w:t>
      </w:r>
    </w:p>
    <w:p>
      <w:pPr>
        <w:spacing w:after="0" w:line="108" w:lineRule="exact"/>
        <w:rPr>
          <w:sz w:val="20"/>
          <w:szCs w:val="20"/>
          <w:color w:val="auto"/>
        </w:rPr>
      </w:pPr>
    </w:p>
    <w:p>
      <w:pPr>
        <w:ind w:left="260" w:right="460"/>
        <w:spacing w:after="0" w:line="363" w:lineRule="auto"/>
        <w:rPr>
          <w:sz w:val="20"/>
          <w:szCs w:val="20"/>
          <w:color w:val="auto"/>
        </w:rPr>
      </w:pPr>
      <w:r>
        <w:rPr>
          <w:rFonts w:ascii="Arial" w:cs="Arial" w:eastAsia="Arial" w:hAnsi="Arial"/>
          <w:sz w:val="16"/>
          <w:szCs w:val="16"/>
          <w:color w:val="auto"/>
        </w:rPr>
        <w:t>At each reporting period, the Company makes a qualitative assessment considering impairment indicators to evaluate whether the investment is impaired. If a qualitative assessment indicates the investment is impaired, the Company estimates the investment’s fair value in accordance with ASC 820, Fair Value Measurement. If the fair value is less than the investment’s carrying value, an impairment charge is recorded in the consolidated statements of operations and comprehensive loss equal to the difference between the carrying value and fair value.</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2240" w:h="15840" w:orient="portrait"/>
          <w:cols w:equalWidth="0" w:num="1">
            <w:col w:w="9360"/>
          </w:cols>
          <w:pgMar w:left="1440" w:top="1358" w:right="1440" w:bottom="624"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Accounts Receivable, Net</w:t>
      </w:r>
    </w:p>
    <w:p>
      <w:pPr>
        <w:spacing w:after="0" w:line="209" w:lineRule="exact"/>
        <w:rPr>
          <w:sz w:val="20"/>
          <w:szCs w:val="20"/>
          <w:color w:val="auto"/>
        </w:rPr>
      </w:pPr>
    </w:p>
    <w:p>
      <w:pPr>
        <w:ind w:left="260" w:right="340"/>
        <w:spacing w:after="0" w:line="312" w:lineRule="auto"/>
        <w:rPr>
          <w:sz w:val="20"/>
          <w:szCs w:val="20"/>
          <w:color w:val="auto"/>
        </w:rPr>
      </w:pPr>
      <w:r>
        <w:rPr>
          <w:rFonts w:ascii="Arial" w:cs="Arial" w:eastAsia="Arial" w:hAnsi="Arial"/>
          <w:sz w:val="18"/>
          <w:szCs w:val="18"/>
          <w:color w:val="auto"/>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be uncollectible. As of December 31, 2024 and 2023, there were $0.1 million and $4,000 allowances for credit losses related to accounts receivable, respectively.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Inventory</w:t>
      </w:r>
    </w:p>
    <w:p>
      <w:pPr>
        <w:spacing w:after="0" w:line="209" w:lineRule="exact"/>
        <w:rPr>
          <w:sz w:val="20"/>
          <w:szCs w:val="20"/>
          <w:color w:val="auto"/>
        </w:rPr>
      </w:pPr>
    </w:p>
    <w:p>
      <w:pPr>
        <w:ind w:left="260" w:right="260"/>
        <w:spacing w:after="0" w:line="328" w:lineRule="auto"/>
        <w:rPr>
          <w:sz w:val="20"/>
          <w:szCs w:val="20"/>
          <w:color w:val="auto"/>
        </w:rPr>
      </w:pPr>
      <w:r>
        <w:rPr>
          <w:rFonts w:ascii="Arial" w:cs="Arial" w:eastAsia="Arial" w:hAnsi="Arial"/>
          <w:sz w:val="17"/>
          <w:szCs w:val="17"/>
          <w:color w:val="auto"/>
        </w:rPr>
        <w:t>Inventory is recorded at the lower of cost or net realizable value using standard cost, which approximates actual cost on a first-in, first-out basis. Provisions for slow-moving, excess or obsolete inventories are recorded when required to reduce inventory values to their estimated net realizable values based on product expiration, development plans, or quality issues. The Company writes down specifically identified unusable, obsolete, slow-moving or known unsalable inventory in the period that it is first recognized by using a number of factors, including product expiration dates, open and unfulfilled orders and sales forecasts.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Company’s consolidated statements of operations and comprehensive loss.</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Property and Equipment</w:t>
      </w:r>
    </w:p>
    <w:p>
      <w:pPr>
        <w:spacing w:after="0" w:line="211" w:lineRule="exact"/>
        <w:rPr>
          <w:sz w:val="20"/>
          <w:szCs w:val="20"/>
          <w:color w:val="auto"/>
        </w:rPr>
      </w:pPr>
    </w:p>
    <w:p>
      <w:pPr>
        <w:ind w:left="260" w:right="380"/>
        <w:spacing w:after="0" w:line="308" w:lineRule="auto"/>
        <w:rPr>
          <w:sz w:val="20"/>
          <w:szCs w:val="20"/>
          <w:color w:val="auto"/>
        </w:rPr>
      </w:pPr>
      <w:r>
        <w:rPr>
          <w:rFonts w:ascii="Arial" w:cs="Arial" w:eastAsia="Arial" w:hAnsi="Arial"/>
          <w:sz w:val="18"/>
          <w:szCs w:val="18"/>
          <w:color w:val="auto"/>
        </w:rPr>
        <w:t>Property and equipment are recorded at cost less accumulated depreciation and amortization. Depreciation is recorded using the straight-line method over the estimated useful lives of the assets. Estimated useful lives are as follows: laboratory equipment and furniture and fixtures - five years, and computer equipment and software - three years. Leasehold improvements are capitalized and amortized over the shorter of the lease term or the estimated useful life of the related asset. Major replacements and improvements are capitalized, while general repairs and maintenance are expensed as incurred. When assets are retired or otherwise disposed of, the cost and related accumulated depreciation and amortization are removed from the consolidated balance sheet and any resulting gain or loss is included as a part of other expense within the consolidated statements of operations and comprehensive loss.</w:t>
      </w:r>
    </w:p>
    <w:p>
      <w:pPr>
        <w:spacing w:after="0" w:line="122" w:lineRule="exact"/>
        <w:rPr>
          <w:sz w:val="20"/>
          <w:szCs w:val="20"/>
          <w:color w:val="auto"/>
        </w:rPr>
      </w:pPr>
    </w:p>
    <w:p>
      <w:pPr>
        <w:ind w:left="260" w:right="320"/>
        <w:spacing w:after="0" w:line="327" w:lineRule="auto"/>
        <w:rPr>
          <w:sz w:val="20"/>
          <w:szCs w:val="20"/>
          <w:color w:val="auto"/>
        </w:rPr>
      </w:pPr>
      <w:r>
        <w:rPr>
          <w:rFonts w:ascii="Arial" w:cs="Arial" w:eastAsia="Arial" w:hAnsi="Arial"/>
          <w:sz w:val="17"/>
          <w:szCs w:val="17"/>
          <w:color w:val="auto"/>
        </w:rPr>
        <w:t>The Company capitalizes certain internal and external costs incurred to develop internal-use software. The costs incurred in the preliminary stages of development are expensed as incurred. Once an application has reached the development stage, costs incurred are capitalized. Capitalized costs include external consulting fees, payroll and payroll-related costs and stock-based compensation for employees who are directly associated with, and who devote time to, the Company’s internal-use software project.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The Company amortizes capitalized internal-use software costs using the straight-line method over the estimated useful life of three years. Amortization of capitalized internal-use software is recorded in cost of revenue in the consolidated statements of operations and comprehensive loss.</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2240" w:h="15840" w:orient="portrait"/>
          <w:cols w:equalWidth="0" w:num="1">
            <w:col w:w="9360"/>
          </w:cols>
          <w:pgMar w:left="1440" w:top="1358" w:right="1440" w:bottom="624"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Impairment of Long-Lived Assets</w:t>
      </w:r>
    </w:p>
    <w:p>
      <w:pPr>
        <w:spacing w:after="0" w:line="209" w:lineRule="exact"/>
        <w:rPr>
          <w:sz w:val="20"/>
          <w:szCs w:val="20"/>
          <w:color w:val="auto"/>
        </w:rPr>
      </w:pPr>
    </w:p>
    <w:p>
      <w:pPr>
        <w:ind w:left="260" w:right="280"/>
        <w:spacing w:after="0" w:line="338" w:lineRule="auto"/>
        <w:rPr>
          <w:sz w:val="20"/>
          <w:szCs w:val="20"/>
          <w:color w:val="auto"/>
        </w:rPr>
      </w:pPr>
      <w:r>
        <w:rPr>
          <w:rFonts w:ascii="Arial" w:cs="Arial" w:eastAsia="Arial" w:hAnsi="Arial"/>
          <w:sz w:val="17"/>
          <w:szCs w:val="17"/>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Leases</w:t>
      </w:r>
    </w:p>
    <w:p>
      <w:pPr>
        <w:spacing w:after="0" w:line="209" w:lineRule="exact"/>
        <w:rPr>
          <w:sz w:val="20"/>
          <w:szCs w:val="20"/>
          <w:color w:val="auto"/>
        </w:rPr>
      </w:pPr>
    </w:p>
    <w:p>
      <w:pPr>
        <w:ind w:left="260" w:right="480"/>
        <w:spacing w:after="0" w:line="326" w:lineRule="auto"/>
        <w:rPr>
          <w:sz w:val="20"/>
          <w:szCs w:val="20"/>
          <w:color w:val="auto"/>
        </w:rPr>
      </w:pPr>
      <w:r>
        <w:rPr>
          <w:rFonts w:ascii="Arial" w:cs="Arial" w:eastAsia="Arial" w:hAnsi="Arial"/>
          <w:sz w:val="19"/>
          <w:szCs w:val="19"/>
          <w:color w:val="auto"/>
        </w:rPr>
        <w:t>The Company determines if an arrangement is or contains a lease at contract inception and classifies each lease as operating, sales-type or finance lease.</w:t>
      </w:r>
    </w:p>
    <w:p>
      <w:pPr>
        <w:spacing w:after="0" w:line="97" w:lineRule="exact"/>
        <w:rPr>
          <w:sz w:val="20"/>
          <w:szCs w:val="20"/>
          <w:color w:val="auto"/>
        </w:rPr>
      </w:pPr>
    </w:p>
    <w:p>
      <w:pPr>
        <w:ind w:left="260" w:right="400"/>
        <w:spacing w:after="0" w:line="308" w:lineRule="auto"/>
        <w:rPr>
          <w:sz w:val="20"/>
          <w:szCs w:val="20"/>
          <w:color w:val="auto"/>
        </w:rPr>
      </w:pPr>
      <w:r>
        <w:rPr>
          <w:rFonts w:ascii="Arial" w:cs="Arial" w:eastAsia="Arial" w:hAnsi="Arial"/>
          <w:sz w:val="18"/>
          <w:szCs w:val="18"/>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spacing w:after="0" w:line="118" w:lineRule="exact"/>
        <w:rPr>
          <w:sz w:val="20"/>
          <w:szCs w:val="20"/>
          <w:color w:val="auto"/>
        </w:rPr>
      </w:pPr>
    </w:p>
    <w:p>
      <w:pPr>
        <w:ind w:left="260" w:right="440"/>
        <w:spacing w:after="0" w:line="355" w:lineRule="auto"/>
        <w:rPr>
          <w:sz w:val="20"/>
          <w:szCs w:val="20"/>
          <w:color w:val="auto"/>
        </w:rPr>
      </w:pPr>
      <w:r>
        <w:rPr>
          <w:rFonts w:ascii="Arial" w:cs="Arial" w:eastAsia="Arial" w:hAnsi="Arial"/>
          <w:sz w:val="17"/>
          <w:szCs w:val="17"/>
          <w:color w:val="auto"/>
        </w:rPr>
        <w:t>The Company elected to not separate non-lease components from the associated lease components and to not recognize ROU assets and lease liabilities for leases with a term of twelve months or less. Variable lease payments are primarily related to common area maintenance, and are recognized as lease costs when incurred.</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Revenue Recognition</w:t>
      </w:r>
    </w:p>
    <w:p>
      <w:pPr>
        <w:spacing w:after="0" w:line="209" w:lineRule="exact"/>
        <w:rPr>
          <w:sz w:val="20"/>
          <w:szCs w:val="20"/>
          <w:color w:val="auto"/>
        </w:rPr>
      </w:pPr>
    </w:p>
    <w:p>
      <w:pPr>
        <w:ind w:left="260" w:right="400"/>
        <w:spacing w:after="0" w:line="299" w:lineRule="auto"/>
        <w:rPr>
          <w:sz w:val="20"/>
          <w:szCs w:val="20"/>
          <w:color w:val="auto"/>
        </w:rPr>
      </w:pPr>
      <w:r>
        <w:rPr>
          <w:rFonts w:ascii="Arial" w:cs="Arial" w:eastAsia="Arial" w:hAnsi="Arial"/>
          <w:sz w:val="19"/>
          <w:szCs w:val="19"/>
          <w:color w:val="auto"/>
        </w:rPr>
        <w:t>The Company generates revenue primarily from sales of products and services. The Company’s product, the Proteograph Product Suite, consists of an instrument with embedded software essential to the instrument's functionality and consumables. The service revenue primarily consists of revenue received from the generation and analysis of proteomic data on behalf of customers.</w:t>
      </w:r>
    </w:p>
    <w:p>
      <w:pPr>
        <w:spacing w:after="0" w:line="124" w:lineRule="exact"/>
        <w:rPr>
          <w:sz w:val="20"/>
          <w:szCs w:val="20"/>
          <w:color w:val="auto"/>
        </w:rPr>
      </w:pPr>
    </w:p>
    <w:p>
      <w:pPr>
        <w:ind w:left="260" w:right="400"/>
        <w:spacing w:after="0" w:line="327" w:lineRule="auto"/>
        <w:rPr>
          <w:sz w:val="20"/>
          <w:szCs w:val="20"/>
          <w:color w:val="auto"/>
        </w:rPr>
      </w:pPr>
      <w:r>
        <w:rPr>
          <w:rFonts w:ascii="Arial" w:cs="Arial" w:eastAsia="Arial" w:hAnsi="Arial"/>
          <w:sz w:val="17"/>
          <w:szCs w:val="17"/>
          <w:color w:val="auto"/>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2240" w:h="15840" w:orient="portrait"/>
          <w:cols w:equalWidth="0" w:num="1">
            <w:col w:w="9360"/>
          </w:cols>
          <w:pgMar w:left="1440" w:top="1358" w:right="1440" w:bottom="624"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420"/>
        <w:spacing w:after="0" w:line="305" w:lineRule="auto"/>
        <w:rPr>
          <w:sz w:val="20"/>
          <w:szCs w:val="20"/>
          <w:color w:val="auto"/>
        </w:rPr>
      </w:pPr>
      <w:r>
        <w:rPr>
          <w:rFonts w:ascii="Arial" w:cs="Arial" w:eastAsia="Arial" w:hAnsi="Arial"/>
          <w:sz w:val="19"/>
          <w:szCs w:val="19"/>
          <w:color w:val="auto"/>
        </w:rPr>
        <w:t>Revenue from product sales is recognized when control of the product is transferred, which is generally upon shipment to the customer. Revenue from services is recognized once the report is delivered to a customer, which is when the customer obtains the benefit of the service.</w:t>
      </w:r>
    </w:p>
    <w:p>
      <w:pPr>
        <w:spacing w:after="0" w:line="116" w:lineRule="exact"/>
        <w:rPr>
          <w:sz w:val="20"/>
          <w:szCs w:val="20"/>
          <w:color w:val="auto"/>
        </w:rPr>
      </w:pPr>
    </w:p>
    <w:p>
      <w:pPr>
        <w:ind w:left="260" w:right="340"/>
        <w:spacing w:after="0" w:line="344" w:lineRule="auto"/>
        <w:rPr>
          <w:sz w:val="20"/>
          <w:szCs w:val="20"/>
          <w:color w:val="auto"/>
        </w:rPr>
      </w:pPr>
      <w:r>
        <w:rPr>
          <w:rFonts w:ascii="Arial" w:cs="Arial" w:eastAsia="Arial" w:hAnsi="Arial"/>
          <w:sz w:val="17"/>
          <w:szCs w:val="17"/>
          <w:color w:val="auto"/>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The Company’s contracts with its customers generally do not include rights of return.</w:t>
      </w:r>
    </w:p>
    <w:p>
      <w:pPr>
        <w:spacing w:after="0" w:line="92" w:lineRule="exact"/>
        <w:rPr>
          <w:sz w:val="20"/>
          <w:szCs w:val="20"/>
          <w:color w:val="auto"/>
        </w:rPr>
      </w:pPr>
    </w:p>
    <w:p>
      <w:pPr>
        <w:ind w:left="260" w:right="280"/>
        <w:spacing w:after="0" w:line="334" w:lineRule="auto"/>
        <w:rPr>
          <w:sz w:val="20"/>
          <w:szCs w:val="20"/>
          <w:color w:val="auto"/>
        </w:rPr>
      </w:pPr>
      <w:r>
        <w:rPr>
          <w:rFonts w:ascii="Arial" w:cs="Arial" w:eastAsia="Arial" w:hAnsi="Arial"/>
          <w:sz w:val="17"/>
          <w:szCs w:val="17"/>
          <w:color w:val="auto"/>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spacing w:after="0" w:line="99" w:lineRule="exact"/>
        <w:rPr>
          <w:sz w:val="20"/>
          <w:szCs w:val="20"/>
          <w:color w:val="auto"/>
        </w:rPr>
      </w:pPr>
    </w:p>
    <w:p>
      <w:pPr>
        <w:ind w:left="260" w:right="460"/>
        <w:spacing w:after="0" w:line="337" w:lineRule="auto"/>
        <w:rPr>
          <w:sz w:val="20"/>
          <w:szCs w:val="20"/>
          <w:color w:val="auto"/>
        </w:rPr>
      </w:pPr>
      <w:r>
        <w:rPr>
          <w:rFonts w:ascii="Arial" w:cs="Arial" w:eastAsia="Arial" w:hAnsi="Arial"/>
          <w:sz w:val="17"/>
          <w:szCs w:val="17"/>
          <w:color w:val="auto"/>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spacing w:after="0" w:line="100" w:lineRule="exact"/>
        <w:rPr>
          <w:sz w:val="20"/>
          <w:szCs w:val="20"/>
          <w:color w:val="auto"/>
        </w:rPr>
      </w:pPr>
    </w:p>
    <w:p>
      <w:pPr>
        <w:ind w:left="260" w:right="320"/>
        <w:spacing w:after="0" w:line="293" w:lineRule="auto"/>
        <w:rPr>
          <w:sz w:val="20"/>
          <w:szCs w:val="20"/>
          <w:color w:val="auto"/>
        </w:rPr>
      </w:pPr>
      <w:r>
        <w:rPr>
          <w:rFonts w:ascii="Arial" w:cs="Arial" w:eastAsia="Arial" w:hAnsi="Arial"/>
          <w:sz w:val="19"/>
          <w:szCs w:val="19"/>
          <w:color w:val="auto"/>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Grant and Other Revenue</w:t>
      </w:r>
    </w:p>
    <w:p>
      <w:pPr>
        <w:spacing w:after="0" w:line="211" w:lineRule="exact"/>
        <w:rPr>
          <w:sz w:val="20"/>
          <w:szCs w:val="20"/>
          <w:color w:val="auto"/>
        </w:rPr>
      </w:pPr>
    </w:p>
    <w:p>
      <w:pPr>
        <w:ind w:left="260" w:right="320"/>
        <w:spacing w:after="0" w:line="310" w:lineRule="auto"/>
        <w:rPr>
          <w:sz w:val="20"/>
          <w:szCs w:val="20"/>
          <w:color w:val="auto"/>
        </w:rPr>
      </w:pPr>
      <w:r>
        <w:rPr>
          <w:rFonts w:ascii="Arial" w:cs="Arial" w:eastAsia="Arial" w:hAnsi="Arial"/>
          <w:sz w:val="18"/>
          <w:szCs w:val="18"/>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21" w:lineRule="exact"/>
        <w:rPr>
          <w:sz w:val="20"/>
          <w:szCs w:val="20"/>
          <w:color w:val="auto"/>
        </w:rPr>
      </w:pPr>
    </w:p>
    <w:p>
      <w:pPr>
        <w:ind w:left="260" w:right="280"/>
        <w:spacing w:after="0" w:line="312" w:lineRule="auto"/>
        <w:rPr>
          <w:sz w:val="20"/>
          <w:szCs w:val="20"/>
          <w:color w:val="auto"/>
        </w:rPr>
      </w:pPr>
      <w:r>
        <w:rPr>
          <w:rFonts w:ascii="Arial" w:cs="Arial" w:eastAsia="Arial" w:hAnsi="Arial"/>
          <w:sz w:val="18"/>
          <w:szCs w:val="18"/>
          <w:color w:val="auto"/>
        </w:rPr>
        <w:t>A portion of the Company’s revenue relates to lease arrangements. Standalone lease arrangements are outside the scope of ASC 606, Revenue From Contracts With Customers, and are therefore accounted for in accordance with ASC 842, Leases. The total consideration in a lease arrangement is allocated between lease and non-lease components on their relative standalone selling prices. The standalone selling price is based on the price the Company would separately sell that promised good or service to a customer. If a standalone price is not available for a component, it is estimated using the best information available.</w:t>
      </w:r>
    </w:p>
    <w:p>
      <w:pPr>
        <w:spacing w:after="0" w:line="116" w:lineRule="exact"/>
        <w:rPr>
          <w:sz w:val="20"/>
          <w:szCs w:val="20"/>
          <w:color w:val="auto"/>
        </w:rPr>
      </w:pPr>
    </w:p>
    <w:p>
      <w:pPr>
        <w:ind w:left="260" w:right="280"/>
        <w:spacing w:after="0" w:line="433" w:lineRule="auto"/>
        <w:rPr>
          <w:sz w:val="20"/>
          <w:szCs w:val="20"/>
          <w:color w:val="auto"/>
        </w:rPr>
      </w:pPr>
      <w:r>
        <w:rPr>
          <w:rFonts w:ascii="Arial" w:cs="Arial" w:eastAsia="Arial" w:hAnsi="Arial"/>
          <w:sz w:val="16"/>
          <w:szCs w:val="16"/>
          <w:color w:val="auto"/>
        </w:rPr>
        <w:t>In determining whether a transaction should be classified as a sales-type or operating lease, the Company considered the following criteria at lease commencement: (1) whether title of the instrument transfers automatically or for a</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2240" w:h="15840" w:orient="portrait"/>
          <w:cols w:equalWidth="0" w:num="1">
            <w:col w:w="9360"/>
          </w:cols>
          <w:pgMar w:left="1440" w:top="1358" w:right="1440" w:bottom="624"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260"/>
        <w:spacing w:after="0" w:line="310" w:lineRule="auto"/>
        <w:rPr>
          <w:sz w:val="20"/>
          <w:szCs w:val="20"/>
          <w:color w:val="auto"/>
        </w:rPr>
      </w:pPr>
      <w:r>
        <w:rPr>
          <w:rFonts w:ascii="Arial" w:cs="Arial" w:eastAsia="Arial" w:hAnsi="Arial"/>
          <w:sz w:val="18"/>
          <w:szCs w:val="18"/>
          <w:color w:val="auto"/>
        </w:rPr>
        <w:t>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spacing w:after="0" w:line="121" w:lineRule="exact"/>
        <w:rPr>
          <w:sz w:val="20"/>
          <w:szCs w:val="20"/>
          <w:color w:val="auto"/>
        </w:rPr>
      </w:pPr>
    </w:p>
    <w:p>
      <w:pPr>
        <w:ind w:left="260" w:right="360"/>
        <w:spacing w:after="0" w:line="324" w:lineRule="auto"/>
        <w:rPr>
          <w:sz w:val="20"/>
          <w:szCs w:val="20"/>
          <w:color w:val="auto"/>
        </w:rPr>
      </w:pPr>
      <w:r>
        <w:rPr>
          <w:rFonts w:ascii="Arial" w:cs="Arial" w:eastAsia="Arial" w:hAnsi="Arial"/>
          <w:sz w:val="19"/>
          <w:szCs w:val="19"/>
          <w:color w:val="auto"/>
        </w:rPr>
        <w:t>Shipping revenue is recognized when control of the product is transferred to the customer. The related shipping and handling costs are included in the cost of revenue.</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Cost of Revenue</w:t>
      </w:r>
    </w:p>
    <w:p>
      <w:pPr>
        <w:spacing w:after="0" w:line="209" w:lineRule="exact"/>
        <w:rPr>
          <w:sz w:val="20"/>
          <w:szCs w:val="20"/>
          <w:color w:val="auto"/>
        </w:rPr>
      </w:pPr>
    </w:p>
    <w:p>
      <w:pPr>
        <w:ind w:left="260" w:right="300"/>
        <w:spacing w:after="0" w:line="311" w:lineRule="auto"/>
        <w:rPr>
          <w:sz w:val="20"/>
          <w:szCs w:val="20"/>
          <w:color w:val="auto"/>
        </w:rPr>
      </w:pPr>
      <w:r>
        <w:rPr>
          <w:rFonts w:ascii="Arial" w:cs="Arial" w:eastAsia="Arial" w:hAnsi="Arial"/>
          <w:sz w:val="18"/>
          <w:szCs w:val="18"/>
          <w:color w:val="auto"/>
        </w:rPr>
        <w:t>The Company utilizes third-party manufacturers for production of SP100 instrument and it manufactures the nanoparticles and assembles the assay kits internally. Cost of revenue consists primarily of costs of the components of the Proteograph Product Suite, including the SP100 instrument and consumables, cost of services related to the generation and analysis of proteomic data on behalf of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Research and Development Expenses</w:t>
      </w:r>
    </w:p>
    <w:p>
      <w:pPr>
        <w:spacing w:after="0" w:line="211" w:lineRule="exact"/>
        <w:rPr>
          <w:sz w:val="20"/>
          <w:szCs w:val="20"/>
          <w:color w:val="auto"/>
        </w:rPr>
      </w:pPr>
    </w:p>
    <w:p>
      <w:pPr>
        <w:ind w:left="260" w:right="560"/>
        <w:spacing w:after="0" w:line="343" w:lineRule="auto"/>
        <w:rPr>
          <w:sz w:val="20"/>
          <w:szCs w:val="20"/>
          <w:color w:val="auto"/>
        </w:rPr>
      </w:pPr>
      <w:r>
        <w:rPr>
          <w:rFonts w:ascii="Arial" w:cs="Arial" w:eastAsia="Arial" w:hAnsi="Arial"/>
          <w:sz w:val="17"/>
          <w:szCs w:val="17"/>
          <w:color w:val="auto"/>
        </w:rPr>
        <w:t>Research and development expenses include costs associated with research and development of the Company’s technology and product candidates. Research and development expenses primarily consist of employee compensation, including stock-based compensation and employee benefits, laboratory supplies used for in-house research, consulting costs, and allocated costs, including rent, depreciation, information technology and utilities.</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Selling, General and Administrative Expenses</w:t>
      </w:r>
    </w:p>
    <w:p>
      <w:pPr>
        <w:spacing w:after="0" w:line="209" w:lineRule="exact"/>
        <w:rPr>
          <w:sz w:val="20"/>
          <w:szCs w:val="20"/>
          <w:color w:val="auto"/>
        </w:rPr>
      </w:pPr>
    </w:p>
    <w:p>
      <w:pPr>
        <w:ind w:left="260" w:right="420"/>
        <w:spacing w:after="0" w:line="299" w:lineRule="auto"/>
        <w:rPr>
          <w:sz w:val="20"/>
          <w:szCs w:val="20"/>
          <w:color w:val="auto"/>
        </w:rPr>
      </w:pPr>
      <w:r>
        <w:rPr>
          <w:rFonts w:ascii="Arial" w:cs="Arial" w:eastAsia="Arial" w:hAnsi="Arial"/>
          <w:sz w:val="19"/>
          <w:szCs w:val="19"/>
          <w:color w:val="auto"/>
        </w:rPr>
        <w:t>Selling, general and administrative expenses primarily consist of employee compensation, including stock-based compensation, and benefits for executive management, sales and marketing, finance, administrative, human resources, legal functions, allocated costs, professional service fees and other general overhead costs to support the Company's operations.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Stock-Based Compensation</w:t>
      </w:r>
    </w:p>
    <w:p>
      <w:pPr>
        <w:spacing w:after="0" w:line="209" w:lineRule="exact"/>
        <w:rPr>
          <w:sz w:val="20"/>
          <w:szCs w:val="20"/>
          <w:color w:val="auto"/>
        </w:rPr>
      </w:pPr>
    </w:p>
    <w:p>
      <w:pPr>
        <w:ind w:left="260" w:right="280"/>
        <w:spacing w:after="0" w:line="299" w:lineRule="auto"/>
        <w:rPr>
          <w:sz w:val="20"/>
          <w:szCs w:val="20"/>
          <w:color w:val="auto"/>
        </w:rPr>
      </w:pPr>
      <w:r>
        <w:rPr>
          <w:rFonts w:ascii="Arial" w:cs="Arial" w:eastAsia="Arial" w:hAnsi="Arial"/>
          <w:sz w:val="19"/>
          <w:szCs w:val="19"/>
          <w:color w:val="auto"/>
        </w:rPr>
        <w:t>Stock-based compensation expense relates to stock options with service-based vesting conditions, stock options with market-based vesting conditions, stock purchase rights under the employee stock purchase plan (ESPP), restricted common stock awards (RSAs) and restricted stock units (RSUs). All awards are measured at fair value on grant date and forfeitures are recognized as they occur.</w:t>
      </w:r>
    </w:p>
    <w:p>
      <w:pPr>
        <w:spacing w:after="0" w:line="122" w:lineRule="exact"/>
        <w:rPr>
          <w:sz w:val="20"/>
          <w:szCs w:val="20"/>
          <w:color w:val="auto"/>
        </w:rPr>
      </w:pPr>
    </w:p>
    <w:p>
      <w:pPr>
        <w:jc w:val="both"/>
        <w:ind w:left="260" w:right="300"/>
        <w:spacing w:after="0" w:line="329" w:lineRule="auto"/>
        <w:rPr>
          <w:sz w:val="20"/>
          <w:szCs w:val="20"/>
          <w:color w:val="auto"/>
        </w:rPr>
      </w:pPr>
      <w:r>
        <w:rPr>
          <w:rFonts w:ascii="Arial" w:cs="Arial" w:eastAsia="Arial" w:hAnsi="Arial"/>
          <w:sz w:val="18"/>
          <w:szCs w:val="18"/>
          <w:color w:val="auto"/>
        </w:rPr>
        <w:t>The fair value of stock options with service conditions and stock purchase rights under our ESPP on the grant date is determined using the Black-Scholes option pricing model. The fair value of the awards is recognized as expense on a straight-line basis over the requisite service period in which the awards are expected to vest.</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2240" w:h="15840" w:orient="portrait"/>
          <w:cols w:equalWidth="0" w:num="1">
            <w:col w:w="9360"/>
          </w:cols>
          <w:pgMar w:left="1440" w:top="1358" w:right="1440" w:bottom="624"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380"/>
        <w:spacing w:after="0" w:line="326" w:lineRule="auto"/>
        <w:rPr>
          <w:sz w:val="20"/>
          <w:szCs w:val="20"/>
          <w:color w:val="auto"/>
        </w:rPr>
      </w:pPr>
      <w:r>
        <w:rPr>
          <w:rFonts w:ascii="Arial" w:cs="Arial" w:eastAsia="Arial" w:hAnsi="Arial"/>
          <w:sz w:val="17"/>
          <w:szCs w:val="17"/>
          <w:color w:val="auto"/>
        </w:rPr>
        <w:t>The Black-Scholes option pricing model considers several variables and assumptions in estimating the fair value of service-based stock options and stock purchase rights under the ESPP. These variables include the per share fair value of the underlying common stock, expected term, expected volatility, risk-free interest rate and expected dividend yield over the expected term. For all service-based stock options granted, the Company calculates the expected term using the simplified method for “plain vanilla” stock option awards. For the expected volatility, the Company uses a blended rate based on the historical volatility of the stock price of its Class A common stock and average volatility of comparable publicly traded peer companies. The comparable companies were chosen based on their similar size, life cycle stage, or area of specialty. The risk-free interest rate is based on the yield available on U.S. Treasury zero-coupon issues in effect at the time of grant for periods corresponding with the expected term of the options. The expected dividend yield is assumed to be zero as the Company has never paid dividends and has no current plans to pay dividends on its common stock.</w:t>
      </w:r>
    </w:p>
    <w:p>
      <w:pPr>
        <w:spacing w:after="0" w:line="112" w:lineRule="exact"/>
        <w:rPr>
          <w:sz w:val="20"/>
          <w:szCs w:val="20"/>
          <w:color w:val="auto"/>
        </w:rPr>
      </w:pPr>
    </w:p>
    <w:p>
      <w:pPr>
        <w:ind w:left="260" w:right="300"/>
        <w:spacing w:after="0" w:line="299" w:lineRule="auto"/>
        <w:rPr>
          <w:sz w:val="20"/>
          <w:szCs w:val="20"/>
          <w:color w:val="auto"/>
        </w:rPr>
      </w:pPr>
      <w:r>
        <w:rPr>
          <w:rFonts w:ascii="Arial" w:cs="Arial" w:eastAsia="Arial" w:hAnsi="Arial"/>
          <w:sz w:val="19"/>
          <w:szCs w:val="19"/>
          <w:color w:val="auto"/>
        </w:rPr>
        <w:t>For stock options with market-based vesting conditions, stock-based compensation expense is recognized using an accelerated attribution method based on the derived service periods and not reversed if the achievement of the market condition does not occur. The fair value of these stock options is estimated using the Monte Carlo simulation model.</w:t>
      </w:r>
    </w:p>
    <w:p>
      <w:pPr>
        <w:spacing w:after="0" w:line="122" w:lineRule="exact"/>
        <w:rPr>
          <w:sz w:val="20"/>
          <w:szCs w:val="20"/>
          <w:color w:val="auto"/>
        </w:rPr>
      </w:pPr>
    </w:p>
    <w:p>
      <w:pPr>
        <w:ind w:left="260" w:right="380"/>
        <w:spacing w:after="0" w:line="393" w:lineRule="auto"/>
        <w:rPr>
          <w:sz w:val="20"/>
          <w:szCs w:val="20"/>
          <w:color w:val="auto"/>
        </w:rPr>
      </w:pPr>
      <w:r>
        <w:rPr>
          <w:rFonts w:ascii="Arial" w:cs="Arial" w:eastAsia="Arial" w:hAnsi="Arial"/>
          <w:sz w:val="17"/>
          <w:szCs w:val="17"/>
          <w:color w:val="auto"/>
        </w:rPr>
        <w:t>The fair value of RSAs is the difference between the fair value of the underlying stock at the measurement date and the purchase price. The fair value of RSUs is the fair value of the underlying stock at the measurement date.</w:t>
      </w:r>
    </w:p>
    <w:p>
      <w:pPr>
        <w:spacing w:after="0" w:line="52"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Repurchases of Class A Common Stock</w:t>
      </w:r>
    </w:p>
    <w:p>
      <w:pPr>
        <w:spacing w:after="0" w:line="211" w:lineRule="exact"/>
        <w:rPr>
          <w:sz w:val="20"/>
          <w:szCs w:val="20"/>
          <w:color w:val="auto"/>
        </w:rPr>
      </w:pPr>
    </w:p>
    <w:p>
      <w:pPr>
        <w:ind w:left="260" w:right="260"/>
        <w:spacing w:after="0" w:line="328" w:lineRule="auto"/>
        <w:rPr>
          <w:sz w:val="20"/>
          <w:szCs w:val="20"/>
          <w:color w:val="auto"/>
        </w:rPr>
      </w:pPr>
      <w:r>
        <w:rPr>
          <w:rFonts w:ascii="Arial" w:cs="Arial" w:eastAsia="Arial" w:hAnsi="Arial"/>
          <w:sz w:val="17"/>
          <w:szCs w:val="17"/>
          <w:color w:val="auto"/>
        </w:rPr>
        <w:t>On May 3, 2024, the Company’s Board of Directors approved a share repurchase program (the Share Repurchase Program) under which the Company is authorized to purchase (in the aggregate) up to $25.0 million of its issued and outstanding Class A common stock. Under the Share Repurchase Program, shares may be repurchased from time to time in open market transactions at prevailing market prices (including through Rule 10b5-1 plans), privately negotiated transactions, a combination thereof, or through other transactions. The actual timing, number, manner, and value of shares repurchased under the Share Repurchase Program will depend on the market price of its common stock, trading volume, general market conditions and other corporate and economic considerations. The Share Repurchase Program does not obligate the Company to repurchase any specific number of shares and may be modified, suspended or terminated at any time.</w:t>
      </w:r>
    </w:p>
    <w:p>
      <w:pPr>
        <w:spacing w:after="0" w:line="108" w:lineRule="exact"/>
        <w:rPr>
          <w:sz w:val="20"/>
          <w:szCs w:val="20"/>
          <w:color w:val="auto"/>
        </w:rPr>
      </w:pPr>
    </w:p>
    <w:p>
      <w:pPr>
        <w:ind w:left="260" w:right="280"/>
        <w:spacing w:after="0" w:line="344" w:lineRule="auto"/>
        <w:rPr>
          <w:sz w:val="20"/>
          <w:szCs w:val="20"/>
          <w:color w:val="auto"/>
        </w:rPr>
      </w:pPr>
      <w:r>
        <w:rPr>
          <w:rFonts w:ascii="Arial" w:cs="Arial" w:eastAsia="Arial" w:hAnsi="Arial"/>
          <w:sz w:val="17"/>
          <w:szCs w:val="17"/>
          <w:color w:val="auto"/>
        </w:rPr>
        <w:t>The Company records the share repurchase at cost based on the settlement date of the transaction. The shares repurchased are retired immediately and included in the category of authorized but unissued shares. The par value of the shares retired is charged against Class A common stock and the remaining purchase price is charged to additional paid-in capital. The total cost of the broker commissions is charged directly to additional paid-in capital.</w:t>
      </w:r>
    </w:p>
    <w:p>
      <w:pPr>
        <w:spacing w:after="0" w:line="90" w:lineRule="exact"/>
        <w:rPr>
          <w:sz w:val="20"/>
          <w:szCs w:val="20"/>
          <w:color w:val="auto"/>
        </w:rPr>
      </w:pPr>
    </w:p>
    <w:p>
      <w:pPr>
        <w:ind w:left="260" w:right="340"/>
        <w:spacing w:after="0" w:line="355" w:lineRule="auto"/>
        <w:rPr>
          <w:sz w:val="20"/>
          <w:szCs w:val="20"/>
          <w:color w:val="auto"/>
        </w:rPr>
      </w:pPr>
      <w:r>
        <w:rPr>
          <w:rFonts w:ascii="Arial" w:cs="Arial" w:eastAsia="Arial" w:hAnsi="Arial"/>
          <w:sz w:val="17"/>
          <w:szCs w:val="17"/>
          <w:color w:val="auto"/>
        </w:rPr>
        <w:t>The U.S. recently enacted the Inflation Reduction Act of 2022, which, among other changes, implements a 1% excise tax on certain stock buybacks, which would generally apply to net repurchases of stock by U.S. corporations. For the year ended December 31, 2024, the Company recorded $0.1 million for excise tax on net repurchases.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Income Taxes</w:t>
      </w:r>
    </w:p>
    <w:p>
      <w:pPr>
        <w:spacing w:after="0" w:line="209" w:lineRule="exact"/>
        <w:rPr>
          <w:sz w:val="20"/>
          <w:szCs w:val="20"/>
          <w:color w:val="auto"/>
        </w:rPr>
      </w:pPr>
    </w:p>
    <w:p>
      <w:pPr>
        <w:ind w:left="260" w:right="280"/>
        <w:spacing w:after="0" w:line="296" w:lineRule="auto"/>
        <w:rPr>
          <w:sz w:val="20"/>
          <w:szCs w:val="20"/>
          <w:color w:val="auto"/>
        </w:rPr>
      </w:pPr>
      <w:r>
        <w:rPr>
          <w:rFonts w:ascii="Arial" w:cs="Arial" w:eastAsia="Arial" w:hAnsi="Arial"/>
          <w:sz w:val="19"/>
          <w:szCs w:val="19"/>
          <w:color w:val="auto"/>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2240" w:h="15840" w:orient="portrait"/>
          <w:cols w:equalWidth="0" w:num="1">
            <w:col w:w="9360"/>
          </w:cols>
          <w:pgMar w:left="1440" w:top="1358" w:right="1440" w:bottom="624"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280"/>
        <w:spacing w:after="0" w:line="308" w:lineRule="auto"/>
        <w:rPr>
          <w:sz w:val="20"/>
          <w:szCs w:val="20"/>
          <w:color w:val="auto"/>
        </w:rPr>
      </w:pPr>
      <w:r>
        <w:rPr>
          <w:rFonts w:ascii="Arial" w:cs="Arial" w:eastAsia="Arial" w:hAnsi="Arial"/>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22" w:lineRule="exact"/>
        <w:rPr>
          <w:sz w:val="20"/>
          <w:szCs w:val="20"/>
          <w:color w:val="auto"/>
        </w:rPr>
      </w:pPr>
    </w:p>
    <w:p>
      <w:pPr>
        <w:ind w:left="260" w:right="320"/>
        <w:spacing w:after="0" w:line="334" w:lineRule="auto"/>
        <w:rPr>
          <w:sz w:val="20"/>
          <w:szCs w:val="20"/>
          <w:color w:val="auto"/>
        </w:rPr>
      </w:pPr>
      <w:r>
        <w:rPr>
          <w:rFonts w:ascii="Arial" w:cs="Arial" w:eastAsia="Arial" w:hAnsi="Arial"/>
          <w:sz w:val="17"/>
          <w:szCs w:val="17"/>
          <w:color w:val="auto"/>
        </w:rPr>
        <w:t>The Company records uncertain tax positions in accordance with ASC 740, Income Taxes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liability that is more likely than 50 percent to be realized. Interest and penalties related to unrecognized tax benefits are included within the provision for income tax. For the years ended December 31, 2024 and 2023, there were no interest and penalties.</w:t>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Net Loss Per Share Attributable to Common Stockholders</w:t>
      </w:r>
    </w:p>
    <w:p>
      <w:pPr>
        <w:spacing w:after="0" w:line="211" w:lineRule="exact"/>
        <w:rPr>
          <w:sz w:val="20"/>
          <w:szCs w:val="20"/>
          <w:color w:val="auto"/>
        </w:rPr>
      </w:pPr>
    </w:p>
    <w:p>
      <w:pPr>
        <w:ind w:left="260" w:right="280"/>
        <w:spacing w:after="0" w:line="310" w:lineRule="auto"/>
        <w:rPr>
          <w:sz w:val="20"/>
          <w:szCs w:val="20"/>
          <w:color w:val="auto"/>
        </w:rPr>
      </w:pPr>
      <w:r>
        <w:rPr>
          <w:rFonts w:ascii="Arial" w:cs="Arial" w:eastAsia="Arial" w:hAnsi="Arial"/>
          <w:sz w:val="18"/>
          <w:szCs w:val="18"/>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21" w:lineRule="exact"/>
        <w:rPr>
          <w:sz w:val="20"/>
          <w:szCs w:val="20"/>
          <w:color w:val="auto"/>
        </w:rPr>
      </w:pPr>
    </w:p>
    <w:p>
      <w:pPr>
        <w:ind w:left="260" w:right="320"/>
        <w:spacing w:after="0" w:line="299" w:lineRule="auto"/>
        <w:rPr>
          <w:sz w:val="20"/>
          <w:szCs w:val="20"/>
          <w:color w:val="auto"/>
        </w:rPr>
      </w:pPr>
      <w:r>
        <w:rPr>
          <w:rFonts w:ascii="Arial" w:cs="Arial" w:eastAsia="Arial" w:hAnsi="Arial"/>
          <w:sz w:val="19"/>
          <w:szCs w:val="19"/>
          <w:color w:val="auto"/>
        </w:rPr>
        <w:t>The Company also considers any shares issued on the early exercise of stock options subject to repurchase to be participating securities because holders of such shares have non-forfeitable dividend rights in the event a dividend is paid on common stock. The holders of early exercised shares subject to repurchase do not have a contractual obligation to share in losses.</w:t>
      </w:r>
    </w:p>
    <w:p>
      <w:pPr>
        <w:spacing w:after="0" w:line="122" w:lineRule="exact"/>
        <w:rPr>
          <w:sz w:val="20"/>
          <w:szCs w:val="20"/>
          <w:color w:val="auto"/>
        </w:rPr>
      </w:pPr>
    </w:p>
    <w:p>
      <w:pPr>
        <w:ind w:left="260" w:right="500"/>
        <w:spacing w:after="0" w:line="305" w:lineRule="auto"/>
        <w:rPr>
          <w:sz w:val="20"/>
          <w:szCs w:val="20"/>
          <w:color w:val="auto"/>
        </w:rPr>
      </w:pPr>
      <w:r>
        <w:rPr>
          <w:rFonts w:ascii="Arial" w:cs="Arial" w:eastAsia="Arial" w:hAnsi="Arial"/>
          <w:sz w:val="19"/>
          <w:szCs w:val="19"/>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119" w:lineRule="exact"/>
        <w:rPr>
          <w:sz w:val="20"/>
          <w:szCs w:val="20"/>
          <w:color w:val="auto"/>
        </w:rPr>
      </w:pPr>
    </w:p>
    <w:p>
      <w:pPr>
        <w:ind w:left="260" w:right="300"/>
        <w:spacing w:after="0" w:line="315" w:lineRule="auto"/>
        <w:rPr>
          <w:sz w:val="20"/>
          <w:szCs w:val="20"/>
          <w:color w:val="auto"/>
        </w:rPr>
      </w:pPr>
      <w:r>
        <w:rPr>
          <w:rFonts w:ascii="Arial" w:cs="Arial" w:eastAsia="Arial" w:hAnsi="Arial"/>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Commitments and Contingencies</w:t>
      </w:r>
    </w:p>
    <w:p>
      <w:pPr>
        <w:spacing w:after="0" w:line="211" w:lineRule="exact"/>
        <w:rPr>
          <w:sz w:val="20"/>
          <w:szCs w:val="20"/>
          <w:color w:val="auto"/>
        </w:rPr>
      </w:pPr>
    </w:p>
    <w:p>
      <w:pPr>
        <w:ind w:left="260" w:right="420"/>
        <w:spacing w:after="0" w:line="329"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2240" w:h="15840" w:orient="portrait"/>
          <w:cols w:equalWidth="0" w:num="1">
            <w:col w:w="9360"/>
          </w:cols>
          <w:pgMar w:left="1440" w:top="1358" w:right="1440" w:bottom="624"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Fair Value Measurement</w:t>
      </w:r>
    </w:p>
    <w:p>
      <w:pPr>
        <w:spacing w:after="0" w:line="209" w:lineRule="exact"/>
        <w:rPr>
          <w:sz w:val="20"/>
          <w:szCs w:val="20"/>
          <w:color w:val="auto"/>
        </w:rPr>
      </w:pPr>
    </w:p>
    <w:p>
      <w:pPr>
        <w:ind w:left="260" w:right="300"/>
        <w:spacing w:after="0" w:line="296" w:lineRule="auto"/>
        <w:rPr>
          <w:sz w:val="20"/>
          <w:szCs w:val="20"/>
          <w:color w:val="auto"/>
        </w:rPr>
      </w:pPr>
      <w:r>
        <w:rPr>
          <w:rFonts w:ascii="Arial" w:cs="Arial" w:eastAsia="Arial" w:hAnsi="Arial"/>
          <w:sz w:val="19"/>
          <w:szCs w:val="19"/>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25" w:lineRule="exact"/>
        <w:rPr>
          <w:sz w:val="20"/>
          <w:szCs w:val="20"/>
          <w:color w:val="auto"/>
        </w:rPr>
      </w:pPr>
    </w:p>
    <w:p>
      <w:pPr>
        <w:ind w:left="260" w:right="280"/>
        <w:spacing w:after="0" w:line="326" w:lineRule="auto"/>
        <w:rPr>
          <w:sz w:val="20"/>
          <w:szCs w:val="20"/>
          <w:color w:val="auto"/>
        </w:rPr>
      </w:pPr>
      <w:r>
        <w:rPr>
          <w:rFonts w:ascii="Arial" w:cs="Arial" w:eastAsia="Arial" w:hAnsi="Arial"/>
          <w:sz w:val="19"/>
          <w:szCs w:val="19"/>
          <w:color w:val="auto"/>
        </w:rPr>
        <w:t>The Company determined the fair value of financial assets and liabilities using the fair value hierarchy that describes three levels of inputs that may be used to measure fair value, as follows:</w:t>
      </w:r>
    </w:p>
    <w:p>
      <w:pPr>
        <w:spacing w:after="0" w:line="97" w:lineRule="exact"/>
        <w:rPr>
          <w:sz w:val="20"/>
          <w:szCs w:val="20"/>
          <w:color w:val="auto"/>
        </w:rPr>
      </w:pPr>
    </w:p>
    <w:p>
      <w:pPr>
        <w:ind w:left="940"/>
        <w:spacing w:after="0"/>
        <w:rPr>
          <w:sz w:val="20"/>
          <w:szCs w:val="20"/>
          <w:color w:val="auto"/>
        </w:rPr>
      </w:pPr>
      <w:r>
        <w:rPr>
          <w:rFonts w:ascii="Arial" w:cs="Arial" w:eastAsia="Arial" w:hAnsi="Arial"/>
          <w:sz w:val="19"/>
          <w:szCs w:val="19"/>
          <w:color w:val="auto"/>
        </w:rPr>
        <w:t>Level 1 - Quoted prices in active markets for identical assets and liabilities;</w:t>
      </w:r>
    </w:p>
    <w:p>
      <w:pPr>
        <w:spacing w:after="0" w:line="211" w:lineRule="exact"/>
        <w:rPr>
          <w:sz w:val="20"/>
          <w:szCs w:val="20"/>
          <w:color w:val="auto"/>
        </w:rPr>
      </w:pPr>
    </w:p>
    <w:p>
      <w:pPr>
        <w:ind w:left="1700" w:right="280" w:hanging="761"/>
        <w:spacing w:after="0" w:line="299" w:lineRule="auto"/>
        <w:rPr>
          <w:sz w:val="20"/>
          <w:szCs w:val="20"/>
          <w:color w:val="auto"/>
        </w:rPr>
      </w:pPr>
      <w:r>
        <w:rPr>
          <w:rFonts w:ascii="Arial" w:cs="Arial" w:eastAsia="Arial" w:hAnsi="Arial"/>
          <w:sz w:val="19"/>
          <w:szCs w:val="19"/>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24" w:lineRule="exact"/>
        <w:rPr>
          <w:sz w:val="20"/>
          <w:szCs w:val="20"/>
          <w:color w:val="auto"/>
        </w:rPr>
      </w:pPr>
    </w:p>
    <w:p>
      <w:pPr>
        <w:ind w:left="1700" w:right="520" w:hanging="761"/>
        <w:spacing w:after="0" w:line="324" w:lineRule="auto"/>
        <w:rPr>
          <w:sz w:val="20"/>
          <w:szCs w:val="20"/>
          <w:color w:val="auto"/>
        </w:rPr>
      </w:pPr>
      <w:r>
        <w:rPr>
          <w:rFonts w:ascii="Arial" w:cs="Arial" w:eastAsia="Arial" w:hAnsi="Arial"/>
          <w:sz w:val="19"/>
          <w:szCs w:val="19"/>
          <w:color w:val="auto"/>
        </w:rPr>
        <w:t>Level 3 - Unobservable inputs that are supported by little or no market activity and that are significant to the fair value of the assets or liabilities.</w:t>
      </w:r>
    </w:p>
    <w:p>
      <w:pPr>
        <w:spacing w:after="0" w:line="101" w:lineRule="exact"/>
        <w:rPr>
          <w:sz w:val="20"/>
          <w:szCs w:val="20"/>
          <w:color w:val="auto"/>
        </w:rPr>
      </w:pPr>
    </w:p>
    <w:p>
      <w:pPr>
        <w:ind w:left="260" w:right="360"/>
        <w:spacing w:after="0" w:line="295" w:lineRule="auto"/>
        <w:rPr>
          <w:sz w:val="20"/>
          <w:szCs w:val="20"/>
          <w:color w:val="auto"/>
        </w:rPr>
      </w:pPr>
      <w:r>
        <w:rPr>
          <w:rFonts w:ascii="Arial" w:cs="Arial" w:eastAsia="Arial" w:hAnsi="Arial"/>
          <w:sz w:val="19"/>
          <w:szCs w:val="19"/>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Recently Adopted Accounting Pronouncements</w:t>
      </w:r>
    </w:p>
    <w:p>
      <w:pPr>
        <w:spacing w:after="0" w:line="209" w:lineRule="exact"/>
        <w:rPr>
          <w:sz w:val="20"/>
          <w:szCs w:val="20"/>
          <w:color w:val="auto"/>
        </w:rPr>
      </w:pPr>
    </w:p>
    <w:p>
      <w:pPr>
        <w:ind w:left="260" w:right="340"/>
        <w:spacing w:after="0" w:line="312" w:lineRule="auto"/>
        <w:rPr>
          <w:sz w:val="20"/>
          <w:szCs w:val="20"/>
          <w:color w:val="auto"/>
        </w:rPr>
      </w:pPr>
      <w:r>
        <w:rPr>
          <w:rFonts w:ascii="Arial" w:cs="Arial" w:eastAsia="Arial" w:hAnsi="Arial"/>
          <w:sz w:val="18"/>
          <w:szCs w:val="18"/>
          <w:color w:val="auto"/>
        </w:rPr>
        <w:t>In November 2023, the Financial Accounting Standards Board (FASB) issued Accounting Standards Update (ASU) 2023-07, Segment Reporting (Topic 280): Improvements to Reportable Segment Disclosures,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w:t>
      </w:r>
    </w:p>
    <w:p>
      <w:pPr>
        <w:spacing w:after="0" w:line="116" w:lineRule="exact"/>
        <w:rPr>
          <w:sz w:val="20"/>
          <w:szCs w:val="20"/>
          <w:color w:val="auto"/>
        </w:rPr>
      </w:pPr>
    </w:p>
    <w:p>
      <w:pPr>
        <w:ind w:left="260" w:right="560"/>
        <w:spacing w:after="0" w:line="326" w:lineRule="auto"/>
        <w:rPr>
          <w:sz w:val="20"/>
          <w:szCs w:val="20"/>
          <w:color w:val="auto"/>
        </w:rPr>
      </w:pPr>
      <w:r>
        <w:rPr>
          <w:rFonts w:ascii="Arial" w:cs="Arial" w:eastAsia="Arial" w:hAnsi="Arial"/>
          <w:sz w:val="19"/>
          <w:szCs w:val="19"/>
          <w:color w:val="auto"/>
        </w:rPr>
        <w:t>The Company adopted ASU 2023-07 effective December 31, 2024, on a retrospective basis. Refer to Note 14 for further information on the Company's reportable segment.</w:t>
      </w:r>
    </w:p>
    <w:p>
      <w:pPr>
        <w:spacing w:after="0" w:line="99"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Recently Issued Accounting Pronouncements Not Yet Adopted</w:t>
      </w:r>
    </w:p>
    <w:p>
      <w:pPr>
        <w:spacing w:after="0" w:line="211" w:lineRule="exact"/>
        <w:rPr>
          <w:sz w:val="20"/>
          <w:szCs w:val="20"/>
          <w:color w:val="auto"/>
        </w:rPr>
      </w:pPr>
    </w:p>
    <w:p>
      <w:pPr>
        <w:ind w:left="260" w:right="320"/>
        <w:spacing w:after="0" w:line="292" w:lineRule="auto"/>
        <w:rPr>
          <w:sz w:val="20"/>
          <w:szCs w:val="20"/>
          <w:color w:val="auto"/>
        </w:rPr>
      </w:pPr>
      <w:r>
        <w:rPr>
          <w:rFonts w:ascii="Arial" w:cs="Arial" w:eastAsia="Arial" w:hAnsi="Arial"/>
          <w:sz w:val="19"/>
          <w:szCs w:val="19"/>
          <w:color w:val="auto"/>
        </w:rPr>
        <w:t>In December 2023, the FASB issued ASU No. 2023-09, Improvements to Income Tax Disclosures (ASU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requirements of the ASU are effective for annual periods beginning after December 15, 2024, with early adoption permitted. The Company is currently in the process of evaluating the impact of this pronouncement on its consolidated financial statements and related disclosures.</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ectPr>
          <w:pgSz w:w="12240" w:h="15840" w:orient="portrait"/>
          <w:cols w:equalWidth="0" w:num="1">
            <w:col w:w="9360"/>
          </w:cols>
          <w:pgMar w:left="1440" w:top="1358" w:right="1440" w:bottom="624"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280"/>
        <w:spacing w:after="0" w:line="307" w:lineRule="auto"/>
        <w:rPr>
          <w:sz w:val="20"/>
          <w:szCs w:val="20"/>
          <w:color w:val="auto"/>
        </w:rPr>
      </w:pPr>
      <w:r>
        <w:rPr>
          <w:rFonts w:ascii="Arial" w:cs="Arial" w:eastAsia="Arial" w:hAnsi="Arial"/>
          <w:sz w:val="18"/>
          <w:szCs w:val="18"/>
          <w:color w:val="auto"/>
        </w:rPr>
        <w:t>In November 2024, the FASB issued ASU No. 2024-03, Income statement - Reporting Comprehensive Income - Expense Disaggregation Disclosures (Subtopic 220-40), which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impact the new accounting standard will have on its expense disclosures in the notes to the consolidated financial statements and related disclosures.</w:t>
      </w:r>
    </w:p>
    <w:p>
      <w:pPr>
        <w:spacing w:after="0" w:line="126" w:lineRule="exact"/>
        <w:rPr>
          <w:sz w:val="20"/>
          <w:szCs w:val="20"/>
          <w:color w:val="auto"/>
        </w:rPr>
      </w:pPr>
    </w:p>
    <w:p>
      <w:pPr>
        <w:ind w:left="260" w:right="420"/>
        <w:spacing w:after="0" w:line="305" w:lineRule="auto"/>
        <w:rPr>
          <w:sz w:val="20"/>
          <w:szCs w:val="20"/>
          <w:color w:val="auto"/>
        </w:rPr>
      </w:pPr>
      <w:r>
        <w:rPr>
          <w:rFonts w:ascii="Arial" w:cs="Arial" w:eastAsia="Arial" w:hAnsi="Arial"/>
          <w:sz w:val="19"/>
          <w:szCs w:val="19"/>
          <w:color w:val="auto"/>
        </w:rPr>
        <w:t>The Company continues to monitor new accounting pronouncements issued by the FASB and does not believe any accounting pronouncements issued through the date of this report will have a material impact on the Company’s consolidated financial statements.</w:t>
      </w:r>
    </w:p>
    <w:p>
      <w:pPr>
        <w:spacing w:after="0" w:line="376" w:lineRule="exact"/>
        <w:rPr>
          <w:sz w:val="20"/>
          <w:szCs w:val="20"/>
          <w:color w:val="auto"/>
        </w:rPr>
      </w:pPr>
    </w:p>
    <w:p>
      <w:pPr>
        <w:ind w:left="940" w:hanging="677"/>
        <w:spacing w:after="0"/>
        <w:tabs>
          <w:tab w:leader="none" w:pos="94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 MEASUREMENTS AND FAIR VALUE OF FINANCIAL INSTRUMENTS</w:t>
      </w:r>
    </w:p>
    <w:p>
      <w:pPr>
        <w:spacing w:after="0" w:line="213" w:lineRule="exact"/>
        <w:rPr>
          <w:sz w:val="20"/>
          <w:szCs w:val="20"/>
          <w:color w:val="auto"/>
        </w:rPr>
      </w:pPr>
    </w:p>
    <w:p>
      <w:pPr>
        <w:ind w:left="260" w:right="400"/>
        <w:spacing w:after="0" w:line="326" w:lineRule="auto"/>
        <w:rPr>
          <w:sz w:val="20"/>
          <w:szCs w:val="20"/>
          <w:color w:val="auto"/>
        </w:rPr>
      </w:pPr>
      <w:r>
        <w:rPr>
          <w:rFonts w:ascii="Arial" w:cs="Arial" w:eastAsia="Arial" w:hAnsi="Arial"/>
          <w:sz w:val="19"/>
          <w:szCs w:val="19"/>
          <w:color w:val="auto"/>
        </w:rPr>
        <w:t>The following tables set forth the fair value of the Company’s financial assets that were measured at fair value on a recurring basis by level within the fair value hierarchy (in thousands):</w:t>
      </w:r>
    </w:p>
    <w:p>
      <w:pPr>
        <w:spacing w:after="0" w:line="187"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3680" w:type="dxa"/>
            <w:vAlign w:val="bottom"/>
            <w:tcBorders>
              <w:bottom w:val="single" w:sz="8" w:color="FDFDFD"/>
            </w:tcBorders>
            <w:shd w:val="clear" w:color="auto" w:fill="FDFDFD"/>
          </w:tcPr>
          <w:p>
            <w:pPr>
              <w:spacing w:after="0"/>
              <w:rPr>
                <w:sz w:val="16"/>
                <w:szCs w:val="16"/>
                <w:color w:val="auto"/>
              </w:rPr>
            </w:pPr>
          </w:p>
        </w:tc>
        <w:tc>
          <w:tcPr>
            <w:tcW w:w="88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00" w:type="dxa"/>
            <w:vAlign w:val="bottom"/>
            <w:tcBorders>
              <w:bottom w:val="single" w:sz="8" w:color="auto"/>
            </w:tcBorders>
            <w:shd w:val="clear" w:color="auto" w:fill="FDFDFD"/>
          </w:tcPr>
          <w:p>
            <w:pPr>
              <w:spacing w:after="0"/>
              <w:rPr>
                <w:sz w:val="16"/>
                <w:szCs w:val="16"/>
                <w:color w:val="auto"/>
              </w:rPr>
            </w:pPr>
          </w:p>
        </w:tc>
        <w:tc>
          <w:tcPr>
            <w:tcW w:w="180" w:type="dxa"/>
            <w:vAlign w:val="bottom"/>
            <w:tcBorders>
              <w:bottom w:val="single" w:sz="8" w:color="auto"/>
            </w:tcBorders>
            <w:shd w:val="clear" w:color="auto" w:fill="FDFDFD"/>
          </w:tcPr>
          <w:p>
            <w:pPr>
              <w:spacing w:after="0"/>
              <w:rPr>
                <w:sz w:val="16"/>
                <w:szCs w:val="16"/>
                <w:color w:val="auto"/>
              </w:rPr>
            </w:pPr>
          </w:p>
        </w:tc>
        <w:tc>
          <w:tcPr>
            <w:tcW w:w="120" w:type="dxa"/>
            <w:vAlign w:val="bottom"/>
            <w:tcBorders>
              <w:bottom w:val="single" w:sz="8" w:color="auto"/>
            </w:tcBorders>
            <w:shd w:val="clear" w:color="auto" w:fill="FDFDFD"/>
          </w:tcPr>
          <w:p>
            <w:pPr>
              <w:spacing w:after="0"/>
              <w:rPr>
                <w:sz w:val="16"/>
                <w:szCs w:val="16"/>
                <w:color w:val="auto"/>
              </w:rPr>
            </w:pPr>
          </w:p>
        </w:tc>
        <w:tc>
          <w:tcPr>
            <w:tcW w:w="1680" w:type="dxa"/>
            <w:vAlign w:val="bottom"/>
            <w:tcBorders>
              <w:bottom w:val="single" w:sz="8" w:color="auto"/>
            </w:tcBorders>
            <w:gridSpan w:val="4"/>
            <w:shd w:val="clear" w:color="auto" w:fill="FDFDFD"/>
          </w:tcPr>
          <w:p>
            <w:pPr>
              <w:ind w:left="280"/>
              <w:spacing w:after="0"/>
              <w:rPr>
                <w:sz w:val="20"/>
                <w:szCs w:val="20"/>
                <w:color w:val="auto"/>
              </w:rPr>
            </w:pPr>
            <w:r>
              <w:rPr>
                <w:rFonts w:ascii="Arial" w:cs="Arial" w:eastAsia="Arial" w:hAnsi="Arial"/>
                <w:sz w:val="15"/>
                <w:szCs w:val="15"/>
                <w:b w:val="1"/>
                <w:bCs w:val="1"/>
                <w:color w:val="auto"/>
              </w:rPr>
              <w:t>December 31, 2024</w:t>
            </w:r>
          </w:p>
        </w:tc>
        <w:tc>
          <w:tcPr>
            <w:tcW w:w="220" w:type="dxa"/>
            <w:vAlign w:val="bottom"/>
            <w:tcBorders>
              <w:bottom w:val="single" w:sz="8" w:color="auto"/>
            </w:tcBorders>
            <w:shd w:val="clear" w:color="auto" w:fill="FDFDFD"/>
          </w:tcPr>
          <w:p>
            <w:pPr>
              <w:spacing w:after="0"/>
              <w:rPr>
                <w:sz w:val="16"/>
                <w:szCs w:val="16"/>
                <w:color w:val="auto"/>
              </w:rPr>
            </w:pPr>
          </w:p>
        </w:tc>
        <w:tc>
          <w:tcPr>
            <w:tcW w:w="180" w:type="dxa"/>
            <w:vAlign w:val="bottom"/>
            <w:tcBorders>
              <w:bottom w:val="single" w:sz="8" w:color="auto"/>
            </w:tcBorders>
            <w:shd w:val="clear" w:color="auto" w:fill="FDFDFD"/>
          </w:tcPr>
          <w:p>
            <w:pPr>
              <w:spacing w:after="0"/>
              <w:rPr>
                <w:sz w:val="16"/>
                <w:szCs w:val="16"/>
                <w:color w:val="auto"/>
              </w:rPr>
            </w:pPr>
          </w:p>
        </w:tc>
        <w:tc>
          <w:tcPr>
            <w:tcW w:w="120" w:type="dxa"/>
            <w:vAlign w:val="bottom"/>
            <w:tcBorders>
              <w:bottom w:val="single" w:sz="8" w:color="auto"/>
            </w:tcBorders>
            <w:shd w:val="clear" w:color="auto" w:fill="FDFDFD"/>
          </w:tcPr>
          <w:p>
            <w:pPr>
              <w:spacing w:after="0"/>
              <w:rPr>
                <w:sz w:val="16"/>
                <w:szCs w:val="16"/>
                <w:color w:val="auto"/>
              </w:rPr>
            </w:pPr>
          </w:p>
        </w:tc>
        <w:tc>
          <w:tcPr>
            <w:tcW w:w="80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r>
      <w:tr>
        <w:trPr>
          <w:trHeight w:val="175"/>
        </w:trPr>
        <w:tc>
          <w:tcPr>
            <w:tcW w:w="3680" w:type="dxa"/>
            <w:vAlign w:val="bottom"/>
            <w:tcBorders>
              <w:bottom w:val="single" w:sz="8" w:color="D3ECED"/>
            </w:tcBorders>
            <w:shd w:val="clear" w:color="auto" w:fill="FDFDFD"/>
          </w:tcPr>
          <w:p>
            <w:pPr>
              <w:spacing w:after="0"/>
              <w:rPr>
                <w:sz w:val="15"/>
                <w:szCs w:val="15"/>
                <w:color w:val="auto"/>
              </w:rPr>
            </w:pPr>
          </w:p>
        </w:tc>
        <w:tc>
          <w:tcPr>
            <w:tcW w:w="880" w:type="dxa"/>
            <w:vAlign w:val="bottom"/>
            <w:tcBorders>
              <w:bottom w:val="single" w:sz="8" w:color="D3ECED"/>
            </w:tcBorders>
            <w:shd w:val="clear" w:color="auto" w:fill="FDFDFD"/>
          </w:tcPr>
          <w:p>
            <w:pPr>
              <w:spacing w:after="0"/>
              <w:rPr>
                <w:sz w:val="15"/>
                <w:szCs w:val="15"/>
                <w:color w:val="auto"/>
              </w:rPr>
            </w:pPr>
          </w:p>
        </w:tc>
        <w:tc>
          <w:tcPr>
            <w:tcW w:w="100" w:type="dxa"/>
            <w:vAlign w:val="bottom"/>
            <w:tcBorders>
              <w:bottom w:val="single" w:sz="8" w:color="auto"/>
            </w:tcBorders>
            <w:shd w:val="clear" w:color="auto" w:fill="FDFDFD"/>
          </w:tcPr>
          <w:p>
            <w:pPr>
              <w:spacing w:after="0"/>
              <w:rPr>
                <w:sz w:val="15"/>
                <w:szCs w:val="15"/>
                <w:color w:val="auto"/>
              </w:rPr>
            </w:pPr>
          </w:p>
        </w:tc>
        <w:tc>
          <w:tcPr>
            <w:tcW w:w="800" w:type="dxa"/>
            <w:vAlign w:val="bottom"/>
            <w:tcBorders>
              <w:bottom w:val="single" w:sz="8" w:color="auto"/>
            </w:tcBorders>
            <w:shd w:val="clear" w:color="auto" w:fill="FDFDFD"/>
          </w:tcPr>
          <w:p>
            <w:pPr>
              <w:jc w:val="right"/>
              <w:ind w:right="127"/>
              <w:spacing w:after="0"/>
              <w:rPr>
                <w:sz w:val="20"/>
                <w:szCs w:val="20"/>
                <w:color w:val="auto"/>
              </w:rPr>
            </w:pPr>
            <w:r>
              <w:rPr>
                <w:rFonts w:ascii="Arial" w:cs="Arial" w:eastAsia="Arial" w:hAnsi="Arial"/>
                <w:sz w:val="15"/>
                <w:szCs w:val="15"/>
                <w:b w:val="1"/>
                <w:bCs w:val="1"/>
                <w:color w:val="auto"/>
              </w:rPr>
              <w:t>Level 1</w:t>
            </w:r>
          </w:p>
        </w:tc>
        <w:tc>
          <w:tcPr>
            <w:tcW w:w="180" w:type="dxa"/>
            <w:vAlign w:val="bottom"/>
            <w:tcBorders>
              <w:bottom w:val="single" w:sz="8" w:color="D3ECED"/>
            </w:tcBorders>
            <w:shd w:val="clear" w:color="auto" w:fill="FDFDFD"/>
          </w:tcPr>
          <w:p>
            <w:pPr>
              <w:spacing w:after="0"/>
              <w:rPr>
                <w:sz w:val="15"/>
                <w:szCs w:val="15"/>
                <w:color w:val="auto"/>
              </w:rPr>
            </w:pPr>
          </w:p>
        </w:tc>
        <w:tc>
          <w:tcPr>
            <w:tcW w:w="120" w:type="dxa"/>
            <w:vAlign w:val="bottom"/>
            <w:tcBorders>
              <w:bottom w:val="single" w:sz="8" w:color="auto"/>
            </w:tcBorders>
            <w:shd w:val="clear" w:color="auto" w:fill="FDFDFD"/>
          </w:tcPr>
          <w:p>
            <w:pPr>
              <w:spacing w:after="0"/>
              <w:rPr>
                <w:sz w:val="15"/>
                <w:szCs w:val="15"/>
                <w:color w:val="auto"/>
              </w:rPr>
            </w:pPr>
          </w:p>
        </w:tc>
        <w:tc>
          <w:tcPr>
            <w:tcW w:w="800" w:type="dxa"/>
            <w:vAlign w:val="bottom"/>
            <w:tcBorders>
              <w:bottom w:val="single" w:sz="8" w:color="auto"/>
            </w:tcBorders>
            <w:shd w:val="clear" w:color="auto" w:fill="FDFDFD"/>
          </w:tcPr>
          <w:p>
            <w:pPr>
              <w:jc w:val="right"/>
              <w:ind w:right="129"/>
              <w:spacing w:after="0"/>
              <w:rPr>
                <w:sz w:val="20"/>
                <w:szCs w:val="20"/>
                <w:color w:val="auto"/>
              </w:rPr>
            </w:pPr>
            <w:r>
              <w:rPr>
                <w:rFonts w:ascii="Arial" w:cs="Arial" w:eastAsia="Arial" w:hAnsi="Arial"/>
                <w:sz w:val="15"/>
                <w:szCs w:val="15"/>
                <w:b w:val="1"/>
                <w:bCs w:val="1"/>
                <w:color w:val="auto"/>
              </w:rPr>
              <w:t>Level 2</w:t>
            </w:r>
          </w:p>
        </w:tc>
        <w:tc>
          <w:tcPr>
            <w:tcW w:w="180" w:type="dxa"/>
            <w:vAlign w:val="bottom"/>
            <w:tcBorders>
              <w:bottom w:val="single" w:sz="8" w:color="D3ECED"/>
            </w:tcBorders>
            <w:shd w:val="clear" w:color="auto" w:fill="FDFDFD"/>
          </w:tcPr>
          <w:p>
            <w:pPr>
              <w:spacing w:after="0"/>
              <w:rPr>
                <w:sz w:val="15"/>
                <w:szCs w:val="15"/>
                <w:color w:val="auto"/>
              </w:rPr>
            </w:pPr>
          </w:p>
        </w:tc>
        <w:tc>
          <w:tcPr>
            <w:tcW w:w="120" w:type="dxa"/>
            <w:vAlign w:val="bottom"/>
            <w:tcBorders>
              <w:bottom w:val="single" w:sz="8" w:color="auto"/>
            </w:tcBorders>
            <w:shd w:val="clear" w:color="auto" w:fill="FDFDFD"/>
          </w:tcPr>
          <w:p>
            <w:pPr>
              <w:spacing w:after="0"/>
              <w:rPr>
                <w:sz w:val="15"/>
                <w:szCs w:val="15"/>
                <w:color w:val="auto"/>
              </w:rPr>
            </w:pPr>
          </w:p>
        </w:tc>
        <w:tc>
          <w:tcPr>
            <w:tcW w:w="580" w:type="dxa"/>
            <w:vAlign w:val="bottom"/>
            <w:tcBorders>
              <w:bottom w:val="single" w:sz="8" w:color="auto"/>
            </w:tcBorders>
            <w:shd w:val="clear" w:color="auto" w:fill="FDFDFD"/>
          </w:tcPr>
          <w:p>
            <w:pPr>
              <w:ind w:left="100"/>
              <w:spacing w:after="0"/>
              <w:rPr>
                <w:sz w:val="20"/>
                <w:szCs w:val="20"/>
                <w:color w:val="auto"/>
              </w:rPr>
            </w:pPr>
            <w:r>
              <w:rPr>
                <w:rFonts w:ascii="Arial" w:cs="Arial" w:eastAsia="Arial" w:hAnsi="Arial"/>
                <w:sz w:val="15"/>
                <w:szCs w:val="15"/>
                <w:b w:val="1"/>
                <w:bCs w:val="1"/>
                <w:color w:val="auto"/>
                <w:w w:val="90"/>
              </w:rPr>
              <w:t>Level 3</w:t>
            </w:r>
          </w:p>
        </w:tc>
        <w:tc>
          <w:tcPr>
            <w:tcW w:w="220" w:type="dxa"/>
            <w:vAlign w:val="bottom"/>
            <w:tcBorders>
              <w:bottom w:val="single" w:sz="8" w:color="auto"/>
            </w:tcBorders>
            <w:shd w:val="clear" w:color="auto" w:fill="FDFDFD"/>
          </w:tcPr>
          <w:p>
            <w:pPr>
              <w:spacing w:after="0"/>
              <w:rPr>
                <w:sz w:val="15"/>
                <w:szCs w:val="15"/>
                <w:color w:val="auto"/>
              </w:rPr>
            </w:pPr>
          </w:p>
        </w:tc>
        <w:tc>
          <w:tcPr>
            <w:tcW w:w="180" w:type="dxa"/>
            <w:vAlign w:val="bottom"/>
            <w:tcBorders>
              <w:bottom w:val="single" w:sz="8" w:color="D3ECED"/>
            </w:tcBorders>
            <w:shd w:val="clear" w:color="auto" w:fill="FDFDFD"/>
          </w:tcPr>
          <w:p>
            <w:pPr>
              <w:spacing w:after="0"/>
              <w:rPr>
                <w:sz w:val="15"/>
                <w:szCs w:val="15"/>
                <w:color w:val="auto"/>
              </w:rPr>
            </w:pPr>
          </w:p>
        </w:tc>
        <w:tc>
          <w:tcPr>
            <w:tcW w:w="120" w:type="dxa"/>
            <w:vAlign w:val="bottom"/>
            <w:tcBorders>
              <w:bottom w:val="single" w:sz="8" w:color="auto"/>
            </w:tcBorders>
            <w:shd w:val="clear" w:color="auto" w:fill="FDFDFD"/>
          </w:tcPr>
          <w:p>
            <w:pPr>
              <w:spacing w:after="0"/>
              <w:rPr>
                <w:sz w:val="15"/>
                <w:szCs w:val="15"/>
                <w:color w:val="auto"/>
              </w:rPr>
            </w:pPr>
          </w:p>
        </w:tc>
        <w:tc>
          <w:tcPr>
            <w:tcW w:w="800" w:type="dxa"/>
            <w:vAlign w:val="bottom"/>
            <w:tcBorders>
              <w:bottom w:val="single" w:sz="8" w:color="auto"/>
            </w:tcBorders>
            <w:shd w:val="clear" w:color="auto" w:fill="FDFDFD"/>
          </w:tcPr>
          <w:p>
            <w:pPr>
              <w:jc w:val="right"/>
              <w:ind w:right="207"/>
              <w:spacing w:after="0"/>
              <w:rPr>
                <w:sz w:val="20"/>
                <w:szCs w:val="20"/>
                <w:color w:val="auto"/>
              </w:rPr>
            </w:pPr>
            <w:r>
              <w:rPr>
                <w:rFonts w:ascii="Arial" w:cs="Arial" w:eastAsia="Arial" w:hAnsi="Arial"/>
                <w:sz w:val="15"/>
                <w:szCs w:val="15"/>
                <w:b w:val="1"/>
                <w:bCs w:val="1"/>
                <w:color w:val="auto"/>
              </w:rPr>
              <w:t>Total</w:t>
            </w:r>
          </w:p>
        </w:tc>
        <w:tc>
          <w:tcPr>
            <w:tcW w:w="80" w:type="dxa"/>
            <w:vAlign w:val="bottom"/>
            <w:tcBorders>
              <w:bottom w:val="single" w:sz="8" w:color="D3ECED"/>
            </w:tcBorders>
            <w:shd w:val="clear" w:color="auto" w:fill="FDFDFD"/>
          </w:tcPr>
          <w:p>
            <w:pPr>
              <w:spacing w:after="0"/>
              <w:rPr>
                <w:sz w:val="15"/>
                <w:szCs w:val="15"/>
                <w:color w:val="auto"/>
              </w:rPr>
            </w:pPr>
          </w:p>
        </w:tc>
      </w:tr>
      <w:tr>
        <w:trPr>
          <w:trHeight w:val="220"/>
        </w:trPr>
        <w:tc>
          <w:tcPr>
            <w:tcW w:w="3680" w:type="dxa"/>
            <w:vAlign w:val="bottom"/>
            <w:shd w:val="clear" w:color="auto" w:fill="D3ECED"/>
          </w:tcPr>
          <w:p>
            <w:pPr>
              <w:spacing w:after="0"/>
              <w:rPr>
                <w:sz w:val="20"/>
                <w:szCs w:val="20"/>
                <w:color w:val="auto"/>
              </w:rPr>
            </w:pPr>
            <w:r>
              <w:rPr>
                <w:rFonts w:ascii="Arial" w:cs="Arial" w:eastAsia="Arial" w:hAnsi="Arial"/>
                <w:sz w:val="19"/>
                <w:szCs w:val="19"/>
                <w:color w:val="auto"/>
              </w:rPr>
              <w:t>Assets:</w:t>
            </w:r>
          </w:p>
        </w:tc>
        <w:tc>
          <w:tcPr>
            <w:tcW w:w="8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00" w:type="dxa"/>
            <w:vAlign w:val="bottom"/>
            <w:shd w:val="clear" w:color="auto" w:fill="D3ECED"/>
          </w:tcPr>
          <w:p>
            <w:pPr>
              <w:spacing w:after="0"/>
              <w:rPr>
                <w:sz w:val="19"/>
                <w:szCs w:val="19"/>
                <w:color w:val="auto"/>
              </w:rPr>
            </w:pP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800" w:type="dxa"/>
            <w:vAlign w:val="bottom"/>
            <w:shd w:val="clear" w:color="auto" w:fill="D3ECED"/>
          </w:tcPr>
          <w:p>
            <w:pPr>
              <w:spacing w:after="0"/>
              <w:rPr>
                <w:sz w:val="19"/>
                <w:szCs w:val="19"/>
                <w:color w:val="auto"/>
              </w:rPr>
            </w:pP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580" w:type="dxa"/>
            <w:vAlign w:val="bottom"/>
            <w:shd w:val="clear" w:color="auto" w:fill="D3ECED"/>
          </w:tcPr>
          <w:p>
            <w:pPr>
              <w:spacing w:after="0"/>
              <w:rPr>
                <w:sz w:val="19"/>
                <w:szCs w:val="19"/>
                <w:color w:val="auto"/>
              </w:rPr>
            </w:pPr>
          </w:p>
        </w:tc>
        <w:tc>
          <w:tcPr>
            <w:tcW w:w="220" w:type="dxa"/>
            <w:vAlign w:val="bottom"/>
            <w:shd w:val="clear" w:color="auto" w:fill="D3ECED"/>
          </w:tcPr>
          <w:p>
            <w:pPr>
              <w:spacing w:after="0"/>
              <w:rPr>
                <w:sz w:val="19"/>
                <w:szCs w:val="19"/>
                <w:color w:val="auto"/>
              </w:rPr>
            </w:pP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80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r>
      <w:tr>
        <w:trPr>
          <w:trHeight w:val="230"/>
        </w:trPr>
        <w:tc>
          <w:tcPr>
            <w:tcW w:w="3680" w:type="dxa"/>
            <w:vAlign w:val="bottom"/>
            <w:shd w:val="clear" w:color="auto" w:fill="FDFDFD"/>
          </w:tcPr>
          <w:p>
            <w:pPr>
              <w:spacing w:after="0"/>
              <w:rPr>
                <w:sz w:val="20"/>
                <w:szCs w:val="20"/>
                <w:color w:val="auto"/>
              </w:rPr>
            </w:pPr>
            <w:r>
              <w:rPr>
                <w:rFonts w:ascii="Arial" w:cs="Arial" w:eastAsia="Arial" w:hAnsi="Arial"/>
                <w:sz w:val="19"/>
                <w:szCs w:val="19"/>
                <w:color w:val="auto"/>
              </w:rPr>
              <w:t>Cash equivalents:</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580" w:type="dxa"/>
            <w:vAlign w:val="bottom"/>
            <w:shd w:val="clear" w:color="auto" w:fill="FDFDFD"/>
          </w:tcPr>
          <w:p>
            <w:pPr>
              <w:spacing w:after="0"/>
              <w:rPr>
                <w:sz w:val="20"/>
                <w:szCs w:val="20"/>
                <w:color w:val="auto"/>
              </w:rPr>
            </w:pPr>
          </w:p>
        </w:tc>
        <w:tc>
          <w:tcPr>
            <w:tcW w:w="22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r>
      <w:tr>
        <w:trPr>
          <w:trHeight w:val="230"/>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Money market funds</w:t>
            </w:r>
          </w:p>
        </w:tc>
        <w:tc>
          <w:tcPr>
            <w:tcW w:w="98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36,097</w:t>
            </w:r>
          </w:p>
        </w:tc>
        <w:tc>
          <w:tcPr>
            <w:tcW w:w="30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30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D3ECED"/>
          </w:tcPr>
          <w:p>
            <w:pPr>
              <w:spacing w:after="0"/>
              <w:rPr>
                <w:sz w:val="20"/>
                <w:szCs w:val="20"/>
                <w:color w:val="auto"/>
              </w:rPr>
            </w:pPr>
          </w:p>
        </w:tc>
        <w:tc>
          <w:tcPr>
            <w:tcW w:w="220" w:type="dxa"/>
            <w:vAlign w:val="bottom"/>
            <w:shd w:val="clear" w:color="auto" w:fill="D3ECED"/>
          </w:tcPr>
          <w:p>
            <w:pPr>
              <w:ind w:left="20"/>
              <w:spacing w:after="0"/>
              <w:rPr>
                <w:sz w:val="20"/>
                <w:szCs w:val="20"/>
                <w:color w:val="auto"/>
              </w:rPr>
            </w:pPr>
            <w:r>
              <w:rPr>
                <w:rFonts w:ascii="Arial" w:cs="Arial" w:eastAsia="Arial" w:hAnsi="Arial"/>
                <w:sz w:val="19"/>
                <w:szCs w:val="19"/>
                <w:color w:val="auto"/>
                <w:w w:val="94"/>
              </w:rPr>
              <w:t>—</w:t>
            </w:r>
          </w:p>
        </w:tc>
        <w:tc>
          <w:tcPr>
            <w:tcW w:w="30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36,097</w:t>
            </w:r>
          </w:p>
        </w:tc>
        <w:tc>
          <w:tcPr>
            <w:tcW w:w="80" w:type="dxa"/>
            <w:vAlign w:val="bottom"/>
            <w:shd w:val="clear" w:color="auto" w:fill="D3ECED"/>
          </w:tcPr>
          <w:p>
            <w:pPr>
              <w:spacing w:after="0"/>
              <w:rPr>
                <w:sz w:val="20"/>
                <w:szCs w:val="20"/>
                <w:color w:val="auto"/>
              </w:rPr>
            </w:pPr>
          </w:p>
        </w:tc>
      </w:tr>
      <w:tr>
        <w:trPr>
          <w:trHeight w:val="230"/>
        </w:trPr>
        <w:tc>
          <w:tcPr>
            <w:tcW w:w="3680" w:type="dxa"/>
            <w:vAlign w:val="bottom"/>
            <w:tcBorders>
              <w:bottom w:val="single" w:sz="8" w:color="D3ECED"/>
            </w:tcBorders>
            <w:shd w:val="clear" w:color="auto" w:fill="FDFDFD"/>
          </w:tcPr>
          <w:p>
            <w:pPr>
              <w:ind w:left="180"/>
              <w:spacing w:after="0"/>
              <w:rPr>
                <w:sz w:val="20"/>
                <w:szCs w:val="20"/>
                <w:color w:val="auto"/>
              </w:rPr>
            </w:pPr>
            <w:r>
              <w:rPr>
                <w:rFonts w:ascii="Arial" w:cs="Arial" w:eastAsia="Arial" w:hAnsi="Arial"/>
                <w:sz w:val="19"/>
                <w:szCs w:val="19"/>
                <w:color w:val="auto"/>
              </w:rPr>
              <w:t>Commercial paper</w:t>
            </w:r>
          </w:p>
        </w:tc>
        <w:tc>
          <w:tcPr>
            <w:tcW w:w="880" w:type="dxa"/>
            <w:vAlign w:val="bottom"/>
            <w:tcBorders>
              <w:bottom w:val="single" w:sz="8" w:color="D3ECED"/>
            </w:tcBorders>
            <w:shd w:val="clear" w:color="auto" w:fill="FDFDFD"/>
          </w:tcPr>
          <w:p>
            <w:pPr>
              <w:spacing w:after="0"/>
              <w:rPr>
                <w:sz w:val="20"/>
                <w:szCs w:val="20"/>
                <w:color w:val="auto"/>
              </w:rPr>
            </w:pPr>
          </w:p>
        </w:tc>
        <w:tc>
          <w:tcPr>
            <w:tcW w:w="100" w:type="dxa"/>
            <w:vAlign w:val="bottom"/>
            <w:tcBorders>
              <w:bottom w:val="single" w:sz="8" w:color="auto"/>
            </w:tcBorders>
            <w:shd w:val="clear" w:color="auto" w:fill="FDFDFD"/>
          </w:tcPr>
          <w:p>
            <w:pPr>
              <w:spacing w:after="0"/>
              <w:rPr>
                <w:sz w:val="20"/>
                <w:szCs w:val="20"/>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D3ECED"/>
            </w:tcBorders>
            <w:shd w:val="clear" w:color="auto" w:fill="FDFDFD"/>
          </w:tcPr>
          <w:p>
            <w:pPr>
              <w:spacing w:after="0"/>
              <w:rPr>
                <w:sz w:val="20"/>
                <w:szCs w:val="20"/>
                <w:color w:val="auto"/>
              </w:rPr>
            </w:pPr>
          </w:p>
        </w:tc>
        <w:tc>
          <w:tcPr>
            <w:tcW w:w="120" w:type="dxa"/>
            <w:vAlign w:val="bottom"/>
            <w:tcBorders>
              <w:bottom w:val="single" w:sz="8" w:color="auto"/>
            </w:tcBorders>
            <w:shd w:val="clear" w:color="auto" w:fill="FDFDFD"/>
          </w:tcPr>
          <w:p>
            <w:pPr>
              <w:spacing w:after="0"/>
              <w:rPr>
                <w:sz w:val="20"/>
                <w:szCs w:val="20"/>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4,191</w:t>
            </w:r>
          </w:p>
        </w:tc>
        <w:tc>
          <w:tcPr>
            <w:tcW w:w="180" w:type="dxa"/>
            <w:vAlign w:val="bottom"/>
            <w:tcBorders>
              <w:bottom w:val="single" w:sz="8" w:color="D3ECED"/>
            </w:tcBorders>
            <w:shd w:val="clear" w:color="auto" w:fill="FDFDFD"/>
          </w:tcPr>
          <w:p>
            <w:pPr>
              <w:spacing w:after="0"/>
              <w:rPr>
                <w:sz w:val="20"/>
                <w:szCs w:val="20"/>
                <w:color w:val="auto"/>
              </w:rPr>
            </w:pPr>
          </w:p>
        </w:tc>
        <w:tc>
          <w:tcPr>
            <w:tcW w:w="120" w:type="dxa"/>
            <w:vAlign w:val="bottom"/>
            <w:tcBorders>
              <w:bottom w:val="single" w:sz="8" w:color="auto"/>
            </w:tcBorders>
            <w:shd w:val="clear" w:color="auto" w:fill="FDFDFD"/>
          </w:tcPr>
          <w:p>
            <w:pPr>
              <w:spacing w:after="0"/>
              <w:rPr>
                <w:sz w:val="20"/>
                <w:szCs w:val="20"/>
                <w:color w:val="auto"/>
              </w:rPr>
            </w:pPr>
          </w:p>
        </w:tc>
        <w:tc>
          <w:tcPr>
            <w:tcW w:w="580" w:type="dxa"/>
            <w:vAlign w:val="bottom"/>
            <w:tcBorders>
              <w:bottom w:val="single" w:sz="8" w:color="auto"/>
            </w:tcBorders>
            <w:shd w:val="clear" w:color="auto" w:fill="FDFDFD"/>
          </w:tcPr>
          <w:p>
            <w:pPr>
              <w:spacing w:after="0"/>
              <w:rPr>
                <w:sz w:val="20"/>
                <w:szCs w:val="20"/>
                <w:color w:val="auto"/>
              </w:rPr>
            </w:pPr>
          </w:p>
        </w:tc>
        <w:tc>
          <w:tcPr>
            <w:tcW w:w="220" w:type="dxa"/>
            <w:vAlign w:val="bottom"/>
            <w:tcBorders>
              <w:bottom w:val="single" w:sz="8" w:color="auto"/>
            </w:tcBorders>
            <w:shd w:val="clear" w:color="auto" w:fill="FDFDF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tcBorders>
              <w:bottom w:val="single" w:sz="8" w:color="D3ECED"/>
            </w:tcBorders>
            <w:shd w:val="clear" w:color="auto" w:fill="FDFDFD"/>
          </w:tcPr>
          <w:p>
            <w:pPr>
              <w:spacing w:after="0"/>
              <w:rPr>
                <w:sz w:val="20"/>
                <w:szCs w:val="20"/>
                <w:color w:val="auto"/>
              </w:rPr>
            </w:pPr>
          </w:p>
        </w:tc>
        <w:tc>
          <w:tcPr>
            <w:tcW w:w="120" w:type="dxa"/>
            <w:vAlign w:val="bottom"/>
            <w:tcBorders>
              <w:bottom w:val="single" w:sz="8" w:color="auto"/>
            </w:tcBorders>
            <w:shd w:val="clear" w:color="auto" w:fill="FDFDFD"/>
          </w:tcPr>
          <w:p>
            <w:pPr>
              <w:spacing w:after="0"/>
              <w:rPr>
                <w:sz w:val="20"/>
                <w:szCs w:val="20"/>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4,191</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20"/>
        </w:trPr>
        <w:tc>
          <w:tcPr>
            <w:tcW w:w="3680" w:type="dxa"/>
            <w:vAlign w:val="bottom"/>
            <w:shd w:val="clear" w:color="auto" w:fill="D3ECED"/>
          </w:tcPr>
          <w:p>
            <w:pPr>
              <w:ind w:left="280"/>
              <w:spacing w:after="0"/>
              <w:rPr>
                <w:sz w:val="20"/>
                <w:szCs w:val="20"/>
                <w:color w:val="auto"/>
              </w:rPr>
            </w:pPr>
            <w:r>
              <w:rPr>
                <w:rFonts w:ascii="Arial" w:cs="Arial" w:eastAsia="Arial" w:hAnsi="Arial"/>
                <w:sz w:val="19"/>
                <w:szCs w:val="19"/>
                <w:color w:val="auto"/>
              </w:rPr>
              <w:t>Total cash equivalents</w:t>
            </w:r>
          </w:p>
        </w:tc>
        <w:tc>
          <w:tcPr>
            <w:tcW w:w="8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36,097</w:t>
            </w: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4,191</w:t>
            </w: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580" w:type="dxa"/>
            <w:vAlign w:val="bottom"/>
            <w:shd w:val="clear" w:color="auto" w:fill="D3ECED"/>
          </w:tcPr>
          <w:p>
            <w:pPr>
              <w:spacing w:after="0"/>
              <w:rPr>
                <w:sz w:val="19"/>
                <w:szCs w:val="19"/>
                <w:color w:val="auto"/>
              </w:rPr>
            </w:pPr>
          </w:p>
        </w:tc>
        <w:tc>
          <w:tcPr>
            <w:tcW w:w="220" w:type="dxa"/>
            <w:vAlign w:val="bottom"/>
            <w:shd w:val="clear" w:color="auto" w:fill="D3ECE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40,288</w:t>
            </w:r>
          </w:p>
        </w:tc>
        <w:tc>
          <w:tcPr>
            <w:tcW w:w="80" w:type="dxa"/>
            <w:vAlign w:val="bottom"/>
            <w:shd w:val="clear" w:color="auto" w:fill="D3ECED"/>
          </w:tcPr>
          <w:p>
            <w:pPr>
              <w:spacing w:after="0"/>
              <w:rPr>
                <w:sz w:val="19"/>
                <w:szCs w:val="19"/>
                <w:color w:val="auto"/>
              </w:rPr>
            </w:pPr>
          </w:p>
        </w:tc>
      </w:tr>
      <w:tr>
        <w:trPr>
          <w:trHeight w:val="230"/>
        </w:trPr>
        <w:tc>
          <w:tcPr>
            <w:tcW w:w="3680" w:type="dxa"/>
            <w:vAlign w:val="bottom"/>
            <w:shd w:val="clear" w:color="auto" w:fill="FDFDFD"/>
          </w:tcPr>
          <w:p>
            <w:pPr>
              <w:spacing w:after="0"/>
              <w:rPr>
                <w:sz w:val="20"/>
                <w:szCs w:val="20"/>
                <w:color w:val="auto"/>
              </w:rPr>
            </w:pPr>
            <w:r>
              <w:rPr>
                <w:rFonts w:ascii="Arial" w:cs="Arial" w:eastAsia="Arial" w:hAnsi="Arial"/>
                <w:sz w:val="19"/>
                <w:szCs w:val="19"/>
                <w:color w:val="auto"/>
              </w:rPr>
              <w:t>Investments:</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580" w:type="dxa"/>
            <w:vAlign w:val="bottom"/>
            <w:shd w:val="clear" w:color="auto" w:fill="FDFDFD"/>
          </w:tcPr>
          <w:p>
            <w:pPr>
              <w:spacing w:after="0"/>
              <w:rPr>
                <w:sz w:val="20"/>
                <w:szCs w:val="20"/>
                <w:color w:val="auto"/>
              </w:rPr>
            </w:pPr>
          </w:p>
        </w:tc>
        <w:tc>
          <w:tcPr>
            <w:tcW w:w="22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r>
      <w:tr>
        <w:trPr>
          <w:trHeight w:val="230"/>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U.S. Treasury securities</w:t>
            </w:r>
          </w:p>
        </w:tc>
        <w:tc>
          <w:tcPr>
            <w:tcW w:w="8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150,116</w:t>
            </w:r>
          </w:p>
        </w:tc>
        <w:tc>
          <w:tcPr>
            <w:tcW w:w="18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580" w:type="dxa"/>
            <w:vAlign w:val="bottom"/>
            <w:shd w:val="clear" w:color="auto" w:fill="D3ECED"/>
          </w:tcPr>
          <w:p>
            <w:pPr>
              <w:spacing w:after="0"/>
              <w:rPr>
                <w:sz w:val="20"/>
                <w:szCs w:val="20"/>
                <w:color w:val="auto"/>
              </w:rPr>
            </w:pPr>
          </w:p>
        </w:tc>
        <w:tc>
          <w:tcPr>
            <w:tcW w:w="220" w:type="dxa"/>
            <w:vAlign w:val="bottom"/>
            <w:shd w:val="clear" w:color="auto" w:fill="D3ECE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150,116</w:t>
            </w:r>
          </w:p>
        </w:tc>
        <w:tc>
          <w:tcPr>
            <w:tcW w:w="80" w:type="dxa"/>
            <w:vAlign w:val="bottom"/>
            <w:shd w:val="clear" w:color="auto" w:fill="D3ECED"/>
          </w:tcPr>
          <w:p>
            <w:pPr>
              <w:spacing w:after="0"/>
              <w:rPr>
                <w:sz w:val="20"/>
                <w:szCs w:val="20"/>
                <w:color w:val="auto"/>
              </w:rPr>
            </w:pPr>
          </w:p>
        </w:tc>
      </w:tr>
      <w:tr>
        <w:trPr>
          <w:trHeight w:val="230"/>
        </w:trPr>
        <w:tc>
          <w:tcPr>
            <w:tcW w:w="3680" w:type="dxa"/>
            <w:vAlign w:val="bottom"/>
            <w:shd w:val="clear" w:color="auto" w:fill="FDFDFD"/>
          </w:tcPr>
          <w:p>
            <w:pPr>
              <w:ind w:left="180"/>
              <w:spacing w:after="0"/>
              <w:rPr>
                <w:sz w:val="20"/>
                <w:szCs w:val="20"/>
                <w:color w:val="auto"/>
              </w:rPr>
            </w:pPr>
            <w:r>
              <w:rPr>
                <w:rFonts w:ascii="Arial" w:cs="Arial" w:eastAsia="Arial" w:hAnsi="Arial"/>
                <w:sz w:val="19"/>
                <w:szCs w:val="19"/>
                <w:color w:val="auto"/>
              </w:rPr>
              <w:t>Commercial paper</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12,239</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580" w:type="dxa"/>
            <w:vAlign w:val="bottom"/>
            <w:shd w:val="clear" w:color="auto" w:fill="FDFDFD"/>
          </w:tcPr>
          <w:p>
            <w:pPr>
              <w:spacing w:after="0"/>
              <w:rPr>
                <w:sz w:val="20"/>
                <w:szCs w:val="20"/>
                <w:color w:val="auto"/>
              </w:rPr>
            </w:pPr>
          </w:p>
        </w:tc>
        <w:tc>
          <w:tcPr>
            <w:tcW w:w="220" w:type="dxa"/>
            <w:vAlign w:val="bottom"/>
            <w:shd w:val="clear" w:color="auto" w:fill="FDFDF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12,239</w:t>
            </w:r>
          </w:p>
        </w:tc>
        <w:tc>
          <w:tcPr>
            <w:tcW w:w="80" w:type="dxa"/>
            <w:vAlign w:val="bottom"/>
            <w:shd w:val="clear" w:color="auto" w:fill="FDFDFD"/>
          </w:tcPr>
          <w:p>
            <w:pPr>
              <w:spacing w:after="0"/>
              <w:rPr>
                <w:sz w:val="20"/>
                <w:szCs w:val="20"/>
                <w:color w:val="auto"/>
              </w:rPr>
            </w:pPr>
          </w:p>
        </w:tc>
      </w:tr>
      <w:tr>
        <w:trPr>
          <w:trHeight w:val="230"/>
        </w:trPr>
        <w:tc>
          <w:tcPr>
            <w:tcW w:w="3680" w:type="dxa"/>
            <w:vAlign w:val="bottom"/>
            <w:tcBorders>
              <w:bottom w:val="single" w:sz="8" w:color="FDFDFD"/>
            </w:tcBorders>
            <w:shd w:val="clear" w:color="auto" w:fill="D3ECED"/>
          </w:tcPr>
          <w:p>
            <w:pPr>
              <w:ind w:left="180"/>
              <w:spacing w:after="0"/>
              <w:rPr>
                <w:sz w:val="20"/>
                <w:szCs w:val="20"/>
                <w:color w:val="auto"/>
              </w:rPr>
            </w:pPr>
            <w:r>
              <w:rPr>
                <w:rFonts w:ascii="Arial" w:cs="Arial" w:eastAsia="Arial" w:hAnsi="Arial"/>
                <w:sz w:val="19"/>
                <w:szCs w:val="19"/>
                <w:color w:val="auto"/>
              </w:rPr>
              <w:t>Corporate debt securities</w:t>
            </w:r>
          </w:p>
        </w:tc>
        <w:tc>
          <w:tcPr>
            <w:tcW w:w="8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80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FDFDFD"/>
            </w:tcBorders>
            <w:shd w:val="clear" w:color="auto" w:fill="D3ECED"/>
          </w:tcPr>
          <w:p>
            <w:pPr>
              <w:spacing w:after="0"/>
              <w:rPr>
                <w:sz w:val="20"/>
                <w:szCs w:val="20"/>
                <w:color w:val="auto"/>
              </w:rPr>
            </w:pPr>
          </w:p>
        </w:tc>
        <w:tc>
          <w:tcPr>
            <w:tcW w:w="120" w:type="dxa"/>
            <w:vAlign w:val="bottom"/>
            <w:tcBorders>
              <w:bottom w:val="single" w:sz="8" w:color="auto"/>
            </w:tcBorders>
            <w:shd w:val="clear" w:color="auto" w:fill="D3ECED"/>
          </w:tcPr>
          <w:p>
            <w:pPr>
              <w:spacing w:after="0"/>
              <w:rPr>
                <w:sz w:val="20"/>
                <w:szCs w:val="20"/>
                <w:color w:val="auto"/>
              </w:rPr>
            </w:pPr>
          </w:p>
        </w:tc>
        <w:tc>
          <w:tcPr>
            <w:tcW w:w="80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96,405</w:t>
            </w:r>
          </w:p>
        </w:tc>
        <w:tc>
          <w:tcPr>
            <w:tcW w:w="180" w:type="dxa"/>
            <w:vAlign w:val="bottom"/>
            <w:tcBorders>
              <w:bottom w:val="single" w:sz="8" w:color="FDFDFD"/>
            </w:tcBorders>
            <w:shd w:val="clear" w:color="auto" w:fill="D3ECED"/>
          </w:tcPr>
          <w:p>
            <w:pPr>
              <w:spacing w:after="0"/>
              <w:rPr>
                <w:sz w:val="20"/>
                <w:szCs w:val="20"/>
                <w:color w:val="auto"/>
              </w:rPr>
            </w:pPr>
          </w:p>
        </w:tc>
        <w:tc>
          <w:tcPr>
            <w:tcW w:w="120" w:type="dxa"/>
            <w:vAlign w:val="bottom"/>
            <w:tcBorders>
              <w:bottom w:val="single" w:sz="8" w:color="auto"/>
            </w:tcBorders>
            <w:shd w:val="clear" w:color="auto" w:fill="D3ECED"/>
          </w:tcPr>
          <w:p>
            <w:pPr>
              <w:spacing w:after="0"/>
              <w:rPr>
                <w:sz w:val="20"/>
                <w:szCs w:val="20"/>
                <w:color w:val="auto"/>
              </w:rPr>
            </w:pPr>
          </w:p>
        </w:tc>
        <w:tc>
          <w:tcPr>
            <w:tcW w:w="580" w:type="dxa"/>
            <w:vAlign w:val="bottom"/>
            <w:tcBorders>
              <w:bottom w:val="single" w:sz="8" w:color="auto"/>
            </w:tcBorders>
            <w:shd w:val="clear" w:color="auto" w:fill="D3ECED"/>
          </w:tcPr>
          <w:p>
            <w:pPr>
              <w:spacing w:after="0"/>
              <w:rPr>
                <w:sz w:val="20"/>
                <w:szCs w:val="20"/>
                <w:color w:val="auto"/>
              </w:rPr>
            </w:pPr>
          </w:p>
        </w:tc>
        <w:tc>
          <w:tcPr>
            <w:tcW w:w="220" w:type="dxa"/>
            <w:vAlign w:val="bottom"/>
            <w:tcBorders>
              <w:bottom w:val="single" w:sz="8" w:color="auto"/>
            </w:tcBorders>
            <w:shd w:val="clear" w:color="auto" w:fill="D3ECE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tcBorders>
              <w:bottom w:val="single" w:sz="8" w:color="FDFDFD"/>
            </w:tcBorders>
            <w:shd w:val="clear" w:color="auto" w:fill="D3ECED"/>
          </w:tcPr>
          <w:p>
            <w:pPr>
              <w:spacing w:after="0"/>
              <w:rPr>
                <w:sz w:val="20"/>
                <w:szCs w:val="20"/>
                <w:color w:val="auto"/>
              </w:rPr>
            </w:pPr>
          </w:p>
        </w:tc>
        <w:tc>
          <w:tcPr>
            <w:tcW w:w="120" w:type="dxa"/>
            <w:vAlign w:val="bottom"/>
            <w:tcBorders>
              <w:bottom w:val="single" w:sz="8" w:color="auto"/>
            </w:tcBorders>
            <w:shd w:val="clear" w:color="auto" w:fill="D3ECED"/>
          </w:tcPr>
          <w:p>
            <w:pPr>
              <w:spacing w:after="0"/>
              <w:rPr>
                <w:sz w:val="20"/>
                <w:szCs w:val="20"/>
                <w:color w:val="auto"/>
              </w:rPr>
            </w:pPr>
          </w:p>
        </w:tc>
        <w:tc>
          <w:tcPr>
            <w:tcW w:w="80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96,405</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0"/>
        </w:trPr>
        <w:tc>
          <w:tcPr>
            <w:tcW w:w="3680" w:type="dxa"/>
            <w:vAlign w:val="bottom"/>
            <w:tcBorders>
              <w:bottom w:val="single" w:sz="8" w:color="D3ECED"/>
            </w:tcBorders>
            <w:shd w:val="clear" w:color="auto" w:fill="FDFDFD"/>
          </w:tcPr>
          <w:p>
            <w:pPr>
              <w:ind w:left="280"/>
              <w:spacing w:after="0"/>
              <w:rPr>
                <w:sz w:val="20"/>
                <w:szCs w:val="20"/>
                <w:color w:val="auto"/>
              </w:rPr>
            </w:pPr>
            <w:r>
              <w:rPr>
                <w:rFonts w:ascii="Arial" w:cs="Arial" w:eastAsia="Arial" w:hAnsi="Arial"/>
                <w:sz w:val="19"/>
                <w:szCs w:val="19"/>
                <w:color w:val="auto"/>
              </w:rPr>
              <w:t>Total investments</w:t>
            </w:r>
          </w:p>
        </w:tc>
        <w:tc>
          <w:tcPr>
            <w:tcW w:w="88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D3ECED"/>
            </w:tcBorders>
            <w:shd w:val="clear" w:color="auto" w:fill="FDFDFD"/>
          </w:tcPr>
          <w:p>
            <w:pPr>
              <w:spacing w:after="0"/>
              <w:rPr>
                <w:sz w:val="19"/>
                <w:szCs w:val="19"/>
                <w:color w:val="auto"/>
              </w:rPr>
            </w:pPr>
          </w:p>
        </w:tc>
        <w:tc>
          <w:tcPr>
            <w:tcW w:w="120" w:type="dxa"/>
            <w:vAlign w:val="bottom"/>
            <w:tcBorders>
              <w:bottom w:val="single" w:sz="8" w:color="auto"/>
            </w:tcBorders>
            <w:shd w:val="clear" w:color="auto" w:fill="FDFDFD"/>
          </w:tcPr>
          <w:p>
            <w:pPr>
              <w:spacing w:after="0"/>
              <w:rPr>
                <w:sz w:val="19"/>
                <w:szCs w:val="19"/>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258,760</w:t>
            </w:r>
          </w:p>
        </w:tc>
        <w:tc>
          <w:tcPr>
            <w:tcW w:w="180" w:type="dxa"/>
            <w:vAlign w:val="bottom"/>
            <w:tcBorders>
              <w:bottom w:val="single" w:sz="8" w:color="D3ECED"/>
            </w:tcBorders>
            <w:shd w:val="clear" w:color="auto" w:fill="FDFDFD"/>
          </w:tcPr>
          <w:p>
            <w:pPr>
              <w:spacing w:after="0"/>
              <w:rPr>
                <w:sz w:val="19"/>
                <w:szCs w:val="19"/>
                <w:color w:val="auto"/>
              </w:rPr>
            </w:pPr>
          </w:p>
        </w:tc>
        <w:tc>
          <w:tcPr>
            <w:tcW w:w="120" w:type="dxa"/>
            <w:vAlign w:val="bottom"/>
            <w:tcBorders>
              <w:bottom w:val="single" w:sz="8" w:color="auto"/>
            </w:tcBorders>
            <w:shd w:val="clear" w:color="auto" w:fill="FDFDFD"/>
          </w:tcPr>
          <w:p>
            <w:pPr>
              <w:spacing w:after="0"/>
              <w:rPr>
                <w:sz w:val="19"/>
                <w:szCs w:val="19"/>
                <w:color w:val="auto"/>
              </w:rPr>
            </w:pPr>
          </w:p>
        </w:tc>
        <w:tc>
          <w:tcPr>
            <w:tcW w:w="580" w:type="dxa"/>
            <w:vAlign w:val="bottom"/>
            <w:tcBorders>
              <w:bottom w:val="single" w:sz="8" w:color="auto"/>
            </w:tcBorders>
            <w:shd w:val="clear" w:color="auto" w:fill="FDFDFD"/>
          </w:tcPr>
          <w:p>
            <w:pPr>
              <w:spacing w:after="0"/>
              <w:rPr>
                <w:sz w:val="19"/>
                <w:szCs w:val="19"/>
                <w:color w:val="auto"/>
              </w:rPr>
            </w:pPr>
          </w:p>
        </w:tc>
        <w:tc>
          <w:tcPr>
            <w:tcW w:w="220" w:type="dxa"/>
            <w:vAlign w:val="bottom"/>
            <w:tcBorders>
              <w:bottom w:val="single" w:sz="8" w:color="auto"/>
            </w:tcBorders>
            <w:shd w:val="clear" w:color="auto" w:fill="FDFDF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tcBorders>
              <w:bottom w:val="single" w:sz="8" w:color="D3ECED"/>
            </w:tcBorders>
            <w:shd w:val="clear" w:color="auto" w:fill="FDFDFD"/>
          </w:tcPr>
          <w:p>
            <w:pPr>
              <w:spacing w:after="0"/>
              <w:rPr>
                <w:sz w:val="19"/>
                <w:szCs w:val="19"/>
                <w:color w:val="auto"/>
              </w:rPr>
            </w:pPr>
          </w:p>
        </w:tc>
        <w:tc>
          <w:tcPr>
            <w:tcW w:w="120" w:type="dxa"/>
            <w:vAlign w:val="bottom"/>
            <w:tcBorders>
              <w:bottom w:val="single" w:sz="8" w:color="auto"/>
            </w:tcBorders>
            <w:shd w:val="clear" w:color="auto" w:fill="FDFDFD"/>
          </w:tcPr>
          <w:p>
            <w:pPr>
              <w:spacing w:after="0"/>
              <w:rPr>
                <w:sz w:val="19"/>
                <w:szCs w:val="19"/>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258,760</w:t>
            </w:r>
          </w:p>
        </w:tc>
        <w:tc>
          <w:tcPr>
            <w:tcW w:w="80" w:type="dxa"/>
            <w:vAlign w:val="bottom"/>
            <w:tcBorders>
              <w:bottom w:val="single" w:sz="8" w:color="D3ECED"/>
            </w:tcBorders>
            <w:shd w:val="clear" w:color="auto" w:fill="FDFDFD"/>
          </w:tcPr>
          <w:p>
            <w:pPr>
              <w:spacing w:after="0"/>
              <w:rPr>
                <w:sz w:val="19"/>
                <w:szCs w:val="19"/>
                <w:color w:val="auto"/>
              </w:rPr>
            </w:pPr>
          </w:p>
        </w:tc>
      </w:tr>
      <w:tr>
        <w:trPr>
          <w:trHeight w:val="222"/>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Total assets measured at fair value</w:t>
            </w:r>
          </w:p>
        </w:tc>
        <w:tc>
          <w:tcPr>
            <w:tcW w:w="88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36,097</w:t>
            </w: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262,951</w:t>
            </w: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580" w:type="dxa"/>
            <w:vAlign w:val="bottom"/>
            <w:shd w:val="clear" w:color="auto" w:fill="D3ECED"/>
          </w:tcPr>
          <w:p>
            <w:pPr>
              <w:spacing w:after="0"/>
              <w:rPr>
                <w:sz w:val="19"/>
                <w:szCs w:val="19"/>
                <w:color w:val="auto"/>
              </w:rPr>
            </w:pPr>
          </w:p>
        </w:tc>
        <w:tc>
          <w:tcPr>
            <w:tcW w:w="220" w:type="dxa"/>
            <w:vAlign w:val="bottom"/>
            <w:shd w:val="clear" w:color="auto" w:fill="D3ECE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299,048</w:t>
            </w:r>
          </w:p>
        </w:tc>
        <w:tc>
          <w:tcPr>
            <w:tcW w:w="80" w:type="dxa"/>
            <w:vAlign w:val="bottom"/>
            <w:shd w:val="clear" w:color="auto" w:fill="D3ECED"/>
          </w:tcPr>
          <w:p>
            <w:pPr>
              <w:spacing w:after="0"/>
              <w:rPr>
                <w:sz w:val="19"/>
                <w:szCs w:val="19"/>
                <w:color w:val="auto"/>
              </w:rPr>
            </w:pPr>
          </w:p>
        </w:tc>
      </w:tr>
      <w:tr>
        <w:trPr>
          <w:trHeight w:val="274"/>
        </w:trPr>
        <w:tc>
          <w:tcPr>
            <w:tcW w:w="3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4"/>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88"/>
        </w:trPr>
        <w:tc>
          <w:tcPr>
            <w:tcW w:w="3680" w:type="dxa"/>
            <w:vAlign w:val="bottom"/>
            <w:tcBorders>
              <w:bottom w:val="single" w:sz="8" w:color="FDFDFD"/>
            </w:tcBorders>
            <w:shd w:val="clear" w:color="auto" w:fill="FDFDFD"/>
          </w:tcPr>
          <w:p>
            <w:pPr>
              <w:spacing w:after="0"/>
              <w:rPr>
                <w:sz w:val="16"/>
                <w:szCs w:val="16"/>
                <w:color w:val="auto"/>
              </w:rPr>
            </w:pPr>
          </w:p>
        </w:tc>
        <w:tc>
          <w:tcPr>
            <w:tcW w:w="88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00" w:type="dxa"/>
            <w:vAlign w:val="bottom"/>
            <w:tcBorders>
              <w:bottom w:val="single" w:sz="8" w:color="auto"/>
            </w:tcBorders>
            <w:shd w:val="clear" w:color="auto" w:fill="FDFDFD"/>
          </w:tcPr>
          <w:p>
            <w:pPr>
              <w:spacing w:after="0"/>
              <w:rPr>
                <w:sz w:val="16"/>
                <w:szCs w:val="16"/>
                <w:color w:val="auto"/>
              </w:rPr>
            </w:pPr>
          </w:p>
        </w:tc>
        <w:tc>
          <w:tcPr>
            <w:tcW w:w="180" w:type="dxa"/>
            <w:vAlign w:val="bottom"/>
            <w:tcBorders>
              <w:bottom w:val="single" w:sz="8" w:color="auto"/>
            </w:tcBorders>
            <w:shd w:val="clear" w:color="auto" w:fill="FDFDFD"/>
          </w:tcPr>
          <w:p>
            <w:pPr>
              <w:spacing w:after="0"/>
              <w:rPr>
                <w:sz w:val="16"/>
                <w:szCs w:val="16"/>
                <w:color w:val="auto"/>
              </w:rPr>
            </w:pPr>
          </w:p>
        </w:tc>
        <w:tc>
          <w:tcPr>
            <w:tcW w:w="120" w:type="dxa"/>
            <w:vAlign w:val="bottom"/>
            <w:tcBorders>
              <w:bottom w:val="single" w:sz="8" w:color="auto"/>
            </w:tcBorders>
            <w:shd w:val="clear" w:color="auto" w:fill="FDFDFD"/>
          </w:tcPr>
          <w:p>
            <w:pPr>
              <w:spacing w:after="0"/>
              <w:rPr>
                <w:sz w:val="16"/>
                <w:szCs w:val="16"/>
                <w:color w:val="auto"/>
              </w:rPr>
            </w:pPr>
          </w:p>
        </w:tc>
        <w:tc>
          <w:tcPr>
            <w:tcW w:w="1680" w:type="dxa"/>
            <w:vAlign w:val="bottom"/>
            <w:tcBorders>
              <w:bottom w:val="single" w:sz="8" w:color="auto"/>
            </w:tcBorders>
            <w:gridSpan w:val="4"/>
            <w:shd w:val="clear" w:color="auto" w:fill="FDFDFD"/>
          </w:tcPr>
          <w:p>
            <w:pPr>
              <w:ind w:left="280"/>
              <w:spacing w:after="0"/>
              <w:rPr>
                <w:sz w:val="20"/>
                <w:szCs w:val="20"/>
                <w:color w:val="auto"/>
              </w:rPr>
            </w:pPr>
            <w:r>
              <w:rPr>
                <w:rFonts w:ascii="Arial" w:cs="Arial" w:eastAsia="Arial" w:hAnsi="Arial"/>
                <w:sz w:val="15"/>
                <w:szCs w:val="15"/>
                <w:b w:val="1"/>
                <w:bCs w:val="1"/>
                <w:color w:val="auto"/>
              </w:rPr>
              <w:t>December 31, 2023</w:t>
            </w:r>
          </w:p>
        </w:tc>
        <w:tc>
          <w:tcPr>
            <w:tcW w:w="220" w:type="dxa"/>
            <w:vAlign w:val="bottom"/>
            <w:tcBorders>
              <w:bottom w:val="single" w:sz="8" w:color="auto"/>
            </w:tcBorders>
            <w:shd w:val="clear" w:color="auto" w:fill="FDFDFD"/>
          </w:tcPr>
          <w:p>
            <w:pPr>
              <w:spacing w:after="0"/>
              <w:rPr>
                <w:sz w:val="16"/>
                <w:szCs w:val="16"/>
                <w:color w:val="auto"/>
              </w:rPr>
            </w:pPr>
          </w:p>
        </w:tc>
        <w:tc>
          <w:tcPr>
            <w:tcW w:w="180" w:type="dxa"/>
            <w:vAlign w:val="bottom"/>
            <w:tcBorders>
              <w:bottom w:val="single" w:sz="8" w:color="auto"/>
            </w:tcBorders>
            <w:shd w:val="clear" w:color="auto" w:fill="FDFDFD"/>
          </w:tcPr>
          <w:p>
            <w:pPr>
              <w:spacing w:after="0"/>
              <w:rPr>
                <w:sz w:val="16"/>
                <w:szCs w:val="16"/>
                <w:color w:val="auto"/>
              </w:rPr>
            </w:pPr>
          </w:p>
        </w:tc>
        <w:tc>
          <w:tcPr>
            <w:tcW w:w="120" w:type="dxa"/>
            <w:vAlign w:val="bottom"/>
            <w:tcBorders>
              <w:bottom w:val="single" w:sz="8" w:color="auto"/>
            </w:tcBorders>
            <w:shd w:val="clear" w:color="auto" w:fill="FDFDFD"/>
          </w:tcPr>
          <w:p>
            <w:pPr>
              <w:spacing w:after="0"/>
              <w:rPr>
                <w:sz w:val="16"/>
                <w:szCs w:val="16"/>
                <w:color w:val="auto"/>
              </w:rPr>
            </w:pPr>
          </w:p>
        </w:tc>
        <w:tc>
          <w:tcPr>
            <w:tcW w:w="80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r>
      <w:tr>
        <w:trPr>
          <w:trHeight w:val="176"/>
        </w:trPr>
        <w:tc>
          <w:tcPr>
            <w:tcW w:w="3680" w:type="dxa"/>
            <w:vAlign w:val="bottom"/>
            <w:tcBorders>
              <w:bottom w:val="single" w:sz="8" w:color="D3ECED"/>
            </w:tcBorders>
            <w:shd w:val="clear" w:color="auto" w:fill="FDFDFD"/>
          </w:tcPr>
          <w:p>
            <w:pPr>
              <w:spacing w:after="0"/>
              <w:rPr>
                <w:sz w:val="15"/>
                <w:szCs w:val="15"/>
                <w:color w:val="auto"/>
              </w:rPr>
            </w:pPr>
          </w:p>
        </w:tc>
        <w:tc>
          <w:tcPr>
            <w:tcW w:w="880" w:type="dxa"/>
            <w:vAlign w:val="bottom"/>
            <w:tcBorders>
              <w:bottom w:val="single" w:sz="8" w:color="D3ECED"/>
            </w:tcBorders>
            <w:shd w:val="clear" w:color="auto" w:fill="FDFDFD"/>
          </w:tcPr>
          <w:p>
            <w:pPr>
              <w:spacing w:after="0"/>
              <w:rPr>
                <w:sz w:val="15"/>
                <w:szCs w:val="15"/>
                <w:color w:val="auto"/>
              </w:rPr>
            </w:pPr>
          </w:p>
        </w:tc>
        <w:tc>
          <w:tcPr>
            <w:tcW w:w="100" w:type="dxa"/>
            <w:vAlign w:val="bottom"/>
            <w:tcBorders>
              <w:bottom w:val="single" w:sz="8" w:color="auto"/>
            </w:tcBorders>
            <w:shd w:val="clear" w:color="auto" w:fill="FDFDFD"/>
          </w:tcPr>
          <w:p>
            <w:pPr>
              <w:spacing w:after="0"/>
              <w:rPr>
                <w:sz w:val="15"/>
                <w:szCs w:val="15"/>
                <w:color w:val="auto"/>
              </w:rPr>
            </w:pPr>
          </w:p>
        </w:tc>
        <w:tc>
          <w:tcPr>
            <w:tcW w:w="800" w:type="dxa"/>
            <w:vAlign w:val="bottom"/>
            <w:tcBorders>
              <w:bottom w:val="single" w:sz="8" w:color="auto"/>
            </w:tcBorders>
            <w:shd w:val="clear" w:color="auto" w:fill="FDFDFD"/>
          </w:tcPr>
          <w:p>
            <w:pPr>
              <w:jc w:val="right"/>
              <w:ind w:right="127"/>
              <w:spacing w:after="0"/>
              <w:rPr>
                <w:sz w:val="20"/>
                <w:szCs w:val="20"/>
                <w:color w:val="auto"/>
              </w:rPr>
            </w:pPr>
            <w:r>
              <w:rPr>
                <w:rFonts w:ascii="Arial" w:cs="Arial" w:eastAsia="Arial" w:hAnsi="Arial"/>
                <w:sz w:val="15"/>
                <w:szCs w:val="15"/>
                <w:b w:val="1"/>
                <w:bCs w:val="1"/>
                <w:color w:val="auto"/>
              </w:rPr>
              <w:t>Level 1</w:t>
            </w:r>
          </w:p>
        </w:tc>
        <w:tc>
          <w:tcPr>
            <w:tcW w:w="180" w:type="dxa"/>
            <w:vAlign w:val="bottom"/>
            <w:tcBorders>
              <w:bottom w:val="single" w:sz="8" w:color="D3ECED"/>
            </w:tcBorders>
            <w:shd w:val="clear" w:color="auto" w:fill="FDFDFD"/>
          </w:tcPr>
          <w:p>
            <w:pPr>
              <w:spacing w:after="0"/>
              <w:rPr>
                <w:sz w:val="15"/>
                <w:szCs w:val="15"/>
                <w:color w:val="auto"/>
              </w:rPr>
            </w:pPr>
          </w:p>
        </w:tc>
        <w:tc>
          <w:tcPr>
            <w:tcW w:w="120" w:type="dxa"/>
            <w:vAlign w:val="bottom"/>
            <w:tcBorders>
              <w:bottom w:val="single" w:sz="8" w:color="auto"/>
            </w:tcBorders>
            <w:shd w:val="clear" w:color="auto" w:fill="FDFDFD"/>
          </w:tcPr>
          <w:p>
            <w:pPr>
              <w:spacing w:after="0"/>
              <w:rPr>
                <w:sz w:val="15"/>
                <w:szCs w:val="15"/>
                <w:color w:val="auto"/>
              </w:rPr>
            </w:pPr>
          </w:p>
        </w:tc>
        <w:tc>
          <w:tcPr>
            <w:tcW w:w="800" w:type="dxa"/>
            <w:vAlign w:val="bottom"/>
            <w:tcBorders>
              <w:bottom w:val="single" w:sz="8" w:color="auto"/>
            </w:tcBorders>
            <w:shd w:val="clear" w:color="auto" w:fill="FDFDFD"/>
          </w:tcPr>
          <w:p>
            <w:pPr>
              <w:jc w:val="right"/>
              <w:ind w:right="129"/>
              <w:spacing w:after="0"/>
              <w:rPr>
                <w:sz w:val="20"/>
                <w:szCs w:val="20"/>
                <w:color w:val="auto"/>
              </w:rPr>
            </w:pPr>
            <w:r>
              <w:rPr>
                <w:rFonts w:ascii="Arial" w:cs="Arial" w:eastAsia="Arial" w:hAnsi="Arial"/>
                <w:sz w:val="15"/>
                <w:szCs w:val="15"/>
                <w:b w:val="1"/>
                <w:bCs w:val="1"/>
                <w:color w:val="auto"/>
              </w:rPr>
              <w:t>Level 2</w:t>
            </w:r>
          </w:p>
        </w:tc>
        <w:tc>
          <w:tcPr>
            <w:tcW w:w="180" w:type="dxa"/>
            <w:vAlign w:val="bottom"/>
            <w:tcBorders>
              <w:bottom w:val="single" w:sz="8" w:color="D3ECED"/>
            </w:tcBorders>
            <w:shd w:val="clear" w:color="auto" w:fill="FDFDFD"/>
          </w:tcPr>
          <w:p>
            <w:pPr>
              <w:spacing w:after="0"/>
              <w:rPr>
                <w:sz w:val="15"/>
                <w:szCs w:val="15"/>
                <w:color w:val="auto"/>
              </w:rPr>
            </w:pPr>
          </w:p>
        </w:tc>
        <w:tc>
          <w:tcPr>
            <w:tcW w:w="120" w:type="dxa"/>
            <w:vAlign w:val="bottom"/>
            <w:tcBorders>
              <w:bottom w:val="single" w:sz="8" w:color="auto"/>
            </w:tcBorders>
            <w:shd w:val="clear" w:color="auto" w:fill="FDFDFD"/>
          </w:tcPr>
          <w:p>
            <w:pPr>
              <w:spacing w:after="0"/>
              <w:rPr>
                <w:sz w:val="15"/>
                <w:szCs w:val="15"/>
                <w:color w:val="auto"/>
              </w:rPr>
            </w:pPr>
          </w:p>
        </w:tc>
        <w:tc>
          <w:tcPr>
            <w:tcW w:w="580" w:type="dxa"/>
            <w:vAlign w:val="bottom"/>
            <w:tcBorders>
              <w:bottom w:val="single" w:sz="8" w:color="auto"/>
            </w:tcBorders>
            <w:shd w:val="clear" w:color="auto" w:fill="FDFDFD"/>
          </w:tcPr>
          <w:p>
            <w:pPr>
              <w:ind w:left="100"/>
              <w:spacing w:after="0"/>
              <w:rPr>
                <w:sz w:val="20"/>
                <w:szCs w:val="20"/>
                <w:color w:val="auto"/>
              </w:rPr>
            </w:pPr>
            <w:r>
              <w:rPr>
                <w:rFonts w:ascii="Arial" w:cs="Arial" w:eastAsia="Arial" w:hAnsi="Arial"/>
                <w:sz w:val="15"/>
                <w:szCs w:val="15"/>
                <w:b w:val="1"/>
                <w:bCs w:val="1"/>
                <w:color w:val="auto"/>
                <w:w w:val="90"/>
              </w:rPr>
              <w:t>Level 3</w:t>
            </w:r>
          </w:p>
        </w:tc>
        <w:tc>
          <w:tcPr>
            <w:tcW w:w="220" w:type="dxa"/>
            <w:vAlign w:val="bottom"/>
            <w:tcBorders>
              <w:bottom w:val="single" w:sz="8" w:color="auto"/>
            </w:tcBorders>
            <w:shd w:val="clear" w:color="auto" w:fill="FDFDFD"/>
          </w:tcPr>
          <w:p>
            <w:pPr>
              <w:spacing w:after="0"/>
              <w:rPr>
                <w:sz w:val="15"/>
                <w:szCs w:val="15"/>
                <w:color w:val="auto"/>
              </w:rPr>
            </w:pPr>
          </w:p>
        </w:tc>
        <w:tc>
          <w:tcPr>
            <w:tcW w:w="180" w:type="dxa"/>
            <w:vAlign w:val="bottom"/>
            <w:tcBorders>
              <w:bottom w:val="single" w:sz="8" w:color="D3ECED"/>
            </w:tcBorders>
            <w:shd w:val="clear" w:color="auto" w:fill="FDFDFD"/>
          </w:tcPr>
          <w:p>
            <w:pPr>
              <w:spacing w:after="0"/>
              <w:rPr>
                <w:sz w:val="15"/>
                <w:szCs w:val="15"/>
                <w:color w:val="auto"/>
              </w:rPr>
            </w:pPr>
          </w:p>
        </w:tc>
        <w:tc>
          <w:tcPr>
            <w:tcW w:w="120" w:type="dxa"/>
            <w:vAlign w:val="bottom"/>
            <w:tcBorders>
              <w:bottom w:val="single" w:sz="8" w:color="auto"/>
            </w:tcBorders>
            <w:shd w:val="clear" w:color="auto" w:fill="FDFDFD"/>
          </w:tcPr>
          <w:p>
            <w:pPr>
              <w:spacing w:after="0"/>
              <w:rPr>
                <w:sz w:val="15"/>
                <w:szCs w:val="15"/>
                <w:color w:val="auto"/>
              </w:rPr>
            </w:pPr>
          </w:p>
        </w:tc>
        <w:tc>
          <w:tcPr>
            <w:tcW w:w="800" w:type="dxa"/>
            <w:vAlign w:val="bottom"/>
            <w:tcBorders>
              <w:bottom w:val="single" w:sz="8" w:color="auto"/>
            </w:tcBorders>
            <w:shd w:val="clear" w:color="auto" w:fill="FDFDFD"/>
          </w:tcPr>
          <w:p>
            <w:pPr>
              <w:jc w:val="right"/>
              <w:ind w:right="207"/>
              <w:spacing w:after="0"/>
              <w:rPr>
                <w:sz w:val="20"/>
                <w:szCs w:val="20"/>
                <w:color w:val="auto"/>
              </w:rPr>
            </w:pPr>
            <w:r>
              <w:rPr>
                <w:rFonts w:ascii="Arial" w:cs="Arial" w:eastAsia="Arial" w:hAnsi="Arial"/>
                <w:sz w:val="15"/>
                <w:szCs w:val="15"/>
                <w:b w:val="1"/>
                <w:bCs w:val="1"/>
                <w:color w:val="auto"/>
              </w:rPr>
              <w:t>Total</w:t>
            </w:r>
          </w:p>
        </w:tc>
        <w:tc>
          <w:tcPr>
            <w:tcW w:w="80" w:type="dxa"/>
            <w:vAlign w:val="bottom"/>
            <w:tcBorders>
              <w:bottom w:val="single" w:sz="8" w:color="D3ECED"/>
            </w:tcBorders>
            <w:shd w:val="clear" w:color="auto" w:fill="FDFDFD"/>
          </w:tcPr>
          <w:p>
            <w:pPr>
              <w:spacing w:after="0"/>
              <w:rPr>
                <w:sz w:val="15"/>
                <w:szCs w:val="15"/>
                <w:color w:val="auto"/>
              </w:rPr>
            </w:pPr>
          </w:p>
        </w:tc>
      </w:tr>
      <w:tr>
        <w:trPr>
          <w:trHeight w:val="220"/>
        </w:trPr>
        <w:tc>
          <w:tcPr>
            <w:tcW w:w="3680" w:type="dxa"/>
            <w:vAlign w:val="bottom"/>
            <w:shd w:val="clear" w:color="auto" w:fill="D3ECED"/>
          </w:tcPr>
          <w:p>
            <w:pPr>
              <w:spacing w:after="0"/>
              <w:rPr>
                <w:sz w:val="20"/>
                <w:szCs w:val="20"/>
                <w:color w:val="auto"/>
              </w:rPr>
            </w:pPr>
            <w:r>
              <w:rPr>
                <w:rFonts w:ascii="Arial" w:cs="Arial" w:eastAsia="Arial" w:hAnsi="Arial"/>
                <w:sz w:val="19"/>
                <w:szCs w:val="19"/>
                <w:color w:val="auto"/>
              </w:rPr>
              <w:t>Assets:</w:t>
            </w:r>
          </w:p>
        </w:tc>
        <w:tc>
          <w:tcPr>
            <w:tcW w:w="8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00" w:type="dxa"/>
            <w:vAlign w:val="bottom"/>
            <w:shd w:val="clear" w:color="auto" w:fill="D3ECED"/>
          </w:tcPr>
          <w:p>
            <w:pPr>
              <w:spacing w:after="0"/>
              <w:rPr>
                <w:sz w:val="19"/>
                <w:szCs w:val="19"/>
                <w:color w:val="auto"/>
              </w:rPr>
            </w:pP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800" w:type="dxa"/>
            <w:vAlign w:val="bottom"/>
            <w:shd w:val="clear" w:color="auto" w:fill="D3ECED"/>
          </w:tcPr>
          <w:p>
            <w:pPr>
              <w:spacing w:after="0"/>
              <w:rPr>
                <w:sz w:val="19"/>
                <w:szCs w:val="19"/>
                <w:color w:val="auto"/>
              </w:rPr>
            </w:pP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580" w:type="dxa"/>
            <w:vAlign w:val="bottom"/>
            <w:shd w:val="clear" w:color="auto" w:fill="D3ECED"/>
          </w:tcPr>
          <w:p>
            <w:pPr>
              <w:spacing w:after="0"/>
              <w:rPr>
                <w:sz w:val="19"/>
                <w:szCs w:val="19"/>
                <w:color w:val="auto"/>
              </w:rPr>
            </w:pPr>
          </w:p>
        </w:tc>
        <w:tc>
          <w:tcPr>
            <w:tcW w:w="220" w:type="dxa"/>
            <w:vAlign w:val="bottom"/>
            <w:shd w:val="clear" w:color="auto" w:fill="D3ECED"/>
          </w:tcPr>
          <w:p>
            <w:pPr>
              <w:spacing w:after="0"/>
              <w:rPr>
                <w:sz w:val="19"/>
                <w:szCs w:val="19"/>
                <w:color w:val="auto"/>
              </w:rPr>
            </w:pP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80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r>
      <w:tr>
        <w:trPr>
          <w:trHeight w:val="230"/>
        </w:trPr>
        <w:tc>
          <w:tcPr>
            <w:tcW w:w="3680" w:type="dxa"/>
            <w:vAlign w:val="bottom"/>
            <w:shd w:val="clear" w:color="auto" w:fill="FDFDFD"/>
          </w:tcPr>
          <w:p>
            <w:pPr>
              <w:spacing w:after="0"/>
              <w:rPr>
                <w:sz w:val="20"/>
                <w:szCs w:val="20"/>
                <w:color w:val="auto"/>
              </w:rPr>
            </w:pPr>
            <w:r>
              <w:rPr>
                <w:rFonts w:ascii="Arial" w:cs="Arial" w:eastAsia="Arial" w:hAnsi="Arial"/>
                <w:sz w:val="19"/>
                <w:szCs w:val="19"/>
                <w:color w:val="auto"/>
              </w:rPr>
              <w:t>Cash equivalents:</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580" w:type="dxa"/>
            <w:vAlign w:val="bottom"/>
            <w:shd w:val="clear" w:color="auto" w:fill="FDFDFD"/>
          </w:tcPr>
          <w:p>
            <w:pPr>
              <w:spacing w:after="0"/>
              <w:rPr>
                <w:sz w:val="20"/>
                <w:szCs w:val="20"/>
                <w:color w:val="auto"/>
              </w:rPr>
            </w:pPr>
          </w:p>
        </w:tc>
        <w:tc>
          <w:tcPr>
            <w:tcW w:w="22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r>
      <w:tr>
        <w:trPr>
          <w:trHeight w:val="230"/>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Money market funds</w:t>
            </w:r>
          </w:p>
        </w:tc>
        <w:tc>
          <w:tcPr>
            <w:tcW w:w="98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22,646</w:t>
            </w:r>
          </w:p>
        </w:tc>
        <w:tc>
          <w:tcPr>
            <w:tcW w:w="30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30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D3ECED"/>
          </w:tcPr>
          <w:p>
            <w:pPr>
              <w:spacing w:after="0"/>
              <w:rPr>
                <w:sz w:val="20"/>
                <w:szCs w:val="20"/>
                <w:color w:val="auto"/>
              </w:rPr>
            </w:pPr>
          </w:p>
        </w:tc>
        <w:tc>
          <w:tcPr>
            <w:tcW w:w="220" w:type="dxa"/>
            <w:vAlign w:val="bottom"/>
            <w:shd w:val="clear" w:color="auto" w:fill="D3ECED"/>
          </w:tcPr>
          <w:p>
            <w:pPr>
              <w:ind w:left="20"/>
              <w:spacing w:after="0"/>
              <w:rPr>
                <w:sz w:val="20"/>
                <w:szCs w:val="20"/>
                <w:color w:val="auto"/>
              </w:rPr>
            </w:pPr>
            <w:r>
              <w:rPr>
                <w:rFonts w:ascii="Arial" w:cs="Arial" w:eastAsia="Arial" w:hAnsi="Arial"/>
                <w:sz w:val="19"/>
                <w:szCs w:val="19"/>
                <w:color w:val="auto"/>
                <w:w w:val="94"/>
              </w:rPr>
              <w:t>—</w:t>
            </w:r>
          </w:p>
        </w:tc>
        <w:tc>
          <w:tcPr>
            <w:tcW w:w="30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22,646</w:t>
            </w:r>
          </w:p>
        </w:tc>
        <w:tc>
          <w:tcPr>
            <w:tcW w:w="80" w:type="dxa"/>
            <w:vAlign w:val="bottom"/>
            <w:shd w:val="clear" w:color="auto" w:fill="D3ECED"/>
          </w:tcPr>
          <w:p>
            <w:pPr>
              <w:spacing w:after="0"/>
              <w:rPr>
                <w:sz w:val="20"/>
                <w:szCs w:val="20"/>
                <w:color w:val="auto"/>
              </w:rPr>
            </w:pPr>
          </w:p>
        </w:tc>
      </w:tr>
      <w:tr>
        <w:trPr>
          <w:trHeight w:val="230"/>
        </w:trPr>
        <w:tc>
          <w:tcPr>
            <w:tcW w:w="3680" w:type="dxa"/>
            <w:vAlign w:val="bottom"/>
            <w:shd w:val="clear" w:color="auto" w:fill="FDFDFD"/>
          </w:tcPr>
          <w:p>
            <w:pPr>
              <w:ind w:left="180"/>
              <w:spacing w:after="0"/>
              <w:rPr>
                <w:sz w:val="20"/>
                <w:szCs w:val="20"/>
                <w:color w:val="auto"/>
              </w:rPr>
            </w:pPr>
            <w:r>
              <w:rPr>
                <w:rFonts w:ascii="Arial" w:cs="Arial" w:eastAsia="Arial" w:hAnsi="Arial"/>
                <w:sz w:val="19"/>
                <w:szCs w:val="19"/>
                <w:color w:val="auto"/>
              </w:rPr>
              <w:t>Corporate debt securities</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1,550</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580" w:type="dxa"/>
            <w:vAlign w:val="bottom"/>
            <w:shd w:val="clear" w:color="auto" w:fill="FDFDFD"/>
          </w:tcPr>
          <w:p>
            <w:pPr>
              <w:spacing w:after="0"/>
              <w:rPr>
                <w:sz w:val="20"/>
                <w:szCs w:val="20"/>
                <w:color w:val="auto"/>
              </w:rPr>
            </w:pPr>
          </w:p>
        </w:tc>
        <w:tc>
          <w:tcPr>
            <w:tcW w:w="220" w:type="dxa"/>
            <w:vAlign w:val="bottom"/>
            <w:shd w:val="clear" w:color="auto" w:fill="FDFDF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1,550</w:t>
            </w:r>
          </w:p>
        </w:tc>
        <w:tc>
          <w:tcPr>
            <w:tcW w:w="80" w:type="dxa"/>
            <w:vAlign w:val="bottom"/>
            <w:shd w:val="clear" w:color="auto" w:fill="FDFDFD"/>
          </w:tcPr>
          <w:p>
            <w:pPr>
              <w:spacing w:after="0"/>
              <w:rPr>
                <w:sz w:val="20"/>
                <w:szCs w:val="20"/>
                <w:color w:val="auto"/>
              </w:rPr>
            </w:pPr>
          </w:p>
        </w:tc>
      </w:tr>
      <w:tr>
        <w:trPr>
          <w:trHeight w:val="230"/>
        </w:trPr>
        <w:tc>
          <w:tcPr>
            <w:tcW w:w="3680" w:type="dxa"/>
            <w:vAlign w:val="bottom"/>
            <w:tcBorders>
              <w:bottom w:val="single" w:sz="8" w:color="FDFDFD"/>
            </w:tcBorders>
            <w:shd w:val="clear" w:color="auto" w:fill="D3ECED"/>
          </w:tcPr>
          <w:p>
            <w:pPr>
              <w:ind w:left="180"/>
              <w:spacing w:after="0"/>
              <w:rPr>
                <w:sz w:val="20"/>
                <w:szCs w:val="20"/>
                <w:color w:val="auto"/>
              </w:rPr>
            </w:pPr>
            <w:r>
              <w:rPr>
                <w:rFonts w:ascii="Arial" w:cs="Arial" w:eastAsia="Arial" w:hAnsi="Arial"/>
                <w:sz w:val="19"/>
                <w:szCs w:val="19"/>
                <w:color w:val="auto"/>
              </w:rPr>
              <w:t>U.S. Treasury securities</w:t>
            </w:r>
          </w:p>
        </w:tc>
        <w:tc>
          <w:tcPr>
            <w:tcW w:w="8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80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FDFDFD"/>
            </w:tcBorders>
            <w:shd w:val="clear" w:color="auto" w:fill="D3ECED"/>
          </w:tcPr>
          <w:p>
            <w:pPr>
              <w:spacing w:after="0"/>
              <w:rPr>
                <w:sz w:val="20"/>
                <w:szCs w:val="20"/>
                <w:color w:val="auto"/>
              </w:rPr>
            </w:pPr>
          </w:p>
        </w:tc>
        <w:tc>
          <w:tcPr>
            <w:tcW w:w="120" w:type="dxa"/>
            <w:vAlign w:val="bottom"/>
            <w:tcBorders>
              <w:bottom w:val="single" w:sz="8" w:color="auto"/>
            </w:tcBorders>
            <w:shd w:val="clear" w:color="auto" w:fill="D3ECED"/>
          </w:tcPr>
          <w:p>
            <w:pPr>
              <w:spacing w:after="0"/>
              <w:rPr>
                <w:sz w:val="20"/>
                <w:szCs w:val="20"/>
                <w:color w:val="auto"/>
              </w:rPr>
            </w:pPr>
          </w:p>
        </w:tc>
        <w:tc>
          <w:tcPr>
            <w:tcW w:w="80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4,985</w:t>
            </w:r>
          </w:p>
        </w:tc>
        <w:tc>
          <w:tcPr>
            <w:tcW w:w="180" w:type="dxa"/>
            <w:vAlign w:val="bottom"/>
            <w:tcBorders>
              <w:bottom w:val="single" w:sz="8" w:color="FDFDFD"/>
            </w:tcBorders>
            <w:shd w:val="clear" w:color="auto" w:fill="D3ECED"/>
          </w:tcPr>
          <w:p>
            <w:pPr>
              <w:spacing w:after="0"/>
              <w:rPr>
                <w:sz w:val="20"/>
                <w:szCs w:val="20"/>
                <w:color w:val="auto"/>
              </w:rPr>
            </w:pPr>
          </w:p>
        </w:tc>
        <w:tc>
          <w:tcPr>
            <w:tcW w:w="120" w:type="dxa"/>
            <w:vAlign w:val="bottom"/>
            <w:tcBorders>
              <w:bottom w:val="single" w:sz="8" w:color="auto"/>
            </w:tcBorders>
            <w:shd w:val="clear" w:color="auto" w:fill="D3ECED"/>
          </w:tcPr>
          <w:p>
            <w:pPr>
              <w:spacing w:after="0"/>
              <w:rPr>
                <w:sz w:val="20"/>
                <w:szCs w:val="20"/>
                <w:color w:val="auto"/>
              </w:rPr>
            </w:pPr>
          </w:p>
        </w:tc>
        <w:tc>
          <w:tcPr>
            <w:tcW w:w="580" w:type="dxa"/>
            <w:vAlign w:val="bottom"/>
            <w:tcBorders>
              <w:bottom w:val="single" w:sz="8" w:color="auto"/>
            </w:tcBorders>
            <w:shd w:val="clear" w:color="auto" w:fill="D3ECED"/>
          </w:tcPr>
          <w:p>
            <w:pPr>
              <w:spacing w:after="0"/>
              <w:rPr>
                <w:sz w:val="20"/>
                <w:szCs w:val="20"/>
                <w:color w:val="auto"/>
              </w:rPr>
            </w:pPr>
          </w:p>
        </w:tc>
        <w:tc>
          <w:tcPr>
            <w:tcW w:w="220" w:type="dxa"/>
            <w:vAlign w:val="bottom"/>
            <w:tcBorders>
              <w:bottom w:val="single" w:sz="8" w:color="auto"/>
            </w:tcBorders>
            <w:shd w:val="clear" w:color="auto" w:fill="D3ECE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tcBorders>
              <w:bottom w:val="single" w:sz="8" w:color="FDFDFD"/>
            </w:tcBorders>
            <w:shd w:val="clear" w:color="auto" w:fill="D3ECED"/>
          </w:tcPr>
          <w:p>
            <w:pPr>
              <w:spacing w:after="0"/>
              <w:rPr>
                <w:sz w:val="20"/>
                <w:szCs w:val="20"/>
                <w:color w:val="auto"/>
              </w:rPr>
            </w:pPr>
          </w:p>
        </w:tc>
        <w:tc>
          <w:tcPr>
            <w:tcW w:w="120" w:type="dxa"/>
            <w:vAlign w:val="bottom"/>
            <w:tcBorders>
              <w:bottom w:val="single" w:sz="8" w:color="auto"/>
            </w:tcBorders>
            <w:shd w:val="clear" w:color="auto" w:fill="D3ECED"/>
          </w:tcPr>
          <w:p>
            <w:pPr>
              <w:spacing w:after="0"/>
              <w:rPr>
                <w:sz w:val="20"/>
                <w:szCs w:val="20"/>
                <w:color w:val="auto"/>
              </w:rPr>
            </w:pPr>
          </w:p>
        </w:tc>
        <w:tc>
          <w:tcPr>
            <w:tcW w:w="80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4,985</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0"/>
        </w:trPr>
        <w:tc>
          <w:tcPr>
            <w:tcW w:w="3680" w:type="dxa"/>
            <w:vAlign w:val="bottom"/>
            <w:shd w:val="clear" w:color="auto" w:fill="FDFDFD"/>
          </w:tcPr>
          <w:p>
            <w:pPr>
              <w:ind w:left="280"/>
              <w:spacing w:after="0"/>
              <w:rPr>
                <w:sz w:val="20"/>
                <w:szCs w:val="20"/>
                <w:color w:val="auto"/>
              </w:rPr>
            </w:pPr>
            <w:r>
              <w:rPr>
                <w:rFonts w:ascii="Arial" w:cs="Arial" w:eastAsia="Arial" w:hAnsi="Arial"/>
                <w:sz w:val="19"/>
                <w:szCs w:val="19"/>
                <w:color w:val="auto"/>
              </w:rPr>
              <w:t>Total cash equivalents</w:t>
            </w:r>
          </w:p>
        </w:tc>
        <w:tc>
          <w:tcPr>
            <w:tcW w:w="8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22,646</w:t>
            </w:r>
          </w:p>
        </w:tc>
        <w:tc>
          <w:tcPr>
            <w:tcW w:w="18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6,535</w:t>
            </w:r>
          </w:p>
        </w:tc>
        <w:tc>
          <w:tcPr>
            <w:tcW w:w="18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580" w:type="dxa"/>
            <w:vAlign w:val="bottom"/>
            <w:shd w:val="clear" w:color="auto" w:fill="FDFDFD"/>
          </w:tcPr>
          <w:p>
            <w:pPr>
              <w:spacing w:after="0"/>
              <w:rPr>
                <w:sz w:val="19"/>
                <w:szCs w:val="19"/>
                <w:color w:val="auto"/>
              </w:rPr>
            </w:pPr>
          </w:p>
        </w:tc>
        <w:tc>
          <w:tcPr>
            <w:tcW w:w="220" w:type="dxa"/>
            <w:vAlign w:val="bottom"/>
            <w:shd w:val="clear" w:color="auto" w:fill="FDFDF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29,181</w:t>
            </w:r>
          </w:p>
        </w:tc>
        <w:tc>
          <w:tcPr>
            <w:tcW w:w="80" w:type="dxa"/>
            <w:vAlign w:val="bottom"/>
            <w:shd w:val="clear" w:color="auto" w:fill="FDFDFD"/>
          </w:tcPr>
          <w:p>
            <w:pPr>
              <w:spacing w:after="0"/>
              <w:rPr>
                <w:sz w:val="19"/>
                <w:szCs w:val="19"/>
                <w:color w:val="auto"/>
              </w:rPr>
            </w:pPr>
          </w:p>
        </w:tc>
      </w:tr>
      <w:tr>
        <w:trPr>
          <w:trHeight w:val="230"/>
        </w:trPr>
        <w:tc>
          <w:tcPr>
            <w:tcW w:w="3680" w:type="dxa"/>
            <w:vAlign w:val="bottom"/>
            <w:shd w:val="clear" w:color="auto" w:fill="D3ECED"/>
          </w:tcPr>
          <w:p>
            <w:pPr>
              <w:spacing w:after="0"/>
              <w:rPr>
                <w:sz w:val="20"/>
                <w:szCs w:val="20"/>
                <w:color w:val="auto"/>
              </w:rPr>
            </w:pPr>
            <w:r>
              <w:rPr>
                <w:rFonts w:ascii="Arial" w:cs="Arial" w:eastAsia="Arial" w:hAnsi="Arial"/>
                <w:sz w:val="19"/>
                <w:szCs w:val="19"/>
                <w:color w:val="auto"/>
              </w:rPr>
              <w:t>Investments:</w:t>
            </w:r>
          </w:p>
        </w:tc>
        <w:tc>
          <w:tcPr>
            <w:tcW w:w="8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00" w:type="dxa"/>
            <w:vAlign w:val="bottom"/>
            <w:shd w:val="clear" w:color="auto" w:fill="D3ECED"/>
          </w:tcPr>
          <w:p>
            <w:pPr>
              <w:spacing w:after="0"/>
              <w:rPr>
                <w:sz w:val="20"/>
                <w:szCs w:val="20"/>
                <w:color w:val="auto"/>
              </w:rPr>
            </w:pPr>
          </w:p>
        </w:tc>
        <w:tc>
          <w:tcPr>
            <w:tcW w:w="18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800" w:type="dxa"/>
            <w:vAlign w:val="bottom"/>
            <w:shd w:val="clear" w:color="auto" w:fill="D3ECED"/>
          </w:tcPr>
          <w:p>
            <w:pPr>
              <w:spacing w:after="0"/>
              <w:rPr>
                <w:sz w:val="20"/>
                <w:szCs w:val="20"/>
                <w:color w:val="auto"/>
              </w:rPr>
            </w:pPr>
          </w:p>
        </w:tc>
        <w:tc>
          <w:tcPr>
            <w:tcW w:w="18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580" w:type="dxa"/>
            <w:vAlign w:val="bottom"/>
            <w:shd w:val="clear" w:color="auto" w:fill="D3ECED"/>
          </w:tcPr>
          <w:p>
            <w:pPr>
              <w:spacing w:after="0"/>
              <w:rPr>
                <w:sz w:val="20"/>
                <w:szCs w:val="20"/>
                <w:color w:val="auto"/>
              </w:rPr>
            </w:pPr>
          </w:p>
        </w:tc>
        <w:tc>
          <w:tcPr>
            <w:tcW w:w="220" w:type="dxa"/>
            <w:vAlign w:val="bottom"/>
            <w:shd w:val="clear" w:color="auto" w:fill="D3ECED"/>
          </w:tcPr>
          <w:p>
            <w:pPr>
              <w:spacing w:after="0"/>
              <w:rPr>
                <w:sz w:val="20"/>
                <w:szCs w:val="20"/>
                <w:color w:val="auto"/>
              </w:rPr>
            </w:pPr>
          </w:p>
        </w:tc>
        <w:tc>
          <w:tcPr>
            <w:tcW w:w="18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80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r>
      <w:tr>
        <w:trPr>
          <w:trHeight w:val="230"/>
        </w:trPr>
        <w:tc>
          <w:tcPr>
            <w:tcW w:w="3680" w:type="dxa"/>
            <w:vAlign w:val="bottom"/>
            <w:shd w:val="clear" w:color="auto" w:fill="FDFDFD"/>
          </w:tcPr>
          <w:p>
            <w:pPr>
              <w:ind w:left="180"/>
              <w:spacing w:after="0"/>
              <w:rPr>
                <w:sz w:val="20"/>
                <w:szCs w:val="20"/>
                <w:color w:val="auto"/>
              </w:rPr>
            </w:pPr>
            <w:r>
              <w:rPr>
                <w:rFonts w:ascii="Arial" w:cs="Arial" w:eastAsia="Arial" w:hAnsi="Arial"/>
                <w:sz w:val="19"/>
                <w:szCs w:val="19"/>
                <w:color w:val="auto"/>
              </w:rPr>
              <w:t>U.S. Treasury securities</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225,180</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580" w:type="dxa"/>
            <w:vAlign w:val="bottom"/>
            <w:shd w:val="clear" w:color="auto" w:fill="FDFDFD"/>
          </w:tcPr>
          <w:p>
            <w:pPr>
              <w:spacing w:after="0"/>
              <w:rPr>
                <w:sz w:val="20"/>
                <w:szCs w:val="20"/>
                <w:color w:val="auto"/>
              </w:rPr>
            </w:pPr>
          </w:p>
        </w:tc>
        <w:tc>
          <w:tcPr>
            <w:tcW w:w="220" w:type="dxa"/>
            <w:vAlign w:val="bottom"/>
            <w:shd w:val="clear" w:color="auto" w:fill="FDFDF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225,180</w:t>
            </w:r>
          </w:p>
        </w:tc>
        <w:tc>
          <w:tcPr>
            <w:tcW w:w="80" w:type="dxa"/>
            <w:vAlign w:val="bottom"/>
            <w:shd w:val="clear" w:color="auto" w:fill="FDFDFD"/>
          </w:tcPr>
          <w:p>
            <w:pPr>
              <w:spacing w:after="0"/>
              <w:rPr>
                <w:sz w:val="20"/>
                <w:szCs w:val="20"/>
                <w:color w:val="auto"/>
              </w:rPr>
            </w:pPr>
          </w:p>
        </w:tc>
      </w:tr>
      <w:tr>
        <w:trPr>
          <w:trHeight w:val="230"/>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U.S. Non-Treasury securities</w:t>
            </w:r>
          </w:p>
        </w:tc>
        <w:tc>
          <w:tcPr>
            <w:tcW w:w="8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11,901</w:t>
            </w:r>
          </w:p>
        </w:tc>
        <w:tc>
          <w:tcPr>
            <w:tcW w:w="18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580" w:type="dxa"/>
            <w:vAlign w:val="bottom"/>
            <w:shd w:val="clear" w:color="auto" w:fill="D3ECED"/>
          </w:tcPr>
          <w:p>
            <w:pPr>
              <w:spacing w:after="0"/>
              <w:rPr>
                <w:sz w:val="20"/>
                <w:szCs w:val="20"/>
                <w:color w:val="auto"/>
              </w:rPr>
            </w:pPr>
          </w:p>
        </w:tc>
        <w:tc>
          <w:tcPr>
            <w:tcW w:w="220" w:type="dxa"/>
            <w:vAlign w:val="bottom"/>
            <w:shd w:val="clear" w:color="auto" w:fill="D3ECE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11,901</w:t>
            </w:r>
          </w:p>
        </w:tc>
        <w:tc>
          <w:tcPr>
            <w:tcW w:w="80" w:type="dxa"/>
            <w:vAlign w:val="bottom"/>
            <w:shd w:val="clear" w:color="auto" w:fill="D3ECED"/>
          </w:tcPr>
          <w:p>
            <w:pPr>
              <w:spacing w:after="0"/>
              <w:rPr>
                <w:sz w:val="20"/>
                <w:szCs w:val="20"/>
                <w:color w:val="auto"/>
              </w:rPr>
            </w:pPr>
          </w:p>
        </w:tc>
      </w:tr>
      <w:tr>
        <w:trPr>
          <w:trHeight w:val="230"/>
        </w:trPr>
        <w:tc>
          <w:tcPr>
            <w:tcW w:w="3680" w:type="dxa"/>
            <w:vAlign w:val="bottom"/>
            <w:shd w:val="clear" w:color="auto" w:fill="FDFDFD"/>
          </w:tcPr>
          <w:p>
            <w:pPr>
              <w:ind w:left="180"/>
              <w:spacing w:after="0"/>
              <w:rPr>
                <w:sz w:val="20"/>
                <w:szCs w:val="20"/>
                <w:color w:val="auto"/>
              </w:rPr>
            </w:pPr>
            <w:r>
              <w:rPr>
                <w:rFonts w:ascii="Arial" w:cs="Arial" w:eastAsia="Arial" w:hAnsi="Arial"/>
                <w:sz w:val="19"/>
                <w:szCs w:val="19"/>
                <w:color w:val="auto"/>
              </w:rPr>
              <w:t>Commercial paper</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18,186</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580" w:type="dxa"/>
            <w:vAlign w:val="bottom"/>
            <w:shd w:val="clear" w:color="auto" w:fill="FDFDFD"/>
          </w:tcPr>
          <w:p>
            <w:pPr>
              <w:spacing w:after="0"/>
              <w:rPr>
                <w:sz w:val="20"/>
                <w:szCs w:val="20"/>
                <w:color w:val="auto"/>
              </w:rPr>
            </w:pPr>
          </w:p>
        </w:tc>
        <w:tc>
          <w:tcPr>
            <w:tcW w:w="220" w:type="dxa"/>
            <w:vAlign w:val="bottom"/>
            <w:shd w:val="clear" w:color="auto" w:fill="FDFDF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18,186</w:t>
            </w:r>
          </w:p>
        </w:tc>
        <w:tc>
          <w:tcPr>
            <w:tcW w:w="80" w:type="dxa"/>
            <w:vAlign w:val="bottom"/>
            <w:shd w:val="clear" w:color="auto" w:fill="FDFDFD"/>
          </w:tcPr>
          <w:p>
            <w:pPr>
              <w:spacing w:after="0"/>
              <w:rPr>
                <w:sz w:val="20"/>
                <w:szCs w:val="20"/>
                <w:color w:val="auto"/>
              </w:rPr>
            </w:pPr>
          </w:p>
        </w:tc>
      </w:tr>
      <w:tr>
        <w:trPr>
          <w:trHeight w:val="230"/>
        </w:trPr>
        <w:tc>
          <w:tcPr>
            <w:tcW w:w="3680" w:type="dxa"/>
            <w:vAlign w:val="bottom"/>
            <w:tcBorders>
              <w:bottom w:val="single" w:sz="8" w:color="FDFDFD"/>
            </w:tcBorders>
            <w:shd w:val="clear" w:color="auto" w:fill="D3ECED"/>
          </w:tcPr>
          <w:p>
            <w:pPr>
              <w:ind w:left="180"/>
              <w:spacing w:after="0"/>
              <w:rPr>
                <w:sz w:val="20"/>
                <w:szCs w:val="20"/>
                <w:color w:val="auto"/>
              </w:rPr>
            </w:pPr>
            <w:r>
              <w:rPr>
                <w:rFonts w:ascii="Arial" w:cs="Arial" w:eastAsia="Arial" w:hAnsi="Arial"/>
                <w:sz w:val="19"/>
                <w:szCs w:val="19"/>
                <w:color w:val="auto"/>
              </w:rPr>
              <w:t>Corporate debt securities</w:t>
            </w:r>
          </w:p>
        </w:tc>
        <w:tc>
          <w:tcPr>
            <w:tcW w:w="8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80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FDFDFD"/>
            </w:tcBorders>
            <w:shd w:val="clear" w:color="auto" w:fill="D3ECED"/>
          </w:tcPr>
          <w:p>
            <w:pPr>
              <w:spacing w:after="0"/>
              <w:rPr>
                <w:sz w:val="20"/>
                <w:szCs w:val="20"/>
                <w:color w:val="auto"/>
              </w:rPr>
            </w:pPr>
          </w:p>
        </w:tc>
        <w:tc>
          <w:tcPr>
            <w:tcW w:w="120" w:type="dxa"/>
            <w:vAlign w:val="bottom"/>
            <w:tcBorders>
              <w:bottom w:val="single" w:sz="8" w:color="auto"/>
            </w:tcBorders>
            <w:shd w:val="clear" w:color="auto" w:fill="D3ECED"/>
          </w:tcPr>
          <w:p>
            <w:pPr>
              <w:spacing w:after="0"/>
              <w:rPr>
                <w:sz w:val="20"/>
                <w:szCs w:val="20"/>
                <w:color w:val="auto"/>
              </w:rPr>
            </w:pPr>
          </w:p>
        </w:tc>
        <w:tc>
          <w:tcPr>
            <w:tcW w:w="80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85,316</w:t>
            </w:r>
          </w:p>
        </w:tc>
        <w:tc>
          <w:tcPr>
            <w:tcW w:w="180" w:type="dxa"/>
            <w:vAlign w:val="bottom"/>
            <w:tcBorders>
              <w:bottom w:val="single" w:sz="8" w:color="FDFDFD"/>
            </w:tcBorders>
            <w:shd w:val="clear" w:color="auto" w:fill="D3ECED"/>
          </w:tcPr>
          <w:p>
            <w:pPr>
              <w:spacing w:after="0"/>
              <w:rPr>
                <w:sz w:val="20"/>
                <w:szCs w:val="20"/>
                <w:color w:val="auto"/>
              </w:rPr>
            </w:pPr>
          </w:p>
        </w:tc>
        <w:tc>
          <w:tcPr>
            <w:tcW w:w="120" w:type="dxa"/>
            <w:vAlign w:val="bottom"/>
            <w:tcBorders>
              <w:bottom w:val="single" w:sz="8" w:color="auto"/>
            </w:tcBorders>
            <w:shd w:val="clear" w:color="auto" w:fill="D3ECED"/>
          </w:tcPr>
          <w:p>
            <w:pPr>
              <w:spacing w:after="0"/>
              <w:rPr>
                <w:sz w:val="20"/>
                <w:szCs w:val="20"/>
                <w:color w:val="auto"/>
              </w:rPr>
            </w:pPr>
          </w:p>
        </w:tc>
        <w:tc>
          <w:tcPr>
            <w:tcW w:w="580" w:type="dxa"/>
            <w:vAlign w:val="bottom"/>
            <w:tcBorders>
              <w:bottom w:val="single" w:sz="8" w:color="auto"/>
            </w:tcBorders>
            <w:shd w:val="clear" w:color="auto" w:fill="D3ECED"/>
          </w:tcPr>
          <w:p>
            <w:pPr>
              <w:spacing w:after="0"/>
              <w:rPr>
                <w:sz w:val="20"/>
                <w:szCs w:val="20"/>
                <w:color w:val="auto"/>
              </w:rPr>
            </w:pPr>
          </w:p>
        </w:tc>
        <w:tc>
          <w:tcPr>
            <w:tcW w:w="220" w:type="dxa"/>
            <w:vAlign w:val="bottom"/>
            <w:tcBorders>
              <w:bottom w:val="single" w:sz="8" w:color="auto"/>
            </w:tcBorders>
            <w:shd w:val="clear" w:color="auto" w:fill="D3ECE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tcBorders>
              <w:bottom w:val="single" w:sz="8" w:color="FDFDFD"/>
            </w:tcBorders>
            <w:shd w:val="clear" w:color="auto" w:fill="D3ECED"/>
          </w:tcPr>
          <w:p>
            <w:pPr>
              <w:spacing w:after="0"/>
              <w:rPr>
                <w:sz w:val="20"/>
                <w:szCs w:val="20"/>
                <w:color w:val="auto"/>
              </w:rPr>
            </w:pPr>
          </w:p>
        </w:tc>
        <w:tc>
          <w:tcPr>
            <w:tcW w:w="120" w:type="dxa"/>
            <w:vAlign w:val="bottom"/>
            <w:tcBorders>
              <w:bottom w:val="single" w:sz="8" w:color="auto"/>
            </w:tcBorders>
            <w:shd w:val="clear" w:color="auto" w:fill="D3ECED"/>
          </w:tcPr>
          <w:p>
            <w:pPr>
              <w:spacing w:after="0"/>
              <w:rPr>
                <w:sz w:val="20"/>
                <w:szCs w:val="20"/>
                <w:color w:val="auto"/>
              </w:rPr>
            </w:pPr>
          </w:p>
        </w:tc>
        <w:tc>
          <w:tcPr>
            <w:tcW w:w="80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85,316</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0"/>
        </w:trPr>
        <w:tc>
          <w:tcPr>
            <w:tcW w:w="3680" w:type="dxa"/>
            <w:vAlign w:val="bottom"/>
            <w:tcBorders>
              <w:bottom w:val="single" w:sz="8" w:color="D3ECED"/>
            </w:tcBorders>
            <w:shd w:val="clear" w:color="auto" w:fill="FDFDFD"/>
          </w:tcPr>
          <w:p>
            <w:pPr>
              <w:ind w:left="280"/>
              <w:spacing w:after="0"/>
              <w:rPr>
                <w:sz w:val="20"/>
                <w:szCs w:val="20"/>
                <w:color w:val="auto"/>
              </w:rPr>
            </w:pPr>
            <w:r>
              <w:rPr>
                <w:rFonts w:ascii="Arial" w:cs="Arial" w:eastAsia="Arial" w:hAnsi="Arial"/>
                <w:sz w:val="19"/>
                <w:szCs w:val="19"/>
                <w:color w:val="auto"/>
              </w:rPr>
              <w:t>Total investments</w:t>
            </w:r>
          </w:p>
        </w:tc>
        <w:tc>
          <w:tcPr>
            <w:tcW w:w="88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bottom w:val="single" w:sz="8" w:color="D3ECED"/>
            </w:tcBorders>
            <w:shd w:val="clear" w:color="auto" w:fill="FDFDFD"/>
          </w:tcPr>
          <w:p>
            <w:pPr>
              <w:spacing w:after="0"/>
              <w:rPr>
                <w:sz w:val="19"/>
                <w:szCs w:val="19"/>
                <w:color w:val="auto"/>
              </w:rPr>
            </w:pPr>
          </w:p>
        </w:tc>
        <w:tc>
          <w:tcPr>
            <w:tcW w:w="120" w:type="dxa"/>
            <w:vAlign w:val="bottom"/>
            <w:tcBorders>
              <w:bottom w:val="single" w:sz="8" w:color="auto"/>
            </w:tcBorders>
            <w:shd w:val="clear" w:color="auto" w:fill="FDFDFD"/>
          </w:tcPr>
          <w:p>
            <w:pPr>
              <w:spacing w:after="0"/>
              <w:rPr>
                <w:sz w:val="19"/>
                <w:szCs w:val="19"/>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340,583</w:t>
            </w:r>
          </w:p>
        </w:tc>
        <w:tc>
          <w:tcPr>
            <w:tcW w:w="180" w:type="dxa"/>
            <w:vAlign w:val="bottom"/>
            <w:tcBorders>
              <w:bottom w:val="single" w:sz="8" w:color="D3ECED"/>
            </w:tcBorders>
            <w:shd w:val="clear" w:color="auto" w:fill="FDFDFD"/>
          </w:tcPr>
          <w:p>
            <w:pPr>
              <w:spacing w:after="0"/>
              <w:rPr>
                <w:sz w:val="19"/>
                <w:szCs w:val="19"/>
                <w:color w:val="auto"/>
              </w:rPr>
            </w:pPr>
          </w:p>
        </w:tc>
        <w:tc>
          <w:tcPr>
            <w:tcW w:w="120" w:type="dxa"/>
            <w:vAlign w:val="bottom"/>
            <w:tcBorders>
              <w:bottom w:val="single" w:sz="8" w:color="auto"/>
            </w:tcBorders>
            <w:shd w:val="clear" w:color="auto" w:fill="FDFDFD"/>
          </w:tcPr>
          <w:p>
            <w:pPr>
              <w:spacing w:after="0"/>
              <w:rPr>
                <w:sz w:val="19"/>
                <w:szCs w:val="19"/>
                <w:color w:val="auto"/>
              </w:rPr>
            </w:pPr>
          </w:p>
        </w:tc>
        <w:tc>
          <w:tcPr>
            <w:tcW w:w="580" w:type="dxa"/>
            <w:vAlign w:val="bottom"/>
            <w:tcBorders>
              <w:bottom w:val="single" w:sz="8" w:color="auto"/>
            </w:tcBorders>
            <w:shd w:val="clear" w:color="auto" w:fill="FDFDFD"/>
          </w:tcPr>
          <w:p>
            <w:pPr>
              <w:spacing w:after="0"/>
              <w:rPr>
                <w:sz w:val="19"/>
                <w:szCs w:val="19"/>
                <w:color w:val="auto"/>
              </w:rPr>
            </w:pPr>
          </w:p>
        </w:tc>
        <w:tc>
          <w:tcPr>
            <w:tcW w:w="220" w:type="dxa"/>
            <w:vAlign w:val="bottom"/>
            <w:tcBorders>
              <w:bottom w:val="single" w:sz="8" w:color="auto"/>
            </w:tcBorders>
            <w:shd w:val="clear" w:color="auto" w:fill="FDFDF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tcBorders>
              <w:bottom w:val="single" w:sz="8" w:color="D3ECED"/>
            </w:tcBorders>
            <w:shd w:val="clear" w:color="auto" w:fill="FDFDFD"/>
          </w:tcPr>
          <w:p>
            <w:pPr>
              <w:spacing w:after="0"/>
              <w:rPr>
                <w:sz w:val="19"/>
                <w:szCs w:val="19"/>
                <w:color w:val="auto"/>
              </w:rPr>
            </w:pPr>
          </w:p>
        </w:tc>
        <w:tc>
          <w:tcPr>
            <w:tcW w:w="120" w:type="dxa"/>
            <w:vAlign w:val="bottom"/>
            <w:tcBorders>
              <w:bottom w:val="single" w:sz="8" w:color="auto"/>
            </w:tcBorders>
            <w:shd w:val="clear" w:color="auto" w:fill="FDFDFD"/>
          </w:tcPr>
          <w:p>
            <w:pPr>
              <w:spacing w:after="0"/>
              <w:rPr>
                <w:sz w:val="19"/>
                <w:szCs w:val="19"/>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340,583</w:t>
            </w:r>
          </w:p>
        </w:tc>
        <w:tc>
          <w:tcPr>
            <w:tcW w:w="80" w:type="dxa"/>
            <w:vAlign w:val="bottom"/>
            <w:tcBorders>
              <w:bottom w:val="single" w:sz="8" w:color="D3ECED"/>
            </w:tcBorders>
            <w:shd w:val="clear" w:color="auto" w:fill="FDFDFD"/>
          </w:tcPr>
          <w:p>
            <w:pPr>
              <w:spacing w:after="0"/>
              <w:rPr>
                <w:sz w:val="19"/>
                <w:szCs w:val="19"/>
                <w:color w:val="auto"/>
              </w:rPr>
            </w:pPr>
          </w:p>
        </w:tc>
      </w:tr>
      <w:tr>
        <w:trPr>
          <w:trHeight w:val="222"/>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Total assets measured at fair value</w:t>
            </w:r>
          </w:p>
        </w:tc>
        <w:tc>
          <w:tcPr>
            <w:tcW w:w="88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22,646</w:t>
            </w: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347,118</w:t>
            </w: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580" w:type="dxa"/>
            <w:vAlign w:val="bottom"/>
            <w:shd w:val="clear" w:color="auto" w:fill="D3ECED"/>
          </w:tcPr>
          <w:p>
            <w:pPr>
              <w:spacing w:after="0"/>
              <w:rPr>
                <w:sz w:val="19"/>
                <w:szCs w:val="19"/>
                <w:color w:val="auto"/>
              </w:rPr>
            </w:pPr>
          </w:p>
        </w:tc>
        <w:tc>
          <w:tcPr>
            <w:tcW w:w="220" w:type="dxa"/>
            <w:vAlign w:val="bottom"/>
            <w:shd w:val="clear" w:color="auto" w:fill="D3ECED"/>
          </w:tcPr>
          <w:p>
            <w:pPr>
              <w:ind w:left="20"/>
              <w:spacing w:after="0"/>
              <w:rPr>
                <w:sz w:val="20"/>
                <w:szCs w:val="20"/>
                <w:color w:val="auto"/>
              </w:rPr>
            </w:pPr>
            <w:r>
              <w:rPr>
                <w:rFonts w:ascii="Arial" w:cs="Arial" w:eastAsia="Arial" w:hAnsi="Arial"/>
                <w:sz w:val="19"/>
                <w:szCs w:val="19"/>
                <w:color w:val="auto"/>
                <w:w w:val="94"/>
              </w:rPr>
              <w:t>—</w:t>
            </w:r>
          </w:p>
        </w:tc>
        <w:tc>
          <w:tcPr>
            <w:tcW w:w="180" w:type="dxa"/>
            <w:vAlign w:val="bottom"/>
            <w:shd w:val="clear" w:color="auto" w:fill="D3ECED"/>
          </w:tcPr>
          <w:p>
            <w:pPr>
              <w:spacing w:after="0"/>
              <w:rPr>
                <w:sz w:val="19"/>
                <w:szCs w:val="19"/>
                <w:color w:val="auto"/>
              </w:rPr>
            </w:pP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369,764</w:t>
            </w:r>
          </w:p>
        </w:tc>
        <w:tc>
          <w:tcPr>
            <w:tcW w:w="80" w:type="dxa"/>
            <w:vAlign w:val="bottom"/>
            <w:shd w:val="clear" w:color="auto" w:fill="D3ECE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-2358390</wp:posOffset>
            </wp:positionV>
            <wp:extent cx="2694305" cy="520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75">
                      <a:extLst>
                        <a:ext uri="{28A0092B-C50C-407E-A947-70E740481C1C}"/>
                      </a:extLst>
                    </a:blip>
                    <a:srcRect/>
                    <a:stretch>
                      <a:fillRect/>
                    </a:stretch>
                  </pic:blipFill>
                  <pic:spPr bwMode="auto">
                    <a:xfrm>
                      <a:off x="0" y="0"/>
                      <a:ext cx="2694305" cy="52070"/>
                    </a:xfrm>
                    <a:prstGeom prst="rect">
                      <a:avLst/>
                    </a:prstGeom>
                    <a:noFill/>
                  </pic:spPr>
                </pic:pic>
              </a:graphicData>
            </a:graphic>
          </wp:anchor>
        </w:drawing>
        <w:drawing>
          <wp:anchor simplePos="0" relativeHeight="251657728" behindDoc="1" locked="0" layoutInCell="0" allowOverlap="1">
            <wp:simplePos x="0" y="0"/>
            <wp:positionH relativeFrom="column">
              <wp:posOffset>3043555</wp:posOffset>
            </wp:positionH>
            <wp:positionV relativeFrom="paragraph">
              <wp:posOffset>-13335</wp:posOffset>
            </wp:positionV>
            <wp:extent cx="2694305" cy="533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76">
                      <a:extLst>
                        <a:ext uri="{28A0092B-C50C-407E-A947-70E740481C1C}"/>
                      </a:extLst>
                    </a:blip>
                    <a:srcRect/>
                    <a:stretch>
                      <a:fillRect/>
                    </a:stretch>
                  </pic:blipFill>
                  <pic:spPr bwMode="auto">
                    <a:xfrm>
                      <a:off x="0" y="0"/>
                      <a:ext cx="2694305" cy="53340"/>
                    </a:xfrm>
                    <a:prstGeom prst="rect">
                      <a:avLst/>
                    </a:prstGeom>
                    <a:noFill/>
                  </pic:spPr>
                </pic:pic>
              </a:graphicData>
            </a:graphic>
          </wp:anchor>
        </w:drawing>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2240" w:h="15840" w:orient="portrait"/>
          <w:cols w:equalWidth="0" w:num="1">
            <w:col w:w="9360"/>
          </w:cols>
          <w:pgMar w:left="1440" w:top="1358" w:right="1440" w:bottom="624"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320"/>
        <w:spacing w:after="0" w:line="292" w:lineRule="auto"/>
        <w:rPr>
          <w:sz w:val="20"/>
          <w:szCs w:val="20"/>
          <w:color w:val="auto"/>
        </w:rPr>
      </w:pPr>
      <w:r>
        <w:rPr>
          <w:rFonts w:ascii="Arial" w:cs="Arial" w:eastAsia="Arial" w:hAnsi="Arial"/>
          <w:sz w:val="19"/>
          <w:szCs w:val="19"/>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32" w:lineRule="exact"/>
        <w:rPr>
          <w:sz w:val="20"/>
          <w:szCs w:val="20"/>
          <w:color w:val="auto"/>
        </w:rPr>
      </w:pPr>
    </w:p>
    <w:p>
      <w:pPr>
        <w:ind w:left="260" w:right="480"/>
        <w:spacing w:after="0" w:line="355" w:lineRule="auto"/>
        <w:rPr>
          <w:sz w:val="20"/>
          <w:szCs w:val="20"/>
          <w:color w:val="auto"/>
        </w:rPr>
      </w:pPr>
      <w:r>
        <w:rPr>
          <w:rFonts w:ascii="Arial" w:cs="Arial" w:eastAsia="Arial" w:hAnsi="Arial"/>
          <w:sz w:val="18"/>
          <w:szCs w:val="18"/>
          <w:color w:val="auto"/>
        </w:rPr>
        <w:t>The carrying amount of the Company’s accounts receivable, other receivables, prepaid expenses and other current assets, accounts payable and accrued expenses approximate fair value due to their short maturities.</w:t>
      </w:r>
    </w:p>
    <w:p>
      <w:pPr>
        <w:spacing w:after="0" w:line="78" w:lineRule="exact"/>
        <w:rPr>
          <w:sz w:val="20"/>
          <w:szCs w:val="20"/>
          <w:color w:val="auto"/>
        </w:rPr>
      </w:pPr>
    </w:p>
    <w:p>
      <w:pPr>
        <w:ind w:left="260" w:right="520"/>
        <w:spacing w:after="0" w:line="324" w:lineRule="auto"/>
        <w:rPr>
          <w:sz w:val="20"/>
          <w:szCs w:val="20"/>
          <w:color w:val="auto"/>
        </w:rPr>
      </w:pPr>
      <w:r>
        <w:rPr>
          <w:rFonts w:ascii="Arial" w:cs="Arial" w:eastAsia="Arial" w:hAnsi="Arial"/>
          <w:sz w:val="19"/>
          <w:szCs w:val="19"/>
          <w:color w:val="auto"/>
        </w:rPr>
        <w:t>The following is a summary of the Company’s cash equivalents and investments and the gross unrealized holding gains and losses (in thousands):</w:t>
      </w:r>
    </w:p>
    <w:p>
      <w:pPr>
        <w:spacing w:after="0" w:line="189"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3680" w:type="dxa"/>
            <w:vAlign w:val="bottom"/>
            <w:tcBorders>
              <w:bottom w:val="single" w:sz="8" w:color="FDFDFD"/>
            </w:tcBorders>
            <w:shd w:val="clear" w:color="auto" w:fill="FDFDFD"/>
          </w:tcPr>
          <w:p>
            <w:pPr>
              <w:spacing w:after="0"/>
              <w:rPr>
                <w:sz w:val="16"/>
                <w:szCs w:val="16"/>
                <w:color w:val="auto"/>
              </w:rPr>
            </w:pPr>
          </w:p>
        </w:tc>
        <w:tc>
          <w:tcPr>
            <w:tcW w:w="88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00" w:type="dxa"/>
            <w:vAlign w:val="bottom"/>
            <w:tcBorders>
              <w:bottom w:val="single" w:sz="8" w:color="auto"/>
            </w:tcBorders>
            <w:shd w:val="clear" w:color="auto" w:fill="FDFDFD"/>
          </w:tcPr>
          <w:p>
            <w:pPr>
              <w:spacing w:after="0"/>
              <w:rPr>
                <w:sz w:val="16"/>
                <w:szCs w:val="16"/>
                <w:color w:val="auto"/>
              </w:rPr>
            </w:pPr>
          </w:p>
        </w:tc>
        <w:tc>
          <w:tcPr>
            <w:tcW w:w="180" w:type="dxa"/>
            <w:vAlign w:val="bottom"/>
            <w:tcBorders>
              <w:bottom w:val="single" w:sz="8" w:color="auto"/>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2000" w:type="dxa"/>
            <w:vAlign w:val="bottom"/>
            <w:tcBorders>
              <w:bottom w:val="single" w:sz="8" w:color="auto"/>
            </w:tcBorders>
            <w:gridSpan w:val="5"/>
            <w:shd w:val="clear" w:color="auto" w:fill="FDFDFD"/>
          </w:tcPr>
          <w:p>
            <w:pPr>
              <w:jc w:val="right"/>
              <w:ind w:right="480"/>
              <w:spacing w:after="0"/>
              <w:rPr>
                <w:sz w:val="20"/>
                <w:szCs w:val="20"/>
                <w:color w:val="auto"/>
              </w:rPr>
            </w:pPr>
            <w:r>
              <w:rPr>
                <w:rFonts w:ascii="Arial" w:cs="Arial" w:eastAsia="Arial" w:hAnsi="Arial"/>
                <w:sz w:val="15"/>
                <w:szCs w:val="15"/>
                <w:b w:val="1"/>
                <w:bCs w:val="1"/>
                <w:color w:val="auto"/>
              </w:rPr>
              <w:t>December 31, 2024</w:t>
            </w:r>
          </w:p>
        </w:tc>
        <w:tc>
          <w:tcPr>
            <w:tcW w:w="100" w:type="dxa"/>
            <w:vAlign w:val="bottom"/>
            <w:tcBorders>
              <w:bottom w:val="single" w:sz="8" w:color="auto"/>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2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r>
      <w:tr>
        <w:trPr>
          <w:trHeight w:val="160"/>
        </w:trPr>
        <w:tc>
          <w:tcPr>
            <w:tcW w:w="3680" w:type="dxa"/>
            <w:vAlign w:val="bottom"/>
            <w:shd w:val="clear" w:color="auto" w:fill="FDFDFD"/>
          </w:tcPr>
          <w:p>
            <w:pPr>
              <w:spacing w:after="0"/>
              <w:rPr>
                <w:sz w:val="13"/>
                <w:szCs w:val="13"/>
                <w:color w:val="auto"/>
              </w:rPr>
            </w:pPr>
          </w:p>
        </w:tc>
        <w:tc>
          <w:tcPr>
            <w:tcW w:w="8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00" w:type="dxa"/>
            <w:vAlign w:val="bottom"/>
            <w:shd w:val="clear" w:color="auto" w:fill="FDFDFD"/>
          </w:tcPr>
          <w:p>
            <w:pPr>
              <w:spacing w:after="0" w:line="160" w:lineRule="exact"/>
              <w:rPr>
                <w:sz w:val="20"/>
                <w:szCs w:val="20"/>
                <w:color w:val="auto"/>
              </w:rPr>
            </w:pPr>
            <w:r>
              <w:rPr>
                <w:rFonts w:ascii="Arial" w:cs="Arial" w:eastAsia="Arial" w:hAnsi="Arial"/>
                <w:sz w:val="15"/>
                <w:szCs w:val="15"/>
                <w:b w:val="1"/>
                <w:bCs w:val="1"/>
                <w:color w:val="auto"/>
              </w:rPr>
              <w:t>Amortized</w:t>
            </w:r>
          </w:p>
        </w:tc>
        <w:tc>
          <w:tcPr>
            <w:tcW w:w="1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ind w:right="10"/>
              <w:spacing w:after="0" w:line="160" w:lineRule="exact"/>
              <w:rPr>
                <w:sz w:val="20"/>
                <w:szCs w:val="20"/>
                <w:color w:val="auto"/>
              </w:rPr>
            </w:pPr>
            <w:r>
              <w:rPr>
                <w:rFonts w:ascii="Arial" w:cs="Arial" w:eastAsia="Arial" w:hAnsi="Arial"/>
                <w:sz w:val="15"/>
                <w:szCs w:val="15"/>
                <w:b w:val="1"/>
                <w:bCs w:val="1"/>
                <w:color w:val="auto"/>
                <w:w w:val="94"/>
              </w:rPr>
              <w:t>Unrealized</w:t>
            </w:r>
          </w:p>
        </w:tc>
        <w:tc>
          <w:tcPr>
            <w:tcW w:w="1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ind w:right="29"/>
              <w:spacing w:after="0" w:line="160" w:lineRule="exact"/>
              <w:rPr>
                <w:sz w:val="20"/>
                <w:szCs w:val="20"/>
                <w:color w:val="auto"/>
              </w:rPr>
            </w:pPr>
            <w:r>
              <w:rPr>
                <w:rFonts w:ascii="Arial" w:cs="Arial" w:eastAsia="Arial" w:hAnsi="Arial"/>
                <w:sz w:val="15"/>
                <w:szCs w:val="15"/>
                <w:b w:val="1"/>
                <w:bCs w:val="1"/>
                <w:color w:val="auto"/>
                <w:w w:val="92"/>
              </w:rPr>
              <w:t>Unrealized</w:t>
            </w:r>
          </w:p>
        </w:tc>
        <w:tc>
          <w:tcPr>
            <w:tcW w:w="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r>
      <w:tr>
        <w:trPr>
          <w:trHeight w:val="190"/>
        </w:trPr>
        <w:tc>
          <w:tcPr>
            <w:tcW w:w="3680" w:type="dxa"/>
            <w:vAlign w:val="bottom"/>
            <w:tcBorders>
              <w:bottom w:val="single" w:sz="8" w:color="D3ECED"/>
            </w:tcBorders>
            <w:shd w:val="clear" w:color="auto" w:fill="FDFDFD"/>
          </w:tcPr>
          <w:p>
            <w:pPr>
              <w:spacing w:after="0"/>
              <w:rPr>
                <w:sz w:val="16"/>
                <w:szCs w:val="16"/>
                <w:color w:val="auto"/>
              </w:rPr>
            </w:pPr>
          </w:p>
        </w:tc>
        <w:tc>
          <w:tcPr>
            <w:tcW w:w="880" w:type="dxa"/>
            <w:vAlign w:val="bottom"/>
            <w:tcBorders>
              <w:bottom w:val="single" w:sz="8" w:color="D3ECE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00" w:type="dxa"/>
            <w:vAlign w:val="bottom"/>
            <w:tcBorders>
              <w:bottom w:val="single" w:sz="8" w:color="auto"/>
            </w:tcBorders>
            <w:shd w:val="clear" w:color="auto" w:fill="FDFDFD"/>
          </w:tcPr>
          <w:p>
            <w:pPr>
              <w:spacing w:after="0"/>
              <w:rPr>
                <w:sz w:val="20"/>
                <w:szCs w:val="20"/>
                <w:color w:val="auto"/>
              </w:rPr>
            </w:pPr>
            <w:r>
              <w:rPr>
                <w:rFonts w:ascii="Arial" w:cs="Arial" w:eastAsia="Arial" w:hAnsi="Arial"/>
                <w:sz w:val="15"/>
                <w:szCs w:val="15"/>
                <w:b w:val="1"/>
                <w:bCs w:val="1"/>
                <w:color w:val="auto"/>
              </w:rPr>
              <w:t>Cost Basis</w:t>
            </w:r>
          </w:p>
        </w:tc>
        <w:tc>
          <w:tcPr>
            <w:tcW w:w="180" w:type="dxa"/>
            <w:vAlign w:val="bottom"/>
            <w:tcBorders>
              <w:bottom w:val="single" w:sz="8" w:color="D3ECE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20" w:type="dxa"/>
            <w:vAlign w:val="bottom"/>
            <w:tcBorders>
              <w:bottom w:val="single" w:sz="8" w:color="auto"/>
            </w:tcBorders>
            <w:shd w:val="clear" w:color="auto" w:fill="FDFDFD"/>
          </w:tcPr>
          <w:p>
            <w:pPr>
              <w:jc w:val="center"/>
              <w:ind w:right="30"/>
              <w:spacing w:after="0"/>
              <w:rPr>
                <w:sz w:val="20"/>
                <w:szCs w:val="20"/>
                <w:color w:val="auto"/>
              </w:rPr>
            </w:pPr>
            <w:r>
              <w:rPr>
                <w:rFonts w:ascii="Arial" w:cs="Arial" w:eastAsia="Arial" w:hAnsi="Arial"/>
                <w:sz w:val="15"/>
                <w:szCs w:val="15"/>
                <w:b w:val="1"/>
                <w:bCs w:val="1"/>
                <w:color w:val="auto"/>
                <w:w w:val="91"/>
              </w:rPr>
              <w:t>Gains</w:t>
            </w:r>
          </w:p>
        </w:tc>
        <w:tc>
          <w:tcPr>
            <w:tcW w:w="180" w:type="dxa"/>
            <w:vAlign w:val="bottom"/>
            <w:tcBorders>
              <w:bottom w:val="single" w:sz="8" w:color="D3ECE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20" w:type="dxa"/>
            <w:vAlign w:val="bottom"/>
            <w:tcBorders>
              <w:bottom w:val="single" w:sz="8" w:color="auto"/>
            </w:tcBorders>
            <w:shd w:val="clear" w:color="auto" w:fill="FDFDFD"/>
          </w:tcPr>
          <w:p>
            <w:pPr>
              <w:jc w:val="center"/>
              <w:ind w:right="29"/>
              <w:spacing w:after="0"/>
              <w:rPr>
                <w:sz w:val="20"/>
                <w:szCs w:val="20"/>
                <w:color w:val="auto"/>
              </w:rPr>
            </w:pPr>
            <w:r>
              <w:rPr>
                <w:rFonts w:ascii="Arial" w:cs="Arial" w:eastAsia="Arial" w:hAnsi="Arial"/>
                <w:sz w:val="15"/>
                <w:szCs w:val="15"/>
                <w:b w:val="1"/>
                <w:bCs w:val="1"/>
                <w:color w:val="auto"/>
                <w:w w:val="81"/>
              </w:rPr>
              <w:t>Losses</w:t>
            </w:r>
          </w:p>
        </w:tc>
        <w:tc>
          <w:tcPr>
            <w:tcW w:w="80" w:type="dxa"/>
            <w:vAlign w:val="bottom"/>
            <w:tcBorders>
              <w:bottom w:val="single" w:sz="8" w:color="D3ECED"/>
            </w:tcBorders>
            <w:shd w:val="clear" w:color="auto" w:fill="FDFDFD"/>
          </w:tcPr>
          <w:p>
            <w:pPr>
              <w:spacing w:after="0"/>
              <w:rPr>
                <w:sz w:val="16"/>
                <w:szCs w:val="16"/>
                <w:color w:val="auto"/>
              </w:rPr>
            </w:pPr>
          </w:p>
        </w:tc>
        <w:tc>
          <w:tcPr>
            <w:tcW w:w="100" w:type="dxa"/>
            <w:vAlign w:val="bottom"/>
            <w:tcBorders>
              <w:bottom w:val="single" w:sz="8" w:color="D3ECE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20" w:type="dxa"/>
            <w:vAlign w:val="bottom"/>
            <w:tcBorders>
              <w:bottom w:val="single" w:sz="8" w:color="auto"/>
            </w:tcBorders>
            <w:shd w:val="clear" w:color="auto" w:fill="FDFDFD"/>
          </w:tcPr>
          <w:p>
            <w:pPr>
              <w:jc w:val="right"/>
              <w:ind w:right="27"/>
              <w:spacing w:after="0"/>
              <w:rPr>
                <w:sz w:val="20"/>
                <w:szCs w:val="20"/>
                <w:color w:val="auto"/>
              </w:rPr>
            </w:pPr>
            <w:r>
              <w:rPr>
                <w:rFonts w:ascii="Arial" w:cs="Arial" w:eastAsia="Arial" w:hAnsi="Arial"/>
                <w:sz w:val="15"/>
                <w:szCs w:val="15"/>
                <w:b w:val="1"/>
                <w:bCs w:val="1"/>
                <w:color w:val="auto"/>
                <w:w w:val="94"/>
              </w:rPr>
              <w:t>Fair Value</w:t>
            </w:r>
          </w:p>
        </w:tc>
        <w:tc>
          <w:tcPr>
            <w:tcW w:w="80" w:type="dxa"/>
            <w:vAlign w:val="bottom"/>
            <w:tcBorders>
              <w:bottom w:val="single" w:sz="8" w:color="D3ECED"/>
            </w:tcBorders>
            <w:shd w:val="clear" w:color="auto" w:fill="FDFDFD"/>
          </w:tcPr>
          <w:p>
            <w:pPr>
              <w:spacing w:after="0"/>
              <w:rPr>
                <w:sz w:val="16"/>
                <w:szCs w:val="16"/>
                <w:color w:val="auto"/>
              </w:rPr>
            </w:pPr>
          </w:p>
        </w:tc>
      </w:tr>
      <w:tr>
        <w:trPr>
          <w:trHeight w:val="220"/>
        </w:trPr>
        <w:tc>
          <w:tcPr>
            <w:tcW w:w="3680" w:type="dxa"/>
            <w:vAlign w:val="bottom"/>
            <w:shd w:val="clear" w:color="auto" w:fill="D3ECED"/>
          </w:tcPr>
          <w:p>
            <w:pPr>
              <w:spacing w:after="0"/>
              <w:rPr>
                <w:sz w:val="20"/>
                <w:szCs w:val="20"/>
                <w:color w:val="auto"/>
              </w:rPr>
            </w:pPr>
            <w:r>
              <w:rPr>
                <w:rFonts w:ascii="Arial" w:cs="Arial" w:eastAsia="Arial" w:hAnsi="Arial"/>
                <w:sz w:val="19"/>
                <w:szCs w:val="19"/>
                <w:color w:val="auto"/>
              </w:rPr>
              <w:t>Assets:</w:t>
            </w:r>
          </w:p>
        </w:tc>
        <w:tc>
          <w:tcPr>
            <w:tcW w:w="8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00" w:type="dxa"/>
            <w:vAlign w:val="bottom"/>
            <w:shd w:val="clear" w:color="auto" w:fill="D3ECED"/>
          </w:tcPr>
          <w:p>
            <w:pPr>
              <w:spacing w:after="0"/>
              <w:rPr>
                <w:sz w:val="19"/>
                <w:szCs w:val="19"/>
                <w:color w:val="auto"/>
              </w:rPr>
            </w:pPr>
          </w:p>
        </w:tc>
        <w:tc>
          <w:tcPr>
            <w:tcW w:w="1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20" w:type="dxa"/>
            <w:vAlign w:val="bottom"/>
            <w:shd w:val="clear" w:color="auto" w:fill="D3ECED"/>
          </w:tcPr>
          <w:p>
            <w:pPr>
              <w:spacing w:after="0"/>
              <w:rPr>
                <w:sz w:val="19"/>
                <w:szCs w:val="19"/>
                <w:color w:val="auto"/>
              </w:rPr>
            </w:pPr>
          </w:p>
        </w:tc>
        <w:tc>
          <w:tcPr>
            <w:tcW w:w="1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2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2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r>
      <w:tr>
        <w:trPr>
          <w:trHeight w:val="230"/>
        </w:trPr>
        <w:tc>
          <w:tcPr>
            <w:tcW w:w="3680" w:type="dxa"/>
            <w:vAlign w:val="bottom"/>
            <w:shd w:val="clear" w:color="auto" w:fill="FDFDFD"/>
          </w:tcPr>
          <w:p>
            <w:pPr>
              <w:spacing w:after="0"/>
              <w:rPr>
                <w:sz w:val="20"/>
                <w:szCs w:val="20"/>
                <w:color w:val="auto"/>
              </w:rPr>
            </w:pPr>
            <w:r>
              <w:rPr>
                <w:rFonts w:ascii="Arial" w:cs="Arial" w:eastAsia="Arial" w:hAnsi="Arial"/>
                <w:sz w:val="19"/>
                <w:szCs w:val="19"/>
                <w:color w:val="auto"/>
              </w:rPr>
              <w:t>Cash equivalents:</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r>
      <w:tr>
        <w:trPr>
          <w:trHeight w:val="230"/>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Money market funds</w:t>
            </w:r>
          </w:p>
        </w:tc>
        <w:tc>
          <w:tcPr>
            <w:tcW w:w="98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36,097</w:t>
            </w:r>
          </w:p>
        </w:tc>
        <w:tc>
          <w:tcPr>
            <w:tcW w:w="28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28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900" w:type="dxa"/>
            <w:vAlign w:val="bottom"/>
            <w:gridSpan w:val="2"/>
            <w:shd w:val="clear" w:color="auto" w:fill="D3ECED"/>
          </w:tcPr>
          <w:p>
            <w:pPr>
              <w:jc w:val="right"/>
              <w:ind w:right="100"/>
              <w:spacing w:after="0"/>
              <w:rPr>
                <w:sz w:val="20"/>
                <w:szCs w:val="20"/>
                <w:color w:val="auto"/>
              </w:rPr>
            </w:pPr>
            <w:r>
              <w:rPr>
                <w:rFonts w:ascii="Arial" w:cs="Arial" w:eastAsia="Arial" w:hAnsi="Arial"/>
                <w:sz w:val="19"/>
                <w:szCs w:val="19"/>
                <w:color w:val="auto"/>
              </w:rPr>
              <w:t>—</w:t>
            </w:r>
          </w:p>
        </w:tc>
        <w:tc>
          <w:tcPr>
            <w:tcW w:w="20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36,097</w:t>
            </w:r>
          </w:p>
        </w:tc>
        <w:tc>
          <w:tcPr>
            <w:tcW w:w="80" w:type="dxa"/>
            <w:vAlign w:val="bottom"/>
            <w:shd w:val="clear" w:color="auto" w:fill="D3ECED"/>
          </w:tcPr>
          <w:p>
            <w:pPr>
              <w:spacing w:after="0"/>
              <w:rPr>
                <w:sz w:val="20"/>
                <w:szCs w:val="20"/>
                <w:color w:val="auto"/>
              </w:rPr>
            </w:pPr>
          </w:p>
        </w:tc>
      </w:tr>
      <w:tr>
        <w:trPr>
          <w:trHeight w:val="230"/>
        </w:trPr>
        <w:tc>
          <w:tcPr>
            <w:tcW w:w="3680" w:type="dxa"/>
            <w:vAlign w:val="bottom"/>
            <w:shd w:val="clear" w:color="auto" w:fill="FDFDFD"/>
          </w:tcPr>
          <w:p>
            <w:pPr>
              <w:ind w:left="180"/>
              <w:spacing w:after="0"/>
              <w:rPr>
                <w:sz w:val="20"/>
                <w:szCs w:val="20"/>
                <w:color w:val="auto"/>
              </w:rPr>
            </w:pPr>
            <w:r>
              <w:rPr>
                <w:rFonts w:ascii="Arial" w:cs="Arial" w:eastAsia="Arial" w:hAnsi="Arial"/>
                <w:sz w:val="19"/>
                <w:szCs w:val="19"/>
                <w:color w:val="auto"/>
              </w:rPr>
              <w:t>Commercial paper</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4,191</w:t>
            </w: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900" w:type="dxa"/>
            <w:vAlign w:val="bottom"/>
            <w:gridSpan w:val="2"/>
            <w:shd w:val="clear" w:color="auto" w:fill="FDFDFD"/>
          </w:tcPr>
          <w:p>
            <w:pPr>
              <w:jc w:val="right"/>
              <w:ind w:right="100"/>
              <w:spacing w:after="0"/>
              <w:rPr>
                <w:sz w:val="20"/>
                <w:szCs w:val="20"/>
                <w:color w:val="auto"/>
              </w:rPr>
            </w:pPr>
            <w:r>
              <w:rPr>
                <w:rFonts w:ascii="Arial" w:cs="Arial" w:eastAsia="Arial" w:hAnsi="Arial"/>
                <w:sz w:val="19"/>
                <w:szCs w:val="19"/>
                <w:color w:val="auto"/>
              </w:rPr>
              <w:t>—</w:t>
            </w:r>
          </w:p>
        </w:tc>
        <w:tc>
          <w:tcPr>
            <w:tcW w:w="10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4,191</w:t>
            </w:r>
          </w:p>
        </w:tc>
        <w:tc>
          <w:tcPr>
            <w:tcW w:w="80" w:type="dxa"/>
            <w:vAlign w:val="bottom"/>
            <w:shd w:val="clear" w:color="auto" w:fill="FDFDFD"/>
          </w:tcPr>
          <w:p>
            <w:pPr>
              <w:spacing w:after="0"/>
              <w:rPr>
                <w:sz w:val="20"/>
                <w:szCs w:val="20"/>
                <w:color w:val="auto"/>
              </w:rPr>
            </w:pPr>
          </w:p>
        </w:tc>
      </w:tr>
      <w:tr>
        <w:trPr>
          <w:trHeight w:val="220"/>
        </w:trPr>
        <w:tc>
          <w:tcPr>
            <w:tcW w:w="3680" w:type="dxa"/>
            <w:vAlign w:val="bottom"/>
            <w:tcBorders>
              <w:top w:val="single" w:sz="8" w:color="D3ECED"/>
            </w:tcBorders>
            <w:shd w:val="clear" w:color="auto" w:fill="D3ECED"/>
          </w:tcPr>
          <w:p>
            <w:pPr>
              <w:ind w:left="280"/>
              <w:spacing w:after="0"/>
              <w:rPr>
                <w:sz w:val="20"/>
                <w:szCs w:val="20"/>
                <w:color w:val="auto"/>
              </w:rPr>
            </w:pPr>
            <w:r>
              <w:rPr>
                <w:rFonts w:ascii="Arial" w:cs="Arial" w:eastAsia="Arial" w:hAnsi="Arial"/>
                <w:sz w:val="19"/>
                <w:szCs w:val="19"/>
                <w:color w:val="auto"/>
              </w:rPr>
              <w:t>Total cash equivalents</w:t>
            </w:r>
          </w:p>
        </w:tc>
        <w:tc>
          <w:tcPr>
            <w:tcW w:w="880" w:type="dxa"/>
            <w:vAlign w:val="bottom"/>
            <w:tcBorders>
              <w:top w:val="single" w:sz="8" w:color="D3ECED"/>
            </w:tcBorders>
            <w:shd w:val="clear" w:color="auto" w:fill="D3ECED"/>
          </w:tcPr>
          <w:p>
            <w:pPr>
              <w:spacing w:after="0"/>
              <w:rPr>
                <w:sz w:val="19"/>
                <w:szCs w:val="19"/>
                <w:color w:val="auto"/>
              </w:rPr>
            </w:pPr>
          </w:p>
        </w:tc>
        <w:tc>
          <w:tcPr>
            <w:tcW w:w="100" w:type="dxa"/>
            <w:vAlign w:val="bottom"/>
            <w:tcBorders>
              <w:top w:val="single" w:sz="8" w:color="auto"/>
            </w:tcBorders>
            <w:shd w:val="clear" w:color="auto" w:fill="D3ECED"/>
          </w:tcPr>
          <w:p>
            <w:pPr>
              <w:spacing w:after="0"/>
              <w:rPr>
                <w:sz w:val="19"/>
                <w:szCs w:val="19"/>
                <w:color w:val="auto"/>
              </w:rPr>
            </w:pPr>
          </w:p>
        </w:tc>
        <w:tc>
          <w:tcPr>
            <w:tcW w:w="80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40,288</w:t>
            </w:r>
          </w:p>
        </w:tc>
        <w:tc>
          <w:tcPr>
            <w:tcW w:w="180" w:type="dxa"/>
            <w:vAlign w:val="bottom"/>
            <w:tcBorders>
              <w:top w:val="single" w:sz="8" w:color="D3ECED"/>
            </w:tcBorders>
            <w:shd w:val="clear" w:color="auto" w:fill="D3ECED"/>
          </w:tcPr>
          <w:p>
            <w:pPr>
              <w:spacing w:after="0"/>
              <w:rPr>
                <w:sz w:val="19"/>
                <w:szCs w:val="19"/>
                <w:color w:val="auto"/>
              </w:rPr>
            </w:pPr>
          </w:p>
        </w:tc>
        <w:tc>
          <w:tcPr>
            <w:tcW w:w="100" w:type="dxa"/>
            <w:vAlign w:val="bottom"/>
            <w:tcBorders>
              <w:top w:val="single" w:sz="8" w:color="auto"/>
            </w:tcBorders>
            <w:shd w:val="clear" w:color="auto" w:fill="D3ECED"/>
          </w:tcPr>
          <w:p>
            <w:pPr>
              <w:spacing w:after="0"/>
              <w:rPr>
                <w:sz w:val="19"/>
                <w:szCs w:val="19"/>
                <w:color w:val="auto"/>
              </w:rPr>
            </w:pPr>
          </w:p>
        </w:tc>
        <w:tc>
          <w:tcPr>
            <w:tcW w:w="82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80" w:type="dxa"/>
            <w:vAlign w:val="bottom"/>
            <w:tcBorders>
              <w:top w:val="single" w:sz="8" w:color="D3ECED"/>
            </w:tcBorders>
            <w:shd w:val="clear" w:color="auto" w:fill="D3ECED"/>
          </w:tcPr>
          <w:p>
            <w:pPr>
              <w:spacing w:after="0"/>
              <w:rPr>
                <w:sz w:val="19"/>
                <w:szCs w:val="19"/>
                <w:color w:val="auto"/>
              </w:rPr>
            </w:pPr>
          </w:p>
        </w:tc>
        <w:tc>
          <w:tcPr>
            <w:tcW w:w="100" w:type="dxa"/>
            <w:vAlign w:val="bottom"/>
            <w:tcBorders>
              <w:top w:val="single" w:sz="8" w:color="auto"/>
            </w:tcBorders>
            <w:shd w:val="clear" w:color="auto" w:fill="D3ECED"/>
          </w:tcPr>
          <w:p>
            <w:pPr>
              <w:spacing w:after="0"/>
              <w:rPr>
                <w:sz w:val="19"/>
                <w:szCs w:val="19"/>
                <w:color w:val="auto"/>
              </w:rPr>
            </w:pPr>
          </w:p>
        </w:tc>
        <w:tc>
          <w:tcPr>
            <w:tcW w:w="82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top w:val="single" w:sz="8" w:color="D3ECED"/>
            </w:tcBorders>
            <w:shd w:val="clear" w:color="auto" w:fill="D3ECED"/>
          </w:tcPr>
          <w:p>
            <w:pPr>
              <w:spacing w:after="0"/>
              <w:rPr>
                <w:sz w:val="19"/>
                <w:szCs w:val="19"/>
                <w:color w:val="auto"/>
              </w:rPr>
            </w:pPr>
          </w:p>
        </w:tc>
        <w:tc>
          <w:tcPr>
            <w:tcW w:w="100" w:type="dxa"/>
            <w:vAlign w:val="bottom"/>
            <w:tcBorders>
              <w:top w:val="single" w:sz="8" w:color="D3ECED"/>
            </w:tcBorders>
            <w:shd w:val="clear" w:color="auto" w:fill="D3ECED"/>
          </w:tcPr>
          <w:p>
            <w:pPr>
              <w:spacing w:after="0"/>
              <w:rPr>
                <w:sz w:val="19"/>
                <w:szCs w:val="19"/>
                <w:color w:val="auto"/>
              </w:rPr>
            </w:pPr>
          </w:p>
        </w:tc>
        <w:tc>
          <w:tcPr>
            <w:tcW w:w="100" w:type="dxa"/>
            <w:vAlign w:val="bottom"/>
            <w:tcBorders>
              <w:top w:val="single" w:sz="8" w:color="auto"/>
            </w:tcBorders>
            <w:shd w:val="clear" w:color="auto" w:fill="D3ECED"/>
          </w:tcPr>
          <w:p>
            <w:pPr>
              <w:spacing w:after="0"/>
              <w:rPr>
                <w:sz w:val="19"/>
                <w:szCs w:val="19"/>
                <w:color w:val="auto"/>
              </w:rPr>
            </w:pPr>
          </w:p>
        </w:tc>
        <w:tc>
          <w:tcPr>
            <w:tcW w:w="82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40,288</w:t>
            </w:r>
          </w:p>
        </w:tc>
        <w:tc>
          <w:tcPr>
            <w:tcW w:w="80" w:type="dxa"/>
            <w:vAlign w:val="bottom"/>
            <w:tcBorders>
              <w:top w:val="single" w:sz="8" w:color="D3ECED"/>
            </w:tcBorders>
            <w:shd w:val="clear" w:color="auto" w:fill="D3ECED"/>
          </w:tcPr>
          <w:p>
            <w:pPr>
              <w:spacing w:after="0"/>
              <w:rPr>
                <w:sz w:val="19"/>
                <w:szCs w:val="19"/>
                <w:color w:val="auto"/>
              </w:rPr>
            </w:pPr>
          </w:p>
        </w:tc>
      </w:tr>
      <w:tr>
        <w:trPr>
          <w:trHeight w:val="230"/>
        </w:trPr>
        <w:tc>
          <w:tcPr>
            <w:tcW w:w="3680" w:type="dxa"/>
            <w:vAlign w:val="bottom"/>
            <w:shd w:val="clear" w:color="auto" w:fill="FDFDFD"/>
          </w:tcPr>
          <w:p>
            <w:pPr>
              <w:spacing w:after="0"/>
              <w:rPr>
                <w:sz w:val="20"/>
                <w:szCs w:val="20"/>
                <w:color w:val="auto"/>
              </w:rPr>
            </w:pPr>
            <w:r>
              <w:rPr>
                <w:rFonts w:ascii="Arial" w:cs="Arial" w:eastAsia="Arial" w:hAnsi="Arial"/>
                <w:sz w:val="19"/>
                <w:szCs w:val="19"/>
                <w:color w:val="auto"/>
              </w:rPr>
              <w:t>Investments:</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r>
      <w:tr>
        <w:trPr>
          <w:trHeight w:val="230"/>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U.S. Treasury securities</w:t>
            </w:r>
          </w:p>
        </w:tc>
        <w:tc>
          <w:tcPr>
            <w:tcW w:w="8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150,095</w:t>
            </w:r>
          </w:p>
        </w:tc>
        <w:tc>
          <w:tcPr>
            <w:tcW w:w="1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121</w:t>
            </w:r>
          </w:p>
        </w:tc>
        <w:tc>
          <w:tcPr>
            <w:tcW w:w="1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(100)</w:t>
            </w:r>
          </w:p>
        </w:tc>
        <w:tc>
          <w:tcPr>
            <w:tcW w:w="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150,116</w:t>
            </w:r>
          </w:p>
        </w:tc>
        <w:tc>
          <w:tcPr>
            <w:tcW w:w="80" w:type="dxa"/>
            <w:vAlign w:val="bottom"/>
            <w:shd w:val="clear" w:color="auto" w:fill="D3ECED"/>
          </w:tcPr>
          <w:p>
            <w:pPr>
              <w:spacing w:after="0"/>
              <w:rPr>
                <w:sz w:val="20"/>
                <w:szCs w:val="20"/>
                <w:color w:val="auto"/>
              </w:rPr>
            </w:pPr>
          </w:p>
        </w:tc>
      </w:tr>
      <w:tr>
        <w:trPr>
          <w:trHeight w:val="230"/>
        </w:trPr>
        <w:tc>
          <w:tcPr>
            <w:tcW w:w="3680" w:type="dxa"/>
            <w:vAlign w:val="bottom"/>
            <w:shd w:val="clear" w:color="auto" w:fill="FDFDFD"/>
          </w:tcPr>
          <w:p>
            <w:pPr>
              <w:ind w:left="180"/>
              <w:spacing w:after="0"/>
              <w:rPr>
                <w:sz w:val="20"/>
                <w:szCs w:val="20"/>
                <w:color w:val="auto"/>
              </w:rPr>
            </w:pPr>
            <w:r>
              <w:rPr>
                <w:rFonts w:ascii="Arial" w:cs="Arial" w:eastAsia="Arial" w:hAnsi="Arial"/>
                <w:sz w:val="19"/>
                <w:szCs w:val="19"/>
                <w:color w:val="auto"/>
              </w:rPr>
              <w:t>Commercial paper</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12,227</w:t>
            </w: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12</w:t>
            </w: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12,239</w:t>
            </w:r>
          </w:p>
        </w:tc>
        <w:tc>
          <w:tcPr>
            <w:tcW w:w="80" w:type="dxa"/>
            <w:vAlign w:val="bottom"/>
            <w:shd w:val="clear" w:color="auto" w:fill="FDFDFD"/>
          </w:tcPr>
          <w:p>
            <w:pPr>
              <w:spacing w:after="0"/>
              <w:rPr>
                <w:sz w:val="20"/>
                <w:szCs w:val="20"/>
                <w:color w:val="auto"/>
              </w:rPr>
            </w:pPr>
          </w:p>
        </w:tc>
      </w:tr>
      <w:tr>
        <w:trPr>
          <w:trHeight w:val="230"/>
        </w:trPr>
        <w:tc>
          <w:tcPr>
            <w:tcW w:w="3680" w:type="dxa"/>
            <w:vAlign w:val="bottom"/>
            <w:tcBorders>
              <w:bottom w:val="single" w:sz="8" w:color="FDFDFD"/>
            </w:tcBorders>
            <w:shd w:val="clear" w:color="auto" w:fill="D3ECED"/>
          </w:tcPr>
          <w:p>
            <w:pPr>
              <w:ind w:left="180"/>
              <w:spacing w:after="0"/>
              <w:rPr>
                <w:sz w:val="20"/>
                <w:szCs w:val="20"/>
                <w:color w:val="auto"/>
              </w:rPr>
            </w:pPr>
            <w:r>
              <w:rPr>
                <w:rFonts w:ascii="Arial" w:cs="Arial" w:eastAsia="Arial" w:hAnsi="Arial"/>
                <w:sz w:val="19"/>
                <w:szCs w:val="19"/>
                <w:color w:val="auto"/>
              </w:rPr>
              <w:t>Corporate debt securities</w:t>
            </w:r>
          </w:p>
        </w:tc>
        <w:tc>
          <w:tcPr>
            <w:tcW w:w="8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80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96,302</w:t>
            </w:r>
          </w:p>
        </w:tc>
        <w:tc>
          <w:tcPr>
            <w:tcW w:w="1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8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209</w:t>
            </w:r>
          </w:p>
        </w:tc>
        <w:tc>
          <w:tcPr>
            <w:tcW w:w="1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8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(106)</w:t>
            </w:r>
          </w:p>
        </w:tc>
        <w:tc>
          <w:tcPr>
            <w:tcW w:w="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8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96,405</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0"/>
        </w:trPr>
        <w:tc>
          <w:tcPr>
            <w:tcW w:w="3680" w:type="dxa"/>
            <w:vAlign w:val="bottom"/>
            <w:tcBorders>
              <w:bottom w:val="single" w:sz="8" w:color="D3ECED"/>
            </w:tcBorders>
            <w:shd w:val="clear" w:color="auto" w:fill="FDFDFD"/>
          </w:tcPr>
          <w:p>
            <w:pPr>
              <w:ind w:left="280"/>
              <w:spacing w:after="0"/>
              <w:rPr>
                <w:sz w:val="20"/>
                <w:szCs w:val="20"/>
                <w:color w:val="auto"/>
              </w:rPr>
            </w:pPr>
            <w:r>
              <w:rPr>
                <w:rFonts w:ascii="Arial" w:cs="Arial" w:eastAsia="Arial" w:hAnsi="Arial"/>
                <w:sz w:val="19"/>
                <w:szCs w:val="19"/>
                <w:color w:val="auto"/>
              </w:rPr>
              <w:t>Total investments</w:t>
            </w:r>
          </w:p>
        </w:tc>
        <w:tc>
          <w:tcPr>
            <w:tcW w:w="88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258,624</w:t>
            </w:r>
          </w:p>
        </w:tc>
        <w:tc>
          <w:tcPr>
            <w:tcW w:w="18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8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342</w:t>
            </w:r>
          </w:p>
        </w:tc>
        <w:tc>
          <w:tcPr>
            <w:tcW w:w="18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8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(206)</w:t>
            </w:r>
          </w:p>
        </w:tc>
        <w:tc>
          <w:tcPr>
            <w:tcW w:w="8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8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258,760</w:t>
            </w:r>
          </w:p>
        </w:tc>
        <w:tc>
          <w:tcPr>
            <w:tcW w:w="80" w:type="dxa"/>
            <w:vAlign w:val="bottom"/>
            <w:tcBorders>
              <w:bottom w:val="single" w:sz="8" w:color="D3ECED"/>
            </w:tcBorders>
            <w:shd w:val="clear" w:color="auto" w:fill="FDFDFD"/>
          </w:tcPr>
          <w:p>
            <w:pPr>
              <w:spacing w:after="0"/>
              <w:rPr>
                <w:sz w:val="19"/>
                <w:szCs w:val="19"/>
                <w:color w:val="auto"/>
              </w:rPr>
            </w:pPr>
          </w:p>
        </w:tc>
      </w:tr>
      <w:tr>
        <w:trPr>
          <w:trHeight w:val="222"/>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Total assets measured at fair value</w:t>
            </w:r>
          </w:p>
        </w:tc>
        <w:tc>
          <w:tcPr>
            <w:tcW w:w="88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298,912</w:t>
            </w:r>
          </w:p>
        </w:tc>
        <w:tc>
          <w:tcPr>
            <w:tcW w:w="18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342</w:t>
            </w:r>
          </w:p>
        </w:tc>
        <w:tc>
          <w:tcPr>
            <w:tcW w:w="18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(206)</w:t>
            </w:r>
          </w:p>
        </w:tc>
        <w:tc>
          <w:tcPr>
            <w:tcW w:w="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299,048</w:t>
            </w:r>
          </w:p>
        </w:tc>
        <w:tc>
          <w:tcPr>
            <w:tcW w:w="80" w:type="dxa"/>
            <w:vAlign w:val="bottom"/>
            <w:shd w:val="clear" w:color="auto" w:fill="D3ECED"/>
          </w:tcPr>
          <w:p>
            <w:pPr>
              <w:spacing w:after="0"/>
              <w:rPr>
                <w:sz w:val="19"/>
                <w:szCs w:val="19"/>
                <w:color w:val="auto"/>
              </w:rPr>
            </w:pPr>
          </w:p>
        </w:tc>
      </w:tr>
      <w:tr>
        <w:trPr>
          <w:trHeight w:val="274"/>
        </w:trPr>
        <w:tc>
          <w:tcPr>
            <w:tcW w:w="3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gridSpan w:val="5"/>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88"/>
        </w:trPr>
        <w:tc>
          <w:tcPr>
            <w:tcW w:w="3680" w:type="dxa"/>
            <w:vAlign w:val="bottom"/>
            <w:tcBorders>
              <w:bottom w:val="single" w:sz="8" w:color="FDFDFD"/>
            </w:tcBorders>
            <w:shd w:val="clear" w:color="auto" w:fill="FDFDFD"/>
          </w:tcPr>
          <w:p>
            <w:pPr>
              <w:spacing w:after="0"/>
              <w:rPr>
                <w:sz w:val="16"/>
                <w:szCs w:val="16"/>
                <w:color w:val="auto"/>
              </w:rPr>
            </w:pPr>
          </w:p>
        </w:tc>
        <w:tc>
          <w:tcPr>
            <w:tcW w:w="88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00" w:type="dxa"/>
            <w:vAlign w:val="bottom"/>
            <w:tcBorders>
              <w:bottom w:val="single" w:sz="8" w:color="auto"/>
            </w:tcBorders>
            <w:shd w:val="clear" w:color="auto" w:fill="FDFDFD"/>
          </w:tcPr>
          <w:p>
            <w:pPr>
              <w:spacing w:after="0"/>
              <w:rPr>
                <w:sz w:val="16"/>
                <w:szCs w:val="16"/>
                <w:color w:val="auto"/>
              </w:rPr>
            </w:pPr>
          </w:p>
        </w:tc>
        <w:tc>
          <w:tcPr>
            <w:tcW w:w="180" w:type="dxa"/>
            <w:vAlign w:val="bottom"/>
            <w:tcBorders>
              <w:bottom w:val="single" w:sz="8" w:color="auto"/>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2000" w:type="dxa"/>
            <w:vAlign w:val="bottom"/>
            <w:tcBorders>
              <w:bottom w:val="single" w:sz="8" w:color="auto"/>
            </w:tcBorders>
            <w:gridSpan w:val="5"/>
            <w:shd w:val="clear" w:color="auto" w:fill="FDFDFD"/>
          </w:tcPr>
          <w:p>
            <w:pPr>
              <w:jc w:val="right"/>
              <w:ind w:right="480"/>
              <w:spacing w:after="0"/>
              <w:rPr>
                <w:sz w:val="20"/>
                <w:szCs w:val="20"/>
                <w:color w:val="auto"/>
              </w:rPr>
            </w:pPr>
            <w:r>
              <w:rPr>
                <w:rFonts w:ascii="Arial" w:cs="Arial" w:eastAsia="Arial" w:hAnsi="Arial"/>
                <w:sz w:val="15"/>
                <w:szCs w:val="15"/>
                <w:b w:val="1"/>
                <w:bCs w:val="1"/>
                <w:color w:val="auto"/>
              </w:rPr>
              <w:t>December 31, 2023</w:t>
            </w:r>
          </w:p>
        </w:tc>
        <w:tc>
          <w:tcPr>
            <w:tcW w:w="100" w:type="dxa"/>
            <w:vAlign w:val="bottom"/>
            <w:tcBorders>
              <w:bottom w:val="single" w:sz="8" w:color="auto"/>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2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r>
      <w:tr>
        <w:trPr>
          <w:trHeight w:val="158"/>
        </w:trPr>
        <w:tc>
          <w:tcPr>
            <w:tcW w:w="3680" w:type="dxa"/>
            <w:vAlign w:val="bottom"/>
            <w:shd w:val="clear" w:color="auto" w:fill="FDFDFD"/>
          </w:tcPr>
          <w:p>
            <w:pPr>
              <w:spacing w:after="0"/>
              <w:rPr>
                <w:sz w:val="13"/>
                <w:szCs w:val="13"/>
                <w:color w:val="auto"/>
              </w:rPr>
            </w:pPr>
          </w:p>
        </w:tc>
        <w:tc>
          <w:tcPr>
            <w:tcW w:w="8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00" w:type="dxa"/>
            <w:vAlign w:val="bottom"/>
            <w:shd w:val="clear" w:color="auto" w:fill="FDFDFD"/>
          </w:tcPr>
          <w:p>
            <w:pPr>
              <w:spacing w:after="0" w:line="159" w:lineRule="exact"/>
              <w:rPr>
                <w:sz w:val="20"/>
                <w:szCs w:val="20"/>
                <w:color w:val="auto"/>
              </w:rPr>
            </w:pPr>
            <w:r>
              <w:rPr>
                <w:rFonts w:ascii="Arial" w:cs="Arial" w:eastAsia="Arial" w:hAnsi="Arial"/>
                <w:sz w:val="15"/>
                <w:szCs w:val="15"/>
                <w:b w:val="1"/>
                <w:bCs w:val="1"/>
                <w:color w:val="auto"/>
              </w:rPr>
              <w:t>Amortized</w:t>
            </w:r>
          </w:p>
        </w:tc>
        <w:tc>
          <w:tcPr>
            <w:tcW w:w="1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ind w:right="10"/>
              <w:spacing w:after="0" w:line="159" w:lineRule="exact"/>
              <w:rPr>
                <w:sz w:val="20"/>
                <w:szCs w:val="20"/>
                <w:color w:val="auto"/>
              </w:rPr>
            </w:pPr>
            <w:r>
              <w:rPr>
                <w:rFonts w:ascii="Arial" w:cs="Arial" w:eastAsia="Arial" w:hAnsi="Arial"/>
                <w:sz w:val="15"/>
                <w:szCs w:val="15"/>
                <w:b w:val="1"/>
                <w:bCs w:val="1"/>
                <w:color w:val="auto"/>
                <w:w w:val="94"/>
              </w:rPr>
              <w:t>Unrealized</w:t>
            </w:r>
          </w:p>
        </w:tc>
        <w:tc>
          <w:tcPr>
            <w:tcW w:w="1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jc w:val="center"/>
              <w:ind w:right="29"/>
              <w:spacing w:after="0" w:line="159" w:lineRule="exact"/>
              <w:rPr>
                <w:sz w:val="20"/>
                <w:szCs w:val="20"/>
                <w:color w:val="auto"/>
              </w:rPr>
            </w:pPr>
            <w:r>
              <w:rPr>
                <w:rFonts w:ascii="Arial" w:cs="Arial" w:eastAsia="Arial" w:hAnsi="Arial"/>
                <w:sz w:val="15"/>
                <w:szCs w:val="15"/>
                <w:b w:val="1"/>
                <w:bCs w:val="1"/>
                <w:color w:val="auto"/>
                <w:w w:val="92"/>
              </w:rPr>
              <w:t>Unrealized</w:t>
            </w:r>
          </w:p>
        </w:tc>
        <w:tc>
          <w:tcPr>
            <w:tcW w:w="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820" w:type="dxa"/>
            <w:vAlign w:val="bottom"/>
            <w:shd w:val="clear" w:color="auto" w:fill="FDFDFD"/>
          </w:tcPr>
          <w:p>
            <w:pPr>
              <w:spacing w:after="0"/>
              <w:rPr>
                <w:sz w:val="13"/>
                <w:szCs w:val="13"/>
                <w:color w:val="auto"/>
              </w:rPr>
            </w:pPr>
          </w:p>
        </w:tc>
        <w:tc>
          <w:tcPr>
            <w:tcW w:w="80" w:type="dxa"/>
            <w:vAlign w:val="bottom"/>
            <w:shd w:val="clear" w:color="auto" w:fill="FDFDFD"/>
          </w:tcPr>
          <w:p>
            <w:pPr>
              <w:spacing w:after="0"/>
              <w:rPr>
                <w:sz w:val="13"/>
                <w:szCs w:val="13"/>
                <w:color w:val="auto"/>
              </w:rPr>
            </w:pPr>
          </w:p>
        </w:tc>
      </w:tr>
      <w:tr>
        <w:trPr>
          <w:trHeight w:val="190"/>
        </w:trPr>
        <w:tc>
          <w:tcPr>
            <w:tcW w:w="3680" w:type="dxa"/>
            <w:vAlign w:val="bottom"/>
            <w:tcBorders>
              <w:bottom w:val="single" w:sz="8" w:color="D3ECED"/>
            </w:tcBorders>
            <w:shd w:val="clear" w:color="auto" w:fill="FDFDFD"/>
          </w:tcPr>
          <w:p>
            <w:pPr>
              <w:spacing w:after="0"/>
              <w:rPr>
                <w:sz w:val="16"/>
                <w:szCs w:val="16"/>
                <w:color w:val="auto"/>
              </w:rPr>
            </w:pPr>
          </w:p>
        </w:tc>
        <w:tc>
          <w:tcPr>
            <w:tcW w:w="880" w:type="dxa"/>
            <w:vAlign w:val="bottom"/>
            <w:tcBorders>
              <w:bottom w:val="single" w:sz="8" w:color="D3ECE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00" w:type="dxa"/>
            <w:vAlign w:val="bottom"/>
            <w:tcBorders>
              <w:bottom w:val="single" w:sz="8" w:color="auto"/>
            </w:tcBorders>
            <w:shd w:val="clear" w:color="auto" w:fill="FDFDFD"/>
          </w:tcPr>
          <w:p>
            <w:pPr>
              <w:spacing w:after="0"/>
              <w:rPr>
                <w:sz w:val="20"/>
                <w:szCs w:val="20"/>
                <w:color w:val="auto"/>
              </w:rPr>
            </w:pPr>
            <w:r>
              <w:rPr>
                <w:rFonts w:ascii="Arial" w:cs="Arial" w:eastAsia="Arial" w:hAnsi="Arial"/>
                <w:sz w:val="15"/>
                <w:szCs w:val="15"/>
                <w:b w:val="1"/>
                <w:bCs w:val="1"/>
                <w:color w:val="auto"/>
              </w:rPr>
              <w:t>Cost Basis</w:t>
            </w:r>
          </w:p>
        </w:tc>
        <w:tc>
          <w:tcPr>
            <w:tcW w:w="180" w:type="dxa"/>
            <w:vAlign w:val="bottom"/>
            <w:tcBorders>
              <w:bottom w:val="single" w:sz="8" w:color="D3ECE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20" w:type="dxa"/>
            <w:vAlign w:val="bottom"/>
            <w:tcBorders>
              <w:bottom w:val="single" w:sz="8" w:color="auto"/>
            </w:tcBorders>
            <w:shd w:val="clear" w:color="auto" w:fill="FDFDFD"/>
          </w:tcPr>
          <w:p>
            <w:pPr>
              <w:jc w:val="center"/>
              <w:ind w:right="30"/>
              <w:spacing w:after="0"/>
              <w:rPr>
                <w:sz w:val="20"/>
                <w:szCs w:val="20"/>
                <w:color w:val="auto"/>
              </w:rPr>
            </w:pPr>
            <w:r>
              <w:rPr>
                <w:rFonts w:ascii="Arial" w:cs="Arial" w:eastAsia="Arial" w:hAnsi="Arial"/>
                <w:sz w:val="15"/>
                <w:szCs w:val="15"/>
                <w:b w:val="1"/>
                <w:bCs w:val="1"/>
                <w:color w:val="auto"/>
                <w:w w:val="91"/>
              </w:rPr>
              <w:t>Gains</w:t>
            </w:r>
          </w:p>
        </w:tc>
        <w:tc>
          <w:tcPr>
            <w:tcW w:w="180" w:type="dxa"/>
            <w:vAlign w:val="bottom"/>
            <w:tcBorders>
              <w:bottom w:val="single" w:sz="8" w:color="D3ECE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20" w:type="dxa"/>
            <w:vAlign w:val="bottom"/>
            <w:tcBorders>
              <w:bottom w:val="single" w:sz="8" w:color="auto"/>
            </w:tcBorders>
            <w:shd w:val="clear" w:color="auto" w:fill="FDFDFD"/>
          </w:tcPr>
          <w:p>
            <w:pPr>
              <w:jc w:val="center"/>
              <w:ind w:right="29"/>
              <w:spacing w:after="0"/>
              <w:rPr>
                <w:sz w:val="20"/>
                <w:szCs w:val="20"/>
                <w:color w:val="auto"/>
              </w:rPr>
            </w:pPr>
            <w:r>
              <w:rPr>
                <w:rFonts w:ascii="Arial" w:cs="Arial" w:eastAsia="Arial" w:hAnsi="Arial"/>
                <w:sz w:val="15"/>
                <w:szCs w:val="15"/>
                <w:b w:val="1"/>
                <w:bCs w:val="1"/>
                <w:color w:val="auto"/>
                <w:w w:val="81"/>
              </w:rPr>
              <w:t>Losses</w:t>
            </w:r>
          </w:p>
        </w:tc>
        <w:tc>
          <w:tcPr>
            <w:tcW w:w="80" w:type="dxa"/>
            <w:vAlign w:val="bottom"/>
            <w:tcBorders>
              <w:bottom w:val="single" w:sz="8" w:color="D3ECED"/>
            </w:tcBorders>
            <w:shd w:val="clear" w:color="auto" w:fill="FDFDFD"/>
          </w:tcPr>
          <w:p>
            <w:pPr>
              <w:spacing w:after="0"/>
              <w:rPr>
                <w:sz w:val="16"/>
                <w:szCs w:val="16"/>
                <w:color w:val="auto"/>
              </w:rPr>
            </w:pPr>
          </w:p>
        </w:tc>
        <w:tc>
          <w:tcPr>
            <w:tcW w:w="100" w:type="dxa"/>
            <w:vAlign w:val="bottom"/>
            <w:tcBorders>
              <w:bottom w:val="single" w:sz="8" w:color="D3ECE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20" w:type="dxa"/>
            <w:vAlign w:val="bottom"/>
            <w:tcBorders>
              <w:bottom w:val="single" w:sz="8" w:color="auto"/>
            </w:tcBorders>
            <w:shd w:val="clear" w:color="auto" w:fill="FDFDFD"/>
          </w:tcPr>
          <w:p>
            <w:pPr>
              <w:jc w:val="right"/>
              <w:ind w:right="27"/>
              <w:spacing w:after="0"/>
              <w:rPr>
                <w:sz w:val="20"/>
                <w:szCs w:val="20"/>
                <w:color w:val="auto"/>
              </w:rPr>
            </w:pPr>
            <w:r>
              <w:rPr>
                <w:rFonts w:ascii="Arial" w:cs="Arial" w:eastAsia="Arial" w:hAnsi="Arial"/>
                <w:sz w:val="15"/>
                <w:szCs w:val="15"/>
                <w:b w:val="1"/>
                <w:bCs w:val="1"/>
                <w:color w:val="auto"/>
                <w:w w:val="94"/>
              </w:rPr>
              <w:t>Fair Value</w:t>
            </w:r>
          </w:p>
        </w:tc>
        <w:tc>
          <w:tcPr>
            <w:tcW w:w="80" w:type="dxa"/>
            <w:vAlign w:val="bottom"/>
            <w:tcBorders>
              <w:bottom w:val="single" w:sz="8" w:color="D3ECED"/>
            </w:tcBorders>
            <w:shd w:val="clear" w:color="auto" w:fill="FDFDFD"/>
          </w:tcPr>
          <w:p>
            <w:pPr>
              <w:spacing w:after="0"/>
              <w:rPr>
                <w:sz w:val="16"/>
                <w:szCs w:val="16"/>
                <w:color w:val="auto"/>
              </w:rPr>
            </w:pPr>
          </w:p>
        </w:tc>
      </w:tr>
      <w:tr>
        <w:trPr>
          <w:trHeight w:val="220"/>
        </w:trPr>
        <w:tc>
          <w:tcPr>
            <w:tcW w:w="3680" w:type="dxa"/>
            <w:vAlign w:val="bottom"/>
            <w:shd w:val="clear" w:color="auto" w:fill="D3ECED"/>
          </w:tcPr>
          <w:p>
            <w:pPr>
              <w:spacing w:after="0"/>
              <w:rPr>
                <w:sz w:val="20"/>
                <w:szCs w:val="20"/>
                <w:color w:val="auto"/>
              </w:rPr>
            </w:pPr>
            <w:r>
              <w:rPr>
                <w:rFonts w:ascii="Arial" w:cs="Arial" w:eastAsia="Arial" w:hAnsi="Arial"/>
                <w:sz w:val="19"/>
                <w:szCs w:val="19"/>
                <w:color w:val="auto"/>
              </w:rPr>
              <w:t>Assets:</w:t>
            </w:r>
          </w:p>
        </w:tc>
        <w:tc>
          <w:tcPr>
            <w:tcW w:w="8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00" w:type="dxa"/>
            <w:vAlign w:val="bottom"/>
            <w:shd w:val="clear" w:color="auto" w:fill="D3ECED"/>
          </w:tcPr>
          <w:p>
            <w:pPr>
              <w:spacing w:after="0"/>
              <w:rPr>
                <w:sz w:val="19"/>
                <w:szCs w:val="19"/>
                <w:color w:val="auto"/>
              </w:rPr>
            </w:pPr>
          </w:p>
        </w:tc>
        <w:tc>
          <w:tcPr>
            <w:tcW w:w="1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20" w:type="dxa"/>
            <w:vAlign w:val="bottom"/>
            <w:shd w:val="clear" w:color="auto" w:fill="D3ECED"/>
          </w:tcPr>
          <w:p>
            <w:pPr>
              <w:spacing w:after="0"/>
              <w:rPr>
                <w:sz w:val="19"/>
                <w:szCs w:val="19"/>
                <w:color w:val="auto"/>
              </w:rPr>
            </w:pPr>
          </w:p>
        </w:tc>
        <w:tc>
          <w:tcPr>
            <w:tcW w:w="1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2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82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r>
      <w:tr>
        <w:trPr>
          <w:trHeight w:val="230"/>
        </w:trPr>
        <w:tc>
          <w:tcPr>
            <w:tcW w:w="3680" w:type="dxa"/>
            <w:vAlign w:val="bottom"/>
            <w:shd w:val="clear" w:color="auto" w:fill="FDFDFD"/>
          </w:tcPr>
          <w:p>
            <w:pPr>
              <w:spacing w:after="0"/>
              <w:rPr>
                <w:sz w:val="20"/>
                <w:szCs w:val="20"/>
                <w:color w:val="auto"/>
              </w:rPr>
            </w:pPr>
            <w:r>
              <w:rPr>
                <w:rFonts w:ascii="Arial" w:cs="Arial" w:eastAsia="Arial" w:hAnsi="Arial"/>
                <w:sz w:val="19"/>
                <w:szCs w:val="19"/>
                <w:color w:val="auto"/>
              </w:rPr>
              <w:t>Cash equivalents:</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r>
      <w:tr>
        <w:trPr>
          <w:trHeight w:val="230"/>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Money market funds</w:t>
            </w:r>
          </w:p>
        </w:tc>
        <w:tc>
          <w:tcPr>
            <w:tcW w:w="98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22,646</w:t>
            </w:r>
          </w:p>
        </w:tc>
        <w:tc>
          <w:tcPr>
            <w:tcW w:w="28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28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900" w:type="dxa"/>
            <w:vAlign w:val="bottom"/>
            <w:gridSpan w:val="2"/>
            <w:shd w:val="clear" w:color="auto" w:fill="D3ECED"/>
          </w:tcPr>
          <w:p>
            <w:pPr>
              <w:jc w:val="right"/>
              <w:ind w:right="100"/>
              <w:spacing w:after="0"/>
              <w:rPr>
                <w:sz w:val="20"/>
                <w:szCs w:val="20"/>
                <w:color w:val="auto"/>
              </w:rPr>
            </w:pPr>
            <w:r>
              <w:rPr>
                <w:rFonts w:ascii="Arial" w:cs="Arial" w:eastAsia="Arial" w:hAnsi="Arial"/>
                <w:sz w:val="19"/>
                <w:szCs w:val="19"/>
                <w:color w:val="auto"/>
              </w:rPr>
              <w:t>—</w:t>
            </w:r>
          </w:p>
        </w:tc>
        <w:tc>
          <w:tcPr>
            <w:tcW w:w="20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22,646</w:t>
            </w:r>
          </w:p>
        </w:tc>
        <w:tc>
          <w:tcPr>
            <w:tcW w:w="80" w:type="dxa"/>
            <w:vAlign w:val="bottom"/>
            <w:shd w:val="clear" w:color="auto" w:fill="D3ECED"/>
          </w:tcPr>
          <w:p>
            <w:pPr>
              <w:spacing w:after="0"/>
              <w:rPr>
                <w:sz w:val="20"/>
                <w:szCs w:val="20"/>
                <w:color w:val="auto"/>
              </w:rPr>
            </w:pPr>
          </w:p>
        </w:tc>
      </w:tr>
      <w:tr>
        <w:trPr>
          <w:trHeight w:val="230"/>
        </w:trPr>
        <w:tc>
          <w:tcPr>
            <w:tcW w:w="3680" w:type="dxa"/>
            <w:vAlign w:val="bottom"/>
            <w:shd w:val="clear" w:color="auto" w:fill="FDFDFD"/>
          </w:tcPr>
          <w:p>
            <w:pPr>
              <w:ind w:left="180"/>
              <w:spacing w:after="0"/>
              <w:rPr>
                <w:sz w:val="20"/>
                <w:szCs w:val="20"/>
                <w:color w:val="auto"/>
              </w:rPr>
            </w:pPr>
            <w:r>
              <w:rPr>
                <w:rFonts w:ascii="Arial" w:cs="Arial" w:eastAsia="Arial" w:hAnsi="Arial"/>
                <w:sz w:val="19"/>
                <w:szCs w:val="19"/>
                <w:color w:val="auto"/>
              </w:rPr>
              <w:t>Corporate debt securities</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1,549</w:t>
            </w: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w:t>
            </w: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900" w:type="dxa"/>
            <w:vAlign w:val="bottom"/>
            <w:gridSpan w:val="2"/>
            <w:shd w:val="clear" w:color="auto" w:fill="FDFDFD"/>
          </w:tcPr>
          <w:p>
            <w:pPr>
              <w:jc w:val="right"/>
              <w:ind w:right="100"/>
              <w:spacing w:after="0"/>
              <w:rPr>
                <w:sz w:val="20"/>
                <w:szCs w:val="20"/>
                <w:color w:val="auto"/>
              </w:rPr>
            </w:pPr>
            <w:r>
              <w:rPr>
                <w:rFonts w:ascii="Arial" w:cs="Arial" w:eastAsia="Arial" w:hAnsi="Arial"/>
                <w:sz w:val="19"/>
                <w:szCs w:val="19"/>
                <w:color w:val="auto"/>
              </w:rPr>
              <w:t>—</w:t>
            </w:r>
          </w:p>
        </w:tc>
        <w:tc>
          <w:tcPr>
            <w:tcW w:w="10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1,550</w:t>
            </w:r>
          </w:p>
        </w:tc>
        <w:tc>
          <w:tcPr>
            <w:tcW w:w="80" w:type="dxa"/>
            <w:vAlign w:val="bottom"/>
            <w:shd w:val="clear" w:color="auto" w:fill="FDFDFD"/>
          </w:tcPr>
          <w:p>
            <w:pPr>
              <w:spacing w:after="0"/>
              <w:rPr>
                <w:sz w:val="20"/>
                <w:szCs w:val="20"/>
                <w:color w:val="auto"/>
              </w:rPr>
            </w:pPr>
          </w:p>
        </w:tc>
      </w:tr>
      <w:tr>
        <w:trPr>
          <w:trHeight w:val="230"/>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U.S. Treasury securities</w:t>
            </w:r>
          </w:p>
        </w:tc>
        <w:tc>
          <w:tcPr>
            <w:tcW w:w="8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4,984</w:t>
            </w:r>
          </w:p>
        </w:tc>
        <w:tc>
          <w:tcPr>
            <w:tcW w:w="1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w:t>
            </w:r>
          </w:p>
        </w:tc>
        <w:tc>
          <w:tcPr>
            <w:tcW w:w="1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900" w:type="dxa"/>
            <w:vAlign w:val="bottom"/>
            <w:gridSpan w:val="2"/>
            <w:shd w:val="clear" w:color="auto" w:fill="D3ECED"/>
          </w:tcPr>
          <w:p>
            <w:pPr>
              <w:jc w:val="right"/>
              <w:ind w:right="100"/>
              <w:spacing w:after="0"/>
              <w:rPr>
                <w:sz w:val="20"/>
                <w:szCs w:val="20"/>
                <w:color w:val="auto"/>
              </w:rPr>
            </w:pPr>
            <w:r>
              <w:rPr>
                <w:rFonts w:ascii="Arial" w:cs="Arial" w:eastAsia="Arial" w:hAnsi="Arial"/>
                <w:sz w:val="19"/>
                <w:szCs w:val="19"/>
                <w:color w:val="auto"/>
              </w:rPr>
              <w:t>—</w:t>
            </w:r>
          </w:p>
        </w:tc>
        <w:tc>
          <w:tcPr>
            <w:tcW w:w="10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4,985</w:t>
            </w:r>
          </w:p>
        </w:tc>
        <w:tc>
          <w:tcPr>
            <w:tcW w:w="80" w:type="dxa"/>
            <w:vAlign w:val="bottom"/>
            <w:shd w:val="clear" w:color="auto" w:fill="D3ECED"/>
          </w:tcPr>
          <w:p>
            <w:pPr>
              <w:spacing w:after="0"/>
              <w:rPr>
                <w:sz w:val="20"/>
                <w:szCs w:val="20"/>
                <w:color w:val="auto"/>
              </w:rPr>
            </w:pPr>
          </w:p>
        </w:tc>
      </w:tr>
      <w:tr>
        <w:trPr>
          <w:trHeight w:val="220"/>
        </w:trPr>
        <w:tc>
          <w:tcPr>
            <w:tcW w:w="3680" w:type="dxa"/>
            <w:vAlign w:val="bottom"/>
            <w:tcBorders>
              <w:top w:val="single" w:sz="8" w:color="FDFDFD"/>
            </w:tcBorders>
            <w:shd w:val="clear" w:color="auto" w:fill="FDFDFD"/>
          </w:tcPr>
          <w:p>
            <w:pPr>
              <w:ind w:left="280"/>
              <w:spacing w:after="0"/>
              <w:rPr>
                <w:sz w:val="20"/>
                <w:szCs w:val="20"/>
                <w:color w:val="auto"/>
              </w:rPr>
            </w:pPr>
            <w:r>
              <w:rPr>
                <w:rFonts w:ascii="Arial" w:cs="Arial" w:eastAsia="Arial" w:hAnsi="Arial"/>
                <w:sz w:val="19"/>
                <w:szCs w:val="19"/>
                <w:color w:val="auto"/>
              </w:rPr>
              <w:t>Total cash equivalents</w:t>
            </w:r>
          </w:p>
        </w:tc>
        <w:tc>
          <w:tcPr>
            <w:tcW w:w="880" w:type="dxa"/>
            <w:vAlign w:val="bottom"/>
            <w:tcBorders>
              <w:top w:val="single" w:sz="8" w:color="FDFDFD"/>
            </w:tcBorders>
            <w:shd w:val="clear" w:color="auto" w:fill="FDFDFD"/>
          </w:tcPr>
          <w:p>
            <w:pPr>
              <w:spacing w:after="0"/>
              <w:rPr>
                <w:sz w:val="19"/>
                <w:szCs w:val="19"/>
                <w:color w:val="auto"/>
              </w:rPr>
            </w:pPr>
          </w:p>
        </w:tc>
        <w:tc>
          <w:tcPr>
            <w:tcW w:w="100" w:type="dxa"/>
            <w:vAlign w:val="bottom"/>
            <w:tcBorders>
              <w:top w:val="single" w:sz="8" w:color="auto"/>
            </w:tcBorders>
            <w:shd w:val="clear" w:color="auto" w:fill="FDFDFD"/>
          </w:tcPr>
          <w:p>
            <w:pPr>
              <w:spacing w:after="0"/>
              <w:rPr>
                <w:sz w:val="19"/>
                <w:szCs w:val="19"/>
                <w:color w:val="auto"/>
              </w:rPr>
            </w:pPr>
          </w:p>
        </w:tc>
        <w:tc>
          <w:tcPr>
            <w:tcW w:w="800" w:type="dxa"/>
            <w:vAlign w:val="bottom"/>
            <w:tcBorders>
              <w:top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29,179</w:t>
            </w:r>
          </w:p>
        </w:tc>
        <w:tc>
          <w:tcPr>
            <w:tcW w:w="180" w:type="dxa"/>
            <w:vAlign w:val="bottom"/>
            <w:tcBorders>
              <w:top w:val="single" w:sz="8" w:color="FDFDFD"/>
            </w:tcBorders>
            <w:shd w:val="clear" w:color="auto" w:fill="FDFDFD"/>
          </w:tcPr>
          <w:p>
            <w:pPr>
              <w:spacing w:after="0"/>
              <w:rPr>
                <w:sz w:val="19"/>
                <w:szCs w:val="19"/>
                <w:color w:val="auto"/>
              </w:rPr>
            </w:pPr>
          </w:p>
        </w:tc>
        <w:tc>
          <w:tcPr>
            <w:tcW w:w="100" w:type="dxa"/>
            <w:vAlign w:val="bottom"/>
            <w:tcBorders>
              <w:top w:val="single" w:sz="8" w:color="auto"/>
            </w:tcBorders>
            <w:shd w:val="clear" w:color="auto" w:fill="FDFDFD"/>
          </w:tcPr>
          <w:p>
            <w:pPr>
              <w:spacing w:after="0"/>
              <w:rPr>
                <w:sz w:val="19"/>
                <w:szCs w:val="19"/>
                <w:color w:val="auto"/>
              </w:rPr>
            </w:pPr>
          </w:p>
        </w:tc>
        <w:tc>
          <w:tcPr>
            <w:tcW w:w="820" w:type="dxa"/>
            <w:vAlign w:val="bottom"/>
            <w:tcBorders>
              <w:top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2</w:t>
            </w:r>
          </w:p>
        </w:tc>
        <w:tc>
          <w:tcPr>
            <w:tcW w:w="180" w:type="dxa"/>
            <w:vAlign w:val="bottom"/>
            <w:tcBorders>
              <w:top w:val="single" w:sz="8" w:color="FDFDFD"/>
            </w:tcBorders>
            <w:shd w:val="clear" w:color="auto" w:fill="FDFDFD"/>
          </w:tcPr>
          <w:p>
            <w:pPr>
              <w:spacing w:after="0"/>
              <w:rPr>
                <w:sz w:val="19"/>
                <w:szCs w:val="19"/>
                <w:color w:val="auto"/>
              </w:rPr>
            </w:pPr>
          </w:p>
        </w:tc>
        <w:tc>
          <w:tcPr>
            <w:tcW w:w="100" w:type="dxa"/>
            <w:vAlign w:val="bottom"/>
            <w:tcBorders>
              <w:top w:val="single" w:sz="8" w:color="auto"/>
            </w:tcBorders>
            <w:shd w:val="clear" w:color="auto" w:fill="FDFDFD"/>
          </w:tcPr>
          <w:p>
            <w:pPr>
              <w:spacing w:after="0"/>
              <w:rPr>
                <w:sz w:val="19"/>
                <w:szCs w:val="19"/>
                <w:color w:val="auto"/>
              </w:rPr>
            </w:pPr>
          </w:p>
        </w:tc>
        <w:tc>
          <w:tcPr>
            <w:tcW w:w="820" w:type="dxa"/>
            <w:vAlign w:val="bottom"/>
            <w:tcBorders>
              <w:top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top w:val="single" w:sz="8" w:color="FDFDFD"/>
            </w:tcBorders>
            <w:shd w:val="clear" w:color="auto" w:fill="FDFDFD"/>
          </w:tcPr>
          <w:p>
            <w:pPr>
              <w:spacing w:after="0"/>
              <w:rPr>
                <w:sz w:val="19"/>
                <w:szCs w:val="19"/>
                <w:color w:val="auto"/>
              </w:rPr>
            </w:pPr>
          </w:p>
        </w:tc>
        <w:tc>
          <w:tcPr>
            <w:tcW w:w="100" w:type="dxa"/>
            <w:vAlign w:val="bottom"/>
            <w:tcBorders>
              <w:top w:val="single" w:sz="8" w:color="FDFDFD"/>
            </w:tcBorders>
            <w:shd w:val="clear" w:color="auto" w:fill="FDFDFD"/>
          </w:tcPr>
          <w:p>
            <w:pPr>
              <w:spacing w:after="0"/>
              <w:rPr>
                <w:sz w:val="19"/>
                <w:szCs w:val="19"/>
                <w:color w:val="auto"/>
              </w:rPr>
            </w:pPr>
          </w:p>
        </w:tc>
        <w:tc>
          <w:tcPr>
            <w:tcW w:w="100" w:type="dxa"/>
            <w:vAlign w:val="bottom"/>
            <w:tcBorders>
              <w:top w:val="single" w:sz="8" w:color="auto"/>
            </w:tcBorders>
            <w:shd w:val="clear" w:color="auto" w:fill="FDFDFD"/>
          </w:tcPr>
          <w:p>
            <w:pPr>
              <w:spacing w:after="0"/>
              <w:rPr>
                <w:sz w:val="19"/>
                <w:szCs w:val="19"/>
                <w:color w:val="auto"/>
              </w:rPr>
            </w:pPr>
          </w:p>
        </w:tc>
        <w:tc>
          <w:tcPr>
            <w:tcW w:w="820" w:type="dxa"/>
            <w:vAlign w:val="bottom"/>
            <w:tcBorders>
              <w:top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29,181</w:t>
            </w:r>
          </w:p>
        </w:tc>
        <w:tc>
          <w:tcPr>
            <w:tcW w:w="80" w:type="dxa"/>
            <w:vAlign w:val="bottom"/>
            <w:tcBorders>
              <w:top w:val="single" w:sz="8" w:color="FDFDFD"/>
            </w:tcBorders>
            <w:shd w:val="clear" w:color="auto" w:fill="FDFDFD"/>
          </w:tcPr>
          <w:p>
            <w:pPr>
              <w:spacing w:after="0"/>
              <w:rPr>
                <w:sz w:val="19"/>
                <w:szCs w:val="19"/>
                <w:color w:val="auto"/>
              </w:rPr>
            </w:pPr>
          </w:p>
        </w:tc>
      </w:tr>
      <w:tr>
        <w:trPr>
          <w:trHeight w:val="230"/>
        </w:trPr>
        <w:tc>
          <w:tcPr>
            <w:tcW w:w="3680" w:type="dxa"/>
            <w:vAlign w:val="bottom"/>
            <w:shd w:val="clear" w:color="auto" w:fill="D3ECED"/>
          </w:tcPr>
          <w:p>
            <w:pPr>
              <w:spacing w:after="0"/>
              <w:rPr>
                <w:sz w:val="20"/>
                <w:szCs w:val="20"/>
                <w:color w:val="auto"/>
              </w:rPr>
            </w:pPr>
            <w:r>
              <w:rPr>
                <w:rFonts w:ascii="Arial" w:cs="Arial" w:eastAsia="Arial" w:hAnsi="Arial"/>
                <w:sz w:val="19"/>
                <w:szCs w:val="19"/>
                <w:color w:val="auto"/>
              </w:rPr>
              <w:t>Investments:</w:t>
            </w:r>
          </w:p>
        </w:tc>
        <w:tc>
          <w:tcPr>
            <w:tcW w:w="8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00" w:type="dxa"/>
            <w:vAlign w:val="bottom"/>
            <w:shd w:val="clear" w:color="auto" w:fill="D3ECED"/>
          </w:tcPr>
          <w:p>
            <w:pPr>
              <w:spacing w:after="0"/>
              <w:rPr>
                <w:sz w:val="20"/>
                <w:szCs w:val="20"/>
                <w:color w:val="auto"/>
              </w:rPr>
            </w:pPr>
          </w:p>
        </w:tc>
        <w:tc>
          <w:tcPr>
            <w:tcW w:w="1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20" w:type="dxa"/>
            <w:vAlign w:val="bottom"/>
            <w:shd w:val="clear" w:color="auto" w:fill="D3ECED"/>
          </w:tcPr>
          <w:p>
            <w:pPr>
              <w:spacing w:after="0"/>
              <w:rPr>
                <w:sz w:val="20"/>
                <w:szCs w:val="20"/>
                <w:color w:val="auto"/>
              </w:rPr>
            </w:pPr>
          </w:p>
        </w:tc>
        <w:tc>
          <w:tcPr>
            <w:tcW w:w="1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8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r>
      <w:tr>
        <w:trPr>
          <w:trHeight w:val="230"/>
        </w:trPr>
        <w:tc>
          <w:tcPr>
            <w:tcW w:w="3680" w:type="dxa"/>
            <w:vAlign w:val="bottom"/>
            <w:tcBorders>
              <w:bottom w:val="single" w:sz="8" w:color="D3ECED"/>
            </w:tcBorders>
            <w:shd w:val="clear" w:color="auto" w:fill="FDFDFD"/>
          </w:tcPr>
          <w:p>
            <w:pPr>
              <w:ind w:left="180"/>
              <w:spacing w:after="0"/>
              <w:rPr>
                <w:sz w:val="20"/>
                <w:szCs w:val="20"/>
                <w:color w:val="auto"/>
              </w:rPr>
            </w:pPr>
            <w:r>
              <w:rPr>
                <w:rFonts w:ascii="Arial" w:cs="Arial" w:eastAsia="Arial" w:hAnsi="Arial"/>
                <w:sz w:val="19"/>
                <w:szCs w:val="19"/>
                <w:color w:val="auto"/>
              </w:rPr>
              <w:t>U.S. Treasury securities</w:t>
            </w:r>
          </w:p>
        </w:tc>
        <w:tc>
          <w:tcPr>
            <w:tcW w:w="880" w:type="dxa"/>
            <w:vAlign w:val="bottom"/>
            <w:tcBorders>
              <w:bottom w:val="single" w:sz="8" w:color="D3ECED"/>
            </w:tcBorders>
            <w:shd w:val="clear" w:color="auto" w:fill="FDFDFD"/>
          </w:tcPr>
          <w:p>
            <w:pPr>
              <w:spacing w:after="0"/>
              <w:rPr>
                <w:sz w:val="20"/>
                <w:szCs w:val="20"/>
                <w:color w:val="auto"/>
              </w:rPr>
            </w:pPr>
          </w:p>
        </w:tc>
        <w:tc>
          <w:tcPr>
            <w:tcW w:w="100" w:type="dxa"/>
            <w:vAlign w:val="bottom"/>
            <w:tcBorders>
              <w:bottom w:val="single" w:sz="8" w:color="D3ECED"/>
            </w:tcBorders>
            <w:shd w:val="clear" w:color="auto" w:fill="FDFDFD"/>
          </w:tcPr>
          <w:p>
            <w:pPr>
              <w:spacing w:after="0"/>
              <w:rPr>
                <w:sz w:val="20"/>
                <w:szCs w:val="20"/>
                <w:color w:val="auto"/>
              </w:rPr>
            </w:pPr>
          </w:p>
        </w:tc>
        <w:tc>
          <w:tcPr>
            <w:tcW w:w="800" w:type="dxa"/>
            <w:vAlign w:val="bottom"/>
            <w:tcBorders>
              <w:bottom w:val="single" w:sz="8" w:color="D3ECED"/>
            </w:tcBorders>
            <w:shd w:val="clear" w:color="auto" w:fill="FDFDFD"/>
          </w:tcPr>
          <w:p>
            <w:pPr>
              <w:jc w:val="right"/>
              <w:spacing w:after="0"/>
              <w:rPr>
                <w:sz w:val="20"/>
                <w:szCs w:val="20"/>
                <w:color w:val="auto"/>
              </w:rPr>
            </w:pPr>
            <w:r>
              <w:rPr>
                <w:rFonts w:ascii="Arial" w:cs="Arial" w:eastAsia="Arial" w:hAnsi="Arial"/>
                <w:sz w:val="19"/>
                <w:szCs w:val="19"/>
                <w:color w:val="auto"/>
              </w:rPr>
              <w:t>225,517</w:t>
            </w:r>
          </w:p>
        </w:tc>
        <w:tc>
          <w:tcPr>
            <w:tcW w:w="180" w:type="dxa"/>
            <w:vAlign w:val="bottom"/>
            <w:tcBorders>
              <w:bottom w:val="single" w:sz="8" w:color="D3ECED"/>
            </w:tcBorders>
            <w:shd w:val="clear" w:color="auto" w:fill="FDFDFD"/>
          </w:tcPr>
          <w:p>
            <w:pPr>
              <w:spacing w:after="0"/>
              <w:rPr>
                <w:sz w:val="20"/>
                <w:szCs w:val="20"/>
                <w:color w:val="auto"/>
              </w:rPr>
            </w:pPr>
          </w:p>
        </w:tc>
        <w:tc>
          <w:tcPr>
            <w:tcW w:w="100" w:type="dxa"/>
            <w:vAlign w:val="bottom"/>
            <w:tcBorders>
              <w:bottom w:val="single" w:sz="8" w:color="D3ECED"/>
            </w:tcBorders>
            <w:shd w:val="clear" w:color="auto" w:fill="FDFDFD"/>
          </w:tcPr>
          <w:p>
            <w:pPr>
              <w:spacing w:after="0"/>
              <w:rPr>
                <w:sz w:val="20"/>
                <w:szCs w:val="20"/>
                <w:color w:val="auto"/>
              </w:rPr>
            </w:pPr>
          </w:p>
        </w:tc>
        <w:tc>
          <w:tcPr>
            <w:tcW w:w="820" w:type="dxa"/>
            <w:vAlign w:val="bottom"/>
            <w:tcBorders>
              <w:bottom w:val="single" w:sz="8" w:color="D3ECED"/>
            </w:tcBorders>
            <w:shd w:val="clear" w:color="auto" w:fill="FDFDFD"/>
          </w:tcPr>
          <w:p>
            <w:pPr>
              <w:jc w:val="right"/>
              <w:spacing w:after="0"/>
              <w:rPr>
                <w:sz w:val="20"/>
                <w:szCs w:val="20"/>
                <w:color w:val="auto"/>
              </w:rPr>
            </w:pPr>
            <w:r>
              <w:rPr>
                <w:rFonts w:ascii="Arial" w:cs="Arial" w:eastAsia="Arial" w:hAnsi="Arial"/>
                <w:sz w:val="19"/>
                <w:szCs w:val="19"/>
                <w:color w:val="auto"/>
              </w:rPr>
              <w:t>55</w:t>
            </w:r>
          </w:p>
        </w:tc>
        <w:tc>
          <w:tcPr>
            <w:tcW w:w="180" w:type="dxa"/>
            <w:vAlign w:val="bottom"/>
            <w:tcBorders>
              <w:bottom w:val="single" w:sz="8" w:color="FDFDFD"/>
            </w:tcBorders>
            <w:shd w:val="clear" w:color="auto" w:fill="FDFDFD"/>
          </w:tcPr>
          <w:p>
            <w:pPr>
              <w:spacing w:after="0"/>
              <w:rPr>
                <w:sz w:val="20"/>
                <w:szCs w:val="20"/>
                <w:color w:val="auto"/>
              </w:rPr>
            </w:pPr>
          </w:p>
        </w:tc>
        <w:tc>
          <w:tcPr>
            <w:tcW w:w="100" w:type="dxa"/>
            <w:vAlign w:val="bottom"/>
            <w:tcBorders>
              <w:bottom w:val="single" w:sz="8" w:color="FDFDFD"/>
            </w:tcBorders>
            <w:shd w:val="clear" w:color="auto" w:fill="FDFDFD"/>
          </w:tcPr>
          <w:p>
            <w:pPr>
              <w:spacing w:after="0"/>
              <w:rPr>
                <w:sz w:val="20"/>
                <w:szCs w:val="20"/>
                <w:color w:val="auto"/>
              </w:rPr>
            </w:pPr>
          </w:p>
        </w:tc>
        <w:tc>
          <w:tcPr>
            <w:tcW w:w="820" w:type="dxa"/>
            <w:vAlign w:val="bottom"/>
            <w:tcBorders>
              <w:bottom w:val="single" w:sz="8" w:color="FDFDFD"/>
            </w:tcBorders>
            <w:shd w:val="clear" w:color="auto" w:fill="FDFDFD"/>
          </w:tcPr>
          <w:p>
            <w:pPr>
              <w:jc w:val="right"/>
              <w:spacing w:after="0"/>
              <w:rPr>
                <w:sz w:val="20"/>
                <w:szCs w:val="20"/>
                <w:color w:val="auto"/>
              </w:rPr>
            </w:pPr>
            <w:r>
              <w:rPr>
                <w:rFonts w:ascii="Arial" w:cs="Arial" w:eastAsia="Arial" w:hAnsi="Arial"/>
                <w:sz w:val="19"/>
                <w:szCs w:val="19"/>
                <w:color w:val="auto"/>
              </w:rPr>
              <w:t>(392)</w:t>
            </w:r>
          </w:p>
        </w:tc>
        <w:tc>
          <w:tcPr>
            <w:tcW w:w="80" w:type="dxa"/>
            <w:vAlign w:val="bottom"/>
            <w:tcBorders>
              <w:bottom w:val="single" w:sz="8" w:color="FDFDFD"/>
            </w:tcBorders>
            <w:shd w:val="clear" w:color="auto" w:fill="FDFDFD"/>
          </w:tcPr>
          <w:p>
            <w:pPr>
              <w:spacing w:after="0"/>
              <w:rPr>
                <w:sz w:val="20"/>
                <w:szCs w:val="20"/>
                <w:color w:val="auto"/>
              </w:rPr>
            </w:pPr>
          </w:p>
        </w:tc>
        <w:tc>
          <w:tcPr>
            <w:tcW w:w="100" w:type="dxa"/>
            <w:vAlign w:val="bottom"/>
            <w:tcBorders>
              <w:bottom w:val="single" w:sz="8" w:color="D3ECED"/>
            </w:tcBorders>
            <w:shd w:val="clear" w:color="auto" w:fill="FDFDFD"/>
          </w:tcPr>
          <w:p>
            <w:pPr>
              <w:spacing w:after="0"/>
              <w:rPr>
                <w:sz w:val="20"/>
                <w:szCs w:val="20"/>
                <w:color w:val="auto"/>
              </w:rPr>
            </w:pPr>
          </w:p>
        </w:tc>
        <w:tc>
          <w:tcPr>
            <w:tcW w:w="100" w:type="dxa"/>
            <w:vAlign w:val="bottom"/>
            <w:tcBorders>
              <w:bottom w:val="single" w:sz="8" w:color="D3ECED"/>
            </w:tcBorders>
            <w:shd w:val="clear" w:color="auto" w:fill="FDFDFD"/>
          </w:tcPr>
          <w:p>
            <w:pPr>
              <w:spacing w:after="0"/>
              <w:rPr>
                <w:sz w:val="20"/>
                <w:szCs w:val="20"/>
                <w:color w:val="auto"/>
              </w:rPr>
            </w:pPr>
          </w:p>
        </w:tc>
        <w:tc>
          <w:tcPr>
            <w:tcW w:w="820" w:type="dxa"/>
            <w:vAlign w:val="bottom"/>
            <w:tcBorders>
              <w:bottom w:val="single" w:sz="8" w:color="D3ECED"/>
            </w:tcBorders>
            <w:shd w:val="clear" w:color="auto" w:fill="FDFDFD"/>
          </w:tcPr>
          <w:p>
            <w:pPr>
              <w:jc w:val="right"/>
              <w:spacing w:after="0"/>
              <w:rPr>
                <w:sz w:val="20"/>
                <w:szCs w:val="20"/>
                <w:color w:val="auto"/>
              </w:rPr>
            </w:pPr>
            <w:r>
              <w:rPr>
                <w:rFonts w:ascii="Arial" w:cs="Arial" w:eastAsia="Arial" w:hAnsi="Arial"/>
                <w:sz w:val="19"/>
                <w:szCs w:val="19"/>
                <w:color w:val="auto"/>
              </w:rPr>
              <w:t>225,180</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10"/>
        </w:trPr>
        <w:tc>
          <w:tcPr>
            <w:tcW w:w="3680" w:type="dxa"/>
            <w:vAlign w:val="bottom"/>
            <w:shd w:val="clear" w:color="auto" w:fill="D3ECED"/>
          </w:tcPr>
          <w:p>
            <w:pPr>
              <w:ind w:left="180"/>
              <w:spacing w:after="0" w:line="211" w:lineRule="exact"/>
              <w:rPr>
                <w:sz w:val="20"/>
                <w:szCs w:val="20"/>
                <w:color w:val="auto"/>
              </w:rPr>
            </w:pPr>
            <w:r>
              <w:rPr>
                <w:rFonts w:ascii="Arial" w:cs="Arial" w:eastAsia="Arial" w:hAnsi="Arial"/>
                <w:sz w:val="19"/>
                <w:szCs w:val="19"/>
                <w:color w:val="auto"/>
              </w:rPr>
              <w:t>U.S. Non-Treasury securities</w:t>
            </w:r>
          </w:p>
        </w:tc>
        <w:tc>
          <w:tcPr>
            <w:tcW w:w="880" w:type="dxa"/>
            <w:vAlign w:val="bottom"/>
            <w:shd w:val="clear" w:color="auto" w:fill="D3ECED"/>
          </w:tcPr>
          <w:p>
            <w:pPr>
              <w:spacing w:after="0"/>
              <w:rPr>
                <w:sz w:val="18"/>
                <w:szCs w:val="18"/>
                <w:color w:val="auto"/>
              </w:rPr>
            </w:pPr>
          </w:p>
        </w:tc>
        <w:tc>
          <w:tcPr>
            <w:tcW w:w="100" w:type="dxa"/>
            <w:vAlign w:val="bottom"/>
            <w:shd w:val="clear" w:color="auto" w:fill="D3ECED"/>
          </w:tcPr>
          <w:p>
            <w:pPr>
              <w:spacing w:after="0"/>
              <w:rPr>
                <w:sz w:val="18"/>
                <w:szCs w:val="18"/>
                <w:color w:val="auto"/>
              </w:rPr>
            </w:pPr>
          </w:p>
        </w:tc>
        <w:tc>
          <w:tcPr>
            <w:tcW w:w="800" w:type="dxa"/>
            <w:vAlign w:val="bottom"/>
            <w:shd w:val="clear" w:color="auto" w:fill="D3ECED"/>
          </w:tcPr>
          <w:p>
            <w:pPr>
              <w:jc w:val="right"/>
              <w:spacing w:after="0" w:line="211" w:lineRule="exact"/>
              <w:rPr>
                <w:sz w:val="20"/>
                <w:szCs w:val="20"/>
                <w:color w:val="auto"/>
              </w:rPr>
            </w:pPr>
            <w:r>
              <w:rPr>
                <w:rFonts w:ascii="Arial" w:cs="Arial" w:eastAsia="Arial" w:hAnsi="Arial"/>
                <w:sz w:val="19"/>
                <w:szCs w:val="19"/>
                <w:color w:val="auto"/>
              </w:rPr>
              <w:t>11,904</w:t>
            </w:r>
          </w:p>
        </w:tc>
        <w:tc>
          <w:tcPr>
            <w:tcW w:w="180" w:type="dxa"/>
            <w:vAlign w:val="bottom"/>
            <w:shd w:val="clear" w:color="auto" w:fill="D3ECED"/>
          </w:tcPr>
          <w:p>
            <w:pPr>
              <w:spacing w:after="0"/>
              <w:rPr>
                <w:sz w:val="18"/>
                <w:szCs w:val="18"/>
                <w:color w:val="auto"/>
              </w:rPr>
            </w:pPr>
          </w:p>
        </w:tc>
        <w:tc>
          <w:tcPr>
            <w:tcW w:w="100" w:type="dxa"/>
            <w:vAlign w:val="bottom"/>
            <w:shd w:val="clear" w:color="auto" w:fill="D3ECED"/>
          </w:tcPr>
          <w:p>
            <w:pPr>
              <w:spacing w:after="0"/>
              <w:rPr>
                <w:sz w:val="18"/>
                <w:szCs w:val="18"/>
                <w:color w:val="auto"/>
              </w:rPr>
            </w:pPr>
          </w:p>
        </w:tc>
        <w:tc>
          <w:tcPr>
            <w:tcW w:w="820" w:type="dxa"/>
            <w:vAlign w:val="bottom"/>
            <w:shd w:val="clear" w:color="auto" w:fill="D3ECED"/>
          </w:tcPr>
          <w:p>
            <w:pPr>
              <w:jc w:val="right"/>
              <w:spacing w:after="0" w:line="211" w:lineRule="exact"/>
              <w:rPr>
                <w:sz w:val="20"/>
                <w:szCs w:val="20"/>
                <w:color w:val="auto"/>
              </w:rPr>
            </w:pPr>
            <w:r>
              <w:rPr>
                <w:rFonts w:ascii="Arial" w:cs="Arial" w:eastAsia="Arial" w:hAnsi="Arial"/>
                <w:sz w:val="19"/>
                <w:szCs w:val="19"/>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line="211" w:lineRule="exact"/>
              <w:rPr>
                <w:sz w:val="20"/>
                <w:szCs w:val="20"/>
                <w:color w:val="auto"/>
              </w:rPr>
            </w:pPr>
            <w:r>
              <w:rPr>
                <w:rFonts w:ascii="Arial" w:cs="Arial" w:eastAsia="Arial" w:hAnsi="Arial"/>
                <w:sz w:val="19"/>
                <w:szCs w:val="19"/>
                <w:color w:val="auto"/>
              </w:rPr>
              <w:t>(5)</w:t>
            </w:r>
          </w:p>
        </w:tc>
        <w:tc>
          <w:tcPr>
            <w:tcW w:w="100" w:type="dxa"/>
            <w:vAlign w:val="bottom"/>
            <w:shd w:val="clear" w:color="auto" w:fill="D3ECED"/>
          </w:tcPr>
          <w:p>
            <w:pPr>
              <w:spacing w:after="0"/>
              <w:rPr>
                <w:sz w:val="18"/>
                <w:szCs w:val="18"/>
                <w:color w:val="auto"/>
              </w:rPr>
            </w:pPr>
          </w:p>
        </w:tc>
        <w:tc>
          <w:tcPr>
            <w:tcW w:w="100" w:type="dxa"/>
            <w:vAlign w:val="bottom"/>
            <w:shd w:val="clear" w:color="auto" w:fill="D3ECED"/>
          </w:tcPr>
          <w:p>
            <w:pPr>
              <w:spacing w:after="0"/>
              <w:rPr>
                <w:sz w:val="18"/>
                <w:szCs w:val="18"/>
                <w:color w:val="auto"/>
              </w:rPr>
            </w:pPr>
          </w:p>
        </w:tc>
        <w:tc>
          <w:tcPr>
            <w:tcW w:w="820" w:type="dxa"/>
            <w:vAlign w:val="bottom"/>
            <w:shd w:val="clear" w:color="auto" w:fill="D3ECED"/>
          </w:tcPr>
          <w:p>
            <w:pPr>
              <w:jc w:val="right"/>
              <w:spacing w:after="0" w:line="211" w:lineRule="exact"/>
              <w:rPr>
                <w:sz w:val="20"/>
                <w:szCs w:val="20"/>
                <w:color w:val="auto"/>
              </w:rPr>
            </w:pPr>
            <w:r>
              <w:rPr>
                <w:rFonts w:ascii="Arial" w:cs="Arial" w:eastAsia="Arial" w:hAnsi="Arial"/>
                <w:sz w:val="19"/>
                <w:szCs w:val="19"/>
                <w:color w:val="auto"/>
              </w:rPr>
              <w:t>11,901</w:t>
            </w:r>
          </w:p>
        </w:tc>
        <w:tc>
          <w:tcPr>
            <w:tcW w:w="80" w:type="dxa"/>
            <w:vAlign w:val="bottom"/>
            <w:shd w:val="clear" w:color="auto" w:fill="D3ECED"/>
          </w:tcPr>
          <w:p>
            <w:pPr>
              <w:spacing w:after="0"/>
              <w:rPr>
                <w:sz w:val="18"/>
                <w:szCs w:val="18"/>
                <w:color w:val="auto"/>
              </w:rPr>
            </w:pPr>
          </w:p>
        </w:tc>
      </w:tr>
      <w:tr>
        <w:trPr>
          <w:trHeight w:val="230"/>
        </w:trPr>
        <w:tc>
          <w:tcPr>
            <w:tcW w:w="3680" w:type="dxa"/>
            <w:vAlign w:val="bottom"/>
            <w:shd w:val="clear" w:color="auto" w:fill="FDFDFD"/>
          </w:tcPr>
          <w:p>
            <w:pPr>
              <w:ind w:left="180"/>
              <w:spacing w:after="0"/>
              <w:rPr>
                <w:sz w:val="20"/>
                <w:szCs w:val="20"/>
                <w:color w:val="auto"/>
              </w:rPr>
            </w:pPr>
            <w:r>
              <w:rPr>
                <w:rFonts w:ascii="Arial" w:cs="Arial" w:eastAsia="Arial" w:hAnsi="Arial"/>
                <w:sz w:val="19"/>
                <w:szCs w:val="19"/>
                <w:color w:val="auto"/>
              </w:rPr>
              <w:t>Commercial paper</w:t>
            </w:r>
          </w:p>
        </w:tc>
        <w:tc>
          <w:tcPr>
            <w:tcW w:w="8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18,166</w:t>
            </w:r>
          </w:p>
        </w:tc>
        <w:tc>
          <w:tcPr>
            <w:tcW w:w="1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9"/>
                <w:szCs w:val="19"/>
                <w:color w:val="auto"/>
              </w:rPr>
              <w:t>(6)</w:t>
            </w:r>
          </w:p>
        </w:tc>
        <w:tc>
          <w:tcPr>
            <w:tcW w:w="10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8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18,186</w:t>
            </w:r>
          </w:p>
        </w:tc>
        <w:tc>
          <w:tcPr>
            <w:tcW w:w="80" w:type="dxa"/>
            <w:vAlign w:val="bottom"/>
            <w:shd w:val="clear" w:color="auto" w:fill="FDFDFD"/>
          </w:tcPr>
          <w:p>
            <w:pPr>
              <w:spacing w:after="0"/>
              <w:rPr>
                <w:sz w:val="20"/>
                <w:szCs w:val="20"/>
                <w:color w:val="auto"/>
              </w:rPr>
            </w:pPr>
          </w:p>
        </w:tc>
      </w:tr>
      <w:tr>
        <w:trPr>
          <w:trHeight w:val="230"/>
        </w:trPr>
        <w:tc>
          <w:tcPr>
            <w:tcW w:w="3680" w:type="dxa"/>
            <w:vAlign w:val="bottom"/>
            <w:tcBorders>
              <w:bottom w:val="single" w:sz="8" w:color="FDFDFD"/>
            </w:tcBorders>
            <w:shd w:val="clear" w:color="auto" w:fill="D3ECED"/>
          </w:tcPr>
          <w:p>
            <w:pPr>
              <w:ind w:left="180"/>
              <w:spacing w:after="0"/>
              <w:rPr>
                <w:sz w:val="20"/>
                <w:szCs w:val="20"/>
                <w:color w:val="auto"/>
              </w:rPr>
            </w:pPr>
            <w:r>
              <w:rPr>
                <w:rFonts w:ascii="Arial" w:cs="Arial" w:eastAsia="Arial" w:hAnsi="Arial"/>
                <w:sz w:val="19"/>
                <w:szCs w:val="19"/>
                <w:color w:val="auto"/>
              </w:rPr>
              <w:t>Corporate debt securities</w:t>
            </w:r>
          </w:p>
        </w:tc>
        <w:tc>
          <w:tcPr>
            <w:tcW w:w="8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80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85,190</w:t>
            </w:r>
          </w:p>
        </w:tc>
        <w:tc>
          <w:tcPr>
            <w:tcW w:w="1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8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142</w:t>
            </w:r>
          </w:p>
        </w:tc>
        <w:tc>
          <w:tcPr>
            <w:tcW w:w="1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8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(16)</w:t>
            </w:r>
          </w:p>
        </w:tc>
        <w:tc>
          <w:tcPr>
            <w:tcW w:w="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8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85,316</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0"/>
        </w:trPr>
        <w:tc>
          <w:tcPr>
            <w:tcW w:w="3680" w:type="dxa"/>
            <w:vAlign w:val="bottom"/>
            <w:tcBorders>
              <w:bottom w:val="single" w:sz="8" w:color="D3ECED"/>
            </w:tcBorders>
            <w:shd w:val="clear" w:color="auto" w:fill="FDFDFD"/>
          </w:tcPr>
          <w:p>
            <w:pPr>
              <w:ind w:left="280"/>
              <w:spacing w:after="0"/>
              <w:rPr>
                <w:sz w:val="20"/>
                <w:szCs w:val="20"/>
                <w:color w:val="auto"/>
              </w:rPr>
            </w:pPr>
            <w:r>
              <w:rPr>
                <w:rFonts w:ascii="Arial" w:cs="Arial" w:eastAsia="Arial" w:hAnsi="Arial"/>
                <w:sz w:val="19"/>
                <w:szCs w:val="19"/>
                <w:color w:val="auto"/>
              </w:rPr>
              <w:t>Total investments</w:t>
            </w:r>
          </w:p>
        </w:tc>
        <w:tc>
          <w:tcPr>
            <w:tcW w:w="88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8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340,777</w:t>
            </w:r>
          </w:p>
        </w:tc>
        <w:tc>
          <w:tcPr>
            <w:tcW w:w="18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8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225</w:t>
            </w:r>
          </w:p>
        </w:tc>
        <w:tc>
          <w:tcPr>
            <w:tcW w:w="18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8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(419)</w:t>
            </w:r>
          </w:p>
        </w:tc>
        <w:tc>
          <w:tcPr>
            <w:tcW w:w="8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D3ECED"/>
            </w:tcBorders>
            <w:shd w:val="clear" w:color="auto" w:fill="FDFDFD"/>
          </w:tcPr>
          <w:p>
            <w:pPr>
              <w:spacing w:after="0"/>
              <w:rPr>
                <w:sz w:val="19"/>
                <w:szCs w:val="19"/>
                <w:color w:val="auto"/>
              </w:rPr>
            </w:pPr>
          </w:p>
        </w:tc>
        <w:tc>
          <w:tcPr>
            <w:tcW w:w="100" w:type="dxa"/>
            <w:vAlign w:val="bottom"/>
            <w:tcBorders>
              <w:bottom w:val="single" w:sz="8" w:color="auto"/>
            </w:tcBorders>
            <w:shd w:val="clear" w:color="auto" w:fill="FDFDFD"/>
          </w:tcPr>
          <w:p>
            <w:pPr>
              <w:spacing w:after="0"/>
              <w:rPr>
                <w:sz w:val="19"/>
                <w:szCs w:val="19"/>
                <w:color w:val="auto"/>
              </w:rPr>
            </w:pPr>
          </w:p>
        </w:tc>
        <w:tc>
          <w:tcPr>
            <w:tcW w:w="8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340,583</w:t>
            </w:r>
          </w:p>
        </w:tc>
        <w:tc>
          <w:tcPr>
            <w:tcW w:w="80" w:type="dxa"/>
            <w:vAlign w:val="bottom"/>
            <w:tcBorders>
              <w:bottom w:val="single" w:sz="8" w:color="D3ECED"/>
            </w:tcBorders>
            <w:shd w:val="clear" w:color="auto" w:fill="FDFDFD"/>
          </w:tcPr>
          <w:p>
            <w:pPr>
              <w:spacing w:after="0"/>
              <w:rPr>
                <w:sz w:val="19"/>
                <w:szCs w:val="19"/>
                <w:color w:val="auto"/>
              </w:rPr>
            </w:pPr>
          </w:p>
        </w:tc>
      </w:tr>
      <w:tr>
        <w:trPr>
          <w:trHeight w:val="222"/>
        </w:trPr>
        <w:tc>
          <w:tcPr>
            <w:tcW w:w="3680" w:type="dxa"/>
            <w:vAlign w:val="bottom"/>
            <w:shd w:val="clear" w:color="auto" w:fill="D3ECED"/>
          </w:tcPr>
          <w:p>
            <w:pPr>
              <w:ind w:left="180"/>
              <w:spacing w:after="0"/>
              <w:rPr>
                <w:sz w:val="20"/>
                <w:szCs w:val="20"/>
                <w:color w:val="auto"/>
              </w:rPr>
            </w:pPr>
            <w:r>
              <w:rPr>
                <w:rFonts w:ascii="Arial" w:cs="Arial" w:eastAsia="Arial" w:hAnsi="Arial"/>
                <w:sz w:val="19"/>
                <w:szCs w:val="19"/>
                <w:color w:val="auto"/>
              </w:rPr>
              <w:t>Total assets measured at fair value</w:t>
            </w:r>
          </w:p>
        </w:tc>
        <w:tc>
          <w:tcPr>
            <w:tcW w:w="88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8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369,956</w:t>
            </w:r>
          </w:p>
        </w:tc>
        <w:tc>
          <w:tcPr>
            <w:tcW w:w="18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227</w:t>
            </w:r>
          </w:p>
        </w:tc>
        <w:tc>
          <w:tcPr>
            <w:tcW w:w="18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(419)</w:t>
            </w:r>
          </w:p>
        </w:tc>
        <w:tc>
          <w:tcPr>
            <w:tcW w:w="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8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369,764</w:t>
            </w:r>
          </w:p>
        </w:tc>
        <w:tc>
          <w:tcPr>
            <w:tcW w:w="80" w:type="dxa"/>
            <w:vAlign w:val="bottom"/>
            <w:shd w:val="clear" w:color="auto" w:fill="D3ECE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-2468245</wp:posOffset>
            </wp:positionV>
            <wp:extent cx="2694305" cy="520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77">
                      <a:extLst>
                        <a:ext uri="{28A0092B-C50C-407E-A947-70E740481C1C}"/>
                      </a:extLst>
                    </a:blip>
                    <a:srcRect/>
                    <a:stretch>
                      <a:fillRect/>
                    </a:stretch>
                  </pic:blipFill>
                  <pic:spPr bwMode="auto">
                    <a:xfrm>
                      <a:off x="0" y="0"/>
                      <a:ext cx="2694305" cy="520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4329430</wp:posOffset>
                </wp:positionH>
                <wp:positionV relativeFrom="paragraph">
                  <wp:posOffset>-744855</wp:posOffset>
                </wp:positionV>
                <wp:extent cx="697865" cy="147955"/>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865" cy="147955"/>
                        </a:xfrm>
                        <a:prstGeom prst="rect">
                          <a:avLst/>
                        </a:prstGeom>
                        <a:solidFill>
                          <a:srgbClr val="D3ECED"/>
                        </a:solidFill>
                      </wps:spPr>
                      <wps:bodyPr/>
                    </wps:wsp>
                  </a:graphicData>
                </a:graphic>
              </wp:anchor>
            </w:drawing>
          </mc:Choice>
          <mc:Fallback>
            <w:pict>
              <v:rect id="Shape 303" o:spid="_x0000_s1328" style="position:absolute;margin-left:340.9pt;margin-top:-58.6499pt;width:54.9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4329430</wp:posOffset>
                </wp:positionH>
                <wp:positionV relativeFrom="paragraph">
                  <wp:posOffset>-598805</wp:posOffset>
                </wp:positionV>
                <wp:extent cx="697865" cy="147955"/>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865" cy="147955"/>
                        </a:xfrm>
                        <a:prstGeom prst="rect">
                          <a:avLst/>
                        </a:prstGeom>
                        <a:solidFill>
                          <a:srgbClr val="FDFDFD"/>
                        </a:solidFill>
                      </wps:spPr>
                      <wps:bodyPr/>
                    </wps:wsp>
                  </a:graphicData>
                </a:graphic>
              </wp:anchor>
            </w:drawing>
          </mc:Choice>
          <mc:Fallback>
            <w:pict>
              <v:rect id="Shape 304" o:spid="_x0000_s1329" style="position:absolute;margin-left:340.9pt;margin-top:-47.1499pt;width:54.9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w:drawing>
          <wp:anchor simplePos="0" relativeHeight="251657728" behindDoc="1" locked="0" layoutInCell="0" allowOverlap="1">
            <wp:simplePos x="0" y="0"/>
            <wp:positionH relativeFrom="column">
              <wp:posOffset>3043555</wp:posOffset>
            </wp:positionH>
            <wp:positionV relativeFrom="paragraph">
              <wp:posOffset>-13335</wp:posOffset>
            </wp:positionV>
            <wp:extent cx="2694305" cy="533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78">
                      <a:extLst>
                        <a:ext uri="{28A0092B-C50C-407E-A947-70E740481C1C}"/>
                      </a:extLst>
                    </a:blip>
                    <a:srcRect/>
                    <a:stretch>
                      <a:fillRect/>
                    </a:stretch>
                  </pic:blipFill>
                  <pic:spPr bwMode="auto">
                    <a:xfrm>
                      <a:off x="0" y="0"/>
                      <a:ext cx="2694305" cy="53340"/>
                    </a:xfrm>
                    <a:prstGeom prst="rect">
                      <a:avLst/>
                    </a:prstGeom>
                    <a:noFill/>
                  </pic:spPr>
                </pic:pic>
              </a:graphicData>
            </a:graphic>
          </wp:anchor>
        </w:drawing>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2240" w:h="15840" w:orient="portrait"/>
          <w:cols w:equalWidth="0" w:num="1">
            <w:col w:w="9360"/>
          </w:cols>
          <w:pgMar w:left="1440" w:top="1358" w:right="1440" w:bottom="624"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300"/>
        <w:spacing w:after="0" w:line="327" w:lineRule="auto"/>
        <w:rPr>
          <w:sz w:val="20"/>
          <w:szCs w:val="20"/>
          <w:color w:val="auto"/>
        </w:rPr>
      </w:pPr>
      <w:r>
        <w:rPr>
          <w:rFonts w:ascii="Arial" w:cs="Arial" w:eastAsia="Arial" w:hAnsi="Arial"/>
          <w:sz w:val="17"/>
          <w:szCs w:val="17"/>
          <w:color w:val="auto"/>
        </w:rPr>
        <w:t>As of December 31, 2024 and 2023, unrealized losses on available-for-sale investments are not attributable to credit risk and are considered to be temporary. As of December 31, 2024, approximately $29.6 million of the Company's investments have been in a continuous unrealized loss position for twelve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2024, $63.1 million of available-for-sale investments had remaining maturities between one and two years. The remainder of the available-for-sale investments have a remaining maturity of one year or less. As of December 31, 2024 and 2023, the Company recorded $1.9 million and $1.3 million of accrued interest, respectively, related to its available-for-sale investments and is presented as other receivables on the consolidated balance sheets.</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261"/>
        </w:trPr>
        <w:tc>
          <w:tcPr>
            <w:tcW w:w="240" w:type="dxa"/>
            <w:vAlign w:val="bottom"/>
          </w:tcPr>
          <w:p>
            <w:pPr>
              <w:spacing w:after="0"/>
              <w:rPr>
                <w:sz w:val="20"/>
                <w:szCs w:val="20"/>
                <w:color w:val="auto"/>
              </w:rPr>
            </w:pPr>
            <w:r>
              <w:rPr>
                <w:rFonts w:ascii="Arial" w:cs="Arial" w:eastAsia="Arial" w:hAnsi="Arial"/>
                <w:sz w:val="19"/>
                <w:szCs w:val="19"/>
                <w:b w:val="1"/>
                <w:bCs w:val="1"/>
                <w:color w:val="auto"/>
              </w:rPr>
              <w:t>4.</w:t>
            </w:r>
          </w:p>
        </w:tc>
        <w:tc>
          <w:tcPr>
            <w:tcW w:w="5820" w:type="dxa"/>
            <w:vAlign w:val="bottom"/>
          </w:tcPr>
          <w:p>
            <w:pPr>
              <w:ind w:left="440"/>
              <w:spacing w:after="0"/>
              <w:rPr>
                <w:sz w:val="20"/>
                <w:szCs w:val="20"/>
                <w:color w:val="auto"/>
              </w:rPr>
            </w:pPr>
            <w:r>
              <w:rPr>
                <w:rFonts w:ascii="Arial" w:cs="Arial" w:eastAsia="Arial" w:hAnsi="Arial"/>
                <w:sz w:val="19"/>
                <w:szCs w:val="19"/>
                <w:b w:val="1"/>
                <w:bCs w:val="1"/>
                <w:color w:val="auto"/>
              </w:rPr>
              <w:t>OTHER FINANCIAL STATEMENT INFORMATION</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425"/>
        </w:trPr>
        <w:tc>
          <w:tcPr>
            <w:tcW w:w="240" w:type="dxa"/>
            <w:vAlign w:val="bottom"/>
          </w:tcPr>
          <w:p>
            <w:pPr>
              <w:spacing w:after="0"/>
              <w:rPr>
                <w:sz w:val="24"/>
                <w:szCs w:val="24"/>
                <w:color w:val="auto"/>
              </w:rPr>
            </w:pPr>
          </w:p>
        </w:tc>
        <w:tc>
          <w:tcPr>
            <w:tcW w:w="5820" w:type="dxa"/>
            <w:vAlign w:val="bottom"/>
          </w:tcPr>
          <w:p>
            <w:pPr>
              <w:ind w:left="100"/>
              <w:spacing w:after="0"/>
              <w:rPr>
                <w:sz w:val="20"/>
                <w:szCs w:val="20"/>
                <w:color w:val="auto"/>
              </w:rPr>
            </w:pPr>
            <w:r>
              <w:rPr>
                <w:rFonts w:ascii="Arial" w:cs="Arial" w:eastAsia="Arial" w:hAnsi="Arial"/>
                <w:sz w:val="19"/>
                <w:szCs w:val="19"/>
                <w:b w:val="1"/>
                <w:bCs w:val="1"/>
                <w:color w:val="auto"/>
              </w:rPr>
              <w:t>Inventory</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9"/>
        </w:trPr>
        <w:tc>
          <w:tcPr>
            <w:tcW w:w="6060" w:type="dxa"/>
            <w:vAlign w:val="bottom"/>
            <w:gridSpan w:val="2"/>
          </w:tcPr>
          <w:p>
            <w:pPr>
              <w:spacing w:after="0"/>
              <w:rPr>
                <w:sz w:val="20"/>
                <w:szCs w:val="20"/>
                <w:color w:val="auto"/>
              </w:rPr>
            </w:pPr>
            <w:r>
              <w:rPr>
                <w:rFonts w:ascii="Arial" w:cs="Arial" w:eastAsia="Arial" w:hAnsi="Arial"/>
                <w:sz w:val="19"/>
                <w:szCs w:val="19"/>
                <w:color w:val="auto"/>
              </w:rPr>
              <w:t>Inventory consists of the following (in thousands):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6"/>
        </w:trPr>
        <w:tc>
          <w:tcPr>
            <w:tcW w:w="24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gridSpan w:val="2"/>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66"/>
        </w:trPr>
        <w:tc>
          <w:tcPr>
            <w:tcW w:w="240" w:type="dxa"/>
            <w:vAlign w:val="bottom"/>
            <w:tcBorders>
              <w:bottom w:val="single" w:sz="8" w:color="FDFDFD"/>
            </w:tcBorders>
            <w:shd w:val="clear" w:color="auto" w:fill="FDFDFD"/>
          </w:tcPr>
          <w:p>
            <w:pPr>
              <w:spacing w:after="0"/>
              <w:rPr>
                <w:sz w:val="23"/>
                <w:szCs w:val="23"/>
                <w:color w:val="auto"/>
              </w:rPr>
            </w:pPr>
          </w:p>
        </w:tc>
        <w:tc>
          <w:tcPr>
            <w:tcW w:w="5820" w:type="dxa"/>
            <w:vAlign w:val="bottom"/>
            <w:tcBorders>
              <w:bottom w:val="single" w:sz="8" w:color="FDFDFD"/>
            </w:tcBorders>
            <w:shd w:val="clear" w:color="auto" w:fill="FDFDFD"/>
          </w:tcPr>
          <w:p>
            <w:pPr>
              <w:spacing w:after="0"/>
              <w:rPr>
                <w:sz w:val="23"/>
                <w:szCs w:val="23"/>
                <w:color w:val="auto"/>
              </w:rPr>
            </w:pPr>
          </w:p>
        </w:tc>
        <w:tc>
          <w:tcPr>
            <w:tcW w:w="100" w:type="dxa"/>
            <w:vAlign w:val="bottom"/>
            <w:tcBorders>
              <w:bottom w:val="single" w:sz="8" w:color="auto"/>
            </w:tcBorders>
            <w:shd w:val="clear" w:color="auto" w:fill="FDFDFD"/>
          </w:tcPr>
          <w:p>
            <w:pPr>
              <w:spacing w:after="0"/>
              <w:rPr>
                <w:sz w:val="23"/>
                <w:szCs w:val="23"/>
                <w:color w:val="auto"/>
              </w:rPr>
            </w:pPr>
          </w:p>
        </w:tc>
        <w:tc>
          <w:tcPr>
            <w:tcW w:w="1760" w:type="dxa"/>
            <w:vAlign w:val="bottom"/>
            <w:tcBorders>
              <w:bottom w:val="single" w:sz="8" w:color="auto"/>
            </w:tcBorders>
            <w:gridSpan w:val="4"/>
            <w:shd w:val="clear" w:color="auto" w:fill="FDFDFD"/>
          </w:tcPr>
          <w:p>
            <w:pPr>
              <w:jc w:val="right"/>
              <w:spacing w:after="0"/>
              <w:rPr>
                <w:sz w:val="20"/>
                <w:szCs w:val="20"/>
                <w:color w:val="auto"/>
              </w:rPr>
            </w:pPr>
            <w:r>
              <w:rPr>
                <w:rFonts w:ascii="Arial" w:cs="Arial" w:eastAsia="Arial" w:hAnsi="Arial"/>
                <w:sz w:val="15"/>
                <w:szCs w:val="15"/>
                <w:b w:val="1"/>
                <w:bCs w:val="1"/>
                <w:color w:val="auto"/>
              </w:rPr>
              <w:t>December 31,</w:t>
            </w:r>
          </w:p>
        </w:tc>
        <w:tc>
          <w:tcPr>
            <w:tcW w:w="840" w:type="dxa"/>
            <w:vAlign w:val="bottom"/>
            <w:tcBorders>
              <w:bottom w:val="single" w:sz="8" w:color="auto"/>
            </w:tcBorders>
            <w:shd w:val="clear" w:color="auto" w:fill="FDFDFD"/>
          </w:tcPr>
          <w:p>
            <w:pPr>
              <w:spacing w:after="0"/>
              <w:rPr>
                <w:sz w:val="23"/>
                <w:szCs w:val="23"/>
                <w:color w:val="auto"/>
              </w:rPr>
            </w:pPr>
          </w:p>
        </w:tc>
        <w:tc>
          <w:tcPr>
            <w:tcW w:w="80" w:type="dxa"/>
            <w:vAlign w:val="bottom"/>
            <w:tcBorders>
              <w:bottom w:val="single" w:sz="8" w:color="FDFDFD"/>
            </w:tcBorders>
            <w:shd w:val="clear" w:color="auto" w:fill="FDFDFD"/>
          </w:tcPr>
          <w:p>
            <w:pPr>
              <w:spacing w:after="0"/>
              <w:rPr>
                <w:sz w:val="23"/>
                <w:szCs w:val="23"/>
                <w:color w:val="auto"/>
              </w:rPr>
            </w:pPr>
          </w:p>
        </w:tc>
      </w:tr>
      <w:tr>
        <w:trPr>
          <w:trHeight w:val="177"/>
        </w:trPr>
        <w:tc>
          <w:tcPr>
            <w:tcW w:w="240" w:type="dxa"/>
            <w:vAlign w:val="bottom"/>
            <w:tcBorders>
              <w:bottom w:val="single" w:sz="8" w:color="D3ECED"/>
            </w:tcBorders>
            <w:shd w:val="clear" w:color="auto" w:fill="FDFDFD"/>
          </w:tcPr>
          <w:p>
            <w:pPr>
              <w:spacing w:after="0"/>
              <w:rPr>
                <w:sz w:val="15"/>
                <w:szCs w:val="15"/>
                <w:color w:val="auto"/>
              </w:rPr>
            </w:pPr>
          </w:p>
        </w:tc>
        <w:tc>
          <w:tcPr>
            <w:tcW w:w="5820" w:type="dxa"/>
            <w:vAlign w:val="bottom"/>
            <w:tcBorders>
              <w:bottom w:val="single" w:sz="8" w:color="D3ECED"/>
            </w:tcBorders>
            <w:shd w:val="clear" w:color="auto" w:fill="FDFDFD"/>
          </w:tcPr>
          <w:p>
            <w:pPr>
              <w:spacing w:after="0"/>
              <w:rPr>
                <w:sz w:val="15"/>
                <w:szCs w:val="15"/>
                <w:color w:val="auto"/>
              </w:rPr>
            </w:pPr>
          </w:p>
        </w:tc>
        <w:tc>
          <w:tcPr>
            <w:tcW w:w="100" w:type="dxa"/>
            <w:vAlign w:val="bottom"/>
            <w:tcBorders>
              <w:bottom w:val="single" w:sz="8" w:color="auto"/>
            </w:tcBorders>
            <w:shd w:val="clear" w:color="auto" w:fill="FDFDFD"/>
          </w:tcPr>
          <w:p>
            <w:pPr>
              <w:spacing w:after="0"/>
              <w:rPr>
                <w:sz w:val="15"/>
                <w:szCs w:val="15"/>
                <w:color w:val="auto"/>
              </w:rPr>
            </w:pPr>
          </w:p>
        </w:tc>
        <w:tc>
          <w:tcPr>
            <w:tcW w:w="1140" w:type="dxa"/>
            <w:vAlign w:val="bottom"/>
            <w:tcBorders>
              <w:bottom w:val="single" w:sz="8" w:color="auto"/>
            </w:tcBorders>
            <w:shd w:val="clear" w:color="auto" w:fill="FDFDFD"/>
          </w:tcPr>
          <w:p>
            <w:pPr>
              <w:jc w:val="right"/>
              <w:ind w:right="390"/>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D3ECED"/>
            </w:tcBorders>
            <w:shd w:val="clear" w:color="auto" w:fill="FDFDFD"/>
          </w:tcPr>
          <w:p>
            <w:pPr>
              <w:spacing w:after="0"/>
              <w:rPr>
                <w:sz w:val="15"/>
                <w:szCs w:val="15"/>
                <w:color w:val="auto"/>
              </w:rPr>
            </w:pPr>
          </w:p>
        </w:tc>
        <w:tc>
          <w:tcPr>
            <w:tcW w:w="140" w:type="dxa"/>
            <w:vAlign w:val="bottom"/>
            <w:tcBorders>
              <w:bottom w:val="single" w:sz="8" w:color="D3ECED"/>
            </w:tcBorders>
            <w:shd w:val="clear" w:color="auto" w:fill="FDFDFD"/>
          </w:tcPr>
          <w:p>
            <w:pPr>
              <w:spacing w:after="0"/>
              <w:rPr>
                <w:sz w:val="15"/>
                <w:szCs w:val="15"/>
                <w:color w:val="auto"/>
              </w:rPr>
            </w:pPr>
          </w:p>
        </w:tc>
        <w:tc>
          <w:tcPr>
            <w:tcW w:w="400" w:type="dxa"/>
            <w:vAlign w:val="bottom"/>
            <w:tcBorders>
              <w:bottom w:val="single" w:sz="8" w:color="auto"/>
            </w:tcBorders>
            <w:shd w:val="clear" w:color="auto" w:fill="FDFDFD"/>
          </w:tcPr>
          <w:p>
            <w:pPr>
              <w:spacing w:after="0"/>
              <w:rPr>
                <w:sz w:val="15"/>
                <w:szCs w:val="15"/>
                <w:color w:val="auto"/>
              </w:rPr>
            </w:pPr>
          </w:p>
        </w:tc>
        <w:tc>
          <w:tcPr>
            <w:tcW w:w="840" w:type="dxa"/>
            <w:vAlign w:val="bottom"/>
            <w:tcBorders>
              <w:bottom w:val="single" w:sz="8" w:color="auto"/>
            </w:tcBorders>
            <w:shd w:val="clear" w:color="auto" w:fill="FDFDFD"/>
          </w:tcPr>
          <w:p>
            <w:pPr>
              <w:jc w:val="right"/>
              <w:ind w:right="388"/>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D3ECED"/>
            </w:tcBorders>
            <w:shd w:val="clear" w:color="auto" w:fill="FDFDFD"/>
          </w:tcPr>
          <w:p>
            <w:pPr>
              <w:spacing w:after="0"/>
              <w:rPr>
                <w:sz w:val="15"/>
                <w:szCs w:val="15"/>
                <w:color w:val="auto"/>
              </w:rPr>
            </w:pPr>
          </w:p>
        </w:tc>
      </w:tr>
      <w:tr>
        <w:trPr>
          <w:trHeight w:val="220"/>
        </w:trPr>
        <w:tc>
          <w:tcPr>
            <w:tcW w:w="6060" w:type="dxa"/>
            <w:vAlign w:val="bottom"/>
            <w:gridSpan w:val="2"/>
            <w:shd w:val="clear" w:color="auto" w:fill="D3ECED"/>
          </w:tcPr>
          <w:p>
            <w:pPr>
              <w:spacing w:after="0"/>
              <w:rPr>
                <w:sz w:val="20"/>
                <w:szCs w:val="20"/>
                <w:color w:val="auto"/>
              </w:rPr>
            </w:pPr>
            <w:r>
              <w:rPr>
                <w:rFonts w:ascii="Arial" w:cs="Arial" w:eastAsia="Arial" w:hAnsi="Arial"/>
                <w:sz w:val="19"/>
                <w:szCs w:val="19"/>
                <w:color w:val="auto"/>
              </w:rPr>
              <w:t>Raw materials</w:t>
            </w: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3,164</w:t>
            </w:r>
          </w:p>
        </w:tc>
        <w:tc>
          <w:tcPr>
            <w:tcW w:w="80" w:type="dxa"/>
            <w:vAlign w:val="bottom"/>
            <w:shd w:val="clear" w:color="auto" w:fill="D3ECED"/>
          </w:tcPr>
          <w:p>
            <w:pPr>
              <w:spacing w:after="0"/>
              <w:rPr>
                <w:sz w:val="19"/>
                <w:szCs w:val="19"/>
                <w:color w:val="auto"/>
              </w:rPr>
            </w:pPr>
          </w:p>
        </w:tc>
        <w:tc>
          <w:tcPr>
            <w:tcW w:w="140" w:type="dxa"/>
            <w:vAlign w:val="bottom"/>
            <w:shd w:val="clear" w:color="auto" w:fill="D3ECED"/>
          </w:tcPr>
          <w:p>
            <w:pPr>
              <w:spacing w:after="0"/>
              <w:rPr>
                <w:sz w:val="19"/>
                <w:szCs w:val="19"/>
                <w:color w:val="auto"/>
              </w:rPr>
            </w:pPr>
          </w:p>
        </w:tc>
        <w:tc>
          <w:tcPr>
            <w:tcW w:w="400" w:type="dxa"/>
            <w:vAlign w:val="bottom"/>
            <w:shd w:val="clear" w:color="auto" w:fill="D3ECED"/>
          </w:tcPr>
          <w:p>
            <w:pPr>
              <w:jc w:val="right"/>
              <w:ind w:right="205"/>
              <w:spacing w:after="0"/>
              <w:rPr>
                <w:sz w:val="20"/>
                <w:szCs w:val="20"/>
                <w:color w:val="auto"/>
              </w:rPr>
            </w:pPr>
            <w:r>
              <w:rPr>
                <w:rFonts w:ascii="Arial" w:cs="Arial" w:eastAsia="Arial" w:hAnsi="Arial"/>
                <w:sz w:val="19"/>
                <w:szCs w:val="19"/>
                <w:color w:val="auto"/>
                <w:w w:val="75"/>
                <w:shd w:val="clear" w:color="auto" w:fill="D3ECED"/>
              </w:rPr>
              <w:t>$</w:t>
            </w: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2,118</w:t>
            </w:r>
          </w:p>
        </w:tc>
        <w:tc>
          <w:tcPr>
            <w:tcW w:w="80" w:type="dxa"/>
            <w:vAlign w:val="bottom"/>
            <w:shd w:val="clear" w:color="auto" w:fill="D3ECED"/>
          </w:tcPr>
          <w:p>
            <w:pPr>
              <w:spacing w:after="0"/>
              <w:rPr>
                <w:sz w:val="19"/>
                <w:szCs w:val="19"/>
                <w:color w:val="auto"/>
              </w:rPr>
            </w:pPr>
          </w:p>
        </w:tc>
      </w:tr>
      <w:tr>
        <w:trPr>
          <w:trHeight w:val="230"/>
        </w:trPr>
        <w:tc>
          <w:tcPr>
            <w:tcW w:w="6060" w:type="dxa"/>
            <w:vAlign w:val="bottom"/>
            <w:gridSpan w:val="2"/>
            <w:shd w:val="clear" w:color="auto" w:fill="FDFDFD"/>
          </w:tcPr>
          <w:p>
            <w:pPr>
              <w:spacing w:after="0"/>
              <w:rPr>
                <w:sz w:val="20"/>
                <w:szCs w:val="20"/>
                <w:color w:val="auto"/>
              </w:rPr>
            </w:pPr>
            <w:r>
              <w:rPr>
                <w:rFonts w:ascii="Arial" w:cs="Arial" w:eastAsia="Arial" w:hAnsi="Arial"/>
                <w:sz w:val="19"/>
                <w:szCs w:val="19"/>
                <w:color w:val="auto"/>
              </w:rPr>
              <w:t>Work-in-progress</w:t>
            </w: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76</w:t>
            </w: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400" w:type="dxa"/>
            <w:vAlign w:val="bottom"/>
            <w:shd w:val="clear" w:color="auto" w:fill="FDFDFD"/>
          </w:tcPr>
          <w:p>
            <w:pPr>
              <w:spacing w:after="0"/>
              <w:rPr>
                <w:sz w:val="20"/>
                <w:szCs w:val="20"/>
                <w:color w:val="auto"/>
              </w:rPr>
            </w:pP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163</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tcBorders>
              <w:bottom w:val="single" w:sz="8" w:color="FDFDFD"/>
            </w:tcBorders>
            <w:gridSpan w:val="2"/>
            <w:shd w:val="clear" w:color="auto" w:fill="D3ECED"/>
          </w:tcPr>
          <w:p>
            <w:pPr>
              <w:spacing w:after="0"/>
              <w:rPr>
                <w:sz w:val="20"/>
                <w:szCs w:val="20"/>
                <w:color w:val="auto"/>
              </w:rPr>
            </w:pPr>
            <w:r>
              <w:rPr>
                <w:rFonts w:ascii="Arial" w:cs="Arial" w:eastAsia="Arial" w:hAnsi="Arial"/>
                <w:sz w:val="19"/>
                <w:szCs w:val="19"/>
                <w:color w:val="auto"/>
              </w:rPr>
              <w:t>Finished goods</w:t>
            </w:r>
          </w:p>
        </w:tc>
        <w:tc>
          <w:tcPr>
            <w:tcW w:w="100" w:type="dxa"/>
            <w:vAlign w:val="bottom"/>
            <w:tcBorders>
              <w:bottom w:val="single" w:sz="8" w:color="auto"/>
            </w:tcBorders>
            <w:shd w:val="clear" w:color="auto" w:fill="D3ECED"/>
          </w:tcPr>
          <w:p>
            <w:pPr>
              <w:spacing w:after="0"/>
              <w:rPr>
                <w:sz w:val="20"/>
                <w:szCs w:val="20"/>
                <w:color w:val="auto"/>
              </w:rPr>
            </w:pPr>
          </w:p>
        </w:tc>
        <w:tc>
          <w:tcPr>
            <w:tcW w:w="11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4,196</w:t>
            </w:r>
          </w:p>
        </w:tc>
        <w:tc>
          <w:tcPr>
            <w:tcW w:w="80" w:type="dxa"/>
            <w:vAlign w:val="bottom"/>
            <w:tcBorders>
              <w:bottom w:val="single" w:sz="8" w:color="FDFDFD"/>
            </w:tcBorders>
            <w:shd w:val="clear" w:color="auto" w:fill="D3ECED"/>
          </w:tcPr>
          <w:p>
            <w:pPr>
              <w:spacing w:after="0"/>
              <w:rPr>
                <w:sz w:val="20"/>
                <w:szCs w:val="20"/>
                <w:color w:val="auto"/>
              </w:rPr>
            </w:pPr>
          </w:p>
        </w:tc>
        <w:tc>
          <w:tcPr>
            <w:tcW w:w="140" w:type="dxa"/>
            <w:vAlign w:val="bottom"/>
            <w:tcBorders>
              <w:bottom w:val="single" w:sz="8" w:color="FDFDFD"/>
            </w:tcBorders>
            <w:shd w:val="clear" w:color="auto" w:fill="D3ECED"/>
          </w:tcPr>
          <w:p>
            <w:pPr>
              <w:spacing w:after="0"/>
              <w:rPr>
                <w:sz w:val="20"/>
                <w:szCs w:val="20"/>
                <w:color w:val="auto"/>
              </w:rPr>
            </w:pPr>
          </w:p>
        </w:tc>
        <w:tc>
          <w:tcPr>
            <w:tcW w:w="400" w:type="dxa"/>
            <w:vAlign w:val="bottom"/>
            <w:tcBorders>
              <w:bottom w:val="single" w:sz="8" w:color="auto"/>
            </w:tcBorders>
            <w:shd w:val="clear" w:color="auto" w:fill="D3ECED"/>
          </w:tcPr>
          <w:p>
            <w:pPr>
              <w:spacing w:after="0"/>
              <w:rPr>
                <w:sz w:val="20"/>
                <w:szCs w:val="20"/>
                <w:color w:val="auto"/>
              </w:rPr>
            </w:pPr>
          </w:p>
        </w:tc>
        <w:tc>
          <w:tcPr>
            <w:tcW w:w="8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2,210</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2"/>
        </w:trPr>
        <w:tc>
          <w:tcPr>
            <w:tcW w:w="6060" w:type="dxa"/>
            <w:vAlign w:val="bottom"/>
            <w:gridSpan w:val="2"/>
            <w:shd w:val="clear" w:color="auto" w:fill="FDFDFD"/>
          </w:tcPr>
          <w:p>
            <w:pPr>
              <w:spacing w:after="0"/>
              <w:rPr>
                <w:sz w:val="20"/>
                <w:szCs w:val="20"/>
                <w:color w:val="auto"/>
              </w:rPr>
            </w:pPr>
            <w:r>
              <w:rPr>
                <w:rFonts w:ascii="Arial" w:cs="Arial" w:eastAsia="Arial" w:hAnsi="Arial"/>
                <w:sz w:val="19"/>
                <w:szCs w:val="19"/>
                <w:color w:val="auto"/>
              </w:rPr>
              <w:t>Total inventory</w:t>
            </w:r>
          </w:p>
        </w:tc>
        <w:tc>
          <w:tcPr>
            <w:tcW w:w="100" w:type="dxa"/>
            <w:vAlign w:val="bottom"/>
            <w:shd w:val="clear" w:color="auto" w:fill="FDFDFD"/>
          </w:tcPr>
          <w:p>
            <w:pPr>
              <w:jc w:val="right"/>
              <w:spacing w:after="0"/>
              <w:rPr>
                <w:sz w:val="20"/>
                <w:szCs w:val="20"/>
                <w:color w:val="auto"/>
              </w:rPr>
            </w:pPr>
            <w:r>
              <w:rPr>
                <w:rFonts w:ascii="Arial" w:cs="Arial" w:eastAsia="Arial" w:hAnsi="Arial"/>
                <w:sz w:val="19"/>
                <w:szCs w:val="19"/>
                <w:color w:val="auto"/>
                <w:highlight w:val="white"/>
                <w:w w:val="75"/>
              </w:rPr>
              <w:t>$</w:t>
            </w: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7,436</w:t>
            </w: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400" w:type="dxa"/>
            <w:vAlign w:val="bottom"/>
            <w:shd w:val="clear" w:color="auto" w:fill="FDFDFD"/>
          </w:tcPr>
          <w:p>
            <w:pPr>
              <w:jc w:val="right"/>
              <w:ind w:right="205"/>
              <w:spacing w:after="0"/>
              <w:rPr>
                <w:sz w:val="20"/>
                <w:szCs w:val="20"/>
                <w:color w:val="auto"/>
              </w:rPr>
            </w:pPr>
            <w:r>
              <w:rPr>
                <w:rFonts w:ascii="Arial" w:cs="Arial" w:eastAsia="Arial" w:hAnsi="Arial"/>
                <w:sz w:val="19"/>
                <w:szCs w:val="19"/>
                <w:color w:val="auto"/>
                <w:highlight w:val="white"/>
                <w:w w:val="75"/>
              </w:rPr>
              <w:t>$</w:t>
            </w: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4,491</w:t>
            </w:r>
          </w:p>
        </w:tc>
        <w:tc>
          <w:tcPr>
            <w:tcW w:w="80" w:type="dxa"/>
            <w:vAlign w:val="bottom"/>
            <w:shd w:val="clear" w:color="auto" w:fill="FDFDFD"/>
          </w:tcPr>
          <w:p>
            <w:pPr>
              <w:spacing w:after="0"/>
              <w:rPr>
                <w:sz w:val="19"/>
                <w:szCs w:val="19"/>
                <w:color w:val="auto"/>
              </w:rPr>
            </w:pPr>
          </w:p>
        </w:tc>
      </w:tr>
      <w:tr>
        <w:trPr>
          <w:trHeight w:val="444"/>
        </w:trPr>
        <w:tc>
          <w:tcPr>
            <w:tcW w:w="240" w:type="dxa"/>
            <w:vAlign w:val="bottom"/>
          </w:tcPr>
          <w:p>
            <w:pPr>
              <w:spacing w:after="0"/>
              <w:rPr>
                <w:sz w:val="24"/>
                <w:szCs w:val="24"/>
                <w:color w:val="auto"/>
              </w:rPr>
            </w:pPr>
          </w:p>
        </w:tc>
        <w:tc>
          <w:tcPr>
            <w:tcW w:w="5820" w:type="dxa"/>
            <w:vAlign w:val="bottom"/>
          </w:tcPr>
          <w:p>
            <w:pPr>
              <w:ind w:left="100"/>
              <w:spacing w:after="0"/>
              <w:rPr>
                <w:sz w:val="20"/>
                <w:szCs w:val="20"/>
                <w:color w:val="auto"/>
              </w:rPr>
            </w:pPr>
            <w:r>
              <w:rPr>
                <w:rFonts w:ascii="Arial" w:cs="Arial" w:eastAsia="Arial" w:hAnsi="Arial"/>
                <w:sz w:val="19"/>
                <w:szCs w:val="19"/>
                <w:b w:val="1"/>
                <w:bCs w:val="1"/>
                <w:color w:val="auto"/>
              </w:rPr>
              <w:t>Property and Equipment, Net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9"/>
                <w:szCs w:val="19"/>
                <w:color w:val="auto"/>
              </w:rPr>
              <w:t>Property and equipment, net consists of the following (in thousands):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24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gridSpan w:val="4"/>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8"/>
        </w:trPr>
        <w:tc>
          <w:tcPr>
            <w:tcW w:w="240" w:type="dxa"/>
            <w:vAlign w:val="bottom"/>
            <w:tcBorders>
              <w:bottom w:val="single" w:sz="8" w:color="FDFDFD"/>
            </w:tcBorders>
            <w:shd w:val="clear" w:color="auto" w:fill="FDFDFD"/>
          </w:tcPr>
          <w:p>
            <w:pPr>
              <w:spacing w:after="0"/>
              <w:rPr>
                <w:sz w:val="23"/>
                <w:szCs w:val="23"/>
                <w:color w:val="auto"/>
              </w:rPr>
            </w:pPr>
          </w:p>
        </w:tc>
        <w:tc>
          <w:tcPr>
            <w:tcW w:w="5820" w:type="dxa"/>
            <w:vAlign w:val="bottom"/>
            <w:tcBorders>
              <w:bottom w:val="single" w:sz="8" w:color="FDFDFD"/>
            </w:tcBorders>
            <w:shd w:val="clear" w:color="auto" w:fill="FDFDFD"/>
          </w:tcPr>
          <w:p>
            <w:pPr>
              <w:spacing w:after="0"/>
              <w:rPr>
                <w:sz w:val="23"/>
                <w:szCs w:val="23"/>
                <w:color w:val="auto"/>
              </w:rPr>
            </w:pPr>
          </w:p>
        </w:tc>
        <w:tc>
          <w:tcPr>
            <w:tcW w:w="100" w:type="dxa"/>
            <w:vAlign w:val="bottom"/>
            <w:tcBorders>
              <w:bottom w:val="single" w:sz="8" w:color="auto"/>
            </w:tcBorders>
            <w:shd w:val="clear" w:color="auto" w:fill="FDFDFD"/>
          </w:tcPr>
          <w:p>
            <w:pPr>
              <w:spacing w:after="0"/>
              <w:rPr>
                <w:sz w:val="23"/>
                <w:szCs w:val="23"/>
                <w:color w:val="auto"/>
              </w:rPr>
            </w:pPr>
          </w:p>
        </w:tc>
        <w:tc>
          <w:tcPr>
            <w:tcW w:w="1760" w:type="dxa"/>
            <w:vAlign w:val="bottom"/>
            <w:tcBorders>
              <w:bottom w:val="single" w:sz="8" w:color="auto"/>
            </w:tcBorders>
            <w:gridSpan w:val="4"/>
            <w:shd w:val="clear" w:color="auto" w:fill="FDFDFD"/>
          </w:tcPr>
          <w:p>
            <w:pPr>
              <w:jc w:val="right"/>
              <w:spacing w:after="0"/>
              <w:rPr>
                <w:sz w:val="20"/>
                <w:szCs w:val="20"/>
                <w:color w:val="auto"/>
              </w:rPr>
            </w:pPr>
            <w:r>
              <w:rPr>
                <w:rFonts w:ascii="Arial" w:cs="Arial" w:eastAsia="Arial" w:hAnsi="Arial"/>
                <w:sz w:val="15"/>
                <w:szCs w:val="15"/>
                <w:b w:val="1"/>
                <w:bCs w:val="1"/>
                <w:color w:val="auto"/>
              </w:rPr>
              <w:t>December 31,</w:t>
            </w:r>
          </w:p>
        </w:tc>
        <w:tc>
          <w:tcPr>
            <w:tcW w:w="840" w:type="dxa"/>
            <w:vAlign w:val="bottom"/>
            <w:tcBorders>
              <w:bottom w:val="single" w:sz="8" w:color="auto"/>
            </w:tcBorders>
            <w:shd w:val="clear" w:color="auto" w:fill="FDFDFD"/>
          </w:tcPr>
          <w:p>
            <w:pPr>
              <w:spacing w:after="0"/>
              <w:rPr>
                <w:sz w:val="23"/>
                <w:szCs w:val="23"/>
                <w:color w:val="auto"/>
              </w:rPr>
            </w:pPr>
          </w:p>
        </w:tc>
        <w:tc>
          <w:tcPr>
            <w:tcW w:w="80" w:type="dxa"/>
            <w:vAlign w:val="bottom"/>
            <w:tcBorders>
              <w:bottom w:val="single" w:sz="8" w:color="FDFDFD"/>
            </w:tcBorders>
            <w:shd w:val="clear" w:color="auto" w:fill="FDFDFD"/>
          </w:tcPr>
          <w:p>
            <w:pPr>
              <w:spacing w:after="0"/>
              <w:rPr>
                <w:sz w:val="23"/>
                <w:szCs w:val="23"/>
                <w:color w:val="auto"/>
              </w:rPr>
            </w:pPr>
          </w:p>
        </w:tc>
      </w:tr>
      <w:tr>
        <w:trPr>
          <w:trHeight w:val="175"/>
        </w:trPr>
        <w:tc>
          <w:tcPr>
            <w:tcW w:w="240" w:type="dxa"/>
            <w:vAlign w:val="bottom"/>
            <w:tcBorders>
              <w:bottom w:val="single" w:sz="8" w:color="D3ECED"/>
            </w:tcBorders>
            <w:shd w:val="clear" w:color="auto" w:fill="FDFDFD"/>
          </w:tcPr>
          <w:p>
            <w:pPr>
              <w:spacing w:after="0"/>
              <w:rPr>
                <w:sz w:val="15"/>
                <w:szCs w:val="15"/>
                <w:color w:val="auto"/>
              </w:rPr>
            </w:pPr>
          </w:p>
        </w:tc>
        <w:tc>
          <w:tcPr>
            <w:tcW w:w="5820" w:type="dxa"/>
            <w:vAlign w:val="bottom"/>
            <w:tcBorders>
              <w:bottom w:val="single" w:sz="8" w:color="D3ECED"/>
            </w:tcBorders>
            <w:shd w:val="clear" w:color="auto" w:fill="FDFDFD"/>
          </w:tcPr>
          <w:p>
            <w:pPr>
              <w:spacing w:after="0"/>
              <w:rPr>
                <w:sz w:val="15"/>
                <w:szCs w:val="15"/>
                <w:color w:val="auto"/>
              </w:rPr>
            </w:pPr>
          </w:p>
        </w:tc>
        <w:tc>
          <w:tcPr>
            <w:tcW w:w="100" w:type="dxa"/>
            <w:vAlign w:val="bottom"/>
            <w:tcBorders>
              <w:bottom w:val="single" w:sz="8" w:color="auto"/>
            </w:tcBorders>
            <w:shd w:val="clear" w:color="auto" w:fill="FDFDFD"/>
          </w:tcPr>
          <w:p>
            <w:pPr>
              <w:spacing w:after="0"/>
              <w:rPr>
                <w:sz w:val="15"/>
                <w:szCs w:val="15"/>
                <w:color w:val="auto"/>
              </w:rPr>
            </w:pPr>
          </w:p>
        </w:tc>
        <w:tc>
          <w:tcPr>
            <w:tcW w:w="1140" w:type="dxa"/>
            <w:vAlign w:val="bottom"/>
            <w:tcBorders>
              <w:bottom w:val="single" w:sz="8" w:color="auto"/>
            </w:tcBorders>
            <w:shd w:val="clear" w:color="auto" w:fill="FDFDFD"/>
          </w:tcPr>
          <w:p>
            <w:pPr>
              <w:jc w:val="right"/>
              <w:ind w:right="390"/>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D3ECED"/>
            </w:tcBorders>
            <w:shd w:val="clear" w:color="auto" w:fill="FDFDFD"/>
          </w:tcPr>
          <w:p>
            <w:pPr>
              <w:spacing w:after="0"/>
              <w:rPr>
                <w:sz w:val="15"/>
                <w:szCs w:val="15"/>
                <w:color w:val="auto"/>
              </w:rPr>
            </w:pPr>
          </w:p>
        </w:tc>
        <w:tc>
          <w:tcPr>
            <w:tcW w:w="140" w:type="dxa"/>
            <w:vAlign w:val="bottom"/>
            <w:tcBorders>
              <w:bottom w:val="single" w:sz="8" w:color="D3ECED"/>
            </w:tcBorders>
            <w:shd w:val="clear" w:color="auto" w:fill="FDFDFD"/>
          </w:tcPr>
          <w:p>
            <w:pPr>
              <w:spacing w:after="0"/>
              <w:rPr>
                <w:sz w:val="15"/>
                <w:szCs w:val="15"/>
                <w:color w:val="auto"/>
              </w:rPr>
            </w:pPr>
          </w:p>
        </w:tc>
        <w:tc>
          <w:tcPr>
            <w:tcW w:w="400" w:type="dxa"/>
            <w:vAlign w:val="bottom"/>
            <w:tcBorders>
              <w:bottom w:val="single" w:sz="8" w:color="auto"/>
            </w:tcBorders>
            <w:shd w:val="clear" w:color="auto" w:fill="FDFDFD"/>
          </w:tcPr>
          <w:p>
            <w:pPr>
              <w:spacing w:after="0"/>
              <w:rPr>
                <w:sz w:val="15"/>
                <w:szCs w:val="15"/>
                <w:color w:val="auto"/>
              </w:rPr>
            </w:pPr>
          </w:p>
        </w:tc>
        <w:tc>
          <w:tcPr>
            <w:tcW w:w="840" w:type="dxa"/>
            <w:vAlign w:val="bottom"/>
            <w:tcBorders>
              <w:bottom w:val="single" w:sz="8" w:color="auto"/>
            </w:tcBorders>
            <w:shd w:val="clear" w:color="auto" w:fill="FDFDFD"/>
          </w:tcPr>
          <w:p>
            <w:pPr>
              <w:jc w:val="right"/>
              <w:ind w:right="388"/>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D3ECED"/>
            </w:tcBorders>
            <w:shd w:val="clear" w:color="auto" w:fill="FDFDFD"/>
          </w:tcPr>
          <w:p>
            <w:pPr>
              <w:spacing w:after="0"/>
              <w:rPr>
                <w:sz w:val="15"/>
                <w:szCs w:val="15"/>
                <w:color w:val="auto"/>
              </w:rPr>
            </w:pPr>
          </w:p>
        </w:tc>
      </w:tr>
      <w:tr>
        <w:trPr>
          <w:trHeight w:val="220"/>
        </w:trPr>
        <w:tc>
          <w:tcPr>
            <w:tcW w:w="6060" w:type="dxa"/>
            <w:vAlign w:val="bottom"/>
            <w:gridSpan w:val="2"/>
            <w:shd w:val="clear" w:color="auto" w:fill="D3ECED"/>
          </w:tcPr>
          <w:p>
            <w:pPr>
              <w:spacing w:after="0"/>
              <w:rPr>
                <w:sz w:val="20"/>
                <w:szCs w:val="20"/>
                <w:color w:val="auto"/>
              </w:rPr>
            </w:pPr>
            <w:r>
              <w:rPr>
                <w:rFonts w:ascii="Arial" w:cs="Arial" w:eastAsia="Arial" w:hAnsi="Arial"/>
                <w:sz w:val="19"/>
                <w:szCs w:val="19"/>
                <w:color w:val="auto"/>
              </w:rPr>
              <w:t>Laboratory equipment</w:t>
            </w: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28,723</w:t>
            </w:r>
          </w:p>
        </w:tc>
        <w:tc>
          <w:tcPr>
            <w:tcW w:w="80" w:type="dxa"/>
            <w:vAlign w:val="bottom"/>
            <w:shd w:val="clear" w:color="auto" w:fill="D3ECED"/>
          </w:tcPr>
          <w:p>
            <w:pPr>
              <w:spacing w:after="0"/>
              <w:rPr>
                <w:sz w:val="19"/>
                <w:szCs w:val="19"/>
                <w:color w:val="auto"/>
              </w:rPr>
            </w:pPr>
          </w:p>
        </w:tc>
        <w:tc>
          <w:tcPr>
            <w:tcW w:w="140" w:type="dxa"/>
            <w:vAlign w:val="bottom"/>
            <w:shd w:val="clear" w:color="auto" w:fill="D3ECED"/>
          </w:tcPr>
          <w:p>
            <w:pPr>
              <w:spacing w:after="0"/>
              <w:rPr>
                <w:sz w:val="19"/>
                <w:szCs w:val="19"/>
                <w:color w:val="auto"/>
              </w:rPr>
            </w:pPr>
          </w:p>
        </w:tc>
        <w:tc>
          <w:tcPr>
            <w:tcW w:w="400" w:type="dxa"/>
            <w:vAlign w:val="bottom"/>
            <w:shd w:val="clear" w:color="auto" w:fill="D3ECED"/>
          </w:tcPr>
          <w:p>
            <w:pPr>
              <w:jc w:val="right"/>
              <w:ind w:right="205"/>
              <w:spacing w:after="0"/>
              <w:rPr>
                <w:sz w:val="20"/>
                <w:szCs w:val="20"/>
                <w:color w:val="auto"/>
              </w:rPr>
            </w:pPr>
            <w:r>
              <w:rPr>
                <w:rFonts w:ascii="Arial" w:cs="Arial" w:eastAsia="Arial" w:hAnsi="Arial"/>
                <w:sz w:val="19"/>
                <w:szCs w:val="19"/>
                <w:color w:val="auto"/>
                <w:w w:val="75"/>
                <w:shd w:val="clear" w:color="auto" w:fill="D3ECED"/>
              </w:rPr>
              <w:t>$</w:t>
            </w: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28,563</w:t>
            </w:r>
          </w:p>
        </w:tc>
        <w:tc>
          <w:tcPr>
            <w:tcW w:w="80" w:type="dxa"/>
            <w:vAlign w:val="bottom"/>
            <w:shd w:val="clear" w:color="auto" w:fill="D3ECED"/>
          </w:tcPr>
          <w:p>
            <w:pPr>
              <w:spacing w:after="0"/>
              <w:rPr>
                <w:sz w:val="19"/>
                <w:szCs w:val="19"/>
                <w:color w:val="auto"/>
              </w:rPr>
            </w:pPr>
          </w:p>
        </w:tc>
      </w:tr>
      <w:tr>
        <w:trPr>
          <w:trHeight w:val="230"/>
        </w:trPr>
        <w:tc>
          <w:tcPr>
            <w:tcW w:w="6060" w:type="dxa"/>
            <w:vAlign w:val="bottom"/>
            <w:gridSpan w:val="2"/>
            <w:shd w:val="clear" w:color="auto" w:fill="FDFDFD"/>
          </w:tcPr>
          <w:p>
            <w:pPr>
              <w:spacing w:after="0"/>
              <w:rPr>
                <w:sz w:val="20"/>
                <w:szCs w:val="20"/>
                <w:color w:val="auto"/>
              </w:rPr>
            </w:pPr>
            <w:r>
              <w:rPr>
                <w:rFonts w:ascii="Arial" w:cs="Arial" w:eastAsia="Arial" w:hAnsi="Arial"/>
                <w:sz w:val="19"/>
                <w:szCs w:val="19"/>
                <w:color w:val="auto"/>
              </w:rPr>
              <w:t>Computer equipment and software</w:t>
            </w: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1,984</w:t>
            </w: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400" w:type="dxa"/>
            <w:vAlign w:val="bottom"/>
            <w:shd w:val="clear" w:color="auto" w:fill="FDFDFD"/>
          </w:tcPr>
          <w:p>
            <w:pPr>
              <w:spacing w:after="0"/>
              <w:rPr>
                <w:sz w:val="20"/>
                <w:szCs w:val="20"/>
                <w:color w:val="auto"/>
              </w:rPr>
            </w:pP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868</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gridSpan w:val="2"/>
            <w:shd w:val="clear" w:color="auto" w:fill="D3ECED"/>
          </w:tcPr>
          <w:p>
            <w:pPr>
              <w:spacing w:after="0"/>
              <w:rPr>
                <w:sz w:val="20"/>
                <w:szCs w:val="20"/>
                <w:color w:val="auto"/>
              </w:rPr>
            </w:pPr>
            <w:r>
              <w:rPr>
                <w:rFonts w:ascii="Arial" w:cs="Arial" w:eastAsia="Arial" w:hAnsi="Arial"/>
                <w:sz w:val="19"/>
                <w:szCs w:val="19"/>
                <w:color w:val="auto"/>
              </w:rPr>
              <w:t>Furniture and fixtures</w:t>
            </w: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681</w:t>
            </w: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400" w:type="dxa"/>
            <w:vAlign w:val="bottom"/>
            <w:shd w:val="clear" w:color="auto" w:fill="D3ECED"/>
          </w:tcPr>
          <w:p>
            <w:pPr>
              <w:spacing w:after="0"/>
              <w:rPr>
                <w:sz w:val="20"/>
                <w:szCs w:val="20"/>
                <w:color w:val="auto"/>
              </w:rPr>
            </w:pP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672</w:t>
            </w:r>
          </w:p>
        </w:tc>
        <w:tc>
          <w:tcPr>
            <w:tcW w:w="80" w:type="dxa"/>
            <w:vAlign w:val="bottom"/>
            <w:shd w:val="clear" w:color="auto" w:fill="D3ECED"/>
          </w:tcPr>
          <w:p>
            <w:pPr>
              <w:spacing w:after="0"/>
              <w:rPr>
                <w:sz w:val="20"/>
                <w:szCs w:val="20"/>
                <w:color w:val="auto"/>
              </w:rPr>
            </w:pPr>
          </w:p>
        </w:tc>
      </w:tr>
      <w:tr>
        <w:trPr>
          <w:trHeight w:val="230"/>
        </w:trPr>
        <w:tc>
          <w:tcPr>
            <w:tcW w:w="6060" w:type="dxa"/>
            <w:vAlign w:val="bottom"/>
            <w:gridSpan w:val="2"/>
            <w:shd w:val="clear" w:color="auto" w:fill="FDFDFD"/>
          </w:tcPr>
          <w:p>
            <w:pPr>
              <w:spacing w:after="0"/>
              <w:rPr>
                <w:sz w:val="20"/>
                <w:szCs w:val="20"/>
                <w:color w:val="auto"/>
              </w:rPr>
            </w:pPr>
            <w:r>
              <w:rPr>
                <w:rFonts w:ascii="Arial" w:cs="Arial" w:eastAsia="Arial" w:hAnsi="Arial"/>
                <w:sz w:val="19"/>
                <w:szCs w:val="19"/>
                <w:color w:val="auto"/>
              </w:rPr>
              <w:t>Leasehold improvements</w:t>
            </w: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3,577</w:t>
            </w: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400" w:type="dxa"/>
            <w:vAlign w:val="bottom"/>
            <w:shd w:val="clear" w:color="auto" w:fill="FDFDFD"/>
          </w:tcPr>
          <w:p>
            <w:pPr>
              <w:spacing w:after="0"/>
              <w:rPr>
                <w:sz w:val="20"/>
                <w:szCs w:val="20"/>
                <w:color w:val="auto"/>
              </w:rPr>
            </w:pP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3,520</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tcBorders>
              <w:bottom w:val="single" w:sz="8" w:color="FDFDFD"/>
            </w:tcBorders>
            <w:gridSpan w:val="2"/>
            <w:shd w:val="clear" w:color="auto" w:fill="D3ECED"/>
          </w:tcPr>
          <w:p>
            <w:pPr>
              <w:spacing w:after="0"/>
              <w:rPr>
                <w:sz w:val="20"/>
                <w:szCs w:val="20"/>
                <w:color w:val="auto"/>
              </w:rPr>
            </w:pPr>
            <w:r>
              <w:rPr>
                <w:rFonts w:ascii="Arial" w:cs="Arial" w:eastAsia="Arial" w:hAnsi="Arial"/>
                <w:sz w:val="19"/>
                <w:szCs w:val="19"/>
                <w:color w:val="auto"/>
              </w:rPr>
              <w:t>Construction-in-progress</w:t>
            </w:r>
          </w:p>
        </w:tc>
        <w:tc>
          <w:tcPr>
            <w:tcW w:w="100" w:type="dxa"/>
            <w:vAlign w:val="bottom"/>
            <w:tcBorders>
              <w:bottom w:val="single" w:sz="8" w:color="auto"/>
            </w:tcBorders>
            <w:shd w:val="clear" w:color="auto" w:fill="D3ECED"/>
          </w:tcPr>
          <w:p>
            <w:pPr>
              <w:spacing w:after="0"/>
              <w:rPr>
                <w:sz w:val="20"/>
                <w:szCs w:val="20"/>
                <w:color w:val="auto"/>
              </w:rPr>
            </w:pPr>
          </w:p>
        </w:tc>
        <w:tc>
          <w:tcPr>
            <w:tcW w:w="11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424</w:t>
            </w:r>
          </w:p>
        </w:tc>
        <w:tc>
          <w:tcPr>
            <w:tcW w:w="80" w:type="dxa"/>
            <w:vAlign w:val="bottom"/>
            <w:tcBorders>
              <w:bottom w:val="single" w:sz="8" w:color="FDFDFD"/>
            </w:tcBorders>
            <w:shd w:val="clear" w:color="auto" w:fill="D3ECED"/>
          </w:tcPr>
          <w:p>
            <w:pPr>
              <w:spacing w:after="0"/>
              <w:rPr>
                <w:sz w:val="20"/>
                <w:szCs w:val="20"/>
                <w:color w:val="auto"/>
              </w:rPr>
            </w:pPr>
          </w:p>
        </w:tc>
        <w:tc>
          <w:tcPr>
            <w:tcW w:w="140" w:type="dxa"/>
            <w:vAlign w:val="bottom"/>
            <w:tcBorders>
              <w:bottom w:val="single" w:sz="8" w:color="FDFDFD"/>
            </w:tcBorders>
            <w:shd w:val="clear" w:color="auto" w:fill="D3ECED"/>
          </w:tcPr>
          <w:p>
            <w:pPr>
              <w:spacing w:after="0"/>
              <w:rPr>
                <w:sz w:val="20"/>
                <w:szCs w:val="20"/>
                <w:color w:val="auto"/>
              </w:rPr>
            </w:pPr>
          </w:p>
        </w:tc>
        <w:tc>
          <w:tcPr>
            <w:tcW w:w="400" w:type="dxa"/>
            <w:vAlign w:val="bottom"/>
            <w:tcBorders>
              <w:bottom w:val="single" w:sz="8" w:color="auto"/>
            </w:tcBorders>
            <w:shd w:val="clear" w:color="auto" w:fill="D3ECED"/>
          </w:tcPr>
          <w:p>
            <w:pPr>
              <w:spacing w:after="0"/>
              <w:rPr>
                <w:sz w:val="20"/>
                <w:szCs w:val="20"/>
                <w:color w:val="auto"/>
              </w:rPr>
            </w:pPr>
          </w:p>
        </w:tc>
        <w:tc>
          <w:tcPr>
            <w:tcW w:w="8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1,109</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0"/>
        </w:trPr>
        <w:tc>
          <w:tcPr>
            <w:tcW w:w="6060" w:type="dxa"/>
            <w:vAlign w:val="bottom"/>
            <w:gridSpan w:val="2"/>
            <w:shd w:val="clear" w:color="auto" w:fill="FDFDFD"/>
          </w:tcPr>
          <w:p>
            <w:pPr>
              <w:spacing w:after="0"/>
              <w:rPr>
                <w:sz w:val="20"/>
                <w:szCs w:val="20"/>
                <w:color w:val="auto"/>
              </w:rPr>
            </w:pPr>
            <w:r>
              <w:rPr>
                <w:rFonts w:ascii="Arial" w:cs="Arial" w:eastAsia="Arial" w:hAnsi="Arial"/>
                <w:sz w:val="19"/>
                <w:szCs w:val="19"/>
                <w:color w:val="auto"/>
              </w:rPr>
              <w:t>Property and equipment</w:t>
            </w:r>
          </w:p>
        </w:tc>
        <w:tc>
          <w:tcPr>
            <w:tcW w:w="100" w:type="dxa"/>
            <w:vAlign w:val="bottom"/>
            <w:shd w:val="clear" w:color="auto" w:fill="FDFDFD"/>
          </w:tcPr>
          <w:p>
            <w:pPr>
              <w:spacing w:after="0"/>
              <w:rPr>
                <w:sz w:val="19"/>
                <w:szCs w:val="19"/>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35,389</w:t>
            </w: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400" w:type="dxa"/>
            <w:vAlign w:val="bottom"/>
            <w:shd w:val="clear" w:color="auto" w:fill="FDFDFD"/>
          </w:tcPr>
          <w:p>
            <w:pPr>
              <w:spacing w:after="0"/>
              <w:rPr>
                <w:sz w:val="19"/>
                <w:szCs w:val="19"/>
                <w:color w:val="auto"/>
              </w:rPr>
            </w:pP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34,732</w:t>
            </w:r>
          </w:p>
        </w:tc>
        <w:tc>
          <w:tcPr>
            <w:tcW w:w="80" w:type="dxa"/>
            <w:vAlign w:val="bottom"/>
            <w:shd w:val="clear" w:color="auto" w:fill="FDFDFD"/>
          </w:tcPr>
          <w:p>
            <w:pPr>
              <w:spacing w:after="0"/>
              <w:rPr>
                <w:sz w:val="19"/>
                <w:szCs w:val="19"/>
                <w:color w:val="auto"/>
              </w:rPr>
            </w:pPr>
          </w:p>
        </w:tc>
      </w:tr>
      <w:tr>
        <w:trPr>
          <w:trHeight w:val="255"/>
        </w:trPr>
        <w:tc>
          <w:tcPr>
            <w:tcW w:w="6060" w:type="dxa"/>
            <w:vAlign w:val="bottom"/>
            <w:tcBorders>
              <w:bottom w:val="single" w:sz="8" w:color="D3ECED"/>
            </w:tcBorders>
            <w:gridSpan w:val="2"/>
            <w:shd w:val="clear" w:color="auto" w:fill="D3ECED"/>
          </w:tcPr>
          <w:p>
            <w:pPr>
              <w:spacing w:after="0"/>
              <w:rPr>
                <w:sz w:val="20"/>
                <w:szCs w:val="20"/>
                <w:color w:val="auto"/>
              </w:rPr>
            </w:pPr>
            <w:r>
              <w:rPr>
                <w:rFonts w:ascii="Arial" w:cs="Arial" w:eastAsia="Arial" w:hAnsi="Arial"/>
                <w:sz w:val="19"/>
                <w:szCs w:val="19"/>
                <w:color w:val="auto"/>
              </w:rPr>
              <w:t>Less: accumulated depreciation and amortization</w:t>
            </w:r>
          </w:p>
        </w:tc>
        <w:tc>
          <w:tcPr>
            <w:tcW w:w="100" w:type="dxa"/>
            <w:vAlign w:val="bottom"/>
            <w:tcBorders>
              <w:bottom w:val="single" w:sz="8" w:color="auto"/>
            </w:tcBorders>
            <w:shd w:val="clear" w:color="auto" w:fill="D3ECED"/>
          </w:tcPr>
          <w:p>
            <w:pPr>
              <w:spacing w:after="0"/>
              <w:rPr>
                <w:sz w:val="21"/>
                <w:szCs w:val="21"/>
                <w:color w:val="auto"/>
              </w:rPr>
            </w:pPr>
          </w:p>
        </w:tc>
        <w:tc>
          <w:tcPr>
            <w:tcW w:w="11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(16,814)</w:t>
            </w:r>
          </w:p>
        </w:tc>
        <w:tc>
          <w:tcPr>
            <w:tcW w:w="80" w:type="dxa"/>
            <w:vAlign w:val="bottom"/>
            <w:tcBorders>
              <w:bottom w:val="single" w:sz="8" w:color="D3ECED"/>
            </w:tcBorders>
            <w:shd w:val="clear" w:color="auto" w:fill="D3ECED"/>
          </w:tcPr>
          <w:p>
            <w:pPr>
              <w:spacing w:after="0"/>
              <w:rPr>
                <w:sz w:val="21"/>
                <w:szCs w:val="21"/>
                <w:color w:val="auto"/>
              </w:rPr>
            </w:pPr>
          </w:p>
        </w:tc>
        <w:tc>
          <w:tcPr>
            <w:tcW w:w="140" w:type="dxa"/>
            <w:vAlign w:val="bottom"/>
            <w:tcBorders>
              <w:bottom w:val="single" w:sz="8" w:color="D3ECED"/>
            </w:tcBorders>
            <w:shd w:val="clear" w:color="auto" w:fill="D3ECED"/>
          </w:tcPr>
          <w:p>
            <w:pPr>
              <w:spacing w:after="0"/>
              <w:rPr>
                <w:sz w:val="21"/>
                <w:szCs w:val="21"/>
                <w:color w:val="auto"/>
              </w:rPr>
            </w:pPr>
          </w:p>
        </w:tc>
        <w:tc>
          <w:tcPr>
            <w:tcW w:w="400" w:type="dxa"/>
            <w:vAlign w:val="bottom"/>
            <w:tcBorders>
              <w:bottom w:val="single" w:sz="8" w:color="auto"/>
            </w:tcBorders>
            <w:shd w:val="clear" w:color="auto" w:fill="D3ECED"/>
          </w:tcPr>
          <w:p>
            <w:pPr>
              <w:spacing w:after="0"/>
              <w:rPr>
                <w:sz w:val="21"/>
                <w:szCs w:val="21"/>
                <w:color w:val="auto"/>
              </w:rPr>
            </w:pPr>
          </w:p>
        </w:tc>
        <w:tc>
          <w:tcPr>
            <w:tcW w:w="8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(12,539)</w:t>
            </w:r>
          </w:p>
        </w:tc>
        <w:tc>
          <w:tcPr>
            <w:tcW w:w="80" w:type="dxa"/>
            <w:vAlign w:val="bottom"/>
            <w:tcBorders>
              <w:bottom w:val="single" w:sz="8" w:color="D3ECED"/>
            </w:tcBorders>
            <w:shd w:val="clear" w:color="auto" w:fill="D3ECED"/>
          </w:tcPr>
          <w:p>
            <w:pPr>
              <w:spacing w:after="0"/>
              <w:rPr>
                <w:sz w:val="21"/>
                <w:szCs w:val="21"/>
                <w:color w:val="auto"/>
              </w:rPr>
            </w:pPr>
          </w:p>
        </w:tc>
      </w:tr>
      <w:tr>
        <w:trPr>
          <w:trHeight w:val="202"/>
        </w:trPr>
        <w:tc>
          <w:tcPr>
            <w:tcW w:w="6060" w:type="dxa"/>
            <w:vAlign w:val="bottom"/>
            <w:tcBorders>
              <w:top w:val="single" w:sz="8" w:color="FDFDFD"/>
            </w:tcBorders>
            <w:gridSpan w:val="2"/>
            <w:shd w:val="clear" w:color="auto" w:fill="FDFDFD"/>
          </w:tcPr>
          <w:p>
            <w:pPr>
              <w:spacing w:after="0" w:line="203" w:lineRule="exact"/>
              <w:rPr>
                <w:sz w:val="20"/>
                <w:szCs w:val="20"/>
                <w:color w:val="auto"/>
              </w:rPr>
            </w:pPr>
            <w:r>
              <w:rPr>
                <w:rFonts w:ascii="Arial" w:cs="Arial" w:eastAsia="Arial" w:hAnsi="Arial"/>
                <w:sz w:val="19"/>
                <w:szCs w:val="19"/>
                <w:color w:val="auto"/>
              </w:rPr>
              <w:t>Total property and equipment, net</w:t>
            </w:r>
          </w:p>
        </w:tc>
        <w:tc>
          <w:tcPr>
            <w:tcW w:w="100" w:type="dxa"/>
            <w:vAlign w:val="bottom"/>
            <w:tcBorders>
              <w:top w:val="single" w:sz="8" w:color="auto"/>
            </w:tcBorders>
            <w:shd w:val="clear" w:color="auto" w:fill="FDFDFD"/>
          </w:tcPr>
          <w:p>
            <w:pPr>
              <w:jc w:val="right"/>
              <w:spacing w:after="0" w:line="203" w:lineRule="exact"/>
              <w:rPr>
                <w:sz w:val="20"/>
                <w:szCs w:val="20"/>
                <w:color w:val="auto"/>
              </w:rPr>
            </w:pPr>
            <w:r>
              <w:rPr>
                <w:rFonts w:ascii="Arial" w:cs="Arial" w:eastAsia="Arial" w:hAnsi="Arial"/>
                <w:sz w:val="19"/>
                <w:szCs w:val="19"/>
                <w:color w:val="auto"/>
                <w:highlight w:val="white"/>
                <w:w w:val="75"/>
              </w:rPr>
              <w:t>$</w:t>
            </w:r>
          </w:p>
        </w:tc>
        <w:tc>
          <w:tcPr>
            <w:tcW w:w="1140" w:type="dxa"/>
            <w:vAlign w:val="bottom"/>
            <w:tcBorders>
              <w:top w:val="single" w:sz="8" w:color="auto"/>
            </w:tcBorders>
            <w:shd w:val="clear" w:color="auto" w:fill="FDFDFD"/>
          </w:tcPr>
          <w:p>
            <w:pPr>
              <w:jc w:val="right"/>
              <w:spacing w:after="0" w:line="203" w:lineRule="exact"/>
              <w:rPr>
                <w:sz w:val="20"/>
                <w:szCs w:val="20"/>
                <w:color w:val="auto"/>
              </w:rPr>
            </w:pPr>
            <w:r>
              <w:rPr>
                <w:rFonts w:ascii="Arial" w:cs="Arial" w:eastAsia="Arial" w:hAnsi="Arial"/>
                <w:sz w:val="19"/>
                <w:szCs w:val="19"/>
                <w:color w:val="auto"/>
              </w:rPr>
              <w:t>18,575</w:t>
            </w:r>
          </w:p>
        </w:tc>
        <w:tc>
          <w:tcPr>
            <w:tcW w:w="80" w:type="dxa"/>
            <w:vAlign w:val="bottom"/>
            <w:tcBorders>
              <w:top w:val="single" w:sz="8" w:color="FDFDFD"/>
            </w:tcBorders>
            <w:shd w:val="clear" w:color="auto" w:fill="FDFDFD"/>
          </w:tcPr>
          <w:p>
            <w:pPr>
              <w:spacing w:after="0"/>
              <w:rPr>
                <w:sz w:val="17"/>
                <w:szCs w:val="17"/>
                <w:color w:val="auto"/>
              </w:rPr>
            </w:pPr>
          </w:p>
        </w:tc>
        <w:tc>
          <w:tcPr>
            <w:tcW w:w="140" w:type="dxa"/>
            <w:vAlign w:val="bottom"/>
            <w:tcBorders>
              <w:top w:val="single" w:sz="8" w:color="FDFDFD"/>
            </w:tcBorders>
            <w:shd w:val="clear" w:color="auto" w:fill="FDFDFD"/>
          </w:tcPr>
          <w:p>
            <w:pPr>
              <w:spacing w:after="0"/>
              <w:rPr>
                <w:sz w:val="17"/>
                <w:szCs w:val="17"/>
                <w:color w:val="auto"/>
              </w:rPr>
            </w:pPr>
          </w:p>
        </w:tc>
        <w:tc>
          <w:tcPr>
            <w:tcW w:w="400" w:type="dxa"/>
            <w:vAlign w:val="bottom"/>
            <w:tcBorders>
              <w:top w:val="single" w:sz="8" w:color="auto"/>
            </w:tcBorders>
            <w:shd w:val="clear" w:color="auto" w:fill="FDFDFD"/>
          </w:tcPr>
          <w:p>
            <w:pPr>
              <w:jc w:val="right"/>
              <w:ind w:right="205"/>
              <w:spacing w:after="0" w:line="203" w:lineRule="exact"/>
              <w:rPr>
                <w:sz w:val="20"/>
                <w:szCs w:val="20"/>
                <w:color w:val="auto"/>
              </w:rPr>
            </w:pPr>
            <w:r>
              <w:rPr>
                <w:rFonts w:ascii="Arial" w:cs="Arial" w:eastAsia="Arial" w:hAnsi="Arial"/>
                <w:sz w:val="19"/>
                <w:szCs w:val="19"/>
                <w:color w:val="auto"/>
                <w:highlight w:val="white"/>
                <w:w w:val="75"/>
              </w:rPr>
              <w:t>$</w:t>
            </w:r>
          </w:p>
        </w:tc>
        <w:tc>
          <w:tcPr>
            <w:tcW w:w="840" w:type="dxa"/>
            <w:vAlign w:val="bottom"/>
            <w:tcBorders>
              <w:top w:val="single" w:sz="8" w:color="auto"/>
            </w:tcBorders>
            <w:shd w:val="clear" w:color="auto" w:fill="FDFDFD"/>
          </w:tcPr>
          <w:p>
            <w:pPr>
              <w:jc w:val="right"/>
              <w:spacing w:after="0" w:line="203" w:lineRule="exact"/>
              <w:rPr>
                <w:sz w:val="20"/>
                <w:szCs w:val="20"/>
                <w:color w:val="auto"/>
              </w:rPr>
            </w:pPr>
            <w:r>
              <w:rPr>
                <w:rFonts w:ascii="Arial" w:cs="Arial" w:eastAsia="Arial" w:hAnsi="Arial"/>
                <w:sz w:val="19"/>
                <w:szCs w:val="19"/>
                <w:color w:val="auto"/>
              </w:rPr>
              <w:t>22,193</w:t>
            </w:r>
          </w:p>
        </w:tc>
        <w:tc>
          <w:tcPr>
            <w:tcW w:w="80" w:type="dxa"/>
            <w:vAlign w:val="bottom"/>
            <w:tcBorders>
              <w:top w:val="single" w:sz="8" w:color="FDFDFD"/>
            </w:tcBorders>
            <w:shd w:val="clear" w:color="auto" w:fill="FDFDFD"/>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-2218055</wp:posOffset>
            </wp:positionV>
            <wp:extent cx="1740535" cy="520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79">
                      <a:extLst>
                        <a:ext uri="{28A0092B-C50C-407E-A947-70E740481C1C}"/>
                      </a:extLst>
                    </a:blip>
                    <a:srcRect/>
                    <a:stretch>
                      <a:fillRect/>
                    </a:stretch>
                  </pic:blipFill>
                  <pic:spPr bwMode="auto">
                    <a:xfrm>
                      <a:off x="0" y="0"/>
                      <a:ext cx="1740535" cy="5207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-13335</wp:posOffset>
            </wp:positionV>
            <wp:extent cx="1740535" cy="53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80">
                      <a:extLst>
                        <a:ext uri="{28A0092B-C50C-407E-A947-70E740481C1C}"/>
                      </a:extLst>
                    </a:blip>
                    <a:srcRect/>
                    <a:stretch>
                      <a:fillRect/>
                    </a:stretch>
                  </pic:blipFill>
                  <pic:spPr bwMode="auto">
                    <a:xfrm>
                      <a:off x="0" y="0"/>
                      <a:ext cx="1740535" cy="53340"/>
                    </a:xfrm>
                    <a:prstGeom prst="rect">
                      <a:avLst/>
                    </a:prstGeom>
                    <a:noFill/>
                  </pic:spPr>
                </pic:pic>
              </a:graphicData>
            </a:graphic>
          </wp:anchor>
        </w:drawing>
      </w:r>
    </w:p>
    <w:p>
      <w:pPr>
        <w:spacing w:after="0" w:line="234" w:lineRule="exact"/>
        <w:rPr>
          <w:sz w:val="20"/>
          <w:szCs w:val="20"/>
          <w:color w:val="auto"/>
        </w:rPr>
      </w:pPr>
    </w:p>
    <w:p>
      <w:pPr>
        <w:ind w:left="260" w:right="400"/>
        <w:spacing w:after="0" w:line="326" w:lineRule="auto"/>
        <w:rPr>
          <w:sz w:val="20"/>
          <w:szCs w:val="20"/>
          <w:color w:val="auto"/>
        </w:rPr>
      </w:pPr>
      <w:r>
        <w:rPr>
          <w:rFonts w:ascii="Arial" w:cs="Arial" w:eastAsia="Arial" w:hAnsi="Arial"/>
          <w:sz w:val="19"/>
          <w:szCs w:val="19"/>
          <w:color w:val="auto"/>
        </w:rPr>
        <w:t>For the years ended December 31, 2024 and 2023, the Company recognized depreciation and amortization expense of $6.2 million and $5.6 million, respectively.</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2240" w:h="15840" w:orient="portrait"/>
          <w:cols w:equalWidth="0" w:num="1">
            <w:col w:w="9360"/>
          </w:cols>
          <w:pgMar w:left="1440" w:top="1358" w:right="1440" w:bottom="624"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Accrued Expenses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Accrued expenses consist of the following (in thousands):</w:t>
      </w:r>
    </w:p>
    <w:p>
      <w:pPr>
        <w:spacing w:after="0" w:line="299" w:lineRule="exact"/>
        <w:rPr>
          <w:sz w:val="20"/>
          <w:szCs w:val="20"/>
          <w:color w:val="auto"/>
        </w:rPr>
      </w:pPr>
    </w:p>
    <w:tbl>
      <w:tblPr>
        <w:tblLayout w:type="fixed"/>
        <w:tblInd w:w="260" w:type="dxa"/>
        <w:tblCellMar>
          <w:top w:w="0" w:type="dxa"/>
          <w:left w:w="0" w:type="dxa"/>
          <w:bottom w:w="0" w:type="dxa"/>
          <w:right w:w="0" w:type="dxa"/>
        </w:tblCellMar>
      </w:tblPr>
      <w:tr>
        <w:trPr>
          <w:trHeight w:val="266"/>
        </w:trPr>
        <w:tc>
          <w:tcPr>
            <w:tcW w:w="6060" w:type="dxa"/>
            <w:vAlign w:val="bottom"/>
            <w:tcBorders>
              <w:bottom w:val="single" w:sz="8" w:color="FDFDFD"/>
            </w:tcBorders>
            <w:shd w:val="clear" w:color="auto" w:fill="FDFDFD"/>
          </w:tcPr>
          <w:p>
            <w:pPr>
              <w:spacing w:after="0"/>
              <w:rPr>
                <w:sz w:val="23"/>
                <w:szCs w:val="23"/>
                <w:color w:val="auto"/>
              </w:rPr>
            </w:pPr>
          </w:p>
        </w:tc>
        <w:tc>
          <w:tcPr>
            <w:tcW w:w="780" w:type="dxa"/>
            <w:vAlign w:val="bottom"/>
            <w:tcBorders>
              <w:bottom w:val="single" w:sz="8" w:color="auto"/>
            </w:tcBorders>
            <w:shd w:val="clear" w:color="auto" w:fill="FDFDFD"/>
          </w:tcPr>
          <w:p>
            <w:pPr>
              <w:spacing w:after="0"/>
              <w:rPr>
                <w:sz w:val="23"/>
                <w:szCs w:val="23"/>
                <w:color w:val="auto"/>
              </w:rPr>
            </w:pPr>
          </w:p>
        </w:tc>
        <w:tc>
          <w:tcPr>
            <w:tcW w:w="1080" w:type="dxa"/>
            <w:vAlign w:val="bottom"/>
            <w:tcBorders>
              <w:bottom w:val="single" w:sz="8" w:color="auto"/>
            </w:tcBorders>
            <w:gridSpan w:val="3"/>
            <w:shd w:val="clear" w:color="auto" w:fill="FDFDFD"/>
          </w:tcPr>
          <w:p>
            <w:pPr>
              <w:jc w:val="right"/>
              <w:spacing w:after="0"/>
              <w:rPr>
                <w:sz w:val="20"/>
                <w:szCs w:val="20"/>
                <w:color w:val="auto"/>
              </w:rPr>
            </w:pPr>
            <w:r>
              <w:rPr>
                <w:rFonts w:ascii="Arial" w:cs="Arial" w:eastAsia="Arial" w:hAnsi="Arial"/>
                <w:sz w:val="15"/>
                <w:szCs w:val="15"/>
                <w:b w:val="1"/>
                <w:bCs w:val="1"/>
                <w:color w:val="auto"/>
              </w:rPr>
              <w:t>December 31,</w:t>
            </w:r>
          </w:p>
        </w:tc>
        <w:tc>
          <w:tcPr>
            <w:tcW w:w="840" w:type="dxa"/>
            <w:vAlign w:val="bottom"/>
            <w:tcBorders>
              <w:bottom w:val="single" w:sz="8" w:color="auto"/>
            </w:tcBorders>
            <w:shd w:val="clear" w:color="auto" w:fill="FDFDFD"/>
          </w:tcPr>
          <w:p>
            <w:pPr>
              <w:spacing w:after="0"/>
              <w:rPr>
                <w:sz w:val="23"/>
                <w:szCs w:val="23"/>
                <w:color w:val="auto"/>
              </w:rPr>
            </w:pPr>
          </w:p>
        </w:tc>
        <w:tc>
          <w:tcPr>
            <w:tcW w:w="80" w:type="dxa"/>
            <w:vAlign w:val="bottom"/>
            <w:tcBorders>
              <w:bottom w:val="single" w:sz="8" w:color="FDFDFD"/>
            </w:tcBorders>
            <w:shd w:val="clear" w:color="auto" w:fill="FDFDFD"/>
          </w:tcPr>
          <w:p>
            <w:pPr>
              <w:spacing w:after="0"/>
              <w:rPr>
                <w:sz w:val="23"/>
                <w:szCs w:val="23"/>
                <w:color w:val="auto"/>
              </w:rPr>
            </w:pPr>
          </w:p>
        </w:tc>
      </w:tr>
      <w:tr>
        <w:trPr>
          <w:trHeight w:val="220"/>
        </w:trPr>
        <w:tc>
          <w:tcPr>
            <w:tcW w:w="6060" w:type="dxa"/>
            <w:vAlign w:val="bottom"/>
            <w:tcBorders>
              <w:bottom w:val="single" w:sz="8" w:color="D3ECED"/>
            </w:tcBorders>
            <w:shd w:val="clear" w:color="auto" w:fill="FDFDFD"/>
          </w:tcPr>
          <w:p>
            <w:pPr>
              <w:spacing w:after="0"/>
              <w:rPr>
                <w:sz w:val="19"/>
                <w:szCs w:val="19"/>
                <w:color w:val="auto"/>
              </w:rPr>
            </w:pPr>
          </w:p>
        </w:tc>
        <w:tc>
          <w:tcPr>
            <w:tcW w:w="78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5"/>
                <w:szCs w:val="15"/>
                <w:b w:val="1"/>
                <w:bCs w:val="1"/>
                <w:color w:val="auto"/>
              </w:rPr>
              <w:t>2024</w:t>
            </w:r>
          </w:p>
        </w:tc>
        <w:tc>
          <w:tcPr>
            <w:tcW w:w="460" w:type="dxa"/>
            <w:vAlign w:val="bottom"/>
            <w:tcBorders>
              <w:bottom w:val="single" w:sz="8" w:color="auto"/>
            </w:tcBorders>
            <w:shd w:val="clear" w:color="auto" w:fill="FDFDFD"/>
          </w:tcPr>
          <w:p>
            <w:pPr>
              <w:spacing w:after="0"/>
              <w:rPr>
                <w:sz w:val="19"/>
                <w:szCs w:val="19"/>
                <w:color w:val="auto"/>
              </w:rPr>
            </w:pPr>
          </w:p>
        </w:tc>
        <w:tc>
          <w:tcPr>
            <w:tcW w:w="220" w:type="dxa"/>
            <w:vAlign w:val="bottom"/>
            <w:tcBorders>
              <w:bottom w:val="single" w:sz="8" w:color="D3ECED"/>
            </w:tcBorders>
            <w:shd w:val="clear" w:color="auto" w:fill="FDFDFD"/>
          </w:tcPr>
          <w:p>
            <w:pPr>
              <w:spacing w:after="0"/>
              <w:rPr>
                <w:sz w:val="19"/>
                <w:szCs w:val="19"/>
                <w:color w:val="auto"/>
              </w:rPr>
            </w:pPr>
          </w:p>
        </w:tc>
        <w:tc>
          <w:tcPr>
            <w:tcW w:w="400" w:type="dxa"/>
            <w:vAlign w:val="bottom"/>
            <w:tcBorders>
              <w:bottom w:val="single" w:sz="8" w:color="auto"/>
            </w:tcBorders>
            <w:shd w:val="clear" w:color="auto" w:fill="FDFDFD"/>
          </w:tcPr>
          <w:p>
            <w:pPr>
              <w:spacing w:after="0"/>
              <w:rPr>
                <w:sz w:val="19"/>
                <w:szCs w:val="19"/>
                <w:color w:val="auto"/>
              </w:rPr>
            </w:pPr>
          </w:p>
        </w:tc>
        <w:tc>
          <w:tcPr>
            <w:tcW w:w="840" w:type="dxa"/>
            <w:vAlign w:val="bottom"/>
            <w:tcBorders>
              <w:bottom w:val="single" w:sz="8" w:color="auto"/>
            </w:tcBorders>
            <w:shd w:val="clear" w:color="auto" w:fill="FDFDFD"/>
          </w:tcPr>
          <w:p>
            <w:pPr>
              <w:jc w:val="right"/>
              <w:ind w:right="388"/>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D3ECED"/>
            </w:tcBorders>
            <w:shd w:val="clear" w:color="auto" w:fill="FDFDFD"/>
          </w:tcPr>
          <w:p>
            <w:pPr>
              <w:spacing w:after="0"/>
              <w:rPr>
                <w:sz w:val="19"/>
                <w:szCs w:val="19"/>
                <w:color w:val="auto"/>
              </w:rPr>
            </w:pPr>
          </w:p>
        </w:tc>
      </w:tr>
      <w:tr>
        <w:trPr>
          <w:trHeight w:val="22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Accrued compensation</w:t>
            </w:r>
          </w:p>
        </w:tc>
        <w:tc>
          <w:tcPr>
            <w:tcW w:w="780" w:type="dxa"/>
            <w:vAlign w:val="bottom"/>
            <w:shd w:val="clear" w:color="auto" w:fill="D3ECED"/>
          </w:tcPr>
          <w:p>
            <w:pPr>
              <w:jc w:val="right"/>
              <w:ind w:right="592"/>
              <w:spacing w:after="0"/>
              <w:rPr>
                <w:sz w:val="20"/>
                <w:szCs w:val="20"/>
                <w:color w:val="auto"/>
              </w:rPr>
            </w:pPr>
            <w:r>
              <w:rPr>
                <w:rFonts w:ascii="Arial" w:cs="Arial" w:eastAsia="Arial" w:hAnsi="Arial"/>
                <w:sz w:val="19"/>
                <w:szCs w:val="19"/>
                <w:color w:val="auto"/>
                <w:w w:val="75"/>
                <w:shd w:val="clear" w:color="auto" w:fill="D3ECED"/>
              </w:rPr>
              <w:t>$</w:t>
            </w:r>
          </w:p>
        </w:tc>
        <w:tc>
          <w:tcPr>
            <w:tcW w:w="460" w:type="dxa"/>
            <w:vAlign w:val="bottom"/>
            <w:shd w:val="clear" w:color="auto" w:fill="D3ECED"/>
          </w:tcPr>
          <w:p>
            <w:pPr>
              <w:jc w:val="right"/>
              <w:spacing w:after="0"/>
              <w:rPr>
                <w:sz w:val="20"/>
                <w:szCs w:val="20"/>
                <w:color w:val="auto"/>
              </w:rPr>
            </w:pPr>
            <w:r>
              <w:rPr>
                <w:rFonts w:ascii="Arial" w:cs="Arial" w:eastAsia="Arial" w:hAnsi="Arial"/>
                <w:sz w:val="19"/>
                <w:szCs w:val="19"/>
                <w:color w:val="auto"/>
                <w:w w:val="88"/>
              </w:rPr>
              <w:t>5,972</w:t>
            </w:r>
          </w:p>
        </w:tc>
        <w:tc>
          <w:tcPr>
            <w:tcW w:w="220" w:type="dxa"/>
            <w:vAlign w:val="bottom"/>
            <w:shd w:val="clear" w:color="auto" w:fill="D3ECED"/>
          </w:tcPr>
          <w:p>
            <w:pPr>
              <w:spacing w:after="0"/>
              <w:rPr>
                <w:sz w:val="19"/>
                <w:szCs w:val="19"/>
                <w:color w:val="auto"/>
              </w:rPr>
            </w:pPr>
          </w:p>
        </w:tc>
        <w:tc>
          <w:tcPr>
            <w:tcW w:w="400" w:type="dxa"/>
            <w:vAlign w:val="bottom"/>
            <w:shd w:val="clear" w:color="auto" w:fill="D3ECED"/>
          </w:tcPr>
          <w:p>
            <w:pPr>
              <w:jc w:val="right"/>
              <w:ind w:right="205"/>
              <w:spacing w:after="0"/>
              <w:rPr>
                <w:sz w:val="20"/>
                <w:szCs w:val="20"/>
                <w:color w:val="auto"/>
              </w:rPr>
            </w:pPr>
            <w:r>
              <w:rPr>
                <w:rFonts w:ascii="Arial" w:cs="Arial" w:eastAsia="Arial" w:hAnsi="Arial"/>
                <w:sz w:val="19"/>
                <w:szCs w:val="19"/>
                <w:color w:val="auto"/>
                <w:w w:val="75"/>
                <w:shd w:val="clear" w:color="auto" w:fill="D3ECED"/>
              </w:rPr>
              <w:t>$</w:t>
            </w: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6,123</w:t>
            </w:r>
          </w:p>
        </w:tc>
        <w:tc>
          <w:tcPr>
            <w:tcW w:w="80" w:type="dxa"/>
            <w:vAlign w:val="bottom"/>
            <w:shd w:val="clear" w:color="auto" w:fill="D3ECED"/>
          </w:tcPr>
          <w:p>
            <w:pPr>
              <w:spacing w:after="0"/>
              <w:rPr>
                <w:sz w:val="19"/>
                <w:szCs w:val="19"/>
                <w:color w:val="auto"/>
              </w:rPr>
            </w:pPr>
          </w:p>
        </w:tc>
      </w:tr>
      <w:tr>
        <w:trPr>
          <w:trHeight w:val="230"/>
        </w:trPr>
        <w:tc>
          <w:tcPr>
            <w:tcW w:w="6060" w:type="dxa"/>
            <w:vAlign w:val="bottom"/>
            <w:shd w:val="clear" w:color="auto" w:fill="FDFDFD"/>
          </w:tcPr>
          <w:p>
            <w:pPr>
              <w:spacing w:after="0"/>
              <w:rPr>
                <w:sz w:val="20"/>
                <w:szCs w:val="20"/>
                <w:color w:val="auto"/>
              </w:rPr>
            </w:pPr>
            <w:r>
              <w:rPr>
                <w:rFonts w:ascii="Arial" w:cs="Arial" w:eastAsia="Arial" w:hAnsi="Arial"/>
                <w:sz w:val="19"/>
                <w:szCs w:val="19"/>
                <w:color w:val="auto"/>
              </w:rPr>
              <w:t>Accrued taxes</w:t>
            </w:r>
          </w:p>
        </w:tc>
        <w:tc>
          <w:tcPr>
            <w:tcW w:w="780" w:type="dxa"/>
            <w:vAlign w:val="bottom"/>
            <w:shd w:val="clear" w:color="auto" w:fill="FDFDFD"/>
          </w:tcPr>
          <w:p>
            <w:pPr>
              <w:spacing w:after="0"/>
              <w:rPr>
                <w:sz w:val="20"/>
                <w:szCs w:val="20"/>
                <w:color w:val="auto"/>
              </w:rPr>
            </w:pPr>
          </w:p>
        </w:tc>
        <w:tc>
          <w:tcPr>
            <w:tcW w:w="4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471</w:t>
            </w:r>
          </w:p>
        </w:tc>
        <w:tc>
          <w:tcPr>
            <w:tcW w:w="220" w:type="dxa"/>
            <w:vAlign w:val="bottom"/>
            <w:shd w:val="clear" w:color="auto" w:fill="FDFDFD"/>
          </w:tcPr>
          <w:p>
            <w:pPr>
              <w:spacing w:after="0"/>
              <w:rPr>
                <w:sz w:val="20"/>
                <w:szCs w:val="20"/>
                <w:color w:val="auto"/>
              </w:rPr>
            </w:pPr>
          </w:p>
        </w:tc>
        <w:tc>
          <w:tcPr>
            <w:tcW w:w="400" w:type="dxa"/>
            <w:vAlign w:val="bottom"/>
            <w:shd w:val="clear" w:color="auto" w:fill="FDFDFD"/>
          </w:tcPr>
          <w:p>
            <w:pPr>
              <w:spacing w:after="0"/>
              <w:rPr>
                <w:sz w:val="20"/>
                <w:szCs w:val="20"/>
                <w:color w:val="auto"/>
              </w:rPr>
            </w:pP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501</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Accrued professional services</w:t>
            </w:r>
          </w:p>
        </w:tc>
        <w:tc>
          <w:tcPr>
            <w:tcW w:w="780" w:type="dxa"/>
            <w:vAlign w:val="bottom"/>
            <w:shd w:val="clear" w:color="auto" w:fill="D3ECED"/>
          </w:tcPr>
          <w:p>
            <w:pPr>
              <w:spacing w:after="0"/>
              <w:rPr>
                <w:sz w:val="20"/>
                <w:szCs w:val="20"/>
                <w:color w:val="auto"/>
              </w:rPr>
            </w:pPr>
          </w:p>
        </w:tc>
        <w:tc>
          <w:tcPr>
            <w:tcW w:w="4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320</w:t>
            </w:r>
          </w:p>
        </w:tc>
        <w:tc>
          <w:tcPr>
            <w:tcW w:w="220" w:type="dxa"/>
            <w:vAlign w:val="bottom"/>
            <w:shd w:val="clear" w:color="auto" w:fill="D3ECED"/>
          </w:tcPr>
          <w:p>
            <w:pPr>
              <w:spacing w:after="0"/>
              <w:rPr>
                <w:sz w:val="20"/>
                <w:szCs w:val="20"/>
                <w:color w:val="auto"/>
              </w:rPr>
            </w:pPr>
          </w:p>
        </w:tc>
        <w:tc>
          <w:tcPr>
            <w:tcW w:w="400" w:type="dxa"/>
            <w:vAlign w:val="bottom"/>
            <w:shd w:val="clear" w:color="auto" w:fill="D3ECED"/>
          </w:tcPr>
          <w:p>
            <w:pPr>
              <w:spacing w:after="0"/>
              <w:rPr>
                <w:sz w:val="20"/>
                <w:szCs w:val="20"/>
                <w:color w:val="auto"/>
              </w:rPr>
            </w:pP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242</w:t>
            </w:r>
          </w:p>
        </w:tc>
        <w:tc>
          <w:tcPr>
            <w:tcW w:w="80" w:type="dxa"/>
            <w:vAlign w:val="bottom"/>
            <w:shd w:val="clear" w:color="auto" w:fill="D3ECED"/>
          </w:tcPr>
          <w:p>
            <w:pPr>
              <w:spacing w:after="0"/>
              <w:rPr>
                <w:sz w:val="20"/>
                <w:szCs w:val="20"/>
                <w:color w:val="auto"/>
              </w:rPr>
            </w:pPr>
          </w:p>
        </w:tc>
      </w:tr>
      <w:tr>
        <w:trPr>
          <w:trHeight w:val="230"/>
        </w:trPr>
        <w:tc>
          <w:tcPr>
            <w:tcW w:w="6060" w:type="dxa"/>
            <w:vAlign w:val="bottom"/>
            <w:tcBorders>
              <w:bottom w:val="single" w:sz="8" w:color="D3ECED"/>
            </w:tcBorders>
            <w:shd w:val="clear" w:color="auto" w:fill="FDFDFD"/>
          </w:tcPr>
          <w:p>
            <w:pPr>
              <w:spacing w:after="0"/>
              <w:rPr>
                <w:sz w:val="20"/>
                <w:szCs w:val="20"/>
                <w:color w:val="auto"/>
              </w:rPr>
            </w:pPr>
            <w:r>
              <w:rPr>
                <w:rFonts w:ascii="Arial" w:cs="Arial" w:eastAsia="Arial" w:hAnsi="Arial"/>
                <w:sz w:val="19"/>
                <w:szCs w:val="19"/>
                <w:color w:val="auto"/>
              </w:rPr>
              <w:t>Other</w:t>
            </w:r>
          </w:p>
        </w:tc>
        <w:tc>
          <w:tcPr>
            <w:tcW w:w="780" w:type="dxa"/>
            <w:vAlign w:val="bottom"/>
            <w:tcBorders>
              <w:bottom w:val="single" w:sz="8" w:color="auto"/>
            </w:tcBorders>
            <w:shd w:val="clear" w:color="auto" w:fill="FDFDFD"/>
          </w:tcPr>
          <w:p>
            <w:pPr>
              <w:spacing w:after="0"/>
              <w:rPr>
                <w:sz w:val="20"/>
                <w:szCs w:val="20"/>
                <w:color w:val="auto"/>
              </w:rPr>
            </w:pPr>
          </w:p>
        </w:tc>
        <w:tc>
          <w:tcPr>
            <w:tcW w:w="46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w w:val="88"/>
              </w:rPr>
              <w:t>1,174</w:t>
            </w:r>
          </w:p>
        </w:tc>
        <w:tc>
          <w:tcPr>
            <w:tcW w:w="220" w:type="dxa"/>
            <w:vAlign w:val="bottom"/>
            <w:tcBorders>
              <w:bottom w:val="single" w:sz="8" w:color="D3ECED"/>
            </w:tcBorders>
            <w:shd w:val="clear" w:color="auto" w:fill="FDFDFD"/>
          </w:tcPr>
          <w:p>
            <w:pPr>
              <w:spacing w:after="0"/>
              <w:rPr>
                <w:sz w:val="20"/>
                <w:szCs w:val="20"/>
                <w:color w:val="auto"/>
              </w:rPr>
            </w:pPr>
          </w:p>
        </w:tc>
        <w:tc>
          <w:tcPr>
            <w:tcW w:w="400" w:type="dxa"/>
            <w:vAlign w:val="bottom"/>
            <w:tcBorders>
              <w:bottom w:val="single" w:sz="8" w:color="auto"/>
            </w:tcBorders>
            <w:shd w:val="clear" w:color="auto" w:fill="FDFDFD"/>
          </w:tcPr>
          <w:p>
            <w:pPr>
              <w:spacing w:after="0"/>
              <w:rPr>
                <w:sz w:val="20"/>
                <w:szCs w:val="20"/>
                <w:color w:val="auto"/>
              </w:rPr>
            </w:pPr>
          </w:p>
        </w:tc>
        <w:tc>
          <w:tcPr>
            <w:tcW w:w="8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2,346</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22"/>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Total accrued expenses</w:t>
            </w:r>
          </w:p>
        </w:tc>
        <w:tc>
          <w:tcPr>
            <w:tcW w:w="780" w:type="dxa"/>
            <w:vAlign w:val="bottom"/>
            <w:shd w:val="clear" w:color="auto" w:fill="D3ECED"/>
          </w:tcPr>
          <w:p>
            <w:pPr>
              <w:jc w:val="right"/>
              <w:ind w:right="592"/>
              <w:spacing w:after="0"/>
              <w:rPr>
                <w:sz w:val="20"/>
                <w:szCs w:val="20"/>
                <w:color w:val="auto"/>
              </w:rPr>
            </w:pPr>
            <w:r>
              <w:rPr>
                <w:rFonts w:ascii="Arial" w:cs="Arial" w:eastAsia="Arial" w:hAnsi="Arial"/>
                <w:sz w:val="19"/>
                <w:szCs w:val="19"/>
                <w:color w:val="auto"/>
                <w:w w:val="75"/>
                <w:shd w:val="clear" w:color="auto" w:fill="D3ECED"/>
              </w:rPr>
              <w:t>$</w:t>
            </w:r>
          </w:p>
        </w:tc>
        <w:tc>
          <w:tcPr>
            <w:tcW w:w="460" w:type="dxa"/>
            <w:vAlign w:val="bottom"/>
            <w:shd w:val="clear" w:color="auto" w:fill="D3ECED"/>
          </w:tcPr>
          <w:p>
            <w:pPr>
              <w:jc w:val="right"/>
              <w:spacing w:after="0"/>
              <w:rPr>
                <w:sz w:val="20"/>
                <w:szCs w:val="20"/>
                <w:color w:val="auto"/>
              </w:rPr>
            </w:pPr>
            <w:r>
              <w:rPr>
                <w:rFonts w:ascii="Arial" w:cs="Arial" w:eastAsia="Arial" w:hAnsi="Arial"/>
                <w:sz w:val="19"/>
                <w:szCs w:val="19"/>
                <w:color w:val="auto"/>
                <w:w w:val="88"/>
              </w:rPr>
              <w:t>7,937</w:t>
            </w:r>
          </w:p>
        </w:tc>
        <w:tc>
          <w:tcPr>
            <w:tcW w:w="220" w:type="dxa"/>
            <w:vAlign w:val="bottom"/>
            <w:shd w:val="clear" w:color="auto" w:fill="D3ECED"/>
          </w:tcPr>
          <w:p>
            <w:pPr>
              <w:spacing w:after="0"/>
              <w:rPr>
                <w:sz w:val="19"/>
                <w:szCs w:val="19"/>
                <w:color w:val="auto"/>
              </w:rPr>
            </w:pPr>
          </w:p>
        </w:tc>
        <w:tc>
          <w:tcPr>
            <w:tcW w:w="400" w:type="dxa"/>
            <w:vAlign w:val="bottom"/>
            <w:shd w:val="clear" w:color="auto" w:fill="D3ECED"/>
          </w:tcPr>
          <w:p>
            <w:pPr>
              <w:jc w:val="right"/>
              <w:ind w:right="205"/>
              <w:spacing w:after="0"/>
              <w:rPr>
                <w:sz w:val="20"/>
                <w:szCs w:val="20"/>
                <w:color w:val="auto"/>
              </w:rPr>
            </w:pPr>
            <w:r>
              <w:rPr>
                <w:rFonts w:ascii="Arial" w:cs="Arial" w:eastAsia="Arial" w:hAnsi="Arial"/>
                <w:sz w:val="19"/>
                <w:szCs w:val="19"/>
                <w:color w:val="auto"/>
                <w:w w:val="75"/>
                <w:shd w:val="clear" w:color="auto" w:fill="D3ECED"/>
              </w:rPr>
              <w:t>$</w:t>
            </w: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9,212</w:t>
            </w:r>
          </w:p>
        </w:tc>
        <w:tc>
          <w:tcPr>
            <w:tcW w:w="80" w:type="dxa"/>
            <w:vAlign w:val="bottom"/>
            <w:shd w:val="clear" w:color="auto" w:fill="D3ECE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-13335</wp:posOffset>
            </wp:positionV>
            <wp:extent cx="1740535" cy="520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81">
                      <a:extLst>
                        <a:ext uri="{28A0092B-C50C-407E-A947-70E740481C1C}"/>
                      </a:extLst>
                    </a:blip>
                    <a:srcRect/>
                    <a:stretch>
                      <a:fillRect/>
                    </a:stretch>
                  </pic:blipFill>
                  <pic:spPr bwMode="auto">
                    <a:xfrm>
                      <a:off x="0" y="0"/>
                      <a:ext cx="1740535" cy="52070"/>
                    </a:xfrm>
                    <a:prstGeom prst="rect">
                      <a:avLst/>
                    </a:prstGeom>
                    <a:noFill/>
                  </pic:spPr>
                </pic:pic>
              </a:graphicData>
            </a:graphic>
          </wp:anchor>
        </w:drawing>
      </w:r>
    </w:p>
    <w:p>
      <w:pPr>
        <w:spacing w:after="0" w:line="194" w:lineRule="exact"/>
        <w:rPr>
          <w:sz w:val="20"/>
          <w:szCs w:val="20"/>
          <w:color w:val="auto"/>
        </w:rPr>
      </w:pPr>
    </w:p>
    <w:p>
      <w:pPr>
        <w:ind w:left="940" w:hanging="681"/>
        <w:spacing w:after="0"/>
        <w:tabs>
          <w:tab w:leader="none" w:pos="94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REVENUE AND DEFERRED REVENUE</w:t>
      </w:r>
    </w:p>
    <w:p>
      <w:pPr>
        <w:spacing w:after="0" w:line="213" w:lineRule="exact"/>
        <w:rPr>
          <w:sz w:val="20"/>
          <w:szCs w:val="20"/>
          <w:color w:val="auto"/>
        </w:rPr>
      </w:pPr>
    </w:p>
    <w:p>
      <w:pPr>
        <w:ind w:left="260" w:right="340"/>
        <w:spacing w:after="0" w:line="312" w:lineRule="auto"/>
        <w:rPr>
          <w:sz w:val="20"/>
          <w:szCs w:val="20"/>
          <w:color w:val="auto"/>
        </w:rPr>
      </w:pPr>
      <w:r>
        <w:rPr>
          <w:rFonts w:ascii="Arial" w:cs="Arial" w:eastAsia="Arial" w:hAnsi="Arial"/>
          <w:sz w:val="18"/>
          <w:szCs w:val="18"/>
          <w:color w:val="auto"/>
        </w:rPr>
        <w:t>Product revenue consists of instruments with embedded software essential to the instrument's functionality and consumables. Service revenue primarily consists of revenue received from the generation and analysis of proteomic data on behalf of customers. Related party revenue is comprised of both the sale of products and services performed for related parties, as further discussed in Note 11. Grant and other revenue consists of grant revenue from services performed specifically for the reimbursement of research-related expenses and other revenue which relates to shipping revenue and lease arrangements, as further discussed below.</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9"/>
          <w:szCs w:val="19"/>
          <w:color w:val="auto"/>
        </w:rPr>
        <w:t>Deferred revenue activity for the years ended December 31, 2024 and 2023 is as follows (in thousands):</w:t>
      </w:r>
    </w:p>
    <w:p>
      <w:pPr>
        <w:spacing w:after="0" w:line="297"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060" w:type="dxa"/>
            <w:vAlign w:val="bottom"/>
            <w:tcBorders>
              <w:bottom w:val="single" w:sz="8" w:color="FDFDFD"/>
            </w:tcBorders>
            <w:shd w:val="clear" w:color="auto" w:fill="FDFDFD"/>
          </w:tcPr>
          <w:p>
            <w:pPr>
              <w:spacing w:after="0"/>
              <w:rPr>
                <w:sz w:val="20"/>
                <w:szCs w:val="20"/>
                <w:color w:val="auto"/>
              </w:rPr>
            </w:pPr>
          </w:p>
        </w:tc>
        <w:tc>
          <w:tcPr>
            <w:tcW w:w="820" w:type="dxa"/>
            <w:vAlign w:val="bottom"/>
            <w:tcBorders>
              <w:bottom w:val="single" w:sz="8" w:color="auto"/>
            </w:tcBorders>
            <w:shd w:val="clear" w:color="auto" w:fill="FDFDFD"/>
          </w:tcPr>
          <w:p>
            <w:pPr>
              <w:spacing w:after="0"/>
              <w:rPr>
                <w:sz w:val="20"/>
                <w:szCs w:val="20"/>
                <w:color w:val="auto"/>
              </w:rPr>
            </w:pPr>
          </w:p>
        </w:tc>
        <w:tc>
          <w:tcPr>
            <w:tcW w:w="1040" w:type="dxa"/>
            <w:vAlign w:val="bottom"/>
            <w:tcBorders>
              <w:bottom w:val="single" w:sz="8" w:color="auto"/>
            </w:tcBorders>
            <w:gridSpan w:val="4"/>
            <w:shd w:val="clear" w:color="auto" w:fill="FDFDFD"/>
          </w:tcPr>
          <w:p>
            <w:pPr>
              <w:jc w:val="right"/>
              <w:spacing w:after="0"/>
              <w:rPr>
                <w:sz w:val="20"/>
                <w:szCs w:val="20"/>
                <w:color w:val="auto"/>
              </w:rPr>
            </w:pPr>
            <w:r>
              <w:rPr>
                <w:rFonts w:ascii="Arial" w:cs="Arial" w:eastAsia="Arial" w:hAnsi="Arial"/>
                <w:sz w:val="15"/>
                <w:szCs w:val="15"/>
                <w:b w:val="1"/>
                <w:bCs w:val="1"/>
                <w:color w:val="auto"/>
                <w:w w:val="96"/>
              </w:rPr>
              <w:t>December 31,</w:t>
            </w:r>
          </w:p>
        </w:tc>
        <w:tc>
          <w:tcPr>
            <w:tcW w:w="840" w:type="dxa"/>
            <w:vAlign w:val="bottom"/>
            <w:tcBorders>
              <w:bottom w:val="single" w:sz="8" w:color="auto"/>
            </w:tcBorders>
            <w:shd w:val="clear" w:color="auto" w:fill="FDFDFD"/>
          </w:tcPr>
          <w:p>
            <w:pPr>
              <w:spacing w:after="0"/>
              <w:rPr>
                <w:sz w:val="20"/>
                <w:szCs w:val="20"/>
                <w:color w:val="auto"/>
              </w:rPr>
            </w:pPr>
          </w:p>
        </w:tc>
        <w:tc>
          <w:tcPr>
            <w:tcW w:w="80" w:type="dxa"/>
            <w:vAlign w:val="bottom"/>
            <w:tcBorders>
              <w:bottom w:val="single" w:sz="8" w:color="FDFDFD"/>
            </w:tcBorders>
            <w:shd w:val="clear" w:color="auto" w:fill="FDFDFD"/>
          </w:tcPr>
          <w:p>
            <w:pPr>
              <w:spacing w:after="0"/>
              <w:rPr>
                <w:sz w:val="20"/>
                <w:szCs w:val="20"/>
                <w:color w:val="auto"/>
              </w:rPr>
            </w:pPr>
          </w:p>
        </w:tc>
      </w:tr>
      <w:tr>
        <w:trPr>
          <w:trHeight w:val="177"/>
        </w:trPr>
        <w:tc>
          <w:tcPr>
            <w:tcW w:w="6060" w:type="dxa"/>
            <w:vAlign w:val="bottom"/>
            <w:tcBorders>
              <w:bottom w:val="single" w:sz="8" w:color="D3ECED"/>
            </w:tcBorders>
            <w:shd w:val="clear" w:color="auto" w:fill="FDFDFD"/>
          </w:tcPr>
          <w:p>
            <w:pPr>
              <w:spacing w:after="0"/>
              <w:rPr>
                <w:sz w:val="15"/>
                <w:szCs w:val="15"/>
                <w:color w:val="auto"/>
              </w:rPr>
            </w:pPr>
          </w:p>
        </w:tc>
        <w:tc>
          <w:tcPr>
            <w:tcW w:w="8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5"/>
                <w:szCs w:val="15"/>
                <w:b w:val="1"/>
                <w:bCs w:val="1"/>
                <w:color w:val="auto"/>
              </w:rPr>
              <w:t>2024</w:t>
            </w:r>
          </w:p>
        </w:tc>
        <w:tc>
          <w:tcPr>
            <w:tcW w:w="420" w:type="dxa"/>
            <w:vAlign w:val="bottom"/>
            <w:tcBorders>
              <w:bottom w:val="single" w:sz="8" w:color="auto"/>
            </w:tcBorders>
            <w:shd w:val="clear" w:color="auto" w:fill="FDFDFD"/>
          </w:tcPr>
          <w:p>
            <w:pPr>
              <w:spacing w:after="0"/>
              <w:rPr>
                <w:sz w:val="15"/>
                <w:szCs w:val="15"/>
                <w:color w:val="auto"/>
              </w:rPr>
            </w:pPr>
          </w:p>
        </w:tc>
        <w:tc>
          <w:tcPr>
            <w:tcW w:w="80" w:type="dxa"/>
            <w:vAlign w:val="bottom"/>
            <w:tcBorders>
              <w:bottom w:val="single" w:sz="8" w:color="D3ECED"/>
            </w:tcBorders>
            <w:shd w:val="clear" w:color="auto" w:fill="FDFDFD"/>
          </w:tcPr>
          <w:p>
            <w:pPr>
              <w:spacing w:after="0"/>
              <w:rPr>
                <w:sz w:val="15"/>
                <w:szCs w:val="15"/>
                <w:color w:val="auto"/>
              </w:rPr>
            </w:pPr>
          </w:p>
        </w:tc>
        <w:tc>
          <w:tcPr>
            <w:tcW w:w="140" w:type="dxa"/>
            <w:vAlign w:val="bottom"/>
            <w:tcBorders>
              <w:bottom w:val="single" w:sz="8" w:color="D3ECED"/>
            </w:tcBorders>
            <w:shd w:val="clear" w:color="auto" w:fill="FDFDFD"/>
          </w:tcPr>
          <w:p>
            <w:pPr>
              <w:spacing w:after="0"/>
              <w:rPr>
                <w:sz w:val="15"/>
                <w:szCs w:val="15"/>
                <w:color w:val="auto"/>
              </w:rPr>
            </w:pPr>
          </w:p>
        </w:tc>
        <w:tc>
          <w:tcPr>
            <w:tcW w:w="400" w:type="dxa"/>
            <w:vAlign w:val="bottom"/>
            <w:tcBorders>
              <w:bottom w:val="single" w:sz="8" w:color="auto"/>
            </w:tcBorders>
            <w:shd w:val="clear" w:color="auto" w:fill="FDFDFD"/>
          </w:tcPr>
          <w:p>
            <w:pPr>
              <w:spacing w:after="0"/>
              <w:rPr>
                <w:sz w:val="15"/>
                <w:szCs w:val="15"/>
                <w:color w:val="auto"/>
              </w:rPr>
            </w:pPr>
          </w:p>
        </w:tc>
        <w:tc>
          <w:tcPr>
            <w:tcW w:w="840" w:type="dxa"/>
            <w:vAlign w:val="bottom"/>
            <w:tcBorders>
              <w:bottom w:val="single" w:sz="8" w:color="auto"/>
            </w:tcBorders>
            <w:shd w:val="clear" w:color="auto" w:fill="FDFDFD"/>
          </w:tcPr>
          <w:p>
            <w:pPr>
              <w:jc w:val="right"/>
              <w:ind w:right="389"/>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D3ECED"/>
            </w:tcBorders>
            <w:shd w:val="clear" w:color="auto" w:fill="FDFDFD"/>
          </w:tcPr>
          <w:p>
            <w:pPr>
              <w:spacing w:after="0"/>
              <w:rPr>
                <w:sz w:val="15"/>
                <w:szCs w:val="15"/>
                <w:color w:val="auto"/>
              </w:rPr>
            </w:pPr>
          </w:p>
        </w:tc>
      </w:tr>
      <w:tr>
        <w:trPr>
          <w:trHeight w:val="22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Deferred revenue, current and noncurrent, as of the beginning of period</w:t>
            </w:r>
          </w:p>
        </w:tc>
        <w:tc>
          <w:tcPr>
            <w:tcW w:w="820" w:type="dxa"/>
            <w:vAlign w:val="bottom"/>
            <w:shd w:val="clear" w:color="auto" w:fill="D3ECED"/>
          </w:tcPr>
          <w:p>
            <w:pPr>
              <w:jc w:val="right"/>
              <w:ind w:right="632"/>
              <w:spacing w:after="0"/>
              <w:rPr>
                <w:sz w:val="20"/>
                <w:szCs w:val="20"/>
                <w:color w:val="auto"/>
              </w:rPr>
            </w:pPr>
            <w:r>
              <w:rPr>
                <w:rFonts w:ascii="Arial" w:cs="Arial" w:eastAsia="Arial" w:hAnsi="Arial"/>
                <w:sz w:val="19"/>
                <w:szCs w:val="19"/>
                <w:color w:val="auto"/>
                <w:w w:val="75"/>
                <w:shd w:val="clear" w:color="auto" w:fill="D3ECED"/>
              </w:rPr>
              <w:t>$</w:t>
            </w:r>
          </w:p>
        </w:tc>
        <w:tc>
          <w:tcPr>
            <w:tcW w:w="4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270</w:t>
            </w:r>
          </w:p>
        </w:tc>
        <w:tc>
          <w:tcPr>
            <w:tcW w:w="80" w:type="dxa"/>
            <w:vAlign w:val="bottom"/>
            <w:shd w:val="clear" w:color="auto" w:fill="D3ECED"/>
          </w:tcPr>
          <w:p>
            <w:pPr>
              <w:spacing w:after="0"/>
              <w:rPr>
                <w:sz w:val="19"/>
                <w:szCs w:val="19"/>
                <w:color w:val="auto"/>
              </w:rPr>
            </w:pPr>
          </w:p>
        </w:tc>
        <w:tc>
          <w:tcPr>
            <w:tcW w:w="140" w:type="dxa"/>
            <w:vAlign w:val="bottom"/>
            <w:shd w:val="clear" w:color="auto" w:fill="D3ECED"/>
          </w:tcPr>
          <w:p>
            <w:pPr>
              <w:spacing w:after="0"/>
              <w:rPr>
                <w:sz w:val="19"/>
                <w:szCs w:val="19"/>
                <w:color w:val="auto"/>
              </w:rPr>
            </w:pPr>
          </w:p>
        </w:tc>
        <w:tc>
          <w:tcPr>
            <w:tcW w:w="400" w:type="dxa"/>
            <w:vAlign w:val="bottom"/>
            <w:shd w:val="clear" w:color="auto" w:fill="D3ECED"/>
          </w:tcPr>
          <w:p>
            <w:pPr>
              <w:jc w:val="right"/>
              <w:ind w:right="205"/>
              <w:spacing w:after="0"/>
              <w:rPr>
                <w:sz w:val="20"/>
                <w:szCs w:val="20"/>
                <w:color w:val="auto"/>
              </w:rPr>
            </w:pPr>
            <w:r>
              <w:rPr>
                <w:rFonts w:ascii="Arial" w:cs="Arial" w:eastAsia="Arial" w:hAnsi="Arial"/>
                <w:sz w:val="19"/>
                <w:szCs w:val="19"/>
                <w:color w:val="auto"/>
                <w:w w:val="75"/>
                <w:shd w:val="clear" w:color="auto" w:fill="D3ECED"/>
              </w:rPr>
              <w:t>$</w:t>
            </w: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133</w:t>
            </w:r>
          </w:p>
        </w:tc>
        <w:tc>
          <w:tcPr>
            <w:tcW w:w="80" w:type="dxa"/>
            <w:vAlign w:val="bottom"/>
            <w:shd w:val="clear" w:color="auto" w:fill="D3ECED"/>
          </w:tcPr>
          <w:p>
            <w:pPr>
              <w:spacing w:after="0"/>
              <w:rPr>
                <w:sz w:val="19"/>
                <w:szCs w:val="19"/>
                <w:color w:val="auto"/>
              </w:rPr>
            </w:pPr>
          </w:p>
        </w:tc>
      </w:tr>
      <w:tr>
        <w:trPr>
          <w:trHeight w:val="230"/>
        </w:trPr>
        <w:tc>
          <w:tcPr>
            <w:tcW w:w="6060" w:type="dxa"/>
            <w:vAlign w:val="bottom"/>
            <w:shd w:val="clear" w:color="auto" w:fill="FDFDFD"/>
          </w:tcPr>
          <w:p>
            <w:pPr>
              <w:spacing w:after="0"/>
              <w:rPr>
                <w:sz w:val="20"/>
                <w:szCs w:val="20"/>
                <w:color w:val="auto"/>
              </w:rPr>
            </w:pPr>
            <w:r>
              <w:rPr>
                <w:rFonts w:ascii="Arial" w:cs="Arial" w:eastAsia="Arial" w:hAnsi="Arial"/>
                <w:sz w:val="19"/>
                <w:szCs w:val="19"/>
                <w:color w:val="auto"/>
              </w:rPr>
              <w:t>Additions</w:t>
            </w:r>
          </w:p>
        </w:tc>
        <w:tc>
          <w:tcPr>
            <w:tcW w:w="820" w:type="dxa"/>
            <w:vAlign w:val="bottom"/>
            <w:shd w:val="clear" w:color="auto" w:fill="FDFDFD"/>
          </w:tcPr>
          <w:p>
            <w:pPr>
              <w:spacing w:after="0"/>
              <w:rPr>
                <w:sz w:val="20"/>
                <w:szCs w:val="20"/>
                <w:color w:val="auto"/>
              </w:rPr>
            </w:pPr>
          </w:p>
        </w:tc>
        <w:tc>
          <w:tcPr>
            <w:tcW w:w="4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763</w:t>
            </w: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400" w:type="dxa"/>
            <w:vAlign w:val="bottom"/>
            <w:shd w:val="clear" w:color="auto" w:fill="FDFDFD"/>
          </w:tcPr>
          <w:p>
            <w:pPr>
              <w:spacing w:after="0"/>
              <w:rPr>
                <w:sz w:val="20"/>
                <w:szCs w:val="20"/>
                <w:color w:val="auto"/>
              </w:rPr>
            </w:pP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879</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tcBorders>
              <w:bottom w:val="single" w:sz="8" w:color="FDFDFD"/>
            </w:tcBorders>
            <w:shd w:val="clear" w:color="auto" w:fill="D3ECED"/>
          </w:tcPr>
          <w:p>
            <w:pPr>
              <w:spacing w:after="0"/>
              <w:rPr>
                <w:sz w:val="20"/>
                <w:szCs w:val="20"/>
                <w:color w:val="auto"/>
              </w:rPr>
            </w:pPr>
            <w:r>
              <w:rPr>
                <w:rFonts w:ascii="Arial" w:cs="Arial" w:eastAsia="Arial" w:hAnsi="Arial"/>
                <w:sz w:val="19"/>
                <w:szCs w:val="19"/>
                <w:color w:val="auto"/>
              </w:rPr>
              <w:t>Revenue recognized</w:t>
            </w:r>
          </w:p>
        </w:tc>
        <w:tc>
          <w:tcPr>
            <w:tcW w:w="820" w:type="dxa"/>
            <w:vAlign w:val="bottom"/>
            <w:tcBorders>
              <w:bottom w:val="single" w:sz="8" w:color="auto"/>
            </w:tcBorders>
            <w:shd w:val="clear" w:color="auto" w:fill="D3ECED"/>
          </w:tcPr>
          <w:p>
            <w:pPr>
              <w:spacing w:after="0"/>
              <w:rPr>
                <w:sz w:val="20"/>
                <w:szCs w:val="20"/>
                <w:color w:val="auto"/>
              </w:rPr>
            </w:pPr>
          </w:p>
        </w:tc>
        <w:tc>
          <w:tcPr>
            <w:tcW w:w="42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w w:val="90"/>
              </w:rPr>
              <w:t>(577)</w:t>
            </w:r>
          </w:p>
        </w:tc>
        <w:tc>
          <w:tcPr>
            <w:tcW w:w="80" w:type="dxa"/>
            <w:vAlign w:val="bottom"/>
            <w:tcBorders>
              <w:bottom w:val="single" w:sz="8" w:color="FDFDFD"/>
            </w:tcBorders>
            <w:shd w:val="clear" w:color="auto" w:fill="D3ECED"/>
          </w:tcPr>
          <w:p>
            <w:pPr>
              <w:spacing w:after="0"/>
              <w:rPr>
                <w:sz w:val="20"/>
                <w:szCs w:val="20"/>
                <w:color w:val="auto"/>
              </w:rPr>
            </w:pPr>
          </w:p>
        </w:tc>
        <w:tc>
          <w:tcPr>
            <w:tcW w:w="140" w:type="dxa"/>
            <w:vAlign w:val="bottom"/>
            <w:tcBorders>
              <w:bottom w:val="single" w:sz="8" w:color="FDFDFD"/>
            </w:tcBorders>
            <w:shd w:val="clear" w:color="auto" w:fill="D3ECED"/>
          </w:tcPr>
          <w:p>
            <w:pPr>
              <w:spacing w:after="0"/>
              <w:rPr>
                <w:sz w:val="20"/>
                <w:szCs w:val="20"/>
                <w:color w:val="auto"/>
              </w:rPr>
            </w:pPr>
          </w:p>
        </w:tc>
        <w:tc>
          <w:tcPr>
            <w:tcW w:w="400" w:type="dxa"/>
            <w:vAlign w:val="bottom"/>
            <w:tcBorders>
              <w:bottom w:val="single" w:sz="8" w:color="auto"/>
            </w:tcBorders>
            <w:shd w:val="clear" w:color="auto" w:fill="D3ECED"/>
          </w:tcPr>
          <w:p>
            <w:pPr>
              <w:spacing w:after="0"/>
              <w:rPr>
                <w:sz w:val="20"/>
                <w:szCs w:val="20"/>
                <w:color w:val="auto"/>
              </w:rPr>
            </w:pPr>
          </w:p>
        </w:tc>
        <w:tc>
          <w:tcPr>
            <w:tcW w:w="8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(742)</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2"/>
        </w:trPr>
        <w:tc>
          <w:tcPr>
            <w:tcW w:w="6060" w:type="dxa"/>
            <w:vAlign w:val="bottom"/>
            <w:shd w:val="clear" w:color="auto" w:fill="FDFDFD"/>
          </w:tcPr>
          <w:p>
            <w:pPr>
              <w:spacing w:after="0"/>
              <w:rPr>
                <w:sz w:val="20"/>
                <w:szCs w:val="20"/>
                <w:color w:val="auto"/>
              </w:rPr>
            </w:pPr>
            <w:r>
              <w:rPr>
                <w:rFonts w:ascii="Arial" w:cs="Arial" w:eastAsia="Arial" w:hAnsi="Arial"/>
                <w:sz w:val="19"/>
                <w:szCs w:val="19"/>
                <w:color w:val="auto"/>
              </w:rPr>
              <w:t>Deferred revenue, current and noncurrent, as of the end of period</w:t>
            </w:r>
          </w:p>
        </w:tc>
        <w:tc>
          <w:tcPr>
            <w:tcW w:w="820" w:type="dxa"/>
            <w:vAlign w:val="bottom"/>
            <w:shd w:val="clear" w:color="auto" w:fill="FDFDFD"/>
          </w:tcPr>
          <w:p>
            <w:pPr>
              <w:jc w:val="right"/>
              <w:ind w:right="632"/>
              <w:spacing w:after="0"/>
              <w:rPr>
                <w:sz w:val="20"/>
                <w:szCs w:val="20"/>
                <w:color w:val="auto"/>
              </w:rPr>
            </w:pPr>
            <w:r>
              <w:rPr>
                <w:rFonts w:ascii="Arial" w:cs="Arial" w:eastAsia="Arial" w:hAnsi="Arial"/>
                <w:sz w:val="19"/>
                <w:szCs w:val="19"/>
                <w:color w:val="auto"/>
                <w:highlight w:val="white"/>
                <w:w w:val="75"/>
              </w:rPr>
              <w:t>$</w:t>
            </w:r>
          </w:p>
        </w:tc>
        <w:tc>
          <w:tcPr>
            <w:tcW w:w="4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456</w:t>
            </w:r>
          </w:p>
        </w:tc>
        <w:tc>
          <w:tcPr>
            <w:tcW w:w="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400" w:type="dxa"/>
            <w:vAlign w:val="bottom"/>
            <w:shd w:val="clear" w:color="auto" w:fill="FDFDFD"/>
          </w:tcPr>
          <w:p>
            <w:pPr>
              <w:jc w:val="right"/>
              <w:ind w:right="205"/>
              <w:spacing w:after="0"/>
              <w:rPr>
                <w:sz w:val="20"/>
                <w:szCs w:val="20"/>
                <w:color w:val="auto"/>
              </w:rPr>
            </w:pPr>
            <w:r>
              <w:rPr>
                <w:rFonts w:ascii="Arial" w:cs="Arial" w:eastAsia="Arial" w:hAnsi="Arial"/>
                <w:sz w:val="19"/>
                <w:szCs w:val="19"/>
                <w:color w:val="auto"/>
                <w:highlight w:val="white"/>
                <w:w w:val="75"/>
              </w:rPr>
              <w:t>$</w:t>
            </w: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270</w:t>
            </w:r>
          </w:p>
        </w:tc>
        <w:tc>
          <w:tcPr>
            <w:tcW w:w="80" w:type="dxa"/>
            <w:vAlign w:val="bottom"/>
            <w:shd w:val="clear" w:color="auto" w:fill="FDFDF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-13335</wp:posOffset>
            </wp:positionV>
            <wp:extent cx="1740535" cy="520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82">
                      <a:extLst>
                        <a:ext uri="{28A0092B-C50C-407E-A947-70E740481C1C}"/>
                      </a:extLst>
                    </a:blip>
                    <a:srcRect/>
                    <a:stretch>
                      <a:fillRect/>
                    </a:stretch>
                  </pic:blipFill>
                  <pic:spPr bwMode="auto">
                    <a:xfrm>
                      <a:off x="0" y="0"/>
                      <a:ext cx="1740535" cy="52070"/>
                    </a:xfrm>
                    <a:prstGeom prst="rect">
                      <a:avLst/>
                    </a:prstGeom>
                    <a:noFill/>
                  </pic:spPr>
                </pic:pic>
              </a:graphicData>
            </a:graphic>
          </wp:anchor>
        </w:drawing>
      </w:r>
    </w:p>
    <w:p>
      <w:pPr>
        <w:spacing w:after="0" w:line="170" w:lineRule="exact"/>
        <w:rPr>
          <w:sz w:val="20"/>
          <w:szCs w:val="20"/>
          <w:color w:val="auto"/>
        </w:rPr>
      </w:pPr>
    </w:p>
    <w:p>
      <w:pPr>
        <w:ind w:left="260" w:right="280"/>
        <w:spacing w:after="0" w:line="344" w:lineRule="auto"/>
        <w:rPr>
          <w:sz w:val="20"/>
          <w:szCs w:val="20"/>
          <w:color w:val="auto"/>
        </w:rPr>
      </w:pPr>
      <w:r>
        <w:rPr>
          <w:rFonts w:ascii="Arial" w:cs="Arial" w:eastAsia="Arial" w:hAnsi="Arial"/>
          <w:sz w:val="17"/>
          <w:szCs w:val="17"/>
          <w:color w:val="auto"/>
        </w:rPr>
        <w:t>Transaction price allocated to remaining performance obligations represents contracted revenue that has not yet been recognized, which includes deferred revenue and non-cancelable amounts that will be invoiced and recognized as revenue in future periods. As of December 31, 2024, $0.5 million of revenue is expected to be recognized from the remaining performance obligations, of which 96% is expected to be recognized within twelve months.</w:t>
      </w:r>
    </w:p>
    <w:p>
      <w:pPr>
        <w:spacing w:after="0" w:line="92"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Grant and Other Revenue</w:t>
      </w:r>
    </w:p>
    <w:p>
      <w:pPr>
        <w:spacing w:after="0" w:line="211" w:lineRule="exact"/>
        <w:rPr>
          <w:sz w:val="20"/>
          <w:szCs w:val="20"/>
          <w:color w:val="auto"/>
        </w:rPr>
      </w:pPr>
    </w:p>
    <w:p>
      <w:pPr>
        <w:ind w:left="260" w:right="320"/>
        <w:spacing w:after="0" w:line="299" w:lineRule="auto"/>
        <w:rPr>
          <w:sz w:val="20"/>
          <w:szCs w:val="20"/>
          <w:color w:val="auto"/>
        </w:rPr>
      </w:pPr>
      <w:r>
        <w:rPr>
          <w:rFonts w:ascii="Arial" w:cs="Arial" w:eastAsia="Arial" w:hAnsi="Arial"/>
          <w:sz w:val="19"/>
          <w:szCs w:val="19"/>
          <w:color w:val="auto"/>
        </w:rPr>
        <w:t>Since August 2019, the Company received total funding of $2.0 million from a Small Business Innovation Research grant award from the National Institutes of Health for its development of research applications. For the years ended December 31, 2024 and 2023, the Company recognized nil and $1.1 million of grant revenue, respectively, with respect to the award.</w:t>
      </w:r>
    </w:p>
    <w:p>
      <w:pPr>
        <w:spacing w:after="0" w:line="120" w:lineRule="exact"/>
        <w:rPr>
          <w:sz w:val="20"/>
          <w:szCs w:val="20"/>
          <w:color w:val="auto"/>
        </w:rPr>
      </w:pPr>
    </w:p>
    <w:p>
      <w:pPr>
        <w:ind w:left="940" w:hanging="681"/>
        <w:spacing w:after="0"/>
        <w:tabs>
          <w:tab w:leader="none" w:pos="94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CAPITAL STOCK AND STOCKHOLDERS’ EQUITY</w:t>
      </w:r>
    </w:p>
    <w:p>
      <w:pPr>
        <w:spacing w:after="0" w:line="215" w:lineRule="exact"/>
        <w:rPr>
          <w:sz w:val="20"/>
          <w:szCs w:val="20"/>
          <w:color w:val="auto"/>
        </w:rPr>
      </w:pPr>
    </w:p>
    <w:p>
      <w:pPr>
        <w:ind w:left="260" w:right="480"/>
        <w:spacing w:after="0" w:line="305" w:lineRule="auto"/>
        <w:rPr>
          <w:sz w:val="20"/>
          <w:szCs w:val="20"/>
          <w:color w:val="auto"/>
        </w:rPr>
      </w:pPr>
      <w:r>
        <w:rPr>
          <w:rFonts w:ascii="Arial" w:cs="Arial" w:eastAsia="Arial" w:hAnsi="Arial"/>
          <w:sz w:val="19"/>
          <w:szCs w:val="19"/>
          <w:color w:val="auto"/>
        </w:rPr>
        <w:t>As of December 31, 2024, the Company is authorized to issue 105,000,000 shares of capital stock consisting of 94,000,000 shares of Class A common stock, 6,000,000 shares of Class B common stock, and 5,000,000 shares of preferred stock.</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2240" w:h="15840" w:orient="portrait"/>
          <w:cols w:equalWidth="0" w:num="1">
            <w:col w:w="9360"/>
          </w:cols>
          <w:pgMar w:left="1440" w:top="1358" w:right="1440" w:bottom="624"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300"/>
        <w:spacing w:after="0" w:line="292" w:lineRule="auto"/>
        <w:rPr>
          <w:sz w:val="20"/>
          <w:szCs w:val="20"/>
          <w:color w:val="auto"/>
        </w:rPr>
      </w:pPr>
      <w:r>
        <w:rPr>
          <w:rFonts w:ascii="Arial" w:cs="Arial" w:eastAsia="Arial" w:hAnsi="Arial"/>
          <w:sz w:val="19"/>
          <w:szCs w:val="19"/>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The Class B common stock will also automatically convert into Class A common stock on December 9, 2025. Holders of common stock are entitled to dividends as declared by the Board of Directors, subject to rights of holders of all classes of stock outstanding having priority rights as to dividends. There have been no dividends declared to date.</w:t>
      </w:r>
    </w:p>
    <w:p>
      <w:pPr>
        <w:spacing w:after="0" w:line="132" w:lineRule="exact"/>
        <w:rPr>
          <w:sz w:val="20"/>
          <w:szCs w:val="20"/>
          <w:color w:val="auto"/>
        </w:rPr>
      </w:pPr>
    </w:p>
    <w:p>
      <w:pPr>
        <w:ind w:left="260" w:right="320"/>
        <w:spacing w:after="0" w:line="305" w:lineRule="auto"/>
        <w:rPr>
          <w:sz w:val="20"/>
          <w:szCs w:val="20"/>
          <w:color w:val="auto"/>
        </w:rPr>
      </w:pPr>
      <w:r>
        <w:rPr>
          <w:rFonts w:ascii="Arial" w:cs="Arial" w:eastAsia="Arial" w:hAnsi="Arial"/>
          <w:sz w:val="19"/>
          <w:szCs w:val="19"/>
          <w:color w:val="auto"/>
        </w:rPr>
        <w:t>Common stock issued and outstanding on the consolidated balance sheets and consolidated statements of changes in stockholders' equity includes shares related to early exercised options and restricted stock that are subject to repurchase.</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Share Repurchase Program</w:t>
      </w:r>
    </w:p>
    <w:p>
      <w:pPr>
        <w:spacing w:after="0" w:line="211" w:lineRule="exact"/>
        <w:rPr>
          <w:sz w:val="20"/>
          <w:szCs w:val="20"/>
          <w:color w:val="auto"/>
        </w:rPr>
      </w:pPr>
    </w:p>
    <w:p>
      <w:pPr>
        <w:ind w:left="260" w:right="440"/>
        <w:spacing w:after="0" w:line="324" w:lineRule="auto"/>
        <w:rPr>
          <w:sz w:val="20"/>
          <w:szCs w:val="20"/>
          <w:color w:val="auto"/>
        </w:rPr>
      </w:pPr>
      <w:r>
        <w:rPr>
          <w:rFonts w:ascii="Arial" w:cs="Arial" w:eastAsia="Arial" w:hAnsi="Arial"/>
          <w:sz w:val="19"/>
          <w:szCs w:val="19"/>
          <w:color w:val="auto"/>
        </w:rPr>
        <w:t>The following table summarizes the Company's share repurchase activity under the Share Repurchase Program for the fiscal year 2024 (in thousands except per share data):</w:t>
      </w:r>
    </w:p>
    <w:p>
      <w:pPr>
        <w:spacing w:after="0" w:line="125"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4240" w:type="dxa"/>
            <w:vAlign w:val="bottom"/>
            <w:tcBorders>
              <w:bottom w:val="single" w:sz="8" w:color="D3ECED"/>
            </w:tcBorders>
            <w:shd w:val="clear" w:color="auto" w:fill="FDFDFD"/>
          </w:tcPr>
          <w:p>
            <w:pPr>
              <w:spacing w:after="0"/>
              <w:rPr>
                <w:sz w:val="20"/>
                <w:szCs w:val="20"/>
                <w:color w:val="auto"/>
              </w:rPr>
            </w:pPr>
          </w:p>
        </w:tc>
        <w:tc>
          <w:tcPr>
            <w:tcW w:w="1960" w:type="dxa"/>
            <w:vAlign w:val="bottom"/>
            <w:tcBorders>
              <w:bottom w:val="single" w:sz="8" w:color="D3ECED"/>
            </w:tcBorders>
            <w:shd w:val="clear" w:color="auto" w:fill="FDFDFD"/>
          </w:tcPr>
          <w:p>
            <w:pPr>
              <w:spacing w:after="0"/>
              <w:rPr>
                <w:sz w:val="20"/>
                <w:szCs w:val="20"/>
                <w:color w:val="auto"/>
              </w:rPr>
            </w:pPr>
          </w:p>
        </w:tc>
        <w:tc>
          <w:tcPr>
            <w:tcW w:w="100" w:type="dxa"/>
            <w:vAlign w:val="bottom"/>
            <w:tcBorders>
              <w:bottom w:val="single" w:sz="8" w:color="auto"/>
            </w:tcBorders>
            <w:shd w:val="clear" w:color="auto" w:fill="FDFDFD"/>
          </w:tcPr>
          <w:p>
            <w:pPr>
              <w:spacing w:after="0"/>
              <w:rPr>
                <w:sz w:val="20"/>
                <w:szCs w:val="20"/>
                <w:color w:val="auto"/>
              </w:rPr>
            </w:pPr>
          </w:p>
        </w:tc>
        <w:tc>
          <w:tcPr>
            <w:tcW w:w="2460" w:type="dxa"/>
            <w:vAlign w:val="bottom"/>
            <w:tcBorders>
              <w:bottom w:val="single" w:sz="8" w:color="auto"/>
            </w:tcBorders>
            <w:shd w:val="clear" w:color="auto" w:fill="FDFDFD"/>
          </w:tcPr>
          <w:p>
            <w:pPr>
              <w:jc w:val="right"/>
              <w:ind w:right="1050"/>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20"/>
        </w:trPr>
        <w:tc>
          <w:tcPr>
            <w:tcW w:w="4240" w:type="dxa"/>
            <w:vAlign w:val="bottom"/>
            <w:shd w:val="clear" w:color="auto" w:fill="D3ECED"/>
          </w:tcPr>
          <w:p>
            <w:pPr>
              <w:spacing w:after="0"/>
              <w:rPr>
                <w:sz w:val="20"/>
                <w:szCs w:val="20"/>
                <w:color w:val="auto"/>
              </w:rPr>
            </w:pPr>
            <w:r>
              <w:rPr>
                <w:rFonts w:ascii="Arial" w:cs="Arial" w:eastAsia="Arial" w:hAnsi="Arial"/>
                <w:sz w:val="19"/>
                <w:szCs w:val="19"/>
                <w:color w:val="auto"/>
              </w:rPr>
              <w:t>Number of shares repurchased</w:t>
            </w:r>
          </w:p>
        </w:tc>
        <w:tc>
          <w:tcPr>
            <w:tcW w:w="196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24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6,470,102</w:t>
            </w:r>
          </w:p>
        </w:tc>
        <w:tc>
          <w:tcPr>
            <w:tcW w:w="80" w:type="dxa"/>
            <w:vAlign w:val="bottom"/>
            <w:shd w:val="clear" w:color="auto" w:fill="D3ECED"/>
          </w:tcPr>
          <w:p>
            <w:pPr>
              <w:spacing w:after="0"/>
              <w:rPr>
                <w:sz w:val="19"/>
                <w:szCs w:val="19"/>
                <w:color w:val="auto"/>
              </w:rPr>
            </w:pPr>
          </w:p>
        </w:tc>
      </w:tr>
      <w:tr>
        <w:trPr>
          <w:trHeight w:val="230"/>
        </w:trPr>
        <w:tc>
          <w:tcPr>
            <w:tcW w:w="4240" w:type="dxa"/>
            <w:vAlign w:val="bottom"/>
            <w:shd w:val="clear" w:color="auto" w:fill="FDFDFD"/>
          </w:tcPr>
          <w:p>
            <w:pPr>
              <w:spacing w:after="0" w:line="230" w:lineRule="exact"/>
              <w:rPr>
                <w:sz w:val="20"/>
                <w:szCs w:val="20"/>
                <w:color w:val="auto"/>
              </w:rPr>
            </w:pPr>
            <w:r>
              <w:rPr>
                <w:rFonts w:ascii="Arial" w:cs="Arial" w:eastAsia="Arial" w:hAnsi="Arial"/>
                <w:sz w:val="19"/>
                <w:szCs w:val="19"/>
                <w:color w:val="auto"/>
              </w:rPr>
              <w:t xml:space="preserve">Total cost </w:t>
            </w:r>
            <w:r>
              <w:rPr>
                <w:rFonts w:ascii="Arial" w:cs="Arial" w:eastAsia="Arial" w:hAnsi="Arial"/>
                <w:sz w:val="24"/>
                <w:szCs w:val="24"/>
                <w:color w:val="auto"/>
                <w:vertAlign w:val="superscript"/>
              </w:rPr>
              <w:t>(1)</w:t>
            </w:r>
          </w:p>
        </w:tc>
        <w:tc>
          <w:tcPr>
            <w:tcW w:w="1960" w:type="dxa"/>
            <w:vAlign w:val="bottom"/>
            <w:shd w:val="clear" w:color="auto" w:fill="FDFDFD"/>
          </w:tcPr>
          <w:p>
            <w:pPr>
              <w:spacing w:after="0"/>
              <w:rPr>
                <w:sz w:val="20"/>
                <w:szCs w:val="20"/>
                <w:color w:val="auto"/>
              </w:rPr>
            </w:pPr>
          </w:p>
        </w:tc>
        <w:tc>
          <w:tcPr>
            <w:tcW w:w="100" w:type="dxa"/>
            <w:vAlign w:val="bottom"/>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24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11,816</w:t>
            </w:r>
          </w:p>
        </w:tc>
        <w:tc>
          <w:tcPr>
            <w:tcW w:w="80" w:type="dxa"/>
            <w:vAlign w:val="bottom"/>
            <w:shd w:val="clear" w:color="auto" w:fill="FDFDFD"/>
          </w:tcPr>
          <w:p>
            <w:pPr>
              <w:spacing w:after="0"/>
              <w:rPr>
                <w:sz w:val="20"/>
                <w:szCs w:val="20"/>
                <w:color w:val="auto"/>
              </w:rPr>
            </w:pPr>
          </w:p>
        </w:tc>
      </w:tr>
      <w:tr>
        <w:trPr>
          <w:trHeight w:val="233"/>
        </w:trPr>
        <w:tc>
          <w:tcPr>
            <w:tcW w:w="4240" w:type="dxa"/>
            <w:vAlign w:val="bottom"/>
            <w:shd w:val="clear" w:color="auto" w:fill="D3ECED"/>
          </w:tcPr>
          <w:p>
            <w:pPr>
              <w:spacing w:after="0" w:line="233" w:lineRule="exact"/>
              <w:rPr>
                <w:sz w:val="20"/>
                <w:szCs w:val="20"/>
                <w:color w:val="auto"/>
              </w:rPr>
            </w:pPr>
            <w:r>
              <w:rPr>
                <w:rFonts w:ascii="Arial" w:cs="Arial" w:eastAsia="Arial" w:hAnsi="Arial"/>
                <w:sz w:val="19"/>
                <w:szCs w:val="19"/>
                <w:color w:val="auto"/>
              </w:rPr>
              <w:t xml:space="preserve">Average per share cost </w:t>
            </w:r>
            <w:r>
              <w:rPr>
                <w:rFonts w:ascii="Arial" w:cs="Arial" w:eastAsia="Arial" w:hAnsi="Arial"/>
                <w:sz w:val="24"/>
                <w:szCs w:val="24"/>
                <w:color w:val="auto"/>
                <w:vertAlign w:val="superscript"/>
              </w:rPr>
              <w:t>(2)</w:t>
            </w:r>
          </w:p>
        </w:tc>
        <w:tc>
          <w:tcPr>
            <w:tcW w:w="206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24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1.82</w:t>
            </w:r>
          </w:p>
        </w:tc>
        <w:tc>
          <w:tcPr>
            <w:tcW w:w="80" w:type="dxa"/>
            <w:vAlign w:val="bottom"/>
            <w:shd w:val="clear" w:color="auto" w:fill="D3ECED"/>
          </w:tcPr>
          <w:p>
            <w:pPr>
              <w:spacing w:after="0"/>
              <w:rPr>
                <w:sz w:val="20"/>
                <w:szCs w:val="20"/>
                <w:color w:val="auto"/>
              </w:rPr>
            </w:pPr>
          </w:p>
        </w:tc>
      </w:tr>
    </w:tbl>
    <w:p>
      <w:pPr>
        <w:spacing w:after="0" w:line="270" w:lineRule="exact"/>
        <w:rPr>
          <w:sz w:val="20"/>
          <w:szCs w:val="20"/>
          <w:color w:val="auto"/>
        </w:rPr>
      </w:pPr>
    </w:p>
    <w:p>
      <w:pPr>
        <w:ind w:left="540" w:hanging="281"/>
        <w:spacing w:after="0"/>
        <w:tabs>
          <w:tab w:leader="none" w:pos="540" w:val="left"/>
        </w:tabs>
        <w:numPr>
          <w:ilvl w:val="0"/>
          <w:numId w:val="8"/>
        </w:numPr>
        <w:rPr>
          <w:rFonts w:ascii="Arial" w:cs="Arial" w:eastAsia="Arial" w:hAnsi="Arial"/>
          <w:sz w:val="9"/>
          <w:szCs w:val="9"/>
          <w:color w:val="auto"/>
        </w:rPr>
      </w:pPr>
      <w:r>
        <w:rPr>
          <w:rFonts w:ascii="Arial" w:cs="Arial" w:eastAsia="Arial" w:hAnsi="Arial"/>
          <w:sz w:val="15"/>
          <w:szCs w:val="15"/>
          <w:color w:val="auto"/>
        </w:rPr>
        <w:t>Includes broker commissions and excludes excise tax.</w:t>
      </w:r>
    </w:p>
    <w:p>
      <w:pPr>
        <w:spacing w:after="0" w:line="113" w:lineRule="exact"/>
        <w:rPr>
          <w:rFonts w:ascii="Arial" w:cs="Arial" w:eastAsia="Arial" w:hAnsi="Arial"/>
          <w:sz w:val="9"/>
          <w:szCs w:val="9"/>
          <w:color w:val="auto"/>
        </w:rPr>
      </w:pPr>
    </w:p>
    <w:p>
      <w:pPr>
        <w:ind w:left="540" w:hanging="281"/>
        <w:spacing w:after="0"/>
        <w:tabs>
          <w:tab w:leader="none" w:pos="540" w:val="left"/>
        </w:tabs>
        <w:numPr>
          <w:ilvl w:val="0"/>
          <w:numId w:val="8"/>
        </w:numPr>
        <w:rPr>
          <w:rFonts w:ascii="Arial" w:cs="Arial" w:eastAsia="Arial" w:hAnsi="Arial"/>
          <w:sz w:val="9"/>
          <w:szCs w:val="9"/>
          <w:color w:val="auto"/>
        </w:rPr>
      </w:pPr>
      <w:r>
        <w:rPr>
          <w:rFonts w:ascii="Arial" w:cs="Arial" w:eastAsia="Arial" w:hAnsi="Arial"/>
          <w:sz w:val="15"/>
          <w:szCs w:val="15"/>
          <w:color w:val="auto"/>
        </w:rPr>
        <w:t>Average price paid per share is calculated on a settlement basis and excludes broker commissions and excise tax.</w:t>
      </w:r>
    </w:p>
    <w:p>
      <w:pPr>
        <w:spacing w:after="0" w:line="167" w:lineRule="exact"/>
        <w:rPr>
          <w:sz w:val="20"/>
          <w:szCs w:val="20"/>
          <w:color w:val="auto"/>
        </w:rPr>
      </w:pPr>
    </w:p>
    <w:p>
      <w:pPr>
        <w:ind w:left="260" w:right="400"/>
        <w:spacing w:after="0" w:line="326" w:lineRule="auto"/>
        <w:rPr>
          <w:sz w:val="20"/>
          <w:szCs w:val="20"/>
          <w:color w:val="auto"/>
        </w:rPr>
      </w:pPr>
      <w:r>
        <w:rPr>
          <w:rFonts w:ascii="Arial" w:cs="Arial" w:eastAsia="Arial" w:hAnsi="Arial"/>
          <w:sz w:val="19"/>
          <w:szCs w:val="19"/>
          <w:color w:val="auto"/>
        </w:rPr>
        <w:t>As of December 31, 2024, the Company has a total of $13.2 million, excluding broker commissions and excise tax, available under the current authorization for additional share repurchases.</w:t>
      </w:r>
    </w:p>
    <w:p>
      <w:pPr>
        <w:spacing w:after="0" w:line="95" w:lineRule="exact"/>
        <w:rPr>
          <w:sz w:val="20"/>
          <w:szCs w:val="20"/>
          <w:color w:val="auto"/>
        </w:rPr>
      </w:pPr>
    </w:p>
    <w:p>
      <w:pPr>
        <w:ind w:left="940" w:hanging="681"/>
        <w:spacing w:after="0"/>
        <w:tabs>
          <w:tab w:leader="none" w:pos="94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EQUITY INCENTIVE PLANS</w:t>
      </w:r>
    </w:p>
    <w:p>
      <w:pPr>
        <w:spacing w:after="0" w:line="215" w:lineRule="exact"/>
        <w:rPr>
          <w:sz w:val="20"/>
          <w:szCs w:val="20"/>
          <w:color w:val="auto"/>
        </w:rPr>
      </w:pPr>
    </w:p>
    <w:p>
      <w:pPr>
        <w:ind w:left="260" w:right="400"/>
        <w:spacing w:after="0" w:line="293" w:lineRule="auto"/>
        <w:rPr>
          <w:sz w:val="20"/>
          <w:szCs w:val="20"/>
          <w:color w:val="auto"/>
        </w:rPr>
      </w:pPr>
      <w:r>
        <w:rPr>
          <w:rFonts w:ascii="Arial" w:cs="Arial" w:eastAsia="Arial" w:hAnsi="Arial"/>
          <w:sz w:val="19"/>
          <w:szCs w:val="19"/>
          <w:color w:val="auto"/>
        </w:rPr>
        <w:t>In 2017, the Company adopted the 2017 Stock Incentive Plan (2017 Plan), which provided for the granting of awards to employees, directors, and consultants of the Company. Awards issuable under the 2017 Plan included incentive stock options (ISOs), nonqualified stock options (NSOs), and restricted stock awards. In 2020, the Company adopted the 2020 RSU Equity Incentive Plan (2020 RSU Plan), which provided for the granting of RSUs to employees and consultants of the Company and any parent or subsidiary of the Company and members of our board of directors.</w:t>
      </w:r>
    </w:p>
    <w:p>
      <w:pPr>
        <w:spacing w:after="0" w:line="131" w:lineRule="exact"/>
        <w:rPr>
          <w:sz w:val="20"/>
          <w:szCs w:val="20"/>
          <w:color w:val="auto"/>
        </w:rPr>
      </w:pPr>
    </w:p>
    <w:p>
      <w:pPr>
        <w:ind w:left="260" w:right="440"/>
        <w:spacing w:after="0" w:line="312" w:lineRule="auto"/>
        <w:rPr>
          <w:sz w:val="20"/>
          <w:szCs w:val="20"/>
          <w:color w:val="auto"/>
        </w:rPr>
      </w:pPr>
      <w:r>
        <w:rPr>
          <w:rFonts w:ascii="Arial" w:cs="Arial" w:eastAsia="Arial" w:hAnsi="Arial"/>
          <w:sz w:val="18"/>
          <w:szCs w:val="18"/>
          <w:color w:val="auto"/>
        </w:rPr>
        <w:t>In 2020, the Company adopted the 2020 Equity Incentive Plan (2020 Plan), which became effective in connection with the IPO. Awards issuable under the 2020 Plan include ISOs, NSOs, restricted stock awards, RSUs, stock appreciation rights and performance awards, to employees and consultants of the Company or any parent or subsidiary of the Company and members of our board of directors. The Company’s 2017 Plan and 2020 RSU Plan were terminated in connection with the IPO and no further grants will be made under the 2017 Plan and 2020 RSU Plan from the date that the 2020 Plan became effective.</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2240" w:h="15840" w:orient="portrait"/>
          <w:cols w:equalWidth="0" w:num="1">
            <w:col w:w="9360"/>
          </w:cols>
          <w:pgMar w:left="1440" w:top="1358" w:right="1440" w:bottom="624"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Option Repricing</w:t>
      </w:r>
    </w:p>
    <w:p>
      <w:pPr>
        <w:spacing w:after="0" w:line="209" w:lineRule="exact"/>
        <w:rPr>
          <w:sz w:val="20"/>
          <w:szCs w:val="20"/>
          <w:color w:val="auto"/>
        </w:rPr>
      </w:pPr>
    </w:p>
    <w:p>
      <w:pPr>
        <w:ind w:left="260" w:right="320"/>
        <w:spacing w:after="0" w:line="296" w:lineRule="auto"/>
        <w:rPr>
          <w:sz w:val="20"/>
          <w:szCs w:val="20"/>
          <w:color w:val="auto"/>
        </w:rPr>
      </w:pPr>
      <w:r>
        <w:rPr>
          <w:rFonts w:ascii="Arial" w:cs="Arial" w:eastAsia="Arial" w:hAnsi="Arial"/>
          <w:sz w:val="19"/>
          <w:szCs w:val="19"/>
          <w:color w:val="auto"/>
        </w:rPr>
        <w:t>On October 4, 2024 (the Effective Date), the Board of Directors approved an option repricing. The repricing applied to nonstatutory stock options to purchase shares of the Company’s Class A common stock that (i) were granted to employees under the Company’s 2020 Plan or the 2017 Plan (together with the 2020 Plan, the Plans) and applicable award agreements thereunder; (ii) as of the Effective Date, were held by continuing employees; and (iii) had an exercise price per share greater than $2.00.</w:t>
      </w:r>
    </w:p>
    <w:p>
      <w:pPr>
        <w:spacing w:after="0" w:line="125" w:lineRule="exact"/>
        <w:rPr>
          <w:sz w:val="20"/>
          <w:szCs w:val="20"/>
          <w:color w:val="auto"/>
        </w:rPr>
      </w:pPr>
    </w:p>
    <w:p>
      <w:pPr>
        <w:ind w:left="260" w:right="280"/>
        <w:spacing w:after="0" w:line="328" w:lineRule="auto"/>
        <w:rPr>
          <w:sz w:val="20"/>
          <w:szCs w:val="20"/>
          <w:color w:val="auto"/>
        </w:rPr>
      </w:pPr>
      <w:r>
        <w:rPr>
          <w:rFonts w:ascii="Arial" w:cs="Arial" w:eastAsia="Arial" w:hAnsi="Arial"/>
          <w:sz w:val="17"/>
          <w:szCs w:val="17"/>
          <w:color w:val="auto"/>
        </w:rPr>
        <w:t>The new exercise price for repriced options is $2.00 per share, the closing price of the Company’s Class A common stock on the Effective Date. However, if an employee exercises a repriced option before the end of the Retention Period, the period that begins on the Effective Date and ends on the earliest of the following: (i) April 4, 2026; (ii) a Change in Control (as defined in the 2020 Plan); and (iii) the optionholder’s death or Disability (as defined in the 2020 Plan), such employee will be required to pay a premium exercise price that is equal to the original exercise price per share of such repriced option. In addition, certain option awards granted in 2023 with market conditions were amended to have an exercise price of $2.00 and stock price hurdle amount of $3.00 per share. There was no change to the expiration dates or service-based vesting criteria, or number of shares, and such options remain subject to the terms of the applicable Plans and award agreements.</w:t>
      </w:r>
    </w:p>
    <w:p>
      <w:pPr>
        <w:spacing w:after="0" w:line="108" w:lineRule="exact"/>
        <w:rPr>
          <w:sz w:val="20"/>
          <w:szCs w:val="20"/>
          <w:color w:val="auto"/>
        </w:rPr>
      </w:pPr>
    </w:p>
    <w:p>
      <w:pPr>
        <w:ind w:left="260" w:right="280"/>
        <w:spacing w:after="0" w:line="329" w:lineRule="auto"/>
        <w:rPr>
          <w:sz w:val="20"/>
          <w:szCs w:val="20"/>
          <w:color w:val="auto"/>
        </w:rPr>
      </w:pPr>
      <w:r>
        <w:rPr>
          <w:rFonts w:ascii="Arial" w:cs="Arial" w:eastAsia="Arial" w:hAnsi="Arial"/>
          <w:sz w:val="17"/>
          <w:szCs w:val="17"/>
          <w:color w:val="auto"/>
        </w:rPr>
        <w:t>For the service-based stock options, the repricing resulted in a total incremental stock-based compensation expense of $2.5 million, which was calculated using the Black-Scholes option pricing model, of which $2.1 million is associated with vested repriced options and will be recognized on a straight-line basis through the Retention Period. The remaining $0.4 million of the incremental stock-based compensation expense is associated with unvested repriced options and will be recognized as follows: (a) if the Retention Period is greater than the remaining original vesting period of the repriced option, the incremental cost will be amortized on a straight-line basis through the Retention Period or (b) if the Retention Period is less than the remaining original vesting term of the repriced option, the incremental costs will be amortized on a straight-line basis over the remaining original vesting period.</w:t>
      </w:r>
    </w:p>
    <w:p>
      <w:pPr>
        <w:spacing w:after="0" w:line="110" w:lineRule="exact"/>
        <w:rPr>
          <w:sz w:val="20"/>
          <w:szCs w:val="20"/>
          <w:color w:val="auto"/>
        </w:rPr>
      </w:pPr>
    </w:p>
    <w:p>
      <w:pPr>
        <w:ind w:left="260" w:right="1280"/>
        <w:spacing w:after="0" w:line="324" w:lineRule="auto"/>
        <w:rPr>
          <w:sz w:val="20"/>
          <w:szCs w:val="20"/>
          <w:color w:val="auto"/>
        </w:rPr>
      </w:pPr>
      <w:r>
        <w:rPr>
          <w:rFonts w:ascii="Arial" w:cs="Arial" w:eastAsia="Arial" w:hAnsi="Arial"/>
          <w:sz w:val="19"/>
          <w:szCs w:val="19"/>
          <w:color w:val="auto"/>
        </w:rPr>
        <w:t>For the year ended December 31, 2024, the Company recorded $0.4 million of incremental stock-based compensation expense.</w:t>
      </w:r>
    </w:p>
    <w:p>
      <w:pPr>
        <w:spacing w:after="0" w:line="101" w:lineRule="exact"/>
        <w:rPr>
          <w:sz w:val="20"/>
          <w:szCs w:val="20"/>
          <w:color w:val="auto"/>
        </w:rPr>
      </w:pPr>
    </w:p>
    <w:p>
      <w:pPr>
        <w:ind w:left="260" w:right="520"/>
        <w:spacing w:after="0" w:line="390" w:lineRule="auto"/>
        <w:rPr>
          <w:sz w:val="20"/>
          <w:szCs w:val="20"/>
          <w:color w:val="auto"/>
        </w:rPr>
      </w:pPr>
      <w:r>
        <w:rPr>
          <w:rFonts w:ascii="Arial" w:cs="Arial" w:eastAsia="Arial" w:hAnsi="Arial"/>
          <w:sz w:val="17"/>
          <w:szCs w:val="17"/>
          <w:color w:val="auto"/>
        </w:rPr>
        <w:t>For the 2023 market condition options, the repricing resulted in a total incremental compensation expense of $0.2 million, which was calculated using a lattice-binomial option pricing model based on a Monte Carlo simulation.</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2240" w:h="15840" w:orient="portrait"/>
          <w:cols w:equalWidth="0" w:num="1">
            <w:col w:w="9360"/>
          </w:cols>
          <w:pgMar w:left="1440" w:top="1358" w:right="1440" w:bottom="624"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Stock Options</w:t>
      </w:r>
    </w:p>
    <w:p>
      <w:pPr>
        <w:spacing w:after="0" w:line="209" w:lineRule="exact"/>
        <w:rPr>
          <w:sz w:val="20"/>
          <w:szCs w:val="20"/>
          <w:color w:val="auto"/>
        </w:rPr>
      </w:pPr>
    </w:p>
    <w:p>
      <w:pPr>
        <w:ind w:left="260" w:right="320"/>
        <w:spacing w:after="0" w:line="324" w:lineRule="auto"/>
        <w:rPr>
          <w:sz w:val="20"/>
          <w:szCs w:val="20"/>
          <w:color w:val="auto"/>
        </w:rPr>
      </w:pPr>
      <w:r>
        <w:rPr>
          <w:rFonts w:ascii="Arial" w:cs="Arial" w:eastAsia="Arial" w:hAnsi="Arial"/>
          <w:sz w:val="17"/>
          <w:szCs w:val="17"/>
          <w:color w:val="auto"/>
        </w:rPr>
        <w:t>Stock options to purchase the Company’s Class A common stock may be granted at a per share exercise price not less than the fair market value of a share of the Company’s Class A common stock at the date of grant in the case of both NSOs and ISOs, except for grants of ISOs to an employee who owns more than 10% of the voting power of all classes of stock of the Company or any parent or subsidiary of the Company, in which case the per share exercise price shall be no less than 110% of the fair market value per Class A common stock on the grant date. Stock options granted under the 2017 Plan and 2020 Plan generally vest over four years and expire no later than 10 years from the date of grant. 5,336,569 shares of Class A common stock were initially reserved for issuance under the 2020 Plan, which includes 516,710 shares that remained available for issuance under the 2017 Plan. Additional shares subject to certain equity awards that otherwise would have returned to the 2017 Plan or the 2020 RSU Plan may become available for issuance under the 2020 Plan. The 2020 Plan also provides for an annual, automatic increase in the number of shares of the Company’s Class A common stock reserved for issuance under the 2020 Plan as of the first day of each fiscal year of the Company beginning with the Company’s 2021 fiscal year, in an amount equal to the least of (a) 9,037,149 shares, (b) a number of shares equal to 5% of the total number of shares of all classes of common stock of the Company outstanding on the last day of the immediately preceding fiscal year, or (c) such number of shares determined by the administrator of the 2020 Plan prior to the date of such share increase. As of December 31, 2024, there are 17,785,881 shares of Class A common stock reserved for issuance under the 2020 Plan, 4,472,288 shares of which are available for issuance in connection with grants of future awards.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9"/>
          <w:szCs w:val="19"/>
          <w:color w:val="auto"/>
        </w:rPr>
        <w:t>Stock option activity for the year ended December 31, 2024 is as follows:</w:t>
      </w:r>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4420" w:type="dxa"/>
            <w:vAlign w:val="bottom"/>
            <w:shd w:val="clear" w:color="auto" w:fill="FDFDFD"/>
          </w:tcPr>
          <w:p>
            <w:pPr>
              <w:spacing w:after="0"/>
              <w:rPr>
                <w:sz w:val="15"/>
                <w:szCs w:val="15"/>
                <w:color w:val="auto"/>
              </w:rPr>
            </w:pPr>
          </w:p>
        </w:tc>
        <w:tc>
          <w:tcPr>
            <w:tcW w:w="20" w:type="dxa"/>
            <w:vAlign w:val="bottom"/>
            <w:shd w:val="clear" w:color="auto" w:fill="FDFDFD"/>
          </w:tcPr>
          <w:p>
            <w:pPr>
              <w:spacing w:after="0"/>
              <w:rPr>
                <w:sz w:val="15"/>
                <w:szCs w:val="15"/>
                <w:color w:val="auto"/>
              </w:rPr>
            </w:pPr>
          </w:p>
        </w:tc>
        <w:tc>
          <w:tcPr>
            <w:tcW w:w="108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900" w:type="dxa"/>
            <w:vAlign w:val="bottom"/>
            <w:gridSpan w:val="3"/>
            <w:shd w:val="clear" w:color="auto" w:fill="FDFDFD"/>
          </w:tcPr>
          <w:p>
            <w:pPr>
              <w:jc w:val="center"/>
              <w:ind w:right="20"/>
              <w:spacing w:after="0"/>
              <w:rPr>
                <w:sz w:val="20"/>
                <w:szCs w:val="20"/>
                <w:color w:val="auto"/>
              </w:rPr>
            </w:pPr>
            <w:r>
              <w:rPr>
                <w:rFonts w:ascii="Arial" w:cs="Arial" w:eastAsia="Arial" w:hAnsi="Arial"/>
                <w:sz w:val="15"/>
                <w:szCs w:val="15"/>
                <w:b w:val="1"/>
                <w:bCs w:val="1"/>
                <w:color w:val="auto"/>
                <w:w w:val="93"/>
              </w:rPr>
              <w:t>Weighted-</w:t>
            </w:r>
          </w:p>
        </w:tc>
        <w:tc>
          <w:tcPr>
            <w:tcW w:w="160" w:type="dxa"/>
            <w:vAlign w:val="bottom"/>
            <w:shd w:val="clear" w:color="auto" w:fill="FDFDFD"/>
          </w:tcPr>
          <w:p>
            <w:pPr>
              <w:spacing w:after="0"/>
              <w:rPr>
                <w:sz w:val="15"/>
                <w:szCs w:val="15"/>
                <w:color w:val="auto"/>
              </w:rPr>
            </w:pPr>
          </w:p>
        </w:tc>
        <w:tc>
          <w:tcPr>
            <w:tcW w:w="20" w:type="dxa"/>
            <w:vAlign w:val="bottom"/>
            <w:shd w:val="clear" w:color="auto" w:fill="FDFDFD"/>
          </w:tcPr>
          <w:p>
            <w:pPr>
              <w:spacing w:after="0"/>
              <w:rPr>
                <w:sz w:val="15"/>
                <w:szCs w:val="15"/>
                <w:color w:val="auto"/>
              </w:rPr>
            </w:pPr>
          </w:p>
        </w:tc>
        <w:tc>
          <w:tcPr>
            <w:tcW w:w="88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93"/>
              </w:rPr>
              <w:t>Weighted-</w:t>
            </w:r>
          </w:p>
        </w:tc>
        <w:tc>
          <w:tcPr>
            <w:tcW w:w="2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2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880" w:type="dxa"/>
            <w:vAlign w:val="bottom"/>
            <w:gridSpan w:val="2"/>
            <w:shd w:val="clear" w:color="auto" w:fill="FDFDFD"/>
          </w:tcPr>
          <w:p>
            <w:pPr>
              <w:jc w:val="center"/>
              <w:ind w:right="200"/>
              <w:spacing w:after="0"/>
              <w:rPr>
                <w:sz w:val="20"/>
                <w:szCs w:val="20"/>
                <w:color w:val="auto"/>
              </w:rPr>
            </w:pPr>
            <w:r>
              <w:rPr>
                <w:rFonts w:ascii="Arial" w:cs="Arial" w:eastAsia="Arial" w:hAnsi="Arial"/>
                <w:sz w:val="15"/>
                <w:szCs w:val="15"/>
                <w:b w:val="1"/>
                <w:bCs w:val="1"/>
                <w:color w:val="auto"/>
                <w:w w:val="91"/>
              </w:rPr>
              <w:t>Aggregate</w:t>
            </w:r>
          </w:p>
        </w:tc>
        <w:tc>
          <w:tcPr>
            <w:tcW w:w="0" w:type="dxa"/>
            <w:vAlign w:val="bottom"/>
          </w:tcPr>
          <w:p>
            <w:pPr>
              <w:spacing w:after="0"/>
              <w:rPr>
                <w:sz w:val="1"/>
                <w:szCs w:val="1"/>
                <w:color w:val="auto"/>
              </w:rPr>
            </w:pPr>
          </w:p>
        </w:tc>
      </w:tr>
      <w:tr>
        <w:trPr>
          <w:trHeight w:val="173"/>
        </w:trPr>
        <w:tc>
          <w:tcPr>
            <w:tcW w:w="4420" w:type="dxa"/>
            <w:vAlign w:val="bottom"/>
            <w:shd w:val="clear" w:color="auto" w:fill="FDFDFD"/>
          </w:tcPr>
          <w:p>
            <w:pPr>
              <w:spacing w:after="0"/>
              <w:rPr>
                <w:sz w:val="15"/>
                <w:szCs w:val="15"/>
                <w:color w:val="auto"/>
              </w:rPr>
            </w:pPr>
          </w:p>
        </w:tc>
        <w:tc>
          <w:tcPr>
            <w:tcW w:w="20" w:type="dxa"/>
            <w:vAlign w:val="bottom"/>
            <w:shd w:val="clear" w:color="auto" w:fill="FDFDFD"/>
          </w:tcPr>
          <w:p>
            <w:pPr>
              <w:spacing w:after="0"/>
              <w:rPr>
                <w:sz w:val="15"/>
                <w:szCs w:val="15"/>
                <w:color w:val="auto"/>
              </w:rPr>
            </w:pPr>
          </w:p>
        </w:tc>
        <w:tc>
          <w:tcPr>
            <w:tcW w:w="1260" w:type="dxa"/>
            <w:vAlign w:val="bottom"/>
            <w:gridSpan w:val="2"/>
            <w:vMerge w:val="restart"/>
            <w:shd w:val="clear" w:color="auto" w:fill="FDFDFD"/>
          </w:tcPr>
          <w:p>
            <w:pPr>
              <w:jc w:val="center"/>
              <w:ind w:right="220"/>
              <w:spacing w:after="0"/>
              <w:rPr>
                <w:sz w:val="20"/>
                <w:szCs w:val="20"/>
                <w:color w:val="auto"/>
              </w:rPr>
            </w:pPr>
            <w:r>
              <w:rPr>
                <w:rFonts w:ascii="Arial" w:cs="Arial" w:eastAsia="Arial" w:hAnsi="Arial"/>
                <w:sz w:val="15"/>
                <w:szCs w:val="15"/>
                <w:b w:val="1"/>
                <w:bCs w:val="1"/>
                <w:color w:val="auto"/>
                <w:w w:val="91"/>
              </w:rPr>
              <w:t>Options</w:t>
            </w:r>
          </w:p>
        </w:tc>
        <w:tc>
          <w:tcPr>
            <w:tcW w:w="120" w:type="dxa"/>
            <w:vAlign w:val="bottom"/>
            <w:shd w:val="clear" w:color="auto" w:fill="FDFDFD"/>
          </w:tcPr>
          <w:p>
            <w:pPr>
              <w:spacing w:after="0"/>
              <w:rPr>
                <w:sz w:val="15"/>
                <w:szCs w:val="15"/>
                <w:color w:val="auto"/>
              </w:rPr>
            </w:pPr>
          </w:p>
        </w:tc>
        <w:tc>
          <w:tcPr>
            <w:tcW w:w="780" w:type="dxa"/>
            <w:vAlign w:val="bottom"/>
            <w:gridSpan w:val="2"/>
            <w:shd w:val="clear" w:color="auto" w:fill="FDFDFD"/>
          </w:tcPr>
          <w:p>
            <w:pPr>
              <w:jc w:val="center"/>
              <w:ind w:right="160"/>
              <w:spacing w:after="0"/>
              <w:rPr>
                <w:sz w:val="20"/>
                <w:szCs w:val="20"/>
                <w:color w:val="auto"/>
              </w:rPr>
            </w:pPr>
            <w:r>
              <w:rPr>
                <w:rFonts w:ascii="Arial" w:cs="Arial" w:eastAsia="Arial" w:hAnsi="Arial"/>
                <w:sz w:val="15"/>
                <w:szCs w:val="15"/>
                <w:b w:val="1"/>
                <w:bCs w:val="1"/>
                <w:color w:val="auto"/>
                <w:w w:val="91"/>
              </w:rPr>
              <w:t>Average</w:t>
            </w:r>
          </w:p>
        </w:tc>
        <w:tc>
          <w:tcPr>
            <w:tcW w:w="160" w:type="dxa"/>
            <w:vAlign w:val="bottom"/>
            <w:shd w:val="clear" w:color="auto" w:fill="FDFDFD"/>
          </w:tcPr>
          <w:p>
            <w:pPr>
              <w:spacing w:after="0"/>
              <w:rPr>
                <w:sz w:val="15"/>
                <w:szCs w:val="15"/>
                <w:color w:val="auto"/>
              </w:rPr>
            </w:pPr>
          </w:p>
        </w:tc>
        <w:tc>
          <w:tcPr>
            <w:tcW w:w="20" w:type="dxa"/>
            <w:vAlign w:val="bottom"/>
            <w:shd w:val="clear" w:color="auto" w:fill="FDFDFD"/>
          </w:tcPr>
          <w:p>
            <w:pPr>
              <w:spacing w:after="0"/>
              <w:rPr>
                <w:sz w:val="15"/>
                <w:szCs w:val="15"/>
                <w:color w:val="auto"/>
              </w:rPr>
            </w:pPr>
          </w:p>
        </w:tc>
        <w:tc>
          <w:tcPr>
            <w:tcW w:w="88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91"/>
              </w:rPr>
              <w:t>Average</w:t>
            </w:r>
          </w:p>
        </w:tc>
        <w:tc>
          <w:tcPr>
            <w:tcW w:w="2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2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880" w:type="dxa"/>
            <w:vAlign w:val="bottom"/>
            <w:gridSpan w:val="2"/>
            <w:shd w:val="clear" w:color="auto" w:fill="FDFDFD"/>
          </w:tcPr>
          <w:p>
            <w:pPr>
              <w:jc w:val="center"/>
              <w:ind w:right="200"/>
              <w:spacing w:after="0"/>
              <w:rPr>
                <w:sz w:val="20"/>
                <w:szCs w:val="20"/>
                <w:color w:val="auto"/>
              </w:rPr>
            </w:pPr>
            <w:r>
              <w:rPr>
                <w:rFonts w:ascii="Arial" w:cs="Arial" w:eastAsia="Arial" w:hAnsi="Arial"/>
                <w:sz w:val="15"/>
                <w:szCs w:val="15"/>
                <w:b w:val="1"/>
                <w:bCs w:val="1"/>
                <w:color w:val="auto"/>
                <w:w w:val="95"/>
              </w:rPr>
              <w:t>Intrinsic</w:t>
            </w:r>
          </w:p>
        </w:tc>
        <w:tc>
          <w:tcPr>
            <w:tcW w:w="0" w:type="dxa"/>
            <w:vAlign w:val="bottom"/>
          </w:tcPr>
          <w:p>
            <w:pPr>
              <w:spacing w:after="0"/>
              <w:rPr>
                <w:sz w:val="1"/>
                <w:szCs w:val="1"/>
                <w:color w:val="auto"/>
              </w:rPr>
            </w:pPr>
          </w:p>
        </w:tc>
      </w:tr>
      <w:tr>
        <w:trPr>
          <w:trHeight w:val="173"/>
        </w:trPr>
        <w:tc>
          <w:tcPr>
            <w:tcW w:w="4420" w:type="dxa"/>
            <w:vAlign w:val="bottom"/>
            <w:shd w:val="clear" w:color="auto" w:fill="FDFDFD"/>
          </w:tcPr>
          <w:p>
            <w:pPr>
              <w:spacing w:after="0"/>
              <w:rPr>
                <w:sz w:val="15"/>
                <w:szCs w:val="15"/>
                <w:color w:val="auto"/>
              </w:rPr>
            </w:pPr>
          </w:p>
        </w:tc>
        <w:tc>
          <w:tcPr>
            <w:tcW w:w="20" w:type="dxa"/>
            <w:vAlign w:val="bottom"/>
            <w:shd w:val="clear" w:color="auto" w:fill="FDFDFD"/>
          </w:tcPr>
          <w:p>
            <w:pPr>
              <w:spacing w:after="0"/>
              <w:rPr>
                <w:sz w:val="15"/>
                <w:szCs w:val="15"/>
                <w:color w:val="auto"/>
              </w:rPr>
            </w:pPr>
          </w:p>
        </w:tc>
        <w:tc>
          <w:tcPr>
            <w:tcW w:w="1260" w:type="dxa"/>
            <w:vAlign w:val="bottom"/>
            <w:gridSpan w:val="2"/>
            <w:vMerge w:val="continue"/>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780" w:type="dxa"/>
            <w:vAlign w:val="bottom"/>
            <w:gridSpan w:val="2"/>
            <w:shd w:val="clear" w:color="auto" w:fill="FDFDFD"/>
          </w:tcPr>
          <w:p>
            <w:pPr>
              <w:jc w:val="center"/>
              <w:ind w:right="160"/>
              <w:spacing w:after="0"/>
              <w:rPr>
                <w:sz w:val="20"/>
                <w:szCs w:val="20"/>
                <w:color w:val="auto"/>
              </w:rPr>
            </w:pPr>
            <w:r>
              <w:rPr>
                <w:rFonts w:ascii="Arial" w:cs="Arial" w:eastAsia="Arial" w:hAnsi="Arial"/>
                <w:sz w:val="15"/>
                <w:szCs w:val="15"/>
                <w:b w:val="1"/>
                <w:bCs w:val="1"/>
                <w:color w:val="auto"/>
                <w:w w:val="87"/>
              </w:rPr>
              <w:t>Exercise</w:t>
            </w:r>
          </w:p>
        </w:tc>
        <w:tc>
          <w:tcPr>
            <w:tcW w:w="160" w:type="dxa"/>
            <w:vAlign w:val="bottom"/>
            <w:shd w:val="clear" w:color="auto" w:fill="FDFDFD"/>
          </w:tcPr>
          <w:p>
            <w:pPr>
              <w:spacing w:after="0"/>
              <w:rPr>
                <w:sz w:val="15"/>
                <w:szCs w:val="15"/>
                <w:color w:val="auto"/>
              </w:rPr>
            </w:pPr>
          </w:p>
        </w:tc>
        <w:tc>
          <w:tcPr>
            <w:tcW w:w="20" w:type="dxa"/>
            <w:vAlign w:val="bottom"/>
            <w:shd w:val="clear" w:color="auto" w:fill="FDFDFD"/>
          </w:tcPr>
          <w:p>
            <w:pPr>
              <w:spacing w:after="0"/>
              <w:rPr>
                <w:sz w:val="15"/>
                <w:szCs w:val="15"/>
                <w:color w:val="auto"/>
              </w:rPr>
            </w:pPr>
          </w:p>
        </w:tc>
        <w:tc>
          <w:tcPr>
            <w:tcW w:w="88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91"/>
              </w:rPr>
              <w:t>Remaining</w:t>
            </w:r>
          </w:p>
        </w:tc>
        <w:tc>
          <w:tcPr>
            <w:tcW w:w="2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2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880" w:type="dxa"/>
            <w:vAlign w:val="bottom"/>
            <w:gridSpan w:val="2"/>
            <w:shd w:val="clear" w:color="auto" w:fill="FDFDFD"/>
          </w:tcPr>
          <w:p>
            <w:pPr>
              <w:jc w:val="center"/>
              <w:ind w:right="200"/>
              <w:spacing w:after="0"/>
              <w:rPr>
                <w:sz w:val="20"/>
                <w:szCs w:val="20"/>
                <w:color w:val="auto"/>
              </w:rPr>
            </w:pPr>
            <w:r>
              <w:rPr>
                <w:rFonts w:ascii="Arial" w:cs="Arial" w:eastAsia="Arial" w:hAnsi="Arial"/>
                <w:sz w:val="15"/>
                <w:szCs w:val="15"/>
                <w:b w:val="1"/>
                <w:bCs w:val="1"/>
                <w:color w:val="auto"/>
                <w:w w:val="95"/>
              </w:rPr>
              <w:t>Value (in</w:t>
            </w:r>
          </w:p>
        </w:tc>
        <w:tc>
          <w:tcPr>
            <w:tcW w:w="0" w:type="dxa"/>
            <w:vAlign w:val="bottom"/>
          </w:tcPr>
          <w:p>
            <w:pPr>
              <w:spacing w:after="0"/>
              <w:rPr>
                <w:sz w:val="1"/>
                <w:szCs w:val="1"/>
                <w:color w:val="auto"/>
              </w:rPr>
            </w:pPr>
          </w:p>
        </w:tc>
      </w:tr>
      <w:tr>
        <w:trPr>
          <w:trHeight w:val="192"/>
        </w:trPr>
        <w:tc>
          <w:tcPr>
            <w:tcW w:w="4420" w:type="dxa"/>
            <w:vAlign w:val="bottom"/>
            <w:shd w:val="clear" w:color="auto" w:fill="FDFDFD"/>
          </w:tcPr>
          <w:p>
            <w:pPr>
              <w:spacing w:after="0"/>
              <w:rPr>
                <w:sz w:val="16"/>
                <w:szCs w:val="16"/>
                <w:color w:val="auto"/>
              </w:rPr>
            </w:pPr>
          </w:p>
        </w:tc>
        <w:tc>
          <w:tcPr>
            <w:tcW w:w="20" w:type="dxa"/>
            <w:vAlign w:val="bottom"/>
            <w:shd w:val="clear" w:color="auto" w:fill="FDFDFD"/>
          </w:tcPr>
          <w:p>
            <w:pPr>
              <w:spacing w:after="0"/>
              <w:rPr>
                <w:sz w:val="16"/>
                <w:szCs w:val="16"/>
                <w:color w:val="auto"/>
              </w:rPr>
            </w:pPr>
          </w:p>
        </w:tc>
        <w:tc>
          <w:tcPr>
            <w:tcW w:w="1260" w:type="dxa"/>
            <w:vAlign w:val="bottom"/>
            <w:gridSpan w:val="2"/>
            <w:shd w:val="clear" w:color="auto" w:fill="FDFDFD"/>
          </w:tcPr>
          <w:p>
            <w:pPr>
              <w:jc w:val="center"/>
              <w:ind w:right="220"/>
              <w:spacing w:after="0"/>
              <w:rPr>
                <w:sz w:val="20"/>
                <w:szCs w:val="20"/>
                <w:color w:val="auto"/>
              </w:rPr>
            </w:pPr>
            <w:r>
              <w:rPr>
                <w:rFonts w:ascii="Arial" w:cs="Arial" w:eastAsia="Arial" w:hAnsi="Arial"/>
                <w:sz w:val="15"/>
                <w:szCs w:val="15"/>
                <w:b w:val="1"/>
                <w:bCs w:val="1"/>
                <w:color w:val="auto"/>
                <w:w w:val="90"/>
              </w:rPr>
              <w:t>Outstanding</w:t>
            </w:r>
          </w:p>
        </w:tc>
        <w:tc>
          <w:tcPr>
            <w:tcW w:w="120" w:type="dxa"/>
            <w:vAlign w:val="bottom"/>
            <w:shd w:val="clear" w:color="auto" w:fill="FDFDFD"/>
          </w:tcPr>
          <w:p>
            <w:pPr>
              <w:spacing w:after="0"/>
              <w:rPr>
                <w:sz w:val="16"/>
                <w:szCs w:val="16"/>
                <w:color w:val="auto"/>
              </w:rPr>
            </w:pPr>
          </w:p>
        </w:tc>
        <w:tc>
          <w:tcPr>
            <w:tcW w:w="780" w:type="dxa"/>
            <w:vAlign w:val="bottom"/>
            <w:gridSpan w:val="2"/>
            <w:shd w:val="clear" w:color="auto" w:fill="FDFDFD"/>
          </w:tcPr>
          <w:p>
            <w:pPr>
              <w:jc w:val="center"/>
              <w:ind w:right="160"/>
              <w:spacing w:after="0"/>
              <w:rPr>
                <w:sz w:val="20"/>
                <w:szCs w:val="20"/>
                <w:color w:val="auto"/>
              </w:rPr>
            </w:pPr>
            <w:r>
              <w:rPr>
                <w:rFonts w:ascii="Arial" w:cs="Arial" w:eastAsia="Arial" w:hAnsi="Arial"/>
                <w:sz w:val="15"/>
                <w:szCs w:val="15"/>
                <w:b w:val="1"/>
                <w:bCs w:val="1"/>
                <w:color w:val="auto"/>
                <w:w w:val="92"/>
              </w:rPr>
              <w:t>Price</w:t>
            </w:r>
          </w:p>
        </w:tc>
        <w:tc>
          <w:tcPr>
            <w:tcW w:w="160" w:type="dxa"/>
            <w:vAlign w:val="bottom"/>
            <w:shd w:val="clear" w:color="auto" w:fill="FDFDFD"/>
          </w:tcPr>
          <w:p>
            <w:pPr>
              <w:spacing w:after="0"/>
              <w:rPr>
                <w:sz w:val="16"/>
                <w:szCs w:val="16"/>
                <w:color w:val="auto"/>
              </w:rPr>
            </w:pPr>
          </w:p>
        </w:tc>
        <w:tc>
          <w:tcPr>
            <w:tcW w:w="20" w:type="dxa"/>
            <w:vAlign w:val="bottom"/>
            <w:shd w:val="clear" w:color="auto" w:fill="FDFDFD"/>
          </w:tcPr>
          <w:p>
            <w:pPr>
              <w:spacing w:after="0"/>
              <w:rPr>
                <w:sz w:val="16"/>
                <w:szCs w:val="16"/>
                <w:color w:val="auto"/>
              </w:rPr>
            </w:pPr>
          </w:p>
        </w:tc>
        <w:tc>
          <w:tcPr>
            <w:tcW w:w="880" w:type="dxa"/>
            <w:vAlign w:val="bottom"/>
            <w:shd w:val="clear" w:color="auto" w:fill="FDFDFD"/>
          </w:tcPr>
          <w:p>
            <w:pPr>
              <w:jc w:val="center"/>
              <w:spacing w:after="0"/>
              <w:rPr>
                <w:sz w:val="20"/>
                <w:szCs w:val="20"/>
                <w:color w:val="auto"/>
              </w:rPr>
            </w:pPr>
            <w:r>
              <w:rPr>
                <w:rFonts w:ascii="Arial" w:cs="Arial" w:eastAsia="Arial" w:hAnsi="Arial"/>
                <w:sz w:val="15"/>
                <w:szCs w:val="15"/>
                <w:b w:val="1"/>
                <w:bCs w:val="1"/>
                <w:color w:val="auto"/>
                <w:w w:val="93"/>
              </w:rPr>
              <w:t>Term (Years)</w:t>
            </w:r>
          </w:p>
        </w:tc>
        <w:tc>
          <w:tcPr>
            <w:tcW w:w="2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20" w:type="dxa"/>
            <w:vAlign w:val="bottom"/>
            <w:shd w:val="clear" w:color="auto" w:fill="FDFDFD"/>
          </w:tcPr>
          <w:p>
            <w:pPr>
              <w:spacing w:after="0"/>
              <w:rPr>
                <w:sz w:val="16"/>
                <w:szCs w:val="16"/>
                <w:color w:val="auto"/>
              </w:rPr>
            </w:pPr>
          </w:p>
        </w:tc>
        <w:tc>
          <w:tcPr>
            <w:tcW w:w="960" w:type="dxa"/>
            <w:vAlign w:val="bottom"/>
            <w:gridSpan w:val="3"/>
            <w:shd w:val="clear" w:color="auto" w:fill="FDFDFD"/>
          </w:tcPr>
          <w:p>
            <w:pPr>
              <w:jc w:val="center"/>
              <w:ind w:right="120"/>
              <w:spacing w:after="0"/>
              <w:rPr>
                <w:sz w:val="20"/>
                <w:szCs w:val="20"/>
                <w:color w:val="auto"/>
              </w:rPr>
            </w:pPr>
            <w:r>
              <w:rPr>
                <w:rFonts w:ascii="Arial" w:cs="Arial" w:eastAsia="Arial" w:hAnsi="Arial"/>
                <w:sz w:val="15"/>
                <w:szCs w:val="15"/>
                <w:b w:val="1"/>
                <w:bCs w:val="1"/>
                <w:color w:val="auto"/>
                <w:w w:val="89"/>
              </w:rPr>
              <w:t>thousands)</w:t>
            </w:r>
          </w:p>
        </w:tc>
        <w:tc>
          <w:tcPr>
            <w:tcW w:w="0" w:type="dxa"/>
            <w:vAlign w:val="bottom"/>
          </w:tcPr>
          <w:p>
            <w:pPr>
              <w:spacing w:after="0"/>
              <w:rPr>
                <w:sz w:val="1"/>
                <w:szCs w:val="1"/>
                <w:color w:val="auto"/>
              </w:rPr>
            </w:pPr>
          </w:p>
        </w:tc>
      </w:tr>
      <w:tr>
        <w:trPr>
          <w:trHeight w:val="220"/>
        </w:trPr>
        <w:tc>
          <w:tcPr>
            <w:tcW w:w="4420" w:type="dxa"/>
            <w:vAlign w:val="bottom"/>
            <w:tcBorders>
              <w:top w:val="single" w:sz="8" w:color="D3ECED"/>
            </w:tcBorders>
            <w:shd w:val="clear" w:color="auto" w:fill="D3ECED"/>
          </w:tcPr>
          <w:p>
            <w:pPr>
              <w:spacing w:after="0"/>
              <w:rPr>
                <w:sz w:val="20"/>
                <w:szCs w:val="20"/>
                <w:color w:val="auto"/>
              </w:rPr>
            </w:pPr>
            <w:r>
              <w:rPr>
                <w:rFonts w:ascii="Arial" w:cs="Arial" w:eastAsia="Arial" w:hAnsi="Arial"/>
                <w:sz w:val="19"/>
                <w:szCs w:val="19"/>
                <w:color w:val="auto"/>
              </w:rPr>
              <w:t>Balance at December 31, 2023</w:t>
            </w:r>
          </w:p>
        </w:tc>
        <w:tc>
          <w:tcPr>
            <w:tcW w:w="20" w:type="dxa"/>
            <w:vAlign w:val="bottom"/>
            <w:tcBorders>
              <w:top w:val="single" w:sz="8" w:color="auto"/>
            </w:tcBorders>
            <w:shd w:val="clear" w:color="auto" w:fill="D3ECED"/>
          </w:tcPr>
          <w:p>
            <w:pPr>
              <w:spacing w:after="0"/>
              <w:rPr>
                <w:sz w:val="19"/>
                <w:szCs w:val="19"/>
                <w:color w:val="auto"/>
              </w:rPr>
            </w:pPr>
          </w:p>
        </w:tc>
        <w:tc>
          <w:tcPr>
            <w:tcW w:w="108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11,945,032</w:t>
            </w:r>
          </w:p>
        </w:tc>
        <w:tc>
          <w:tcPr>
            <w:tcW w:w="180" w:type="dxa"/>
            <w:vAlign w:val="bottom"/>
            <w:tcBorders>
              <w:top w:val="single" w:sz="8" w:color="D3ECED"/>
            </w:tcBorders>
            <w:shd w:val="clear" w:color="auto" w:fill="D3ECED"/>
          </w:tcPr>
          <w:p>
            <w:pPr>
              <w:spacing w:after="0"/>
              <w:rPr>
                <w:sz w:val="19"/>
                <w:szCs w:val="19"/>
                <w:color w:val="auto"/>
              </w:rPr>
            </w:pPr>
          </w:p>
        </w:tc>
        <w:tc>
          <w:tcPr>
            <w:tcW w:w="12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76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11.89</w:t>
            </w:r>
          </w:p>
        </w:tc>
        <w:tc>
          <w:tcPr>
            <w:tcW w:w="20" w:type="dxa"/>
            <w:vAlign w:val="bottom"/>
            <w:tcBorders>
              <w:top w:val="single" w:sz="8" w:color="auto"/>
            </w:tcBorders>
            <w:shd w:val="clear" w:color="auto" w:fill="D3ECED"/>
          </w:tcPr>
          <w:p>
            <w:pPr>
              <w:spacing w:after="0"/>
              <w:rPr>
                <w:sz w:val="19"/>
                <w:szCs w:val="19"/>
                <w:color w:val="auto"/>
              </w:rPr>
            </w:pPr>
          </w:p>
        </w:tc>
        <w:tc>
          <w:tcPr>
            <w:tcW w:w="160" w:type="dxa"/>
            <w:vAlign w:val="bottom"/>
            <w:tcBorders>
              <w:top w:val="single" w:sz="8" w:color="D3ECED"/>
            </w:tcBorders>
            <w:shd w:val="clear" w:color="auto" w:fill="D3ECED"/>
          </w:tcPr>
          <w:p>
            <w:pPr>
              <w:spacing w:after="0"/>
              <w:rPr>
                <w:sz w:val="19"/>
                <w:szCs w:val="19"/>
                <w:color w:val="auto"/>
              </w:rPr>
            </w:pPr>
          </w:p>
        </w:tc>
        <w:tc>
          <w:tcPr>
            <w:tcW w:w="20" w:type="dxa"/>
            <w:vAlign w:val="bottom"/>
            <w:tcBorders>
              <w:top w:val="single" w:sz="8" w:color="auto"/>
            </w:tcBorders>
            <w:shd w:val="clear" w:color="auto" w:fill="D3ECED"/>
          </w:tcPr>
          <w:p>
            <w:pPr>
              <w:spacing w:after="0"/>
              <w:rPr>
                <w:sz w:val="19"/>
                <w:szCs w:val="19"/>
                <w:color w:val="auto"/>
              </w:rPr>
            </w:pPr>
          </w:p>
        </w:tc>
        <w:tc>
          <w:tcPr>
            <w:tcW w:w="88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6.9</w:t>
            </w:r>
          </w:p>
        </w:tc>
        <w:tc>
          <w:tcPr>
            <w:tcW w:w="20" w:type="dxa"/>
            <w:vAlign w:val="bottom"/>
            <w:tcBorders>
              <w:top w:val="single" w:sz="8" w:color="auto"/>
            </w:tcBorders>
            <w:shd w:val="clear" w:color="auto" w:fill="D3ECED"/>
          </w:tcPr>
          <w:p>
            <w:pPr>
              <w:spacing w:after="0"/>
              <w:rPr>
                <w:sz w:val="19"/>
                <w:szCs w:val="19"/>
                <w:color w:val="auto"/>
              </w:rPr>
            </w:pPr>
          </w:p>
        </w:tc>
        <w:tc>
          <w:tcPr>
            <w:tcW w:w="180" w:type="dxa"/>
            <w:vAlign w:val="bottom"/>
            <w:tcBorders>
              <w:top w:val="single" w:sz="8" w:color="D3ECED"/>
            </w:tcBorders>
            <w:shd w:val="clear" w:color="auto" w:fill="D3ECED"/>
          </w:tcPr>
          <w:p>
            <w:pPr>
              <w:spacing w:after="0"/>
              <w:rPr>
                <w:sz w:val="19"/>
                <w:szCs w:val="19"/>
                <w:color w:val="auto"/>
              </w:rPr>
            </w:pPr>
          </w:p>
        </w:tc>
        <w:tc>
          <w:tcPr>
            <w:tcW w:w="20" w:type="dxa"/>
            <w:vAlign w:val="bottom"/>
            <w:tcBorders>
              <w:top w:val="single" w:sz="8" w:color="auto"/>
            </w:tcBorders>
            <w:shd w:val="clear" w:color="auto" w:fill="D3ECED"/>
          </w:tcPr>
          <w:p>
            <w:pPr>
              <w:spacing w:after="0"/>
              <w:rPr>
                <w:sz w:val="19"/>
                <w:szCs w:val="19"/>
                <w:color w:val="auto"/>
              </w:rPr>
            </w:pPr>
          </w:p>
        </w:tc>
        <w:tc>
          <w:tcPr>
            <w:tcW w:w="8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80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454</w:t>
            </w:r>
          </w:p>
        </w:tc>
        <w:tc>
          <w:tcPr>
            <w:tcW w:w="80" w:type="dxa"/>
            <w:vAlign w:val="bottom"/>
            <w:tcBorders>
              <w:top w:val="single" w:sz="8" w:color="D3ECED"/>
            </w:tcBorders>
            <w:shd w:val="clear" w:color="auto" w:fill="D3ECE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FDFDFD"/>
          </w:tcPr>
          <w:p>
            <w:pPr>
              <w:spacing w:after="0"/>
              <w:rPr>
                <w:sz w:val="20"/>
                <w:szCs w:val="20"/>
                <w:color w:val="auto"/>
              </w:rPr>
            </w:pPr>
            <w:r>
              <w:rPr>
                <w:rFonts w:ascii="Arial" w:cs="Arial" w:eastAsia="Arial" w:hAnsi="Arial"/>
                <w:sz w:val="19"/>
                <w:szCs w:val="19"/>
                <w:color w:val="auto"/>
              </w:rPr>
              <w:t>Options granted</w:t>
            </w:r>
          </w:p>
        </w:tc>
        <w:tc>
          <w:tcPr>
            <w:tcW w:w="108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3,632,057</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7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1.81</w:t>
            </w:r>
          </w:p>
        </w:tc>
        <w:tc>
          <w:tcPr>
            <w:tcW w:w="20" w:type="dxa"/>
            <w:vAlign w:val="bottom"/>
            <w:shd w:val="clear" w:color="auto" w:fill="FDFDFD"/>
          </w:tcPr>
          <w:p>
            <w:pPr>
              <w:spacing w:after="0"/>
              <w:rPr>
                <w:sz w:val="20"/>
                <w:szCs w:val="20"/>
                <w:color w:val="auto"/>
              </w:rPr>
            </w:pPr>
          </w:p>
        </w:tc>
        <w:tc>
          <w:tcPr>
            <w:tcW w:w="16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D3ECED"/>
          </w:tcPr>
          <w:p>
            <w:pPr>
              <w:spacing w:after="0"/>
              <w:rPr>
                <w:sz w:val="20"/>
                <w:szCs w:val="20"/>
                <w:color w:val="auto"/>
              </w:rPr>
            </w:pPr>
            <w:r>
              <w:rPr>
                <w:rFonts w:ascii="Arial" w:cs="Arial" w:eastAsia="Arial" w:hAnsi="Arial"/>
                <w:sz w:val="19"/>
                <w:szCs w:val="19"/>
                <w:color w:val="auto"/>
              </w:rPr>
              <w:t>Options exercised</w:t>
            </w:r>
          </w:p>
        </w:tc>
        <w:tc>
          <w:tcPr>
            <w:tcW w:w="10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(6,502)</w:t>
            </w:r>
          </w:p>
        </w:tc>
        <w:tc>
          <w:tcPr>
            <w:tcW w:w="18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780" w:type="dxa"/>
            <w:vAlign w:val="bottom"/>
            <w:gridSpan w:val="2"/>
            <w:shd w:val="clear" w:color="auto" w:fill="D3ECED"/>
          </w:tcPr>
          <w:p>
            <w:pPr>
              <w:jc w:val="right"/>
              <w:ind w:right="40"/>
              <w:spacing w:after="0"/>
              <w:rPr>
                <w:sz w:val="20"/>
                <w:szCs w:val="20"/>
                <w:color w:val="auto"/>
              </w:rPr>
            </w:pPr>
            <w:r>
              <w:rPr>
                <w:rFonts w:ascii="Arial" w:cs="Arial" w:eastAsia="Arial" w:hAnsi="Arial"/>
                <w:sz w:val="19"/>
                <w:szCs w:val="19"/>
                <w:color w:val="auto"/>
              </w:rPr>
              <w:t>—</w:t>
            </w:r>
          </w:p>
        </w:tc>
        <w:tc>
          <w:tcPr>
            <w:tcW w:w="16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180" w:type="dxa"/>
            <w:vAlign w:val="bottom"/>
            <w:shd w:val="clear" w:color="auto" w:fill="D3ECED"/>
          </w:tcPr>
          <w:p>
            <w:pPr>
              <w:spacing w:after="0"/>
              <w:rPr>
                <w:sz w:val="20"/>
                <w:szCs w:val="20"/>
                <w:color w:val="auto"/>
              </w:rPr>
            </w:pPr>
          </w:p>
        </w:tc>
        <w:tc>
          <w:tcPr>
            <w:tcW w:w="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80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FDFDFD"/>
          </w:tcPr>
          <w:p>
            <w:pPr>
              <w:spacing w:after="0"/>
              <w:rPr>
                <w:sz w:val="20"/>
                <w:szCs w:val="20"/>
                <w:color w:val="auto"/>
              </w:rPr>
            </w:pPr>
            <w:r>
              <w:rPr>
                <w:rFonts w:ascii="Arial" w:cs="Arial" w:eastAsia="Arial" w:hAnsi="Arial"/>
                <w:sz w:val="19"/>
                <w:szCs w:val="19"/>
                <w:color w:val="auto"/>
              </w:rPr>
              <w:t>Options forfeited</w:t>
            </w:r>
          </w:p>
        </w:tc>
        <w:tc>
          <w:tcPr>
            <w:tcW w:w="108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(2,372,355)</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7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8.13</w:t>
            </w:r>
          </w:p>
        </w:tc>
        <w:tc>
          <w:tcPr>
            <w:tcW w:w="20" w:type="dxa"/>
            <w:vAlign w:val="bottom"/>
            <w:shd w:val="clear" w:color="auto" w:fill="FDFDFD"/>
          </w:tcPr>
          <w:p>
            <w:pPr>
              <w:spacing w:after="0"/>
              <w:rPr>
                <w:sz w:val="20"/>
                <w:szCs w:val="20"/>
                <w:color w:val="auto"/>
              </w:rPr>
            </w:pPr>
          </w:p>
        </w:tc>
        <w:tc>
          <w:tcPr>
            <w:tcW w:w="16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80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20" w:type="dxa"/>
            <w:vAlign w:val="bottom"/>
            <w:tcBorders>
              <w:top w:val="single" w:sz="8" w:color="D3ECED"/>
              <w:bottom w:val="single" w:sz="8" w:color="FDFDFD"/>
            </w:tcBorders>
            <w:shd w:val="clear" w:color="auto" w:fill="D3ECED"/>
          </w:tcPr>
          <w:p>
            <w:pPr>
              <w:spacing w:after="0"/>
              <w:rPr>
                <w:sz w:val="20"/>
                <w:szCs w:val="20"/>
                <w:color w:val="auto"/>
              </w:rPr>
            </w:pPr>
            <w:r>
              <w:rPr>
                <w:rFonts w:ascii="Arial" w:cs="Arial" w:eastAsia="Arial" w:hAnsi="Arial"/>
                <w:sz w:val="19"/>
                <w:szCs w:val="19"/>
                <w:color w:val="auto"/>
              </w:rPr>
              <w:t>Balance at December 31, 2024</w:t>
            </w:r>
          </w:p>
        </w:tc>
        <w:tc>
          <w:tcPr>
            <w:tcW w:w="20" w:type="dxa"/>
            <w:vAlign w:val="bottom"/>
            <w:tcBorders>
              <w:top w:val="single" w:sz="8" w:color="auto"/>
              <w:bottom w:val="single" w:sz="8" w:color="FDFDFD"/>
            </w:tcBorders>
            <w:shd w:val="clear" w:color="auto" w:fill="D3ECED"/>
          </w:tcPr>
          <w:p>
            <w:pPr>
              <w:spacing w:after="0"/>
              <w:rPr>
                <w:sz w:val="20"/>
                <w:szCs w:val="20"/>
                <w:color w:val="auto"/>
              </w:rPr>
            </w:pPr>
          </w:p>
        </w:tc>
        <w:tc>
          <w:tcPr>
            <w:tcW w:w="1080" w:type="dxa"/>
            <w:vAlign w:val="bottom"/>
            <w:tcBorders>
              <w:top w:val="single" w:sz="8" w:color="auto"/>
              <w:bottom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13,198,232</w:t>
            </w:r>
          </w:p>
        </w:tc>
        <w:tc>
          <w:tcPr>
            <w:tcW w:w="180" w:type="dxa"/>
            <w:vAlign w:val="bottom"/>
            <w:tcBorders>
              <w:top w:val="single" w:sz="8" w:color="D3ECED"/>
              <w:bottom w:val="single" w:sz="8" w:color="FDFDFD"/>
            </w:tcBorders>
            <w:shd w:val="clear" w:color="auto" w:fill="D3ECED"/>
          </w:tcPr>
          <w:p>
            <w:pPr>
              <w:spacing w:after="0"/>
              <w:rPr>
                <w:sz w:val="20"/>
                <w:szCs w:val="20"/>
                <w:color w:val="auto"/>
              </w:rPr>
            </w:pPr>
          </w:p>
        </w:tc>
        <w:tc>
          <w:tcPr>
            <w:tcW w:w="120" w:type="dxa"/>
            <w:vAlign w:val="bottom"/>
            <w:tcBorders>
              <w:top w:val="single" w:sz="8" w:color="auto"/>
              <w:bottom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760" w:type="dxa"/>
            <w:vAlign w:val="bottom"/>
            <w:tcBorders>
              <w:top w:val="single" w:sz="8" w:color="auto"/>
              <w:bottom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2.86</w:t>
            </w:r>
          </w:p>
        </w:tc>
        <w:tc>
          <w:tcPr>
            <w:tcW w:w="20" w:type="dxa"/>
            <w:vAlign w:val="bottom"/>
            <w:tcBorders>
              <w:top w:val="single" w:sz="8" w:color="auto"/>
              <w:bottom w:val="single" w:sz="8" w:color="FDFDFD"/>
            </w:tcBorders>
            <w:shd w:val="clear" w:color="auto" w:fill="D3ECED"/>
          </w:tcPr>
          <w:p>
            <w:pPr>
              <w:spacing w:after="0"/>
              <w:rPr>
                <w:sz w:val="20"/>
                <w:szCs w:val="20"/>
                <w:color w:val="auto"/>
              </w:rPr>
            </w:pPr>
          </w:p>
        </w:tc>
        <w:tc>
          <w:tcPr>
            <w:tcW w:w="160" w:type="dxa"/>
            <w:vAlign w:val="bottom"/>
            <w:tcBorders>
              <w:top w:val="single" w:sz="8" w:color="D3ECED"/>
              <w:bottom w:val="single" w:sz="8" w:color="FDFDFD"/>
            </w:tcBorders>
            <w:shd w:val="clear" w:color="auto" w:fill="D3ECED"/>
          </w:tcPr>
          <w:p>
            <w:pPr>
              <w:spacing w:after="0"/>
              <w:rPr>
                <w:sz w:val="20"/>
                <w:szCs w:val="20"/>
                <w:color w:val="auto"/>
              </w:rPr>
            </w:pPr>
          </w:p>
        </w:tc>
        <w:tc>
          <w:tcPr>
            <w:tcW w:w="20" w:type="dxa"/>
            <w:vAlign w:val="bottom"/>
            <w:tcBorders>
              <w:top w:val="single" w:sz="8" w:color="auto"/>
              <w:bottom w:val="single" w:sz="8" w:color="FDFDFD"/>
            </w:tcBorders>
            <w:shd w:val="clear" w:color="auto" w:fill="D3ECED"/>
          </w:tcPr>
          <w:p>
            <w:pPr>
              <w:spacing w:after="0"/>
              <w:rPr>
                <w:sz w:val="20"/>
                <w:szCs w:val="20"/>
                <w:color w:val="auto"/>
              </w:rPr>
            </w:pPr>
          </w:p>
        </w:tc>
        <w:tc>
          <w:tcPr>
            <w:tcW w:w="880" w:type="dxa"/>
            <w:vAlign w:val="bottom"/>
            <w:tcBorders>
              <w:top w:val="single" w:sz="8" w:color="auto"/>
              <w:bottom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6.3</w:t>
            </w:r>
          </w:p>
        </w:tc>
        <w:tc>
          <w:tcPr>
            <w:tcW w:w="20" w:type="dxa"/>
            <w:vAlign w:val="bottom"/>
            <w:tcBorders>
              <w:top w:val="single" w:sz="8" w:color="auto"/>
              <w:bottom w:val="single" w:sz="8" w:color="FDFDFD"/>
            </w:tcBorders>
            <w:shd w:val="clear" w:color="auto" w:fill="D3ECED"/>
          </w:tcPr>
          <w:p>
            <w:pPr>
              <w:spacing w:after="0"/>
              <w:rPr>
                <w:sz w:val="20"/>
                <w:szCs w:val="20"/>
                <w:color w:val="auto"/>
              </w:rPr>
            </w:pPr>
          </w:p>
        </w:tc>
        <w:tc>
          <w:tcPr>
            <w:tcW w:w="180" w:type="dxa"/>
            <w:vAlign w:val="bottom"/>
            <w:tcBorders>
              <w:top w:val="single" w:sz="8" w:color="D3ECED"/>
              <w:bottom w:val="single" w:sz="8" w:color="FDFDFD"/>
            </w:tcBorders>
            <w:shd w:val="clear" w:color="auto" w:fill="D3ECED"/>
          </w:tcPr>
          <w:p>
            <w:pPr>
              <w:spacing w:after="0"/>
              <w:rPr>
                <w:sz w:val="20"/>
                <w:szCs w:val="20"/>
                <w:color w:val="auto"/>
              </w:rPr>
            </w:pPr>
          </w:p>
        </w:tc>
        <w:tc>
          <w:tcPr>
            <w:tcW w:w="20" w:type="dxa"/>
            <w:vAlign w:val="bottom"/>
            <w:tcBorders>
              <w:top w:val="single" w:sz="8" w:color="auto"/>
              <w:bottom w:val="single" w:sz="8" w:color="FDFDFD"/>
            </w:tcBorders>
            <w:shd w:val="clear" w:color="auto" w:fill="D3ECED"/>
          </w:tcPr>
          <w:p>
            <w:pPr>
              <w:spacing w:after="0"/>
              <w:rPr>
                <w:sz w:val="20"/>
                <w:szCs w:val="20"/>
                <w:color w:val="auto"/>
              </w:rPr>
            </w:pPr>
          </w:p>
        </w:tc>
        <w:tc>
          <w:tcPr>
            <w:tcW w:w="80" w:type="dxa"/>
            <w:vAlign w:val="bottom"/>
            <w:tcBorders>
              <w:top w:val="single" w:sz="8" w:color="auto"/>
              <w:bottom w:val="single" w:sz="8" w:color="D3ECED"/>
            </w:tcBorders>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800" w:type="dxa"/>
            <w:vAlign w:val="bottom"/>
            <w:tcBorders>
              <w:top w:val="single" w:sz="8" w:color="auto"/>
              <w:bottom w:val="single" w:sz="8" w:color="D3ECED"/>
            </w:tcBorders>
            <w:shd w:val="clear" w:color="auto" w:fill="D3ECED"/>
          </w:tcPr>
          <w:p>
            <w:pPr>
              <w:jc w:val="right"/>
              <w:spacing w:after="0"/>
              <w:rPr>
                <w:sz w:val="20"/>
                <w:szCs w:val="20"/>
                <w:color w:val="auto"/>
              </w:rPr>
            </w:pPr>
            <w:r>
              <w:rPr>
                <w:rFonts w:ascii="Arial" w:cs="Arial" w:eastAsia="Arial" w:hAnsi="Arial"/>
                <w:sz w:val="19"/>
                <w:szCs w:val="19"/>
                <w:color w:val="auto"/>
              </w:rPr>
              <w:t>4,573</w:t>
            </w:r>
          </w:p>
        </w:tc>
        <w:tc>
          <w:tcPr>
            <w:tcW w:w="80" w:type="dxa"/>
            <w:vAlign w:val="bottom"/>
            <w:tcBorders>
              <w:top w:val="single" w:sz="8" w:color="D3ECED"/>
              <w:bottom w:val="single" w:sz="8" w:color="FDFDFD"/>
            </w:tcBorders>
            <w:shd w:val="clear" w:color="auto" w:fill="D3ECED"/>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shd w:val="clear" w:color="auto" w:fill="FDFDFD"/>
          </w:tcPr>
          <w:p>
            <w:pPr>
              <w:spacing w:after="0"/>
              <w:rPr>
                <w:sz w:val="20"/>
                <w:szCs w:val="20"/>
                <w:color w:val="auto"/>
              </w:rPr>
            </w:pPr>
            <w:r>
              <w:rPr>
                <w:rFonts w:ascii="Arial" w:cs="Arial" w:eastAsia="Arial" w:hAnsi="Arial"/>
                <w:sz w:val="19"/>
                <w:szCs w:val="19"/>
                <w:color w:val="auto"/>
              </w:rPr>
              <w:t>Vested and exercisable, December 31, 2024</w:t>
            </w:r>
          </w:p>
        </w:tc>
        <w:tc>
          <w:tcPr>
            <w:tcW w:w="20" w:type="dxa"/>
            <w:vAlign w:val="bottom"/>
            <w:shd w:val="clear" w:color="auto" w:fill="FDFDFD"/>
          </w:tcPr>
          <w:p>
            <w:pPr>
              <w:spacing w:after="0"/>
              <w:rPr>
                <w:sz w:val="20"/>
                <w:szCs w:val="20"/>
                <w:color w:val="auto"/>
              </w:rPr>
            </w:pPr>
          </w:p>
        </w:tc>
        <w:tc>
          <w:tcPr>
            <w:tcW w:w="1080" w:type="dxa"/>
            <w:vAlign w:val="bottom"/>
            <w:shd w:val="clear" w:color="auto" w:fill="FDFDFD"/>
          </w:tcPr>
          <w:p>
            <w:pPr>
              <w:jc w:val="right"/>
              <w:spacing w:after="0"/>
              <w:rPr>
                <w:sz w:val="20"/>
                <w:szCs w:val="20"/>
                <w:color w:val="auto"/>
              </w:rPr>
            </w:pPr>
            <w:r>
              <w:rPr>
                <w:rFonts w:ascii="Arial" w:cs="Arial" w:eastAsia="Arial" w:hAnsi="Arial"/>
                <w:sz w:val="19"/>
                <w:szCs w:val="19"/>
                <w:color w:val="auto"/>
              </w:rPr>
              <w:t>7,654,143</w:t>
            </w:r>
          </w:p>
        </w:tc>
        <w:tc>
          <w:tcPr>
            <w:tcW w:w="180" w:type="dxa"/>
            <w:vAlign w:val="bottom"/>
            <w:shd w:val="clear" w:color="auto" w:fill="FDFDFD"/>
          </w:tcPr>
          <w:p>
            <w:pPr>
              <w:spacing w:after="0"/>
              <w:rPr>
                <w:sz w:val="20"/>
                <w:szCs w:val="20"/>
                <w:color w:val="auto"/>
              </w:rPr>
            </w:pPr>
          </w:p>
        </w:tc>
        <w:tc>
          <w:tcPr>
            <w:tcW w:w="120" w:type="dxa"/>
            <w:vAlign w:val="bottom"/>
            <w:shd w:val="clear" w:color="auto" w:fill="FDFDFD"/>
          </w:tcPr>
          <w:p>
            <w:pPr>
              <w:jc w:val="right"/>
              <w:spacing w:after="0"/>
              <w:rPr>
                <w:sz w:val="20"/>
                <w:szCs w:val="20"/>
                <w:color w:val="auto"/>
              </w:rPr>
            </w:pPr>
            <w:r>
              <w:rPr>
                <w:rFonts w:ascii="Arial" w:cs="Arial" w:eastAsia="Arial" w:hAnsi="Arial"/>
                <w:sz w:val="19"/>
                <w:szCs w:val="19"/>
                <w:color w:val="auto"/>
                <w:highlight w:val="white"/>
                <w:w w:val="75"/>
              </w:rPr>
              <w:t>$</w:t>
            </w:r>
          </w:p>
        </w:tc>
        <w:tc>
          <w:tcPr>
            <w:tcW w:w="7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3.34</w:t>
            </w:r>
          </w:p>
        </w:tc>
        <w:tc>
          <w:tcPr>
            <w:tcW w:w="20" w:type="dxa"/>
            <w:vAlign w:val="bottom"/>
            <w:shd w:val="clear" w:color="auto" w:fill="FDFDFD"/>
          </w:tcPr>
          <w:p>
            <w:pPr>
              <w:spacing w:after="0"/>
              <w:rPr>
                <w:sz w:val="20"/>
                <w:szCs w:val="20"/>
                <w:color w:val="auto"/>
              </w:rPr>
            </w:pPr>
          </w:p>
        </w:tc>
        <w:tc>
          <w:tcPr>
            <w:tcW w:w="16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80" w:type="dxa"/>
            <w:vAlign w:val="bottom"/>
            <w:shd w:val="clear" w:color="auto" w:fill="FDFDFD"/>
          </w:tcPr>
          <w:p>
            <w:pPr>
              <w:jc w:val="right"/>
              <w:spacing w:after="0"/>
              <w:rPr>
                <w:sz w:val="20"/>
                <w:szCs w:val="20"/>
                <w:color w:val="auto"/>
              </w:rPr>
            </w:pPr>
            <w:r>
              <w:rPr>
                <w:rFonts w:ascii="Arial" w:cs="Arial" w:eastAsia="Arial" w:hAnsi="Arial"/>
                <w:sz w:val="19"/>
                <w:szCs w:val="19"/>
                <w:color w:val="auto"/>
              </w:rPr>
              <w:t>5.8</w:t>
            </w:r>
          </w:p>
        </w:tc>
        <w:tc>
          <w:tcPr>
            <w:tcW w:w="20" w:type="dxa"/>
            <w:vAlign w:val="bottom"/>
            <w:shd w:val="clear" w:color="auto" w:fill="FDFDFD"/>
          </w:tcPr>
          <w:p>
            <w:pPr>
              <w:spacing w:after="0"/>
              <w:rPr>
                <w:sz w:val="20"/>
                <w:szCs w:val="20"/>
                <w:color w:val="auto"/>
              </w:rPr>
            </w:pPr>
          </w:p>
        </w:tc>
        <w:tc>
          <w:tcPr>
            <w:tcW w:w="180" w:type="dxa"/>
            <w:vAlign w:val="bottom"/>
            <w:shd w:val="clear" w:color="auto" w:fill="FDFDFD"/>
          </w:tcPr>
          <w:p>
            <w:pPr>
              <w:spacing w:after="0"/>
              <w:rPr>
                <w:sz w:val="20"/>
                <w:szCs w:val="20"/>
                <w:color w:val="auto"/>
              </w:rPr>
            </w:pPr>
          </w:p>
        </w:tc>
        <w:tc>
          <w:tcPr>
            <w:tcW w:w="20" w:type="dxa"/>
            <w:vAlign w:val="bottom"/>
            <w:shd w:val="clear" w:color="auto" w:fill="FDFDFD"/>
          </w:tcPr>
          <w:p>
            <w:pPr>
              <w:spacing w:after="0"/>
              <w:rPr>
                <w:sz w:val="20"/>
                <w:szCs w:val="20"/>
                <w:color w:val="auto"/>
              </w:rPr>
            </w:pPr>
          </w:p>
        </w:tc>
        <w:tc>
          <w:tcPr>
            <w:tcW w:w="80" w:type="dxa"/>
            <w:vAlign w:val="bottom"/>
            <w:shd w:val="clear" w:color="auto" w:fill="FDFDFD"/>
          </w:tcPr>
          <w:p>
            <w:pPr>
              <w:jc w:val="right"/>
              <w:spacing w:after="0"/>
              <w:rPr>
                <w:sz w:val="20"/>
                <w:szCs w:val="20"/>
                <w:color w:val="auto"/>
              </w:rPr>
            </w:pPr>
            <w:r>
              <w:rPr>
                <w:rFonts w:ascii="Arial" w:cs="Arial" w:eastAsia="Arial" w:hAnsi="Arial"/>
                <w:sz w:val="15"/>
                <w:szCs w:val="15"/>
                <w:color w:val="auto"/>
                <w:highlight w:val="white"/>
                <w:w w:val="71"/>
              </w:rPr>
              <w:t>$</w:t>
            </w:r>
          </w:p>
        </w:tc>
        <w:tc>
          <w:tcPr>
            <w:tcW w:w="8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2,239</w:t>
            </w:r>
          </w:p>
        </w:tc>
        <w:tc>
          <w:tcPr>
            <w:tcW w:w="80" w:type="dxa"/>
            <w:vAlign w:val="bottom"/>
            <w:shd w:val="clear" w:color="auto" w:fill="FDFDFD"/>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-185420</wp:posOffset>
            </wp:positionV>
            <wp:extent cx="2780030" cy="2254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83">
                      <a:extLst>
                        <a:ext uri="{28A0092B-C50C-407E-A947-70E740481C1C}"/>
                      </a:extLst>
                    </a:blip>
                    <a:srcRect/>
                    <a:stretch>
                      <a:fillRect/>
                    </a:stretch>
                  </pic:blipFill>
                  <pic:spPr bwMode="auto">
                    <a:xfrm>
                      <a:off x="0" y="0"/>
                      <a:ext cx="2780030" cy="225425"/>
                    </a:xfrm>
                    <a:prstGeom prst="rect">
                      <a:avLst/>
                    </a:prstGeom>
                    <a:noFill/>
                  </pic:spPr>
                </pic:pic>
              </a:graphicData>
            </a:graphic>
          </wp:anchor>
        </w:drawing>
      </w:r>
    </w:p>
    <w:p>
      <w:pPr>
        <w:spacing w:after="0" w:line="263" w:lineRule="exact"/>
        <w:rPr>
          <w:sz w:val="20"/>
          <w:szCs w:val="20"/>
          <w:color w:val="auto"/>
        </w:rPr>
      </w:pPr>
    </w:p>
    <w:p>
      <w:pPr>
        <w:ind w:left="260" w:right="340"/>
        <w:spacing w:after="0" w:line="312" w:lineRule="auto"/>
        <w:rPr>
          <w:sz w:val="20"/>
          <w:szCs w:val="20"/>
          <w:color w:val="auto"/>
        </w:rPr>
      </w:pPr>
      <w:r>
        <w:rPr>
          <w:rFonts w:ascii="Arial" w:cs="Arial" w:eastAsia="Arial" w:hAnsi="Arial"/>
          <w:sz w:val="18"/>
          <w:szCs w:val="18"/>
          <w:color w:val="auto"/>
        </w:rPr>
        <w:t>The weighted-average grant date fair value of stock options granted to employees during the years ended December 31, 2024 and 2023, was $1.37 and $4.19 per share, respectively. The total intrinsic value of stock options exercised during the years ended December 31, 2024 and 2023, was $11,000 and $0.5 million, respectively. As of December 31, 2024, the total unrecognized stock-based compensation related to unvested stock options, excluding incremental expense from repricing, was $7.9 million, which the Company expects to recognize over a remaining weighted-average period of 1.3 years.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fair value of stock options granted to employees, directors, and non-employees that are calculated using the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9"/>
          <w:szCs w:val="19"/>
          <w:color w:val="auto"/>
        </w:rPr>
        <w:t>Black-Scholes option pricing model using the following assumptions:</w:t>
      </w:r>
    </w:p>
    <w:p>
      <w:pPr>
        <w:spacing w:after="0" w:line="297" w:lineRule="exact"/>
        <w:rPr>
          <w:sz w:val="20"/>
          <w:szCs w:val="20"/>
          <w:color w:val="auto"/>
        </w:rPr>
      </w:pPr>
    </w:p>
    <w:tbl>
      <w:tblPr>
        <w:tblLayout w:type="fixed"/>
        <w:tblInd w:w="260" w:type="dxa"/>
        <w:tblCellMar>
          <w:top w:w="0" w:type="dxa"/>
          <w:left w:w="0" w:type="dxa"/>
          <w:bottom w:w="0" w:type="dxa"/>
          <w:right w:w="0" w:type="dxa"/>
        </w:tblCellMar>
      </w:tblPr>
      <w:tr>
        <w:trPr>
          <w:trHeight w:val="268"/>
        </w:trPr>
        <w:tc>
          <w:tcPr>
            <w:tcW w:w="6020" w:type="dxa"/>
            <w:vAlign w:val="bottom"/>
            <w:shd w:val="clear" w:color="auto" w:fill="FDFDFD"/>
          </w:tcPr>
          <w:p>
            <w:pPr>
              <w:spacing w:after="0"/>
              <w:rPr>
                <w:sz w:val="23"/>
                <w:szCs w:val="23"/>
                <w:color w:val="auto"/>
              </w:rPr>
            </w:pPr>
          </w:p>
        </w:tc>
        <w:tc>
          <w:tcPr>
            <w:tcW w:w="2820" w:type="dxa"/>
            <w:vAlign w:val="bottom"/>
            <w:gridSpan w:val="4"/>
            <w:shd w:val="clear" w:color="auto" w:fill="FDFDFD"/>
          </w:tcPr>
          <w:p>
            <w:pPr>
              <w:ind w:left="520"/>
              <w:spacing w:after="0"/>
              <w:rPr>
                <w:sz w:val="20"/>
                <w:szCs w:val="20"/>
                <w:color w:val="auto"/>
              </w:rPr>
            </w:pPr>
            <w:r>
              <w:rPr>
                <w:rFonts w:ascii="Arial" w:cs="Arial" w:eastAsia="Arial" w:hAnsi="Arial"/>
                <w:sz w:val="15"/>
                <w:szCs w:val="15"/>
                <w:b w:val="1"/>
                <w:bCs w:val="1"/>
                <w:color w:val="auto"/>
              </w:rPr>
              <w:t>Year Ended December 31,</w:t>
            </w:r>
          </w:p>
        </w:tc>
      </w:tr>
      <w:tr>
        <w:trPr>
          <w:trHeight w:val="176"/>
        </w:trPr>
        <w:tc>
          <w:tcPr>
            <w:tcW w:w="6020" w:type="dxa"/>
            <w:vAlign w:val="bottom"/>
            <w:tcBorders>
              <w:top w:val="single" w:sz="8" w:color="FDFDFD"/>
            </w:tcBorders>
            <w:shd w:val="clear" w:color="auto" w:fill="FDFDFD"/>
          </w:tcPr>
          <w:p>
            <w:pPr>
              <w:spacing w:after="0"/>
              <w:rPr>
                <w:sz w:val="15"/>
                <w:szCs w:val="15"/>
                <w:color w:val="auto"/>
              </w:rPr>
            </w:pPr>
          </w:p>
        </w:tc>
        <w:tc>
          <w:tcPr>
            <w:tcW w:w="1280" w:type="dxa"/>
            <w:vAlign w:val="bottom"/>
            <w:tcBorders>
              <w:top w:val="single" w:sz="8" w:color="auto"/>
            </w:tcBorders>
            <w:shd w:val="clear" w:color="auto" w:fill="FDFDFD"/>
          </w:tcPr>
          <w:p>
            <w:pPr>
              <w:jc w:val="right"/>
              <w:ind w:right="412"/>
              <w:spacing w:after="0"/>
              <w:rPr>
                <w:sz w:val="20"/>
                <w:szCs w:val="20"/>
                <w:color w:val="auto"/>
              </w:rPr>
            </w:pPr>
            <w:r>
              <w:rPr>
                <w:rFonts w:ascii="Arial" w:cs="Arial" w:eastAsia="Arial" w:hAnsi="Arial"/>
                <w:sz w:val="15"/>
                <w:szCs w:val="15"/>
                <w:b w:val="1"/>
                <w:bCs w:val="1"/>
                <w:color w:val="auto"/>
              </w:rPr>
              <w:t>2024</w:t>
            </w:r>
          </w:p>
        </w:tc>
        <w:tc>
          <w:tcPr>
            <w:tcW w:w="1460" w:type="dxa"/>
            <w:vAlign w:val="bottom"/>
            <w:tcBorders>
              <w:top w:val="single" w:sz="8" w:color="auto"/>
            </w:tcBorders>
            <w:gridSpan w:val="2"/>
            <w:shd w:val="clear" w:color="auto" w:fill="FDFDFD"/>
          </w:tcPr>
          <w:p>
            <w:pPr>
              <w:jc w:val="right"/>
              <w:ind w:right="405"/>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FDFDFD"/>
            </w:tcBorders>
            <w:shd w:val="clear" w:color="auto" w:fill="FDFDFD"/>
          </w:tcPr>
          <w:p>
            <w:pPr>
              <w:spacing w:after="0"/>
              <w:rPr>
                <w:sz w:val="15"/>
                <w:szCs w:val="15"/>
                <w:color w:val="auto"/>
              </w:rPr>
            </w:pPr>
          </w:p>
        </w:tc>
      </w:tr>
      <w:tr>
        <w:trPr>
          <w:trHeight w:val="220"/>
        </w:trPr>
        <w:tc>
          <w:tcPr>
            <w:tcW w:w="6020" w:type="dxa"/>
            <w:vAlign w:val="bottom"/>
            <w:tcBorders>
              <w:top w:val="single" w:sz="8" w:color="D3ECED"/>
            </w:tcBorders>
            <w:shd w:val="clear" w:color="auto" w:fill="D3ECED"/>
          </w:tcPr>
          <w:p>
            <w:pPr>
              <w:spacing w:after="0"/>
              <w:rPr>
                <w:sz w:val="20"/>
                <w:szCs w:val="20"/>
                <w:color w:val="auto"/>
              </w:rPr>
            </w:pPr>
            <w:r>
              <w:rPr>
                <w:rFonts w:ascii="Arial" w:cs="Arial" w:eastAsia="Arial" w:hAnsi="Arial"/>
                <w:sz w:val="19"/>
                <w:szCs w:val="19"/>
                <w:color w:val="auto"/>
              </w:rPr>
              <w:t>Risk-free interest rate</w:t>
            </w:r>
          </w:p>
        </w:tc>
        <w:tc>
          <w:tcPr>
            <w:tcW w:w="128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3.5% - 4.7%</w:t>
            </w:r>
          </w:p>
        </w:tc>
        <w:tc>
          <w:tcPr>
            <w:tcW w:w="180" w:type="dxa"/>
            <w:vAlign w:val="bottom"/>
            <w:tcBorders>
              <w:top w:val="single" w:sz="8" w:color="D3ECED"/>
            </w:tcBorders>
            <w:shd w:val="clear" w:color="auto" w:fill="D3ECED"/>
          </w:tcPr>
          <w:p>
            <w:pPr>
              <w:spacing w:after="0"/>
              <w:rPr>
                <w:sz w:val="19"/>
                <w:szCs w:val="19"/>
                <w:color w:val="auto"/>
              </w:rPr>
            </w:pPr>
          </w:p>
        </w:tc>
        <w:tc>
          <w:tcPr>
            <w:tcW w:w="128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3.4% - 4.7%</w:t>
            </w:r>
          </w:p>
        </w:tc>
        <w:tc>
          <w:tcPr>
            <w:tcW w:w="80" w:type="dxa"/>
            <w:vAlign w:val="bottom"/>
            <w:tcBorders>
              <w:top w:val="single" w:sz="8" w:color="D3ECED"/>
            </w:tcBorders>
            <w:shd w:val="clear" w:color="auto" w:fill="D3ECED"/>
          </w:tcPr>
          <w:p>
            <w:pPr>
              <w:spacing w:after="0"/>
              <w:rPr>
                <w:sz w:val="19"/>
                <w:szCs w:val="19"/>
                <w:color w:val="auto"/>
              </w:rPr>
            </w:pPr>
          </w:p>
        </w:tc>
      </w:tr>
      <w:tr>
        <w:trPr>
          <w:trHeight w:val="230"/>
        </w:trPr>
        <w:tc>
          <w:tcPr>
            <w:tcW w:w="6020" w:type="dxa"/>
            <w:vAlign w:val="bottom"/>
            <w:shd w:val="clear" w:color="auto" w:fill="FDFDFD"/>
          </w:tcPr>
          <w:p>
            <w:pPr>
              <w:spacing w:after="0"/>
              <w:rPr>
                <w:sz w:val="20"/>
                <w:szCs w:val="20"/>
                <w:color w:val="auto"/>
              </w:rPr>
            </w:pPr>
            <w:r>
              <w:rPr>
                <w:rFonts w:ascii="Arial" w:cs="Arial" w:eastAsia="Arial" w:hAnsi="Arial"/>
                <w:sz w:val="19"/>
                <w:szCs w:val="19"/>
                <w:color w:val="auto"/>
              </w:rPr>
              <w:t>Expected volatility</w:t>
            </w:r>
          </w:p>
        </w:tc>
        <w:tc>
          <w:tcPr>
            <w:tcW w:w="1280" w:type="dxa"/>
            <w:vAlign w:val="bottom"/>
            <w:shd w:val="clear" w:color="auto" w:fill="FDFDFD"/>
          </w:tcPr>
          <w:p>
            <w:pPr>
              <w:jc w:val="right"/>
              <w:spacing w:after="0"/>
              <w:rPr>
                <w:sz w:val="20"/>
                <w:szCs w:val="20"/>
                <w:color w:val="auto"/>
              </w:rPr>
            </w:pPr>
            <w:r>
              <w:rPr>
                <w:rFonts w:ascii="Arial" w:cs="Arial" w:eastAsia="Arial" w:hAnsi="Arial"/>
                <w:sz w:val="19"/>
                <w:szCs w:val="19"/>
                <w:color w:val="auto"/>
                <w:w w:val="99"/>
              </w:rPr>
              <w:t>82.0% - 88.8%</w:t>
            </w:r>
          </w:p>
        </w:tc>
        <w:tc>
          <w:tcPr>
            <w:tcW w:w="180" w:type="dxa"/>
            <w:vAlign w:val="bottom"/>
            <w:shd w:val="clear" w:color="auto" w:fill="FDFDFD"/>
          </w:tcPr>
          <w:p>
            <w:pPr>
              <w:spacing w:after="0"/>
              <w:rPr>
                <w:sz w:val="20"/>
                <w:szCs w:val="20"/>
                <w:color w:val="auto"/>
              </w:rPr>
            </w:pPr>
          </w:p>
        </w:tc>
        <w:tc>
          <w:tcPr>
            <w:tcW w:w="1280" w:type="dxa"/>
            <w:vAlign w:val="bottom"/>
            <w:shd w:val="clear" w:color="auto" w:fill="FDFDFD"/>
          </w:tcPr>
          <w:p>
            <w:pPr>
              <w:jc w:val="right"/>
              <w:spacing w:after="0"/>
              <w:rPr>
                <w:sz w:val="20"/>
                <w:szCs w:val="20"/>
                <w:color w:val="auto"/>
              </w:rPr>
            </w:pPr>
            <w:r>
              <w:rPr>
                <w:rFonts w:ascii="Arial" w:cs="Arial" w:eastAsia="Arial" w:hAnsi="Arial"/>
                <w:sz w:val="19"/>
                <w:szCs w:val="19"/>
                <w:color w:val="auto"/>
                <w:w w:val="99"/>
              </w:rPr>
              <w:t>76.0% - 83.5%</w:t>
            </w:r>
          </w:p>
        </w:tc>
        <w:tc>
          <w:tcPr>
            <w:tcW w:w="80" w:type="dxa"/>
            <w:vAlign w:val="bottom"/>
            <w:shd w:val="clear" w:color="auto" w:fill="FDFDFD"/>
          </w:tcPr>
          <w:p>
            <w:pPr>
              <w:spacing w:after="0"/>
              <w:rPr>
                <w:sz w:val="20"/>
                <w:szCs w:val="20"/>
                <w:color w:val="auto"/>
              </w:rPr>
            </w:pPr>
          </w:p>
        </w:tc>
      </w:tr>
      <w:tr>
        <w:trPr>
          <w:trHeight w:val="230"/>
        </w:trPr>
        <w:tc>
          <w:tcPr>
            <w:tcW w:w="6020" w:type="dxa"/>
            <w:vAlign w:val="bottom"/>
            <w:shd w:val="clear" w:color="auto" w:fill="D3ECED"/>
          </w:tcPr>
          <w:p>
            <w:pPr>
              <w:spacing w:after="0"/>
              <w:rPr>
                <w:sz w:val="20"/>
                <w:szCs w:val="20"/>
                <w:color w:val="auto"/>
              </w:rPr>
            </w:pPr>
            <w:r>
              <w:rPr>
                <w:rFonts w:ascii="Arial" w:cs="Arial" w:eastAsia="Arial" w:hAnsi="Arial"/>
                <w:sz w:val="19"/>
                <w:szCs w:val="19"/>
                <w:color w:val="auto"/>
              </w:rPr>
              <w:t>Expected term (in years)</w:t>
            </w:r>
          </w:p>
        </w:tc>
        <w:tc>
          <w:tcPr>
            <w:tcW w:w="12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5.77 - 6.08</w:t>
            </w:r>
          </w:p>
        </w:tc>
        <w:tc>
          <w:tcPr>
            <w:tcW w:w="146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5.77 - 6.08</w:t>
            </w:r>
          </w:p>
        </w:tc>
        <w:tc>
          <w:tcPr>
            <w:tcW w:w="80" w:type="dxa"/>
            <w:vAlign w:val="bottom"/>
            <w:shd w:val="clear" w:color="auto" w:fill="D3ECED"/>
          </w:tcPr>
          <w:p>
            <w:pPr>
              <w:spacing w:after="0"/>
              <w:rPr>
                <w:sz w:val="20"/>
                <w:szCs w:val="20"/>
                <w:color w:val="auto"/>
              </w:rPr>
            </w:pPr>
          </w:p>
        </w:tc>
      </w:tr>
      <w:tr>
        <w:trPr>
          <w:trHeight w:val="233"/>
        </w:trPr>
        <w:tc>
          <w:tcPr>
            <w:tcW w:w="6020" w:type="dxa"/>
            <w:vAlign w:val="bottom"/>
            <w:shd w:val="clear" w:color="auto" w:fill="FDFDFD"/>
          </w:tcPr>
          <w:p>
            <w:pPr>
              <w:spacing w:after="0"/>
              <w:rPr>
                <w:sz w:val="20"/>
                <w:szCs w:val="20"/>
                <w:color w:val="auto"/>
              </w:rPr>
            </w:pPr>
            <w:r>
              <w:rPr>
                <w:rFonts w:ascii="Arial" w:cs="Arial" w:eastAsia="Arial" w:hAnsi="Arial"/>
                <w:sz w:val="19"/>
                <w:szCs w:val="19"/>
                <w:color w:val="auto"/>
              </w:rPr>
              <w:t>Expected dividend yield</w:t>
            </w:r>
          </w:p>
        </w:tc>
        <w:tc>
          <w:tcPr>
            <w:tcW w:w="128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FDFDFD"/>
          </w:tcPr>
          <w:p>
            <w:pPr>
              <w:spacing w:after="0"/>
              <w:rPr>
                <w:sz w:val="20"/>
                <w:szCs w:val="20"/>
                <w:color w:val="auto"/>
              </w:rPr>
            </w:pPr>
          </w:p>
        </w:tc>
        <w:tc>
          <w:tcPr>
            <w:tcW w:w="128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FDFDFD"/>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1358" w:right="1440" w:bottom="624"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2240" w:h="15840" w:orient="portrait"/>
          <w:cols w:equalWidth="0" w:num="1">
            <w:col w:w="9360"/>
          </w:cols>
          <w:pgMar w:left="1440" w:top="1358" w:right="1440" w:bottom="624"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Market Condition Options</w:t>
      </w:r>
    </w:p>
    <w:p>
      <w:pPr>
        <w:spacing w:after="0" w:line="211" w:lineRule="exact"/>
        <w:rPr>
          <w:sz w:val="20"/>
          <w:szCs w:val="20"/>
          <w:color w:val="auto"/>
        </w:rPr>
      </w:pPr>
    </w:p>
    <w:p>
      <w:pPr>
        <w:ind w:left="260" w:right="440"/>
        <w:spacing w:after="0" w:line="291" w:lineRule="auto"/>
        <w:rPr>
          <w:sz w:val="20"/>
          <w:szCs w:val="20"/>
          <w:color w:val="auto"/>
        </w:rPr>
      </w:pPr>
      <w:r>
        <w:rPr>
          <w:rFonts w:ascii="Arial" w:cs="Arial" w:eastAsia="Arial" w:hAnsi="Arial"/>
          <w:sz w:val="19"/>
          <w:szCs w:val="19"/>
          <w:color w:val="auto"/>
        </w:rPr>
        <w:t>In February 2024, the Company granted options to certain Company executives to purchase an aggregate of 1,896,901 shares of the Company’s Class A common stock, with vesting subject to market conditions (Market Condition Options). The granted options are further divided into 1,032,901 shares granted to the Chief Executive Officer (the CEO Award) and 864,000 shares of executive awards. The Market Condition Options become eligible to vest if the average of the closing sales prices of a share of Class A common stock over a trailing twenty trading day period within seven years from the date of grant reaches a stock price of $5.31 per share (the Market Price Milestone) for the CEO Award and $3.54 per share (a Market Price Milestone) for the executive awards, respectively.</w:t>
      </w:r>
    </w:p>
    <w:p>
      <w:pPr>
        <w:spacing w:after="0" w:line="134" w:lineRule="exact"/>
        <w:rPr>
          <w:sz w:val="20"/>
          <w:szCs w:val="20"/>
          <w:color w:val="auto"/>
        </w:rPr>
      </w:pPr>
    </w:p>
    <w:p>
      <w:pPr>
        <w:ind w:left="260" w:right="300"/>
        <w:spacing w:after="0" w:line="337" w:lineRule="auto"/>
        <w:rPr>
          <w:sz w:val="20"/>
          <w:szCs w:val="20"/>
          <w:color w:val="auto"/>
        </w:rPr>
      </w:pPr>
      <w:r>
        <w:rPr>
          <w:rFonts w:ascii="Arial" w:cs="Arial" w:eastAsia="Arial" w:hAnsi="Arial"/>
          <w:sz w:val="17"/>
          <w:szCs w:val="17"/>
          <w:color w:val="auto"/>
        </w:rPr>
        <w:t>In February 2023, the Company granted options to certain Company executives to purchase an aggregate of 1,794,000 shares of the Company’s Class A common stock, with vesting subject to market conditions. These Market Condition Options become eligible to vest if the average of the closing sales prices of a share of Class A common st ock over a trailing twenty trading day period within seven years from the date of grant reaches a stock price of $6.89 per share (also a Market Price Milestone). After the repricing, the modified stock price hurdle is $3.00 per share.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9"/>
          <w:szCs w:val="19"/>
          <w:color w:val="auto"/>
        </w:rPr>
        <w:t>Under each of the above Market Condition Options, if the Market Price Milestone is achieved,</w:t>
      </w:r>
    </w:p>
    <w:p>
      <w:pPr>
        <w:spacing w:after="0" w:line="43" w:lineRule="exact"/>
        <w:rPr>
          <w:sz w:val="20"/>
          <w:szCs w:val="20"/>
          <w:color w:val="auto"/>
        </w:rPr>
      </w:pPr>
    </w:p>
    <w:p>
      <w:pPr>
        <w:jc w:val="both"/>
        <w:ind w:left="260" w:right="300"/>
        <w:spacing w:after="0" w:line="286" w:lineRule="auto"/>
        <w:rPr>
          <w:sz w:val="20"/>
          <w:szCs w:val="20"/>
          <w:color w:val="auto"/>
        </w:rPr>
      </w:pPr>
      <w:r>
        <w:rPr>
          <w:rFonts w:ascii="Arial" w:cs="Arial" w:eastAsia="Arial" w:hAnsi="Arial"/>
          <w:sz w:val="19"/>
          <w:szCs w:val="19"/>
          <w:color w:val="auto"/>
        </w:rPr>
        <w:t>25% of each Market Condition Option will vest upon certification of such achievement, subject to the recipient’s co ntinued service through the Market Price Milestone achievement date, and an additional 25% of each Market Condit ion Option will then vest on each of the one-, two- or three-</w:t>
      </w:r>
    </w:p>
    <w:p>
      <w:pPr>
        <w:ind w:left="260" w:right="260"/>
        <w:spacing w:after="0" w:line="310" w:lineRule="auto"/>
        <w:rPr>
          <w:sz w:val="20"/>
          <w:szCs w:val="20"/>
          <w:color w:val="auto"/>
        </w:rPr>
      </w:pPr>
      <w:r>
        <w:rPr>
          <w:rFonts w:ascii="Arial" w:cs="Arial" w:eastAsia="Arial" w:hAnsi="Arial"/>
          <w:sz w:val="18"/>
          <w:szCs w:val="18"/>
          <w:color w:val="auto"/>
        </w:rPr>
        <w:t>year anniversaries of the Market Price Milestone achievement date, respectively, subject to the recipient’s continued service through the applicable anniversary date. In the event of the Company’s change in control during the seven-year performance period, the performance period will be shortened, achievement of the Market Price Milestone will be assessed based on the per share value of consideration that stockholders receive in the transaction (the change in c ontrol price), and if the Market Price Milestone is achieved on that basis, each Market Condition Option will vest in full as of immediately prior to the change in control, subject to the recipient’s continued service as of immediately pr ior to the change in control.</w:t>
      </w:r>
    </w:p>
    <w:p>
      <w:pPr>
        <w:spacing w:after="0" w:line="121" w:lineRule="exact"/>
        <w:rPr>
          <w:sz w:val="20"/>
          <w:szCs w:val="20"/>
          <w:color w:val="auto"/>
        </w:rPr>
      </w:pPr>
    </w:p>
    <w:p>
      <w:pPr>
        <w:ind w:left="260" w:right="280"/>
        <w:spacing w:after="0" w:line="299" w:lineRule="auto"/>
        <w:rPr>
          <w:sz w:val="20"/>
          <w:szCs w:val="20"/>
          <w:color w:val="auto"/>
        </w:rPr>
      </w:pPr>
      <w:r>
        <w:rPr>
          <w:rFonts w:ascii="Arial" w:cs="Arial" w:eastAsia="Arial" w:hAnsi="Arial"/>
          <w:sz w:val="19"/>
          <w:szCs w:val="19"/>
          <w:color w:val="auto"/>
        </w:rPr>
        <w:t>Compensation expense is recognized using an accelerated attribution method based on the derived service periods for each of the Market Condition Options. Failure to meet the Market Price Milestone for an award does not result in reversal of previously recognized expense, so long as the service is provided for the duration of the respective derived service period.</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2024 Market Condition Options, the following assumptions were used to determine the grant date fair value:</w:t>
      </w:r>
    </w:p>
    <w:p>
      <w:pPr>
        <w:spacing w:after="0" w:line="258" w:lineRule="exact"/>
        <w:rPr>
          <w:sz w:val="20"/>
          <w:szCs w:val="20"/>
          <w:color w:val="auto"/>
        </w:rPr>
      </w:pPr>
    </w:p>
    <w:tbl>
      <w:tblPr>
        <w:tblLayout w:type="fixed"/>
        <w:tblInd w:w="260" w:type="dxa"/>
        <w:tblCellMar>
          <w:top w:w="0" w:type="dxa"/>
          <w:left w:w="0" w:type="dxa"/>
          <w:bottom w:w="0" w:type="dxa"/>
          <w:right w:w="0" w:type="dxa"/>
        </w:tblCellMar>
      </w:tblPr>
      <w:tr>
        <w:trPr>
          <w:trHeight w:val="235"/>
        </w:trPr>
        <w:tc>
          <w:tcPr>
            <w:tcW w:w="5100" w:type="dxa"/>
            <w:vAlign w:val="bottom"/>
          </w:tcPr>
          <w:p>
            <w:pPr>
              <w:spacing w:after="0"/>
              <w:rPr>
                <w:sz w:val="20"/>
                <w:szCs w:val="20"/>
                <w:color w:val="auto"/>
              </w:rPr>
            </w:pPr>
            <w:r>
              <w:rPr>
                <w:rFonts w:ascii="Arial" w:cs="Arial" w:eastAsia="Arial" w:hAnsi="Arial"/>
                <w:sz w:val="19"/>
                <w:szCs w:val="19"/>
                <w:color w:val="auto"/>
              </w:rPr>
              <w:t>Risk-free interest rate</w:t>
            </w:r>
          </w:p>
        </w:tc>
        <w:tc>
          <w:tcPr>
            <w:tcW w:w="2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4.07%</w:t>
            </w:r>
          </w:p>
        </w:tc>
      </w:tr>
      <w:tr>
        <w:trPr>
          <w:trHeight w:val="230"/>
        </w:trPr>
        <w:tc>
          <w:tcPr>
            <w:tcW w:w="5100" w:type="dxa"/>
            <w:vAlign w:val="bottom"/>
          </w:tcPr>
          <w:p>
            <w:pPr>
              <w:spacing w:after="0"/>
              <w:rPr>
                <w:sz w:val="20"/>
                <w:szCs w:val="20"/>
                <w:color w:val="auto"/>
              </w:rPr>
            </w:pPr>
            <w:r>
              <w:rPr>
                <w:rFonts w:ascii="Arial" w:cs="Arial" w:eastAsia="Arial" w:hAnsi="Arial"/>
                <w:sz w:val="19"/>
                <w:szCs w:val="19"/>
                <w:color w:val="auto"/>
              </w:rPr>
              <w:t>Expected volatility</w:t>
            </w:r>
          </w:p>
        </w:tc>
        <w:tc>
          <w:tcPr>
            <w:tcW w:w="2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9"/>
                <w:szCs w:val="19"/>
                <w:color w:val="auto"/>
              </w:rPr>
              <w:t>84.80%</w:t>
            </w:r>
          </w:p>
        </w:tc>
      </w:tr>
      <w:tr>
        <w:trPr>
          <w:trHeight w:val="230"/>
        </w:trPr>
        <w:tc>
          <w:tcPr>
            <w:tcW w:w="5100" w:type="dxa"/>
            <w:vAlign w:val="bottom"/>
            <w:shd w:val="clear" w:color="auto" w:fill="D3ECED"/>
          </w:tcPr>
          <w:p>
            <w:pPr>
              <w:spacing w:after="0"/>
              <w:rPr>
                <w:sz w:val="20"/>
                <w:szCs w:val="20"/>
                <w:color w:val="auto"/>
              </w:rPr>
            </w:pPr>
            <w:r>
              <w:rPr>
                <w:rFonts w:ascii="Arial" w:cs="Arial" w:eastAsia="Arial" w:hAnsi="Arial"/>
                <w:sz w:val="19"/>
                <w:szCs w:val="19"/>
                <w:color w:val="auto"/>
              </w:rPr>
              <w:t>Expected dividend yield</w:t>
            </w:r>
          </w:p>
        </w:tc>
        <w:tc>
          <w:tcPr>
            <w:tcW w:w="2260" w:type="dxa"/>
            <w:vAlign w:val="bottom"/>
            <w:shd w:val="clear" w:color="auto" w:fill="D3ECED"/>
          </w:tcPr>
          <w:p>
            <w:pPr>
              <w:spacing w:after="0"/>
              <w:rPr>
                <w:sz w:val="20"/>
                <w:szCs w:val="20"/>
                <w:color w:val="auto"/>
              </w:rPr>
            </w:pPr>
          </w:p>
        </w:tc>
        <w:tc>
          <w:tcPr>
            <w:tcW w:w="1480" w:type="dxa"/>
            <w:vAlign w:val="bottom"/>
            <w:shd w:val="clear" w:color="auto" w:fill="D3ECED"/>
          </w:tcPr>
          <w:p>
            <w:pPr>
              <w:jc w:val="right"/>
              <w:ind w:right="85"/>
              <w:spacing w:after="0"/>
              <w:rPr>
                <w:sz w:val="20"/>
                <w:szCs w:val="20"/>
                <w:color w:val="auto"/>
              </w:rPr>
            </w:pPr>
            <w:r>
              <w:rPr>
                <w:rFonts w:ascii="Arial" w:cs="Arial" w:eastAsia="Arial" w:hAnsi="Arial"/>
                <w:sz w:val="19"/>
                <w:szCs w:val="19"/>
                <w:color w:val="auto"/>
              </w:rPr>
              <w:t>—</w:t>
            </w:r>
          </w:p>
        </w:tc>
      </w:tr>
      <w:tr>
        <w:trPr>
          <w:trHeight w:val="230"/>
        </w:trPr>
        <w:tc>
          <w:tcPr>
            <w:tcW w:w="5100" w:type="dxa"/>
            <w:vAlign w:val="bottom"/>
            <w:shd w:val="clear" w:color="auto" w:fill="FDFDFD"/>
          </w:tcPr>
          <w:p>
            <w:pPr>
              <w:spacing w:after="0"/>
              <w:rPr>
                <w:sz w:val="20"/>
                <w:szCs w:val="20"/>
                <w:color w:val="auto"/>
              </w:rPr>
            </w:pPr>
            <w:r>
              <w:rPr>
                <w:rFonts w:ascii="Arial" w:cs="Arial" w:eastAsia="Arial" w:hAnsi="Arial"/>
                <w:sz w:val="19"/>
                <w:szCs w:val="19"/>
                <w:color w:val="auto"/>
              </w:rPr>
              <w:t>Strike price</w:t>
            </w:r>
          </w:p>
        </w:tc>
        <w:tc>
          <w:tcPr>
            <w:tcW w:w="22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480" w:type="dxa"/>
            <w:vAlign w:val="bottom"/>
            <w:shd w:val="clear" w:color="auto" w:fill="FDFDFD"/>
          </w:tcPr>
          <w:p>
            <w:pPr>
              <w:jc w:val="right"/>
              <w:ind w:right="85"/>
              <w:spacing w:after="0"/>
              <w:rPr>
                <w:sz w:val="20"/>
                <w:szCs w:val="20"/>
                <w:color w:val="auto"/>
              </w:rPr>
            </w:pPr>
            <w:r>
              <w:rPr>
                <w:rFonts w:ascii="Arial" w:cs="Arial" w:eastAsia="Arial" w:hAnsi="Arial"/>
                <w:sz w:val="19"/>
                <w:szCs w:val="19"/>
                <w:color w:val="auto"/>
              </w:rPr>
              <w:t>1.77</w:t>
            </w:r>
          </w:p>
        </w:tc>
      </w:tr>
      <w:tr>
        <w:trPr>
          <w:trHeight w:val="233"/>
        </w:trPr>
        <w:tc>
          <w:tcPr>
            <w:tcW w:w="5100" w:type="dxa"/>
            <w:vAlign w:val="bottom"/>
            <w:shd w:val="clear" w:color="auto" w:fill="D3ECED"/>
          </w:tcPr>
          <w:p>
            <w:pPr>
              <w:spacing w:after="0"/>
              <w:rPr>
                <w:sz w:val="20"/>
                <w:szCs w:val="20"/>
                <w:color w:val="auto"/>
              </w:rPr>
            </w:pPr>
            <w:r>
              <w:rPr>
                <w:rFonts w:ascii="Arial" w:cs="Arial" w:eastAsia="Arial" w:hAnsi="Arial"/>
                <w:sz w:val="19"/>
                <w:szCs w:val="19"/>
                <w:color w:val="auto"/>
              </w:rPr>
              <w:t>Weighted-average grant date fair value</w:t>
            </w:r>
          </w:p>
        </w:tc>
        <w:tc>
          <w:tcPr>
            <w:tcW w:w="22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1480" w:type="dxa"/>
            <w:vAlign w:val="bottom"/>
            <w:shd w:val="clear" w:color="auto" w:fill="D3ECED"/>
          </w:tcPr>
          <w:p>
            <w:pPr>
              <w:jc w:val="right"/>
              <w:ind w:right="85"/>
              <w:spacing w:after="0"/>
              <w:rPr>
                <w:sz w:val="20"/>
                <w:szCs w:val="20"/>
                <w:color w:val="auto"/>
              </w:rPr>
            </w:pPr>
            <w:r>
              <w:rPr>
                <w:rFonts w:ascii="Arial" w:cs="Arial" w:eastAsia="Arial" w:hAnsi="Arial"/>
                <w:sz w:val="19"/>
                <w:szCs w:val="19"/>
                <w:color w:val="auto"/>
              </w:rPr>
              <w:t>1.22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164465</wp:posOffset>
                </wp:positionH>
                <wp:positionV relativeFrom="paragraph">
                  <wp:posOffset>-732790</wp:posOffset>
                </wp:positionV>
                <wp:extent cx="5506085" cy="147955"/>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06085" cy="147955"/>
                        </a:xfrm>
                        <a:prstGeom prst="rect">
                          <a:avLst/>
                        </a:prstGeom>
                        <a:solidFill>
                          <a:srgbClr val="D3ECED"/>
                        </a:solidFill>
                      </wps:spPr>
                      <wps:bodyPr/>
                    </wps:wsp>
                  </a:graphicData>
                </a:graphic>
              </wp:anchor>
            </w:drawing>
          </mc:Choice>
          <mc:Fallback>
            <w:pict>
              <v:rect id="Shape 311" o:spid="_x0000_s1336" style="position:absolute;margin-left:12.95pt;margin-top:-57.6999pt;width:433.5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164465</wp:posOffset>
                </wp:positionH>
                <wp:positionV relativeFrom="paragraph">
                  <wp:posOffset>-586105</wp:posOffset>
                </wp:positionV>
                <wp:extent cx="5506085" cy="14732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06085" cy="147320"/>
                        </a:xfrm>
                        <a:prstGeom prst="rect">
                          <a:avLst/>
                        </a:prstGeom>
                        <a:solidFill>
                          <a:srgbClr val="FDFDFD"/>
                        </a:solidFill>
                      </wps:spPr>
                      <wps:bodyPr/>
                    </wps:wsp>
                  </a:graphicData>
                </a:graphic>
              </wp:anchor>
            </w:drawing>
          </mc:Choice>
          <mc:Fallback>
            <w:pict>
              <v:rect id="Shape 312" o:spid="_x0000_s1337" style="position:absolute;margin-left:12.95pt;margin-top:-46.1499pt;width:433.5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ectPr>
          <w:pgSz w:w="12240" w:h="15840" w:orient="portrait"/>
          <w:cols w:equalWidth="0" w:num="1">
            <w:col w:w="9360"/>
          </w:cols>
          <w:pgMar w:left="1440" w:top="1358" w:right="1440" w:bottom="624"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2023 Market Condition Options, the following assumptions were used to determine the grant date fair value:</w:t>
      </w:r>
    </w:p>
    <w:p>
      <w:pPr>
        <w:spacing w:after="0" w:line="317"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6040" w:type="dxa"/>
            <w:vAlign w:val="bottom"/>
            <w:shd w:val="clear" w:color="auto" w:fill="FDFDFD"/>
          </w:tcPr>
          <w:p>
            <w:pPr>
              <w:spacing w:after="0"/>
              <w:rPr>
                <w:sz w:val="14"/>
                <w:szCs w:val="14"/>
                <w:color w:val="auto"/>
              </w:rPr>
            </w:pPr>
          </w:p>
        </w:tc>
        <w:tc>
          <w:tcPr>
            <w:tcW w:w="110" w:type="dxa"/>
            <w:vAlign w:val="bottom"/>
            <w:shd w:val="clear" w:color="auto" w:fill="FDFDFD"/>
          </w:tcPr>
          <w:p>
            <w:pPr>
              <w:spacing w:after="0"/>
              <w:rPr>
                <w:sz w:val="14"/>
                <w:szCs w:val="14"/>
                <w:color w:val="auto"/>
              </w:rPr>
            </w:pPr>
          </w:p>
        </w:tc>
        <w:tc>
          <w:tcPr>
            <w:tcW w:w="1290" w:type="dxa"/>
            <w:vAlign w:val="bottom"/>
            <w:gridSpan w:val="2"/>
            <w:shd w:val="clear" w:color="auto" w:fill="FDFDFD"/>
          </w:tcPr>
          <w:p>
            <w:pPr>
              <w:jc w:val="right"/>
              <w:ind w:right="560"/>
              <w:spacing w:after="0"/>
              <w:rPr>
                <w:sz w:val="20"/>
                <w:szCs w:val="20"/>
                <w:color w:val="auto"/>
              </w:rPr>
            </w:pPr>
            <w:r>
              <w:rPr>
                <w:rFonts w:ascii="Arial" w:cs="Arial" w:eastAsia="Arial" w:hAnsi="Arial"/>
                <w:sz w:val="15"/>
                <w:szCs w:val="15"/>
                <w:b w:val="1"/>
                <w:bCs w:val="1"/>
                <w:color w:val="auto"/>
              </w:rPr>
              <w:t>Original</w:t>
            </w:r>
          </w:p>
        </w:tc>
        <w:tc>
          <w:tcPr>
            <w:tcW w:w="60" w:type="dxa"/>
            <w:vAlign w:val="bottom"/>
            <w:shd w:val="clear" w:color="auto" w:fill="FDFDFD"/>
          </w:tcPr>
          <w:p>
            <w:pPr>
              <w:spacing w:after="0"/>
              <w:rPr>
                <w:sz w:val="14"/>
                <w:szCs w:val="14"/>
                <w:color w:val="auto"/>
              </w:rPr>
            </w:pPr>
          </w:p>
        </w:tc>
        <w:tc>
          <w:tcPr>
            <w:tcW w:w="120" w:type="dxa"/>
            <w:vAlign w:val="bottom"/>
            <w:shd w:val="clear" w:color="auto" w:fill="FDFDFD"/>
          </w:tcPr>
          <w:p>
            <w:pPr>
              <w:spacing w:after="0"/>
              <w:rPr>
                <w:sz w:val="14"/>
                <w:szCs w:val="14"/>
                <w:color w:val="auto"/>
              </w:rPr>
            </w:pPr>
          </w:p>
        </w:tc>
        <w:tc>
          <w:tcPr>
            <w:tcW w:w="1220" w:type="dxa"/>
            <w:vAlign w:val="bottom"/>
            <w:gridSpan w:val="2"/>
            <w:shd w:val="clear" w:color="auto" w:fill="FDFDFD"/>
          </w:tcPr>
          <w:p>
            <w:pPr>
              <w:jc w:val="right"/>
              <w:ind w:right="460"/>
              <w:spacing w:after="0"/>
              <w:rPr>
                <w:sz w:val="20"/>
                <w:szCs w:val="20"/>
                <w:color w:val="auto"/>
              </w:rPr>
            </w:pPr>
            <w:r>
              <w:rPr>
                <w:rFonts w:ascii="Arial" w:cs="Arial" w:eastAsia="Arial" w:hAnsi="Arial"/>
                <w:sz w:val="15"/>
                <w:szCs w:val="15"/>
                <w:b w:val="1"/>
                <w:bCs w:val="1"/>
                <w:color w:val="auto"/>
              </w:rPr>
              <w:t>Modified</w:t>
            </w:r>
          </w:p>
        </w:tc>
      </w:tr>
      <w:tr>
        <w:trPr>
          <w:trHeight w:val="190"/>
        </w:trPr>
        <w:tc>
          <w:tcPr>
            <w:tcW w:w="6040" w:type="dxa"/>
            <w:vAlign w:val="bottom"/>
            <w:tcBorders>
              <w:bottom w:val="single" w:sz="8" w:color="D3ECED"/>
            </w:tcBorders>
            <w:shd w:val="clear" w:color="auto" w:fill="FDFDFD"/>
          </w:tcPr>
          <w:p>
            <w:pPr>
              <w:spacing w:after="0"/>
              <w:rPr>
                <w:sz w:val="16"/>
                <w:szCs w:val="16"/>
                <w:color w:val="auto"/>
              </w:rPr>
            </w:pPr>
          </w:p>
        </w:tc>
        <w:tc>
          <w:tcPr>
            <w:tcW w:w="110" w:type="dxa"/>
            <w:vAlign w:val="bottom"/>
            <w:tcBorders>
              <w:bottom w:val="single" w:sz="8" w:color="auto"/>
            </w:tcBorders>
            <w:shd w:val="clear" w:color="auto" w:fill="FDFDFD"/>
          </w:tcPr>
          <w:p>
            <w:pPr>
              <w:spacing w:after="0"/>
              <w:rPr>
                <w:sz w:val="16"/>
                <w:szCs w:val="16"/>
                <w:color w:val="auto"/>
              </w:rPr>
            </w:pPr>
          </w:p>
        </w:tc>
        <w:tc>
          <w:tcPr>
            <w:tcW w:w="1050" w:type="dxa"/>
            <w:vAlign w:val="bottom"/>
            <w:tcBorders>
              <w:bottom w:val="single" w:sz="8" w:color="auto"/>
            </w:tcBorders>
            <w:shd w:val="clear" w:color="auto" w:fill="FDFDFD"/>
          </w:tcPr>
          <w:p>
            <w:pPr>
              <w:jc w:val="right"/>
              <w:ind w:right="70"/>
              <w:spacing w:after="0"/>
              <w:rPr>
                <w:sz w:val="20"/>
                <w:szCs w:val="20"/>
                <w:color w:val="auto"/>
              </w:rPr>
            </w:pPr>
            <w:r>
              <w:rPr>
                <w:rFonts w:ascii="Arial" w:cs="Arial" w:eastAsia="Arial" w:hAnsi="Arial"/>
                <w:sz w:val="15"/>
                <w:szCs w:val="15"/>
                <w:b w:val="1"/>
                <w:bCs w:val="1"/>
                <w:color w:val="auto"/>
                <w:w w:val="90"/>
              </w:rPr>
              <w:t>Assumptions</w:t>
            </w:r>
          </w:p>
        </w:tc>
        <w:tc>
          <w:tcPr>
            <w:tcW w:w="240" w:type="dxa"/>
            <w:vAlign w:val="bottom"/>
            <w:tcBorders>
              <w:bottom w:val="single" w:sz="8" w:color="FDFDFD"/>
            </w:tcBorders>
            <w:shd w:val="clear" w:color="auto" w:fill="FDFDFD"/>
          </w:tcPr>
          <w:p>
            <w:pPr>
              <w:spacing w:after="0"/>
              <w:rPr>
                <w:sz w:val="16"/>
                <w:szCs w:val="16"/>
                <w:color w:val="auto"/>
              </w:rPr>
            </w:pPr>
          </w:p>
        </w:tc>
        <w:tc>
          <w:tcPr>
            <w:tcW w:w="60" w:type="dxa"/>
            <w:vAlign w:val="bottom"/>
            <w:tcBorders>
              <w:bottom w:val="single" w:sz="8" w:color="FDFDFD"/>
            </w:tcBorders>
            <w:shd w:val="clear" w:color="auto" w:fill="FDFDFD"/>
          </w:tcPr>
          <w:p>
            <w:pPr>
              <w:spacing w:after="0"/>
              <w:rPr>
                <w:sz w:val="16"/>
                <w:szCs w:val="16"/>
                <w:color w:val="auto"/>
              </w:rPr>
            </w:pPr>
          </w:p>
        </w:tc>
        <w:tc>
          <w:tcPr>
            <w:tcW w:w="120" w:type="dxa"/>
            <w:vAlign w:val="bottom"/>
            <w:tcBorders>
              <w:bottom w:val="single" w:sz="8" w:color="auto"/>
            </w:tcBorders>
            <w:shd w:val="clear" w:color="auto" w:fill="FDFDFD"/>
          </w:tcPr>
          <w:p>
            <w:pPr>
              <w:spacing w:after="0"/>
              <w:rPr>
                <w:sz w:val="16"/>
                <w:szCs w:val="16"/>
                <w:color w:val="auto"/>
              </w:rPr>
            </w:pPr>
          </w:p>
        </w:tc>
        <w:tc>
          <w:tcPr>
            <w:tcW w:w="1040" w:type="dxa"/>
            <w:vAlign w:val="bottom"/>
            <w:tcBorders>
              <w:bottom w:val="single" w:sz="8" w:color="auto"/>
            </w:tcBorders>
            <w:shd w:val="clear" w:color="auto" w:fill="FDFDFD"/>
          </w:tcPr>
          <w:p>
            <w:pPr>
              <w:jc w:val="right"/>
              <w:ind w:right="70"/>
              <w:spacing w:after="0"/>
              <w:rPr>
                <w:sz w:val="20"/>
                <w:szCs w:val="20"/>
                <w:color w:val="auto"/>
              </w:rPr>
            </w:pPr>
            <w:r>
              <w:rPr>
                <w:rFonts w:ascii="Arial" w:cs="Arial" w:eastAsia="Arial" w:hAnsi="Arial"/>
                <w:sz w:val="15"/>
                <w:szCs w:val="15"/>
                <w:b w:val="1"/>
                <w:bCs w:val="1"/>
                <w:color w:val="auto"/>
                <w:w w:val="90"/>
              </w:rPr>
              <w:t>Assumptions</w:t>
            </w:r>
          </w:p>
        </w:tc>
        <w:tc>
          <w:tcPr>
            <w:tcW w:w="180" w:type="dxa"/>
            <w:vAlign w:val="bottom"/>
            <w:tcBorders>
              <w:bottom w:val="single" w:sz="8" w:color="FDFDFD"/>
            </w:tcBorders>
            <w:shd w:val="clear" w:color="auto" w:fill="FDFDFD"/>
          </w:tcPr>
          <w:p>
            <w:pPr>
              <w:spacing w:after="0"/>
              <w:rPr>
                <w:sz w:val="16"/>
                <w:szCs w:val="16"/>
                <w:color w:val="auto"/>
              </w:rPr>
            </w:pPr>
          </w:p>
        </w:tc>
      </w:tr>
      <w:tr>
        <w:trPr>
          <w:trHeight w:val="222"/>
        </w:trPr>
        <w:tc>
          <w:tcPr>
            <w:tcW w:w="6040" w:type="dxa"/>
            <w:vAlign w:val="bottom"/>
            <w:shd w:val="clear" w:color="auto" w:fill="D3ECED"/>
          </w:tcPr>
          <w:p>
            <w:pPr>
              <w:spacing w:after="0"/>
              <w:rPr>
                <w:sz w:val="20"/>
                <w:szCs w:val="20"/>
                <w:color w:val="auto"/>
              </w:rPr>
            </w:pPr>
            <w:r>
              <w:rPr>
                <w:rFonts w:ascii="Arial" w:cs="Arial" w:eastAsia="Arial" w:hAnsi="Arial"/>
                <w:sz w:val="19"/>
                <w:szCs w:val="19"/>
                <w:color w:val="auto"/>
              </w:rPr>
              <w:t>Risk-free interest rate</w:t>
            </w:r>
          </w:p>
        </w:tc>
        <w:tc>
          <w:tcPr>
            <w:tcW w:w="110" w:type="dxa"/>
            <w:vAlign w:val="bottom"/>
          </w:tcPr>
          <w:p>
            <w:pPr>
              <w:spacing w:after="0"/>
              <w:rPr>
                <w:sz w:val="19"/>
                <w:szCs w:val="19"/>
                <w:color w:val="auto"/>
              </w:rPr>
            </w:pPr>
          </w:p>
        </w:tc>
        <w:tc>
          <w:tcPr>
            <w:tcW w:w="1290" w:type="dxa"/>
            <w:vAlign w:val="bottom"/>
            <w:gridSpan w:val="2"/>
          </w:tcPr>
          <w:p>
            <w:pPr>
              <w:jc w:val="right"/>
              <w:ind w:right="80"/>
              <w:spacing w:after="0"/>
              <w:rPr>
                <w:sz w:val="20"/>
                <w:szCs w:val="20"/>
                <w:color w:val="auto"/>
              </w:rPr>
            </w:pPr>
            <w:r>
              <w:rPr>
                <w:rFonts w:ascii="Arial" w:cs="Arial" w:eastAsia="Arial" w:hAnsi="Arial"/>
                <w:sz w:val="19"/>
                <w:szCs w:val="19"/>
                <w:color w:val="auto"/>
              </w:rPr>
              <w:t>3.94%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9"/>
                <w:szCs w:val="19"/>
                <w:color w:val="auto"/>
              </w:rPr>
              <w:t>3.89%</w:t>
            </w:r>
          </w:p>
        </w:tc>
      </w:tr>
      <w:tr>
        <w:trPr>
          <w:trHeight w:val="228"/>
        </w:trPr>
        <w:tc>
          <w:tcPr>
            <w:tcW w:w="6040" w:type="dxa"/>
            <w:vAlign w:val="bottom"/>
          </w:tcPr>
          <w:p>
            <w:pPr>
              <w:spacing w:after="0"/>
              <w:rPr>
                <w:sz w:val="20"/>
                <w:szCs w:val="20"/>
                <w:color w:val="auto"/>
              </w:rPr>
            </w:pPr>
            <w:r>
              <w:rPr>
                <w:rFonts w:ascii="Arial" w:cs="Arial" w:eastAsia="Arial" w:hAnsi="Arial"/>
                <w:sz w:val="19"/>
                <w:szCs w:val="19"/>
                <w:color w:val="auto"/>
              </w:rPr>
              <w:t>Expected volatility</w:t>
            </w:r>
          </w:p>
        </w:tc>
        <w:tc>
          <w:tcPr>
            <w:tcW w:w="110" w:type="dxa"/>
            <w:vAlign w:val="bottom"/>
          </w:tcPr>
          <w:p>
            <w:pPr>
              <w:spacing w:after="0"/>
              <w:rPr>
                <w:sz w:val="19"/>
                <w:szCs w:val="19"/>
                <w:color w:val="auto"/>
              </w:rPr>
            </w:pPr>
          </w:p>
        </w:tc>
        <w:tc>
          <w:tcPr>
            <w:tcW w:w="1290" w:type="dxa"/>
            <w:vAlign w:val="bottom"/>
            <w:gridSpan w:val="2"/>
          </w:tcPr>
          <w:p>
            <w:pPr>
              <w:jc w:val="right"/>
              <w:ind w:right="80"/>
              <w:spacing w:after="0"/>
              <w:rPr>
                <w:sz w:val="20"/>
                <w:szCs w:val="20"/>
                <w:color w:val="auto"/>
              </w:rPr>
            </w:pPr>
            <w:r>
              <w:rPr>
                <w:rFonts w:ascii="Arial" w:cs="Arial" w:eastAsia="Arial" w:hAnsi="Arial"/>
                <w:sz w:val="19"/>
                <w:szCs w:val="19"/>
                <w:color w:val="auto"/>
              </w:rPr>
              <w:t>83.10%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9"/>
                <w:szCs w:val="19"/>
                <w:color w:val="auto"/>
              </w:rPr>
              <w:t>81.92%</w:t>
            </w:r>
          </w:p>
        </w:tc>
      </w:tr>
      <w:tr>
        <w:trPr>
          <w:trHeight w:val="230"/>
        </w:trPr>
        <w:tc>
          <w:tcPr>
            <w:tcW w:w="6040" w:type="dxa"/>
            <w:vAlign w:val="bottom"/>
            <w:shd w:val="clear" w:color="auto" w:fill="D3ECED"/>
          </w:tcPr>
          <w:p>
            <w:pPr>
              <w:spacing w:after="0"/>
              <w:rPr>
                <w:sz w:val="20"/>
                <w:szCs w:val="20"/>
                <w:color w:val="auto"/>
              </w:rPr>
            </w:pPr>
            <w:r>
              <w:rPr>
                <w:rFonts w:ascii="Arial" w:cs="Arial" w:eastAsia="Arial" w:hAnsi="Arial"/>
                <w:sz w:val="19"/>
                <w:szCs w:val="19"/>
                <w:color w:val="auto"/>
              </w:rPr>
              <w:t>Expected dividend yield</w:t>
            </w:r>
          </w:p>
        </w:tc>
        <w:tc>
          <w:tcPr>
            <w:tcW w:w="110" w:type="dxa"/>
            <w:vAlign w:val="bottom"/>
            <w:shd w:val="clear" w:color="auto" w:fill="D3ECED"/>
          </w:tcPr>
          <w:p>
            <w:pPr>
              <w:spacing w:after="0"/>
              <w:rPr>
                <w:sz w:val="20"/>
                <w:szCs w:val="20"/>
                <w:color w:val="auto"/>
              </w:rPr>
            </w:pPr>
          </w:p>
        </w:tc>
        <w:tc>
          <w:tcPr>
            <w:tcW w:w="1290" w:type="dxa"/>
            <w:vAlign w:val="bottom"/>
            <w:gridSpan w:val="2"/>
            <w:shd w:val="clear" w:color="auto" w:fill="D3ECED"/>
          </w:tcPr>
          <w:p>
            <w:pPr>
              <w:jc w:val="right"/>
              <w:ind w:right="240"/>
              <w:spacing w:after="0"/>
              <w:rPr>
                <w:sz w:val="20"/>
                <w:szCs w:val="20"/>
                <w:color w:val="auto"/>
              </w:rPr>
            </w:pPr>
            <w:r>
              <w:rPr>
                <w:rFonts w:ascii="Arial" w:cs="Arial" w:eastAsia="Arial" w:hAnsi="Arial"/>
                <w:sz w:val="19"/>
                <w:szCs w:val="19"/>
                <w:color w:val="auto"/>
              </w:rPr>
              <w:t>—</w:t>
            </w:r>
          </w:p>
        </w:tc>
        <w:tc>
          <w:tcPr>
            <w:tcW w:w="6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1220" w:type="dxa"/>
            <w:vAlign w:val="bottom"/>
            <w:gridSpan w:val="2"/>
            <w:shd w:val="clear" w:color="auto" w:fill="D3ECED"/>
          </w:tcPr>
          <w:p>
            <w:pPr>
              <w:jc w:val="right"/>
              <w:ind w:right="180"/>
              <w:spacing w:after="0"/>
              <w:rPr>
                <w:sz w:val="20"/>
                <w:szCs w:val="20"/>
                <w:color w:val="auto"/>
              </w:rPr>
            </w:pPr>
            <w:r>
              <w:rPr>
                <w:rFonts w:ascii="Arial" w:cs="Arial" w:eastAsia="Arial" w:hAnsi="Arial"/>
                <w:sz w:val="19"/>
                <w:szCs w:val="19"/>
                <w:color w:val="auto"/>
              </w:rPr>
              <w:t>—</w:t>
            </w:r>
          </w:p>
        </w:tc>
      </w:tr>
      <w:tr>
        <w:trPr>
          <w:trHeight w:val="230"/>
        </w:trPr>
        <w:tc>
          <w:tcPr>
            <w:tcW w:w="6040" w:type="dxa"/>
            <w:vAlign w:val="bottom"/>
            <w:shd w:val="clear" w:color="auto" w:fill="FDFDFD"/>
          </w:tcPr>
          <w:p>
            <w:pPr>
              <w:spacing w:after="0"/>
              <w:rPr>
                <w:sz w:val="20"/>
                <w:szCs w:val="20"/>
                <w:color w:val="auto"/>
              </w:rPr>
            </w:pPr>
            <w:r>
              <w:rPr>
                <w:rFonts w:ascii="Arial" w:cs="Arial" w:eastAsia="Arial" w:hAnsi="Arial"/>
                <w:sz w:val="19"/>
                <w:szCs w:val="19"/>
                <w:color w:val="auto"/>
              </w:rPr>
              <w:t>Strike price</w:t>
            </w:r>
          </w:p>
        </w:tc>
        <w:tc>
          <w:tcPr>
            <w:tcW w:w="110" w:type="dxa"/>
            <w:vAlign w:val="bottom"/>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105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4.59</w:t>
            </w:r>
          </w:p>
        </w:tc>
        <w:tc>
          <w:tcPr>
            <w:tcW w:w="240" w:type="dxa"/>
            <w:vAlign w:val="bottom"/>
            <w:shd w:val="clear" w:color="auto" w:fill="FDFDFD"/>
          </w:tcPr>
          <w:p>
            <w:pPr>
              <w:spacing w:after="0"/>
              <w:rPr>
                <w:sz w:val="20"/>
                <w:szCs w:val="20"/>
                <w:color w:val="auto"/>
              </w:rPr>
            </w:pPr>
          </w:p>
        </w:tc>
        <w:tc>
          <w:tcPr>
            <w:tcW w:w="180" w:type="dxa"/>
            <w:vAlign w:val="bottom"/>
            <w:gridSpan w:val="2"/>
            <w:shd w:val="clear" w:color="auto" w:fill="FDFDFD"/>
          </w:tcPr>
          <w:p>
            <w:pPr>
              <w:jc w:val="right"/>
              <w:ind w:right="20"/>
              <w:spacing w:after="0"/>
              <w:rPr>
                <w:sz w:val="20"/>
                <w:szCs w:val="20"/>
                <w:color w:val="auto"/>
              </w:rPr>
            </w:pPr>
            <w:r>
              <w:rPr>
                <w:rFonts w:ascii="Arial" w:cs="Arial" w:eastAsia="Arial" w:hAnsi="Arial"/>
                <w:sz w:val="19"/>
                <w:szCs w:val="19"/>
                <w:color w:val="auto"/>
              </w:rPr>
              <w:t>$</w:t>
            </w:r>
          </w:p>
        </w:tc>
        <w:tc>
          <w:tcPr>
            <w:tcW w:w="10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2.00</w:t>
            </w:r>
          </w:p>
        </w:tc>
        <w:tc>
          <w:tcPr>
            <w:tcW w:w="180" w:type="dxa"/>
            <w:vAlign w:val="bottom"/>
            <w:shd w:val="clear" w:color="auto" w:fill="FDFDFD"/>
          </w:tcPr>
          <w:p>
            <w:pPr>
              <w:spacing w:after="0"/>
              <w:rPr>
                <w:sz w:val="20"/>
                <w:szCs w:val="20"/>
                <w:color w:val="auto"/>
              </w:rPr>
            </w:pPr>
          </w:p>
        </w:tc>
      </w:tr>
      <w:tr>
        <w:trPr>
          <w:trHeight w:val="230"/>
        </w:trPr>
        <w:tc>
          <w:tcPr>
            <w:tcW w:w="6040" w:type="dxa"/>
            <w:vAlign w:val="bottom"/>
            <w:shd w:val="clear" w:color="auto" w:fill="D3ECED"/>
          </w:tcPr>
          <w:p>
            <w:pPr>
              <w:spacing w:after="0"/>
              <w:rPr>
                <w:sz w:val="20"/>
                <w:szCs w:val="20"/>
                <w:color w:val="auto"/>
              </w:rPr>
            </w:pPr>
            <w:r>
              <w:rPr>
                <w:rFonts w:ascii="Arial" w:cs="Arial" w:eastAsia="Arial" w:hAnsi="Arial"/>
                <w:sz w:val="19"/>
                <w:szCs w:val="19"/>
                <w:color w:val="auto"/>
              </w:rPr>
              <w:t>Stock price hurdle</w:t>
            </w:r>
          </w:p>
        </w:tc>
        <w:tc>
          <w:tcPr>
            <w:tcW w:w="11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rPr>
              <w:t>$</w:t>
            </w:r>
          </w:p>
        </w:tc>
        <w:tc>
          <w:tcPr>
            <w:tcW w:w="105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6.89</w:t>
            </w:r>
          </w:p>
        </w:tc>
        <w:tc>
          <w:tcPr>
            <w:tcW w:w="240" w:type="dxa"/>
            <w:vAlign w:val="bottom"/>
            <w:shd w:val="clear" w:color="auto" w:fill="D3ECED"/>
          </w:tcPr>
          <w:p>
            <w:pPr>
              <w:spacing w:after="0"/>
              <w:rPr>
                <w:sz w:val="20"/>
                <w:szCs w:val="20"/>
                <w:color w:val="auto"/>
              </w:rPr>
            </w:pPr>
          </w:p>
        </w:tc>
        <w:tc>
          <w:tcPr>
            <w:tcW w:w="180" w:type="dxa"/>
            <w:vAlign w:val="bottom"/>
            <w:gridSpan w:val="2"/>
            <w:shd w:val="clear" w:color="auto" w:fill="D3ECED"/>
          </w:tcPr>
          <w:p>
            <w:pPr>
              <w:jc w:val="right"/>
              <w:ind w:right="20"/>
              <w:spacing w:after="0"/>
              <w:rPr>
                <w:sz w:val="20"/>
                <w:szCs w:val="20"/>
                <w:color w:val="auto"/>
              </w:rPr>
            </w:pPr>
            <w:r>
              <w:rPr>
                <w:rFonts w:ascii="Arial" w:cs="Arial" w:eastAsia="Arial" w:hAnsi="Arial"/>
                <w:sz w:val="19"/>
                <w:szCs w:val="19"/>
                <w:color w:val="auto"/>
              </w:rPr>
              <w:t>$</w:t>
            </w:r>
          </w:p>
        </w:tc>
        <w:tc>
          <w:tcPr>
            <w:tcW w:w="10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3.00</w:t>
            </w:r>
          </w:p>
        </w:tc>
        <w:tc>
          <w:tcPr>
            <w:tcW w:w="180" w:type="dxa"/>
            <w:vAlign w:val="bottom"/>
            <w:shd w:val="clear" w:color="auto" w:fill="D3ECED"/>
          </w:tcPr>
          <w:p>
            <w:pPr>
              <w:spacing w:after="0"/>
              <w:rPr>
                <w:sz w:val="20"/>
                <w:szCs w:val="20"/>
                <w:color w:val="auto"/>
              </w:rPr>
            </w:pPr>
          </w:p>
        </w:tc>
      </w:tr>
      <w:tr>
        <w:trPr>
          <w:trHeight w:val="233"/>
        </w:trPr>
        <w:tc>
          <w:tcPr>
            <w:tcW w:w="6040" w:type="dxa"/>
            <w:vAlign w:val="bottom"/>
            <w:shd w:val="clear" w:color="auto" w:fill="FDFDFD"/>
          </w:tcPr>
          <w:p>
            <w:pPr>
              <w:spacing w:after="0"/>
              <w:rPr>
                <w:sz w:val="20"/>
                <w:szCs w:val="20"/>
                <w:color w:val="auto"/>
              </w:rPr>
            </w:pPr>
            <w:r>
              <w:rPr>
                <w:rFonts w:ascii="Arial" w:cs="Arial" w:eastAsia="Arial" w:hAnsi="Arial"/>
                <w:sz w:val="19"/>
                <w:szCs w:val="19"/>
                <w:color w:val="auto"/>
              </w:rPr>
              <w:t>Weighted-average grant date fair value</w:t>
            </w:r>
          </w:p>
        </w:tc>
        <w:tc>
          <w:tcPr>
            <w:tcW w:w="110" w:type="dxa"/>
            <w:vAlign w:val="bottom"/>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105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2.91</w:t>
            </w:r>
          </w:p>
        </w:tc>
        <w:tc>
          <w:tcPr>
            <w:tcW w:w="240" w:type="dxa"/>
            <w:vAlign w:val="bottom"/>
            <w:shd w:val="clear" w:color="auto" w:fill="FDFDFD"/>
          </w:tcPr>
          <w:p>
            <w:pPr>
              <w:spacing w:after="0"/>
              <w:rPr>
                <w:sz w:val="20"/>
                <w:szCs w:val="20"/>
                <w:color w:val="auto"/>
              </w:rPr>
            </w:pPr>
          </w:p>
        </w:tc>
        <w:tc>
          <w:tcPr>
            <w:tcW w:w="180" w:type="dxa"/>
            <w:vAlign w:val="bottom"/>
            <w:gridSpan w:val="2"/>
            <w:shd w:val="clear" w:color="auto" w:fill="FDFDFD"/>
          </w:tcPr>
          <w:p>
            <w:pPr>
              <w:jc w:val="right"/>
              <w:ind w:right="20"/>
              <w:spacing w:after="0"/>
              <w:rPr>
                <w:sz w:val="20"/>
                <w:szCs w:val="20"/>
                <w:color w:val="auto"/>
              </w:rPr>
            </w:pPr>
            <w:r>
              <w:rPr>
                <w:rFonts w:ascii="Arial" w:cs="Arial" w:eastAsia="Arial" w:hAnsi="Arial"/>
                <w:sz w:val="19"/>
                <w:szCs w:val="19"/>
                <w:color w:val="auto"/>
              </w:rPr>
              <w:t>$</w:t>
            </w:r>
          </w:p>
        </w:tc>
        <w:tc>
          <w:tcPr>
            <w:tcW w:w="10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1.40</w:t>
            </w:r>
          </w:p>
        </w:tc>
        <w:tc>
          <w:tcPr>
            <w:tcW w:w="180" w:type="dxa"/>
            <w:vAlign w:val="bottom"/>
            <w:shd w:val="clear" w:color="auto" w:fill="FDFDFD"/>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4000500</wp:posOffset>
                </wp:positionH>
                <wp:positionV relativeFrom="paragraph">
                  <wp:posOffset>-878840</wp:posOffset>
                </wp:positionV>
                <wp:extent cx="740410" cy="147955"/>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0410" cy="147955"/>
                        </a:xfrm>
                        <a:prstGeom prst="rect">
                          <a:avLst/>
                        </a:prstGeom>
                        <a:solidFill>
                          <a:srgbClr val="D3ECED"/>
                        </a:solidFill>
                      </wps:spPr>
                      <wps:bodyPr/>
                    </wps:wsp>
                  </a:graphicData>
                </a:graphic>
              </wp:anchor>
            </w:drawing>
          </mc:Choice>
          <mc:Fallback>
            <w:pict>
              <v:rect id="Shape 313" o:spid="_x0000_s1338" style="position:absolute;margin-left:315pt;margin-top:-69.1999pt;width:58.3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4739640</wp:posOffset>
                </wp:positionH>
                <wp:positionV relativeFrom="paragraph">
                  <wp:posOffset>-885190</wp:posOffset>
                </wp:positionV>
                <wp:extent cx="193040" cy="154305"/>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040" cy="154305"/>
                        </a:xfrm>
                        <a:prstGeom prst="rect">
                          <a:avLst/>
                        </a:prstGeom>
                        <a:solidFill>
                          <a:srgbClr val="D3ECED"/>
                        </a:solidFill>
                      </wps:spPr>
                      <wps:bodyPr/>
                    </wps:wsp>
                  </a:graphicData>
                </a:graphic>
              </wp:anchor>
            </w:drawing>
          </mc:Choice>
          <mc:Fallback>
            <w:pict>
              <v:rect id="Shape 314" o:spid="_x0000_s1339" style="position:absolute;margin-left:373.2pt;margin-top:-69.6999pt;width:15.2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4931410</wp:posOffset>
                </wp:positionH>
                <wp:positionV relativeFrom="paragraph">
                  <wp:posOffset>-878840</wp:posOffset>
                </wp:positionV>
                <wp:extent cx="739140" cy="147955"/>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147955"/>
                        </a:xfrm>
                        <a:prstGeom prst="rect">
                          <a:avLst/>
                        </a:prstGeom>
                        <a:solidFill>
                          <a:srgbClr val="D3ECED"/>
                        </a:solidFill>
                      </wps:spPr>
                      <wps:bodyPr/>
                    </wps:wsp>
                  </a:graphicData>
                </a:graphic>
              </wp:anchor>
            </w:drawing>
          </mc:Choice>
          <mc:Fallback>
            <w:pict>
              <v:rect id="Shape 315" o:spid="_x0000_s1340" style="position:absolute;margin-left:388.3pt;margin-top:-69.1999pt;width:58.2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ECED" stroked="f"/>
            </w:pict>
          </mc:Fallback>
        </mc:AlternateContent>
        <mc:AlternateContent>
          <mc:Choice Requires="wps">
            <w:drawing>
              <wp:anchor simplePos="0" relativeHeight="251657728" behindDoc="1" locked="0" layoutInCell="0" allowOverlap="1">
                <wp:simplePos x="0" y="0"/>
                <wp:positionH relativeFrom="column">
                  <wp:posOffset>164465</wp:posOffset>
                </wp:positionH>
                <wp:positionV relativeFrom="paragraph">
                  <wp:posOffset>-732790</wp:posOffset>
                </wp:positionV>
                <wp:extent cx="4576445" cy="147955"/>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6445" cy="147955"/>
                        </a:xfrm>
                        <a:prstGeom prst="rect">
                          <a:avLst/>
                        </a:prstGeom>
                        <a:solidFill>
                          <a:srgbClr val="FDFDFD"/>
                        </a:solidFill>
                      </wps:spPr>
                      <wps:bodyPr/>
                    </wps:wsp>
                  </a:graphicData>
                </a:graphic>
              </wp:anchor>
            </w:drawing>
          </mc:Choice>
          <mc:Fallback>
            <w:pict>
              <v:rect id="Shape 316" o:spid="_x0000_s1341" style="position:absolute;margin-left:12.95pt;margin-top:-57.6999pt;width:360.3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4739640</wp:posOffset>
                </wp:positionH>
                <wp:positionV relativeFrom="paragraph">
                  <wp:posOffset>-732790</wp:posOffset>
                </wp:positionV>
                <wp:extent cx="930910" cy="147955"/>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0910" cy="147955"/>
                        </a:xfrm>
                        <a:prstGeom prst="rect">
                          <a:avLst/>
                        </a:prstGeom>
                        <a:solidFill>
                          <a:srgbClr val="FDFDFD"/>
                        </a:solidFill>
                      </wps:spPr>
                      <wps:bodyPr/>
                    </wps:wsp>
                  </a:graphicData>
                </a:graphic>
              </wp:anchor>
            </w:drawing>
          </mc:Choice>
          <mc:Fallback>
            <w:pict>
              <v:rect id="Shape 317" o:spid="_x0000_s1342" style="position:absolute;margin-left:373.2pt;margin-top:-57.6999pt;width:73.3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w:r>
    </w:p>
    <w:p>
      <w:pPr>
        <w:spacing w:after="0" w:line="194" w:lineRule="exact"/>
        <w:rPr>
          <w:sz w:val="20"/>
          <w:szCs w:val="20"/>
          <w:color w:val="auto"/>
        </w:rPr>
      </w:pPr>
    </w:p>
    <w:p>
      <w:pPr>
        <w:ind w:left="260" w:right="440"/>
        <w:spacing w:after="0" w:line="326" w:lineRule="auto"/>
        <w:rPr>
          <w:sz w:val="20"/>
          <w:szCs w:val="20"/>
          <w:color w:val="auto"/>
        </w:rPr>
      </w:pPr>
      <w:r>
        <w:rPr>
          <w:rFonts w:ascii="Arial" w:cs="Arial" w:eastAsia="Arial" w:hAnsi="Arial"/>
          <w:sz w:val="19"/>
          <w:szCs w:val="19"/>
          <w:color w:val="auto"/>
        </w:rPr>
        <w:t>For the years ended December 31, 2024 and 2023, the Company recognized compensation expense of $1.8 million and $2.4 million, respectively.</w:t>
      </w:r>
    </w:p>
    <w:p>
      <w:pPr>
        <w:spacing w:after="0" w:line="97" w:lineRule="exact"/>
        <w:rPr>
          <w:sz w:val="20"/>
          <w:szCs w:val="20"/>
          <w:color w:val="auto"/>
        </w:rPr>
      </w:pPr>
    </w:p>
    <w:p>
      <w:pPr>
        <w:ind w:left="260" w:right="420"/>
        <w:spacing w:after="0" w:line="433" w:lineRule="auto"/>
        <w:rPr>
          <w:sz w:val="20"/>
          <w:szCs w:val="20"/>
          <w:color w:val="auto"/>
        </w:rPr>
      </w:pPr>
      <w:r>
        <w:rPr>
          <w:rFonts w:ascii="Arial" w:cs="Arial" w:eastAsia="Arial" w:hAnsi="Arial"/>
          <w:sz w:val="16"/>
          <w:szCs w:val="16"/>
          <w:color w:val="auto"/>
        </w:rPr>
        <w:t>As of December 31, 2024, $1.4 million of unrecognized compensation cost related to unvested 2024 Market Condition Options is expected to be recognized as expense over a remaining weighted-average period of 2.4 years.</w:t>
      </w:r>
    </w:p>
    <w:p>
      <w:pPr>
        <w:spacing w:after="0" w:line="27" w:lineRule="exact"/>
        <w:rPr>
          <w:sz w:val="20"/>
          <w:szCs w:val="20"/>
          <w:color w:val="auto"/>
        </w:rPr>
      </w:pPr>
    </w:p>
    <w:p>
      <w:pPr>
        <w:ind w:left="260" w:right="420"/>
        <w:spacing w:after="0" w:line="433" w:lineRule="auto"/>
        <w:rPr>
          <w:sz w:val="20"/>
          <w:szCs w:val="20"/>
          <w:color w:val="auto"/>
        </w:rPr>
      </w:pPr>
      <w:r>
        <w:rPr>
          <w:rFonts w:ascii="Arial" w:cs="Arial" w:eastAsia="Arial" w:hAnsi="Arial"/>
          <w:sz w:val="16"/>
          <w:szCs w:val="16"/>
          <w:color w:val="auto"/>
        </w:rPr>
        <w:t>As of December 31, 2024, $1.0 million of unrecognized compensation cost related to unvested 2023 Market Condition Options is expected to be recognized as expense over a remaining weighted-average period of 2.8 years.</w:t>
      </w:r>
    </w:p>
    <w:p>
      <w:pPr>
        <w:spacing w:after="0" w:line="29"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Restricted Stock Awards</w:t>
      </w:r>
    </w:p>
    <w:p>
      <w:pPr>
        <w:spacing w:after="0" w:line="211" w:lineRule="exact"/>
        <w:rPr>
          <w:sz w:val="20"/>
          <w:szCs w:val="20"/>
          <w:color w:val="auto"/>
        </w:rPr>
      </w:pPr>
    </w:p>
    <w:p>
      <w:pPr>
        <w:ind w:left="260" w:right="300"/>
        <w:spacing w:after="0" w:line="343" w:lineRule="auto"/>
        <w:rPr>
          <w:sz w:val="20"/>
          <w:szCs w:val="20"/>
          <w:color w:val="auto"/>
        </w:rPr>
      </w:pPr>
      <w:r>
        <w:rPr>
          <w:rFonts w:ascii="Arial" w:cs="Arial" w:eastAsia="Arial" w:hAnsi="Arial"/>
          <w:sz w:val="17"/>
          <w:szCs w:val="17"/>
          <w:color w:val="auto"/>
        </w:rPr>
        <w:t>Certain stock options granted under the 2017 Plan provide stock option holders the right to exercise unvested stock options in exchange for restricted shares of Class A common stock. The Company has also issued restricted shares of Class A common stock under the 2020 Plan to employees and directors. There were no shares and 1,023 shares of restricted stock that were unvested and subject to repurchase as of December 31, 2024 and 2023, respectively.</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Restricted Stock Units</w:t>
      </w:r>
    </w:p>
    <w:p>
      <w:pPr>
        <w:spacing w:after="0" w:line="209" w:lineRule="exact"/>
        <w:rPr>
          <w:sz w:val="20"/>
          <w:szCs w:val="20"/>
          <w:color w:val="auto"/>
        </w:rPr>
      </w:pPr>
    </w:p>
    <w:p>
      <w:pPr>
        <w:ind w:left="260" w:right="340"/>
        <w:spacing w:after="0" w:line="338" w:lineRule="auto"/>
        <w:rPr>
          <w:sz w:val="20"/>
          <w:szCs w:val="20"/>
          <w:color w:val="auto"/>
        </w:rPr>
      </w:pPr>
      <w:r>
        <w:rPr>
          <w:rFonts w:ascii="Arial" w:cs="Arial" w:eastAsia="Arial" w:hAnsi="Arial"/>
          <w:sz w:val="17"/>
          <w:szCs w:val="17"/>
          <w:color w:val="auto"/>
        </w:rPr>
        <w:t>The Company has granted RSUs under the 2020 RSU Plan and the 2020 Plan. Restricted stock units (RSUs) are share awards that entitle the holder to receive freely tradable shares of the Company’s common stock upon vesting. The RSUs cannot be transferred and the awards are subject to forfeiture if the holder’s employment terminates prior to the release of the vesting restrictions. The fair value of the RSUs is equal to the closing price of the Company’s common stock on the grant date. The RSUs generally vest over four years from the vesting start date.</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9"/>
          <w:szCs w:val="19"/>
          <w:color w:val="auto"/>
        </w:rPr>
        <w:t>RSU activity for the year ended December 31, 2024 is as follows:</w:t>
      </w:r>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6020" w:type="dxa"/>
            <w:vAlign w:val="bottom"/>
            <w:shd w:val="clear" w:color="auto" w:fill="FDFDFD"/>
          </w:tcPr>
          <w:p>
            <w:pPr>
              <w:spacing w:after="0"/>
              <w:rPr>
                <w:sz w:val="15"/>
                <w:szCs w:val="15"/>
                <w:color w:val="auto"/>
              </w:rPr>
            </w:pPr>
          </w:p>
        </w:tc>
        <w:tc>
          <w:tcPr>
            <w:tcW w:w="1260" w:type="dxa"/>
            <w:vAlign w:val="bottom"/>
            <w:shd w:val="clear" w:color="auto" w:fill="FDFDFD"/>
          </w:tcPr>
          <w:p>
            <w:pPr>
              <w:spacing w:after="0"/>
              <w:rPr>
                <w:sz w:val="15"/>
                <w:szCs w:val="15"/>
                <w:color w:val="auto"/>
              </w:rPr>
            </w:pPr>
          </w:p>
        </w:tc>
        <w:tc>
          <w:tcPr>
            <w:tcW w:w="240" w:type="dxa"/>
            <w:vAlign w:val="bottom"/>
            <w:shd w:val="clear" w:color="auto" w:fill="FDFDFD"/>
          </w:tcPr>
          <w:p>
            <w:pPr>
              <w:spacing w:after="0"/>
              <w:rPr>
                <w:sz w:val="15"/>
                <w:szCs w:val="15"/>
                <w:color w:val="auto"/>
              </w:rPr>
            </w:pPr>
          </w:p>
        </w:tc>
        <w:tc>
          <w:tcPr>
            <w:tcW w:w="1240" w:type="dxa"/>
            <w:vAlign w:val="bottom"/>
            <w:gridSpan w:val="2"/>
            <w:shd w:val="clear" w:color="auto" w:fill="FDFDFD"/>
          </w:tcPr>
          <w:p>
            <w:pPr>
              <w:jc w:val="right"/>
              <w:spacing w:after="0"/>
              <w:rPr>
                <w:sz w:val="20"/>
                <w:szCs w:val="20"/>
                <w:color w:val="auto"/>
              </w:rPr>
            </w:pPr>
            <w:r>
              <w:rPr>
                <w:rFonts w:ascii="Arial" w:cs="Arial" w:eastAsia="Arial" w:hAnsi="Arial"/>
                <w:sz w:val="15"/>
                <w:szCs w:val="15"/>
                <w:b w:val="1"/>
                <w:bCs w:val="1"/>
                <w:color w:val="auto"/>
                <w:w w:val="91"/>
              </w:rPr>
              <w:t>Weighted-Average</w:t>
            </w:r>
          </w:p>
        </w:tc>
        <w:tc>
          <w:tcPr>
            <w:tcW w:w="8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020" w:type="dxa"/>
            <w:vAlign w:val="bottom"/>
            <w:shd w:val="clear" w:color="auto" w:fill="FDFDFD"/>
          </w:tcPr>
          <w:p>
            <w:pPr>
              <w:spacing w:after="0"/>
              <w:rPr>
                <w:sz w:val="15"/>
                <w:szCs w:val="15"/>
                <w:color w:val="auto"/>
              </w:rPr>
            </w:pPr>
          </w:p>
        </w:tc>
        <w:tc>
          <w:tcPr>
            <w:tcW w:w="1260" w:type="dxa"/>
            <w:vAlign w:val="bottom"/>
            <w:vMerge w:val="restart"/>
            <w:shd w:val="clear" w:color="auto" w:fill="FDFDFD"/>
          </w:tcPr>
          <w:p>
            <w:pPr>
              <w:jc w:val="right"/>
              <w:spacing w:after="0"/>
              <w:rPr>
                <w:sz w:val="20"/>
                <w:szCs w:val="20"/>
                <w:color w:val="auto"/>
              </w:rPr>
            </w:pPr>
            <w:r>
              <w:rPr>
                <w:rFonts w:ascii="Arial" w:cs="Arial" w:eastAsia="Arial" w:hAnsi="Arial"/>
                <w:sz w:val="15"/>
                <w:szCs w:val="15"/>
                <w:b w:val="1"/>
                <w:bCs w:val="1"/>
                <w:color w:val="auto"/>
                <w:w w:val="92"/>
              </w:rPr>
              <w:t>Number of Shares</w:t>
            </w:r>
          </w:p>
        </w:tc>
        <w:tc>
          <w:tcPr>
            <w:tcW w:w="2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140" w:type="dxa"/>
            <w:vAlign w:val="bottom"/>
            <w:shd w:val="clear" w:color="auto" w:fill="FDFDFD"/>
          </w:tcPr>
          <w:p>
            <w:pPr>
              <w:jc w:val="right"/>
              <w:ind w:right="171"/>
              <w:spacing w:after="0"/>
              <w:rPr>
                <w:sz w:val="20"/>
                <w:szCs w:val="20"/>
                <w:color w:val="auto"/>
              </w:rPr>
            </w:pPr>
            <w:r>
              <w:rPr>
                <w:rFonts w:ascii="Arial" w:cs="Arial" w:eastAsia="Arial" w:hAnsi="Arial"/>
                <w:sz w:val="15"/>
                <w:szCs w:val="15"/>
                <w:b w:val="1"/>
                <w:bCs w:val="1"/>
                <w:color w:val="auto"/>
              </w:rPr>
              <w:t>Grant Date</w:t>
            </w:r>
          </w:p>
        </w:tc>
        <w:tc>
          <w:tcPr>
            <w:tcW w:w="8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20" w:type="dxa"/>
            <w:vAlign w:val="bottom"/>
            <w:tcBorders>
              <w:bottom w:val="single" w:sz="8" w:color="D3ECED"/>
            </w:tcBorders>
            <w:shd w:val="clear" w:color="auto" w:fill="FDFDFD"/>
          </w:tcPr>
          <w:p>
            <w:pPr>
              <w:spacing w:after="0"/>
              <w:rPr>
                <w:sz w:val="16"/>
                <w:szCs w:val="16"/>
                <w:color w:val="auto"/>
              </w:rPr>
            </w:pPr>
          </w:p>
        </w:tc>
        <w:tc>
          <w:tcPr>
            <w:tcW w:w="1260" w:type="dxa"/>
            <w:vAlign w:val="bottom"/>
            <w:tcBorders>
              <w:bottom w:val="single" w:sz="8" w:color="auto"/>
            </w:tcBorders>
            <w:vMerge w:val="continue"/>
            <w:shd w:val="clear" w:color="auto" w:fill="FDFDFD"/>
          </w:tcPr>
          <w:p>
            <w:pPr>
              <w:spacing w:after="0"/>
              <w:rPr>
                <w:sz w:val="16"/>
                <w:szCs w:val="16"/>
                <w:color w:val="auto"/>
              </w:rPr>
            </w:pPr>
          </w:p>
        </w:tc>
        <w:tc>
          <w:tcPr>
            <w:tcW w:w="240" w:type="dxa"/>
            <w:vAlign w:val="bottom"/>
            <w:tcBorders>
              <w:bottom w:val="single" w:sz="8" w:color="D3ECE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1140" w:type="dxa"/>
            <w:vAlign w:val="bottom"/>
            <w:tcBorders>
              <w:bottom w:val="single" w:sz="8" w:color="auto"/>
            </w:tcBorders>
            <w:shd w:val="clear" w:color="auto" w:fill="FDFDFD"/>
          </w:tcPr>
          <w:p>
            <w:pPr>
              <w:jc w:val="right"/>
              <w:ind w:right="191"/>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D3ECED"/>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020" w:type="dxa"/>
            <w:vAlign w:val="bottom"/>
            <w:shd w:val="clear" w:color="auto" w:fill="D3ECED"/>
          </w:tcPr>
          <w:p>
            <w:pPr>
              <w:spacing w:after="0"/>
              <w:rPr>
                <w:sz w:val="20"/>
                <w:szCs w:val="20"/>
                <w:color w:val="auto"/>
              </w:rPr>
            </w:pPr>
            <w:r>
              <w:rPr>
                <w:rFonts w:ascii="Arial" w:cs="Arial" w:eastAsia="Arial" w:hAnsi="Arial"/>
                <w:sz w:val="19"/>
                <w:szCs w:val="19"/>
                <w:color w:val="auto"/>
              </w:rPr>
              <w:t>Balance at December 31, 2023</w:t>
            </w:r>
          </w:p>
        </w:tc>
        <w:tc>
          <w:tcPr>
            <w:tcW w:w="12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3,680,076</w:t>
            </w:r>
          </w:p>
        </w:tc>
        <w:tc>
          <w:tcPr>
            <w:tcW w:w="24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7.49</w:t>
            </w:r>
          </w:p>
        </w:tc>
        <w:tc>
          <w:tcPr>
            <w:tcW w:w="80" w:type="dxa"/>
            <w:vAlign w:val="bottom"/>
            <w:shd w:val="clear" w:color="auto" w:fill="D3ECE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FDFDFD"/>
          </w:tcPr>
          <w:p>
            <w:pPr>
              <w:spacing w:after="0"/>
              <w:rPr>
                <w:sz w:val="20"/>
                <w:szCs w:val="20"/>
                <w:color w:val="auto"/>
              </w:rPr>
            </w:pPr>
            <w:r>
              <w:rPr>
                <w:rFonts w:ascii="Arial" w:cs="Arial" w:eastAsia="Arial" w:hAnsi="Arial"/>
                <w:sz w:val="19"/>
                <w:szCs w:val="19"/>
                <w:color w:val="auto"/>
              </w:rPr>
              <w:t>Granted</w:t>
            </w:r>
          </w:p>
        </w:tc>
        <w:tc>
          <w:tcPr>
            <w:tcW w:w="12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3,012,793</w:t>
            </w:r>
          </w:p>
        </w:tc>
        <w:tc>
          <w:tcPr>
            <w:tcW w:w="24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1.80</w:t>
            </w:r>
          </w:p>
        </w:tc>
        <w:tc>
          <w:tcPr>
            <w:tcW w:w="80" w:type="dxa"/>
            <w:vAlign w:val="bottom"/>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D3ECED"/>
          </w:tcPr>
          <w:p>
            <w:pPr>
              <w:spacing w:after="0"/>
              <w:rPr>
                <w:sz w:val="20"/>
                <w:szCs w:val="20"/>
                <w:color w:val="auto"/>
              </w:rPr>
            </w:pPr>
            <w:r>
              <w:rPr>
                <w:rFonts w:ascii="Arial" w:cs="Arial" w:eastAsia="Arial" w:hAnsi="Arial"/>
                <w:sz w:val="19"/>
                <w:szCs w:val="19"/>
                <w:color w:val="auto"/>
              </w:rPr>
              <w:t>Vested</w:t>
            </w:r>
          </w:p>
        </w:tc>
        <w:tc>
          <w:tcPr>
            <w:tcW w:w="12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(1,078,789</w:t>
            </w:r>
          </w:p>
        </w:tc>
        <w:tc>
          <w:tcPr>
            <w:tcW w:w="240" w:type="dxa"/>
            <w:vAlign w:val="bottom"/>
            <w:shd w:val="clear" w:color="auto" w:fill="D3ECED"/>
          </w:tcPr>
          <w:p>
            <w:pPr>
              <w:jc w:val="right"/>
              <w:ind w:right="101"/>
              <w:spacing w:after="0"/>
              <w:rPr>
                <w:sz w:val="20"/>
                <w:szCs w:val="20"/>
                <w:color w:val="auto"/>
              </w:rPr>
            </w:pPr>
            <w:r>
              <w:rPr>
                <w:rFonts w:ascii="Arial" w:cs="Arial" w:eastAsia="Arial" w:hAnsi="Arial"/>
                <w:sz w:val="16"/>
                <w:szCs w:val="16"/>
                <w:color w:val="auto"/>
                <w:w w:val="74"/>
                <w:shd w:val="clear" w:color="auto" w:fill="D3ECED"/>
              </w:rPr>
              <w:t>)</w:t>
            </w: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8.67</w:t>
            </w:r>
          </w:p>
        </w:tc>
        <w:tc>
          <w:tcPr>
            <w:tcW w:w="80" w:type="dxa"/>
            <w:vAlign w:val="bottom"/>
            <w:shd w:val="clear" w:color="auto" w:fill="D3ECED"/>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D3ECED"/>
            </w:tcBorders>
            <w:shd w:val="clear" w:color="auto" w:fill="FDFDFD"/>
          </w:tcPr>
          <w:p>
            <w:pPr>
              <w:spacing w:after="0"/>
              <w:rPr>
                <w:sz w:val="20"/>
                <w:szCs w:val="20"/>
                <w:color w:val="auto"/>
              </w:rPr>
            </w:pPr>
            <w:r>
              <w:rPr>
                <w:rFonts w:ascii="Arial" w:cs="Arial" w:eastAsia="Arial" w:hAnsi="Arial"/>
                <w:sz w:val="19"/>
                <w:szCs w:val="19"/>
                <w:color w:val="auto"/>
              </w:rPr>
              <w:t>Forfeited</w:t>
            </w:r>
          </w:p>
        </w:tc>
        <w:tc>
          <w:tcPr>
            <w:tcW w:w="126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(1,163,639</w:t>
            </w:r>
          </w:p>
        </w:tc>
        <w:tc>
          <w:tcPr>
            <w:tcW w:w="240" w:type="dxa"/>
            <w:vAlign w:val="bottom"/>
            <w:tcBorders>
              <w:bottom w:val="single" w:sz="8" w:color="D3ECED"/>
            </w:tcBorders>
            <w:shd w:val="clear" w:color="auto" w:fill="FDFDFD"/>
          </w:tcPr>
          <w:p>
            <w:pPr>
              <w:jc w:val="right"/>
              <w:ind w:right="101"/>
              <w:spacing w:after="0"/>
              <w:rPr>
                <w:sz w:val="20"/>
                <w:szCs w:val="20"/>
                <w:color w:val="auto"/>
              </w:rPr>
            </w:pPr>
            <w:r>
              <w:rPr>
                <w:rFonts w:ascii="Arial" w:cs="Arial" w:eastAsia="Arial" w:hAnsi="Arial"/>
                <w:sz w:val="16"/>
                <w:szCs w:val="16"/>
                <w:color w:val="auto"/>
                <w:highlight w:val="white"/>
                <w:w w:val="74"/>
              </w:rPr>
              <w:t>)</w:t>
            </w:r>
          </w:p>
        </w:tc>
        <w:tc>
          <w:tcPr>
            <w:tcW w:w="100" w:type="dxa"/>
            <w:vAlign w:val="bottom"/>
            <w:tcBorders>
              <w:bottom w:val="single" w:sz="8" w:color="auto"/>
            </w:tcBorders>
            <w:shd w:val="clear" w:color="auto" w:fill="FDFDFD"/>
          </w:tcPr>
          <w:p>
            <w:pPr>
              <w:spacing w:after="0"/>
              <w:rPr>
                <w:sz w:val="20"/>
                <w:szCs w:val="20"/>
                <w:color w:val="auto"/>
              </w:rPr>
            </w:pPr>
          </w:p>
        </w:tc>
        <w:tc>
          <w:tcPr>
            <w:tcW w:w="11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4.05</w:t>
            </w:r>
          </w:p>
        </w:tc>
        <w:tc>
          <w:tcPr>
            <w:tcW w:w="80" w:type="dxa"/>
            <w:vAlign w:val="bottom"/>
            <w:tcBorders>
              <w:bottom w:val="single" w:sz="8" w:color="D3ECED"/>
            </w:tcBorders>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020" w:type="dxa"/>
            <w:vAlign w:val="bottom"/>
            <w:shd w:val="clear" w:color="auto" w:fill="D3ECED"/>
          </w:tcPr>
          <w:p>
            <w:pPr>
              <w:spacing w:after="0"/>
              <w:rPr>
                <w:sz w:val="20"/>
                <w:szCs w:val="20"/>
                <w:color w:val="auto"/>
              </w:rPr>
            </w:pPr>
            <w:r>
              <w:rPr>
                <w:rFonts w:ascii="Arial" w:cs="Arial" w:eastAsia="Arial" w:hAnsi="Arial"/>
                <w:sz w:val="19"/>
                <w:szCs w:val="19"/>
                <w:color w:val="auto"/>
              </w:rPr>
              <w:t>Balance at December 31, 2024</w:t>
            </w:r>
          </w:p>
        </w:tc>
        <w:tc>
          <w:tcPr>
            <w:tcW w:w="12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4,450,441</w:t>
            </w:r>
          </w:p>
        </w:tc>
        <w:tc>
          <w:tcPr>
            <w:tcW w:w="24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4.26</w:t>
            </w:r>
          </w:p>
        </w:tc>
        <w:tc>
          <w:tcPr>
            <w:tcW w:w="80" w:type="dxa"/>
            <w:vAlign w:val="bottom"/>
            <w:shd w:val="clear" w:color="auto" w:fill="D3ECED"/>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-13335</wp:posOffset>
            </wp:positionV>
            <wp:extent cx="1761490" cy="533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84">
                      <a:extLst>
                        <a:ext uri="{28A0092B-C50C-407E-A947-70E740481C1C}"/>
                      </a:extLst>
                    </a:blip>
                    <a:srcRect/>
                    <a:stretch>
                      <a:fillRect/>
                    </a:stretch>
                  </pic:blipFill>
                  <pic:spPr bwMode="auto">
                    <a:xfrm>
                      <a:off x="0" y="0"/>
                      <a:ext cx="1761490" cy="53340"/>
                    </a:xfrm>
                    <a:prstGeom prst="rect">
                      <a:avLst/>
                    </a:prstGeom>
                    <a:noFill/>
                  </pic:spPr>
                </pic:pic>
              </a:graphicData>
            </a:graphic>
          </wp:anchor>
        </w:drawing>
      </w:r>
    </w:p>
    <w:p>
      <w:pPr>
        <w:spacing w:after="0" w:line="172" w:lineRule="exact"/>
        <w:rPr>
          <w:sz w:val="20"/>
          <w:szCs w:val="20"/>
          <w:color w:val="auto"/>
        </w:rPr>
      </w:pPr>
    </w:p>
    <w:p>
      <w:pPr>
        <w:ind w:left="260" w:right="660"/>
        <w:spacing w:after="0" w:line="355" w:lineRule="auto"/>
        <w:rPr>
          <w:sz w:val="20"/>
          <w:szCs w:val="20"/>
          <w:color w:val="auto"/>
        </w:rPr>
      </w:pPr>
      <w:r>
        <w:rPr>
          <w:rFonts w:ascii="Arial" w:cs="Arial" w:eastAsia="Arial" w:hAnsi="Arial"/>
          <w:sz w:val="18"/>
          <w:szCs w:val="18"/>
          <w:color w:val="auto"/>
        </w:rPr>
        <w:t>As of December 31, 2024, the total unrecognized stock-based compensation related to RSUs was $11.7 million, which the Company expects to recognize over a remaining weighted-average period of 2.5 years.</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2240" w:h="15840" w:orient="portrait"/>
          <w:cols w:equalWidth="0" w:num="1">
            <w:col w:w="9360"/>
          </w:cols>
          <w:pgMar w:left="1440" w:top="1358" w:right="1440" w:bottom="624"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Employee Stock Purchase Plan</w:t>
      </w:r>
    </w:p>
    <w:p>
      <w:pPr>
        <w:spacing w:after="0" w:line="209" w:lineRule="exact"/>
        <w:rPr>
          <w:sz w:val="20"/>
          <w:szCs w:val="20"/>
          <w:color w:val="auto"/>
        </w:rPr>
      </w:pPr>
    </w:p>
    <w:p>
      <w:pPr>
        <w:ind w:left="260" w:right="300"/>
        <w:spacing w:after="0" w:line="299" w:lineRule="auto"/>
        <w:rPr>
          <w:sz w:val="20"/>
          <w:szCs w:val="20"/>
          <w:color w:val="auto"/>
        </w:rPr>
      </w:pPr>
      <w:r>
        <w:rPr>
          <w:rFonts w:ascii="Arial" w:cs="Arial" w:eastAsia="Arial" w:hAnsi="Arial"/>
          <w:sz w:val="19"/>
          <w:szCs w:val="19"/>
          <w:color w:val="auto"/>
        </w:rPr>
        <w:t>In November 2020, the Company’s board of directors adopted the 2020 Employee Stock Purchase Plan (ESPP), which was subsequently approved by the Company’s stockholders and became effective in connection with the IPO. The ESPP permits participants to purchase common stock through payroll deductions of up to 15% of their eligible compensation.</w:t>
      </w:r>
    </w:p>
    <w:p>
      <w:pPr>
        <w:spacing w:after="0" w:line="122" w:lineRule="exact"/>
        <w:rPr>
          <w:sz w:val="20"/>
          <w:szCs w:val="20"/>
          <w:color w:val="auto"/>
        </w:rPr>
      </w:pPr>
    </w:p>
    <w:p>
      <w:pPr>
        <w:ind w:left="260" w:right="340"/>
        <w:spacing w:after="0" w:line="311" w:lineRule="auto"/>
        <w:rPr>
          <w:sz w:val="20"/>
          <w:szCs w:val="20"/>
          <w:color w:val="auto"/>
        </w:rPr>
      </w:pPr>
      <w:r>
        <w:rPr>
          <w:rFonts w:ascii="Arial" w:cs="Arial" w:eastAsia="Arial" w:hAnsi="Arial"/>
          <w:sz w:val="18"/>
          <w:szCs w:val="18"/>
          <w:color w:val="auto"/>
        </w:rPr>
        <w:t>A total of 602,570 shares of Class A common stock initially were reserved for issuance under the ESPP. The ESPP provides for an annual, automatic increase in the number of shares of the Company’s Class A common stock reserved for issuance under the ESPP as of the first day of each fiscal year of the Company beginning with the Company’s 2021 fiscal year, in an amount equal to the least of (a) 1,807,476 shares, (b) a number of shares equal to 1% of the total number of shares of all classes of common stock of the Company outstanding on the last day of the immediately preceding fiscal year, or (c) such number of shares determined by the administrator of the ESPP prior to the date of such share increase.</w:t>
      </w:r>
    </w:p>
    <w:p>
      <w:pPr>
        <w:spacing w:after="0" w:line="115" w:lineRule="exact"/>
        <w:rPr>
          <w:sz w:val="20"/>
          <w:szCs w:val="20"/>
          <w:color w:val="auto"/>
        </w:rPr>
      </w:pPr>
    </w:p>
    <w:p>
      <w:pPr>
        <w:ind w:left="260" w:right="400"/>
        <w:spacing w:after="0" w:line="344" w:lineRule="auto"/>
        <w:rPr>
          <w:sz w:val="20"/>
          <w:szCs w:val="20"/>
          <w:color w:val="auto"/>
        </w:rPr>
      </w:pPr>
      <w:r>
        <w:rPr>
          <w:rFonts w:ascii="Arial" w:cs="Arial" w:eastAsia="Arial" w:hAnsi="Arial"/>
          <w:sz w:val="17"/>
          <w:szCs w:val="17"/>
          <w:color w:val="auto"/>
        </w:rPr>
        <w:t>A total of 2,258,196 shares of Class A common stock are reserved for issuance under the ESPP as of December 31, 2024. During the year ended December 31, 2024, 214,227 shares of Class A common stock were issued under the ESPP. As of December 31, 2024, the total unrecognized stock-based compensation related to the ESPP was $0.1 million, which the Company expects to recognize over a remaining weighted-average period of 0.4 years.</w:t>
      </w:r>
    </w:p>
    <w:p>
      <w:pPr>
        <w:spacing w:after="0" w:line="92" w:lineRule="exact"/>
        <w:rPr>
          <w:sz w:val="20"/>
          <w:szCs w:val="20"/>
          <w:color w:val="auto"/>
        </w:rPr>
      </w:pPr>
    </w:p>
    <w:p>
      <w:pPr>
        <w:ind w:left="260" w:right="300"/>
        <w:spacing w:after="0" w:line="324" w:lineRule="auto"/>
        <w:rPr>
          <w:sz w:val="20"/>
          <w:szCs w:val="20"/>
          <w:color w:val="auto"/>
        </w:rPr>
      </w:pPr>
      <w:r>
        <w:rPr>
          <w:rFonts w:ascii="Arial" w:cs="Arial" w:eastAsia="Arial" w:hAnsi="Arial"/>
          <w:sz w:val="19"/>
          <w:szCs w:val="19"/>
          <w:color w:val="auto"/>
        </w:rPr>
        <w:t>The fair value of the ESPP shares is estimated using the Black-Scholes option pricing model, based on the following assumptions:</w:t>
      </w:r>
    </w:p>
    <w:p>
      <w:pPr>
        <w:spacing w:after="0" w:line="191" w:lineRule="exact"/>
        <w:rPr>
          <w:sz w:val="20"/>
          <w:szCs w:val="20"/>
          <w:color w:val="auto"/>
        </w:rPr>
      </w:pPr>
    </w:p>
    <w:tbl>
      <w:tblPr>
        <w:tblLayout w:type="fixed"/>
        <w:tblInd w:w="260" w:type="dxa"/>
        <w:tblCellMar>
          <w:top w:w="0" w:type="dxa"/>
          <w:left w:w="0" w:type="dxa"/>
          <w:bottom w:w="0" w:type="dxa"/>
          <w:right w:w="0" w:type="dxa"/>
        </w:tblCellMar>
      </w:tblPr>
      <w:tr>
        <w:trPr>
          <w:trHeight w:val="266"/>
        </w:trPr>
        <w:tc>
          <w:tcPr>
            <w:tcW w:w="6020" w:type="dxa"/>
            <w:vAlign w:val="bottom"/>
            <w:shd w:val="clear" w:color="auto" w:fill="FDFDFD"/>
          </w:tcPr>
          <w:p>
            <w:pPr>
              <w:spacing w:after="0"/>
              <w:rPr>
                <w:sz w:val="23"/>
                <w:szCs w:val="23"/>
                <w:color w:val="auto"/>
              </w:rPr>
            </w:pPr>
          </w:p>
        </w:tc>
        <w:tc>
          <w:tcPr>
            <w:tcW w:w="2820" w:type="dxa"/>
            <w:vAlign w:val="bottom"/>
            <w:gridSpan w:val="4"/>
            <w:shd w:val="clear" w:color="auto" w:fill="FDFDFD"/>
          </w:tcPr>
          <w:p>
            <w:pPr>
              <w:ind w:left="520"/>
              <w:spacing w:after="0"/>
              <w:rPr>
                <w:sz w:val="20"/>
                <w:szCs w:val="20"/>
                <w:color w:val="auto"/>
              </w:rPr>
            </w:pPr>
            <w:r>
              <w:rPr>
                <w:rFonts w:ascii="Arial" w:cs="Arial" w:eastAsia="Arial" w:hAnsi="Arial"/>
                <w:sz w:val="15"/>
                <w:szCs w:val="15"/>
                <w:b w:val="1"/>
                <w:bCs w:val="1"/>
                <w:color w:val="auto"/>
              </w:rPr>
              <w:t>Year Ended December 31,</w:t>
            </w:r>
          </w:p>
        </w:tc>
      </w:tr>
      <w:tr>
        <w:trPr>
          <w:trHeight w:val="177"/>
        </w:trPr>
        <w:tc>
          <w:tcPr>
            <w:tcW w:w="6020" w:type="dxa"/>
            <w:vAlign w:val="bottom"/>
            <w:tcBorders>
              <w:top w:val="single" w:sz="8" w:color="FDFDFD"/>
            </w:tcBorders>
            <w:shd w:val="clear" w:color="auto" w:fill="FDFDFD"/>
          </w:tcPr>
          <w:p>
            <w:pPr>
              <w:spacing w:after="0"/>
              <w:rPr>
                <w:sz w:val="15"/>
                <w:szCs w:val="15"/>
                <w:color w:val="auto"/>
              </w:rPr>
            </w:pPr>
          </w:p>
        </w:tc>
        <w:tc>
          <w:tcPr>
            <w:tcW w:w="1280" w:type="dxa"/>
            <w:vAlign w:val="bottom"/>
            <w:tcBorders>
              <w:top w:val="single" w:sz="8" w:color="auto"/>
            </w:tcBorders>
            <w:shd w:val="clear" w:color="auto" w:fill="FDFDFD"/>
          </w:tcPr>
          <w:p>
            <w:pPr>
              <w:jc w:val="right"/>
              <w:ind w:right="412"/>
              <w:spacing w:after="0"/>
              <w:rPr>
                <w:sz w:val="20"/>
                <w:szCs w:val="20"/>
                <w:color w:val="auto"/>
              </w:rPr>
            </w:pPr>
            <w:r>
              <w:rPr>
                <w:rFonts w:ascii="Arial" w:cs="Arial" w:eastAsia="Arial" w:hAnsi="Arial"/>
                <w:sz w:val="15"/>
                <w:szCs w:val="15"/>
                <w:b w:val="1"/>
                <w:bCs w:val="1"/>
                <w:color w:val="auto"/>
              </w:rPr>
              <w:t>2024</w:t>
            </w:r>
          </w:p>
        </w:tc>
        <w:tc>
          <w:tcPr>
            <w:tcW w:w="1460" w:type="dxa"/>
            <w:vAlign w:val="bottom"/>
            <w:tcBorders>
              <w:top w:val="single" w:sz="8" w:color="auto"/>
            </w:tcBorders>
            <w:gridSpan w:val="2"/>
            <w:shd w:val="clear" w:color="auto" w:fill="FDFDFD"/>
          </w:tcPr>
          <w:p>
            <w:pPr>
              <w:jc w:val="right"/>
              <w:ind w:right="405"/>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FDFDFD"/>
            </w:tcBorders>
            <w:shd w:val="clear" w:color="auto" w:fill="FDFDFD"/>
          </w:tcPr>
          <w:p>
            <w:pPr>
              <w:spacing w:after="0"/>
              <w:rPr>
                <w:sz w:val="15"/>
                <w:szCs w:val="15"/>
                <w:color w:val="auto"/>
              </w:rPr>
            </w:pPr>
          </w:p>
        </w:tc>
      </w:tr>
      <w:tr>
        <w:trPr>
          <w:trHeight w:val="220"/>
        </w:trPr>
        <w:tc>
          <w:tcPr>
            <w:tcW w:w="6020" w:type="dxa"/>
            <w:vAlign w:val="bottom"/>
            <w:tcBorders>
              <w:top w:val="single" w:sz="8" w:color="D3ECED"/>
            </w:tcBorders>
            <w:shd w:val="clear" w:color="auto" w:fill="D3ECED"/>
          </w:tcPr>
          <w:p>
            <w:pPr>
              <w:spacing w:after="0"/>
              <w:rPr>
                <w:sz w:val="20"/>
                <w:szCs w:val="20"/>
                <w:color w:val="auto"/>
              </w:rPr>
            </w:pPr>
            <w:r>
              <w:rPr>
                <w:rFonts w:ascii="Arial" w:cs="Arial" w:eastAsia="Arial" w:hAnsi="Arial"/>
                <w:sz w:val="19"/>
                <w:szCs w:val="19"/>
                <w:color w:val="auto"/>
              </w:rPr>
              <w:t>Risk-free interest rate</w:t>
            </w:r>
          </w:p>
        </w:tc>
        <w:tc>
          <w:tcPr>
            <w:tcW w:w="128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4.4% - 5.4%</w:t>
            </w:r>
          </w:p>
        </w:tc>
        <w:tc>
          <w:tcPr>
            <w:tcW w:w="180" w:type="dxa"/>
            <w:vAlign w:val="bottom"/>
            <w:tcBorders>
              <w:top w:val="single" w:sz="8" w:color="D3ECED"/>
            </w:tcBorders>
            <w:shd w:val="clear" w:color="auto" w:fill="D3ECED"/>
          </w:tcPr>
          <w:p>
            <w:pPr>
              <w:spacing w:after="0"/>
              <w:rPr>
                <w:sz w:val="19"/>
                <w:szCs w:val="19"/>
                <w:color w:val="auto"/>
              </w:rPr>
            </w:pPr>
          </w:p>
        </w:tc>
        <w:tc>
          <w:tcPr>
            <w:tcW w:w="128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5.3% - 5.4%</w:t>
            </w:r>
          </w:p>
        </w:tc>
        <w:tc>
          <w:tcPr>
            <w:tcW w:w="80" w:type="dxa"/>
            <w:vAlign w:val="bottom"/>
            <w:tcBorders>
              <w:top w:val="single" w:sz="8" w:color="D3ECED"/>
            </w:tcBorders>
            <w:shd w:val="clear" w:color="auto" w:fill="D3ECED"/>
          </w:tcPr>
          <w:p>
            <w:pPr>
              <w:spacing w:after="0"/>
              <w:rPr>
                <w:sz w:val="19"/>
                <w:szCs w:val="19"/>
                <w:color w:val="auto"/>
              </w:rPr>
            </w:pPr>
          </w:p>
        </w:tc>
      </w:tr>
      <w:tr>
        <w:trPr>
          <w:trHeight w:val="230"/>
        </w:trPr>
        <w:tc>
          <w:tcPr>
            <w:tcW w:w="6020" w:type="dxa"/>
            <w:vAlign w:val="bottom"/>
            <w:shd w:val="clear" w:color="auto" w:fill="FDFDFD"/>
          </w:tcPr>
          <w:p>
            <w:pPr>
              <w:spacing w:after="0"/>
              <w:rPr>
                <w:sz w:val="20"/>
                <w:szCs w:val="20"/>
                <w:color w:val="auto"/>
              </w:rPr>
            </w:pPr>
            <w:r>
              <w:rPr>
                <w:rFonts w:ascii="Arial" w:cs="Arial" w:eastAsia="Arial" w:hAnsi="Arial"/>
                <w:sz w:val="19"/>
                <w:szCs w:val="19"/>
                <w:color w:val="auto"/>
              </w:rPr>
              <w:t>Expected volatility</w:t>
            </w:r>
          </w:p>
        </w:tc>
        <w:tc>
          <w:tcPr>
            <w:tcW w:w="1280" w:type="dxa"/>
            <w:vAlign w:val="bottom"/>
            <w:shd w:val="clear" w:color="auto" w:fill="FDFDFD"/>
          </w:tcPr>
          <w:p>
            <w:pPr>
              <w:jc w:val="right"/>
              <w:spacing w:after="0"/>
              <w:rPr>
                <w:sz w:val="20"/>
                <w:szCs w:val="20"/>
                <w:color w:val="auto"/>
              </w:rPr>
            </w:pPr>
            <w:r>
              <w:rPr>
                <w:rFonts w:ascii="Arial" w:cs="Arial" w:eastAsia="Arial" w:hAnsi="Arial"/>
                <w:sz w:val="19"/>
                <w:szCs w:val="19"/>
                <w:color w:val="auto"/>
                <w:w w:val="99"/>
              </w:rPr>
              <w:t>48.6% - 66.3%</w:t>
            </w:r>
          </w:p>
        </w:tc>
        <w:tc>
          <w:tcPr>
            <w:tcW w:w="180" w:type="dxa"/>
            <w:vAlign w:val="bottom"/>
            <w:shd w:val="clear" w:color="auto" w:fill="FDFDFD"/>
          </w:tcPr>
          <w:p>
            <w:pPr>
              <w:spacing w:after="0"/>
              <w:rPr>
                <w:sz w:val="20"/>
                <w:szCs w:val="20"/>
                <w:color w:val="auto"/>
              </w:rPr>
            </w:pPr>
          </w:p>
        </w:tc>
        <w:tc>
          <w:tcPr>
            <w:tcW w:w="1280" w:type="dxa"/>
            <w:vAlign w:val="bottom"/>
            <w:shd w:val="clear" w:color="auto" w:fill="FDFDFD"/>
          </w:tcPr>
          <w:p>
            <w:pPr>
              <w:jc w:val="right"/>
              <w:spacing w:after="0"/>
              <w:rPr>
                <w:sz w:val="20"/>
                <w:szCs w:val="20"/>
                <w:color w:val="auto"/>
              </w:rPr>
            </w:pPr>
            <w:r>
              <w:rPr>
                <w:rFonts w:ascii="Arial" w:cs="Arial" w:eastAsia="Arial" w:hAnsi="Arial"/>
                <w:sz w:val="19"/>
                <w:szCs w:val="19"/>
                <w:color w:val="auto"/>
                <w:w w:val="99"/>
              </w:rPr>
              <w:t>85.7% - 97.3%</w:t>
            </w:r>
          </w:p>
        </w:tc>
        <w:tc>
          <w:tcPr>
            <w:tcW w:w="80" w:type="dxa"/>
            <w:vAlign w:val="bottom"/>
            <w:shd w:val="clear" w:color="auto" w:fill="FDFDFD"/>
          </w:tcPr>
          <w:p>
            <w:pPr>
              <w:spacing w:after="0"/>
              <w:rPr>
                <w:sz w:val="20"/>
                <w:szCs w:val="20"/>
                <w:color w:val="auto"/>
              </w:rPr>
            </w:pPr>
          </w:p>
        </w:tc>
      </w:tr>
      <w:tr>
        <w:trPr>
          <w:trHeight w:val="230"/>
        </w:trPr>
        <w:tc>
          <w:tcPr>
            <w:tcW w:w="6020" w:type="dxa"/>
            <w:vAlign w:val="bottom"/>
            <w:shd w:val="clear" w:color="auto" w:fill="D3ECED"/>
          </w:tcPr>
          <w:p>
            <w:pPr>
              <w:spacing w:after="0"/>
              <w:rPr>
                <w:sz w:val="20"/>
                <w:szCs w:val="20"/>
                <w:color w:val="auto"/>
              </w:rPr>
            </w:pPr>
            <w:r>
              <w:rPr>
                <w:rFonts w:ascii="Arial" w:cs="Arial" w:eastAsia="Arial" w:hAnsi="Arial"/>
                <w:sz w:val="19"/>
                <w:szCs w:val="19"/>
                <w:color w:val="auto"/>
              </w:rPr>
              <w:t>Expected term (in years)</w:t>
            </w:r>
          </w:p>
        </w:tc>
        <w:tc>
          <w:tcPr>
            <w:tcW w:w="12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0.5</w:t>
            </w:r>
          </w:p>
        </w:tc>
        <w:tc>
          <w:tcPr>
            <w:tcW w:w="1460" w:type="dxa"/>
            <w:vAlign w:val="bottom"/>
            <w:gridSpan w:val="2"/>
            <w:shd w:val="clear" w:color="auto" w:fill="D3ECED"/>
          </w:tcPr>
          <w:p>
            <w:pPr>
              <w:jc w:val="right"/>
              <w:spacing w:after="0"/>
              <w:rPr>
                <w:sz w:val="20"/>
                <w:szCs w:val="20"/>
                <w:color w:val="auto"/>
              </w:rPr>
            </w:pPr>
            <w:r>
              <w:rPr>
                <w:rFonts w:ascii="Arial" w:cs="Arial" w:eastAsia="Arial" w:hAnsi="Arial"/>
                <w:sz w:val="19"/>
                <w:szCs w:val="19"/>
                <w:color w:val="auto"/>
              </w:rPr>
              <w:t>0.5</w:t>
            </w:r>
          </w:p>
        </w:tc>
        <w:tc>
          <w:tcPr>
            <w:tcW w:w="80" w:type="dxa"/>
            <w:vAlign w:val="bottom"/>
            <w:shd w:val="clear" w:color="auto" w:fill="D3ECED"/>
          </w:tcPr>
          <w:p>
            <w:pPr>
              <w:spacing w:after="0"/>
              <w:rPr>
                <w:sz w:val="20"/>
                <w:szCs w:val="20"/>
                <w:color w:val="auto"/>
              </w:rPr>
            </w:pPr>
          </w:p>
        </w:tc>
      </w:tr>
      <w:tr>
        <w:trPr>
          <w:trHeight w:val="233"/>
        </w:trPr>
        <w:tc>
          <w:tcPr>
            <w:tcW w:w="6020" w:type="dxa"/>
            <w:vAlign w:val="bottom"/>
            <w:shd w:val="clear" w:color="auto" w:fill="FDFDFD"/>
          </w:tcPr>
          <w:p>
            <w:pPr>
              <w:spacing w:after="0"/>
              <w:rPr>
                <w:sz w:val="20"/>
                <w:szCs w:val="20"/>
                <w:color w:val="auto"/>
              </w:rPr>
            </w:pPr>
            <w:r>
              <w:rPr>
                <w:rFonts w:ascii="Arial" w:cs="Arial" w:eastAsia="Arial" w:hAnsi="Arial"/>
                <w:sz w:val="19"/>
                <w:szCs w:val="19"/>
                <w:color w:val="auto"/>
              </w:rPr>
              <w:t>Expected dividend yield</w:t>
            </w:r>
          </w:p>
        </w:tc>
        <w:tc>
          <w:tcPr>
            <w:tcW w:w="128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FDFDFD"/>
          </w:tcPr>
          <w:p>
            <w:pPr>
              <w:spacing w:after="0"/>
              <w:rPr>
                <w:sz w:val="20"/>
                <w:szCs w:val="20"/>
                <w:color w:val="auto"/>
              </w:rPr>
            </w:pPr>
          </w:p>
        </w:tc>
        <w:tc>
          <w:tcPr>
            <w:tcW w:w="128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FDFDFD"/>
          </w:tcPr>
          <w:p>
            <w:pPr>
              <w:spacing w:after="0"/>
              <w:rPr>
                <w:sz w:val="20"/>
                <w:szCs w:val="20"/>
                <w:color w:val="auto"/>
              </w:rPr>
            </w:pPr>
          </w:p>
        </w:tc>
      </w:tr>
    </w:tbl>
    <w:p>
      <w:pPr>
        <w:spacing w:after="0" w:line="148"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Stock-Based Compensation</w:t>
      </w:r>
    </w:p>
    <w:p>
      <w:pPr>
        <w:spacing w:after="0" w:line="211" w:lineRule="exact"/>
        <w:rPr>
          <w:sz w:val="20"/>
          <w:szCs w:val="20"/>
          <w:color w:val="auto"/>
        </w:rPr>
      </w:pPr>
    </w:p>
    <w:p>
      <w:pPr>
        <w:ind w:left="260" w:right="920"/>
        <w:spacing w:after="0" w:line="324" w:lineRule="auto"/>
        <w:rPr>
          <w:sz w:val="20"/>
          <w:szCs w:val="20"/>
          <w:color w:val="auto"/>
        </w:rPr>
      </w:pPr>
      <w:r>
        <w:rPr>
          <w:rFonts w:ascii="Arial" w:cs="Arial" w:eastAsia="Arial" w:hAnsi="Arial"/>
          <w:sz w:val="19"/>
          <w:szCs w:val="19"/>
          <w:color w:val="auto"/>
        </w:rPr>
        <w:t>The following table summarizes the components of stock-based compensation recognized in the Company’s consolidated statements of operations and comprehensive loss (in thousands):</w:t>
      </w:r>
    </w:p>
    <w:p>
      <w:pPr>
        <w:spacing w:after="0" w:line="186"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60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680" w:type="dxa"/>
            <w:vAlign w:val="bottom"/>
            <w:gridSpan w:val="5"/>
            <w:shd w:val="clear" w:color="auto" w:fill="FDFDFD"/>
          </w:tcPr>
          <w:p>
            <w:pPr>
              <w:ind w:left="400"/>
              <w:spacing w:after="0"/>
              <w:rPr>
                <w:sz w:val="20"/>
                <w:szCs w:val="20"/>
                <w:color w:val="auto"/>
              </w:rPr>
            </w:pPr>
            <w:r>
              <w:rPr>
                <w:rFonts w:ascii="Arial" w:cs="Arial" w:eastAsia="Arial" w:hAnsi="Arial"/>
                <w:sz w:val="15"/>
                <w:szCs w:val="15"/>
                <w:b w:val="1"/>
                <w:bCs w:val="1"/>
                <w:color w:val="auto"/>
              </w:rPr>
              <w:t>Year Ended December 31,</w:t>
            </w:r>
          </w:p>
        </w:tc>
      </w:tr>
      <w:tr>
        <w:trPr>
          <w:trHeight w:val="177"/>
        </w:trPr>
        <w:tc>
          <w:tcPr>
            <w:tcW w:w="6060" w:type="dxa"/>
            <w:vAlign w:val="bottom"/>
            <w:tcBorders>
              <w:top w:val="single" w:sz="8" w:color="FDFDFD"/>
              <w:bottom w:val="single" w:sz="8" w:color="D3ECED"/>
            </w:tcBorders>
            <w:shd w:val="clear" w:color="auto" w:fill="FDFDFD"/>
          </w:tcPr>
          <w:p>
            <w:pPr>
              <w:spacing w:after="0"/>
              <w:rPr>
                <w:sz w:val="15"/>
                <w:szCs w:val="15"/>
                <w:color w:val="auto"/>
              </w:rPr>
            </w:pPr>
          </w:p>
        </w:tc>
        <w:tc>
          <w:tcPr>
            <w:tcW w:w="100" w:type="dxa"/>
            <w:vAlign w:val="bottom"/>
            <w:tcBorders>
              <w:top w:val="single" w:sz="8" w:color="auto"/>
              <w:bottom w:val="single" w:sz="8" w:color="auto"/>
            </w:tcBorders>
            <w:shd w:val="clear" w:color="auto" w:fill="FDFDFD"/>
          </w:tcPr>
          <w:p>
            <w:pPr>
              <w:spacing w:after="0"/>
              <w:rPr>
                <w:sz w:val="15"/>
                <w:szCs w:val="15"/>
                <w:color w:val="auto"/>
              </w:rPr>
            </w:pPr>
          </w:p>
        </w:tc>
        <w:tc>
          <w:tcPr>
            <w:tcW w:w="1140" w:type="dxa"/>
            <w:vAlign w:val="bottom"/>
            <w:tcBorders>
              <w:top w:val="single" w:sz="8" w:color="auto"/>
              <w:bottom w:val="single" w:sz="8" w:color="auto"/>
            </w:tcBorders>
            <w:shd w:val="clear" w:color="auto" w:fill="FDFDFD"/>
          </w:tcPr>
          <w:p>
            <w:pPr>
              <w:jc w:val="right"/>
              <w:ind w:right="392"/>
              <w:spacing w:after="0"/>
              <w:rPr>
                <w:sz w:val="20"/>
                <w:szCs w:val="20"/>
                <w:color w:val="auto"/>
              </w:rPr>
            </w:pPr>
            <w:r>
              <w:rPr>
                <w:rFonts w:ascii="Arial" w:cs="Arial" w:eastAsia="Arial" w:hAnsi="Arial"/>
                <w:sz w:val="15"/>
                <w:szCs w:val="15"/>
                <w:b w:val="1"/>
                <w:bCs w:val="1"/>
                <w:color w:val="auto"/>
              </w:rPr>
              <w:t>2024</w:t>
            </w:r>
          </w:p>
        </w:tc>
        <w:tc>
          <w:tcPr>
            <w:tcW w:w="220" w:type="dxa"/>
            <w:vAlign w:val="bottom"/>
            <w:tcBorders>
              <w:top w:val="single" w:sz="8" w:color="auto"/>
              <w:bottom w:val="single" w:sz="8" w:color="D3ECED"/>
            </w:tcBorders>
            <w:shd w:val="clear" w:color="auto" w:fill="FDFDFD"/>
          </w:tcPr>
          <w:p>
            <w:pPr>
              <w:spacing w:after="0"/>
              <w:rPr>
                <w:sz w:val="15"/>
                <w:szCs w:val="15"/>
                <w:color w:val="auto"/>
              </w:rPr>
            </w:pPr>
          </w:p>
        </w:tc>
        <w:tc>
          <w:tcPr>
            <w:tcW w:w="100" w:type="dxa"/>
            <w:vAlign w:val="bottom"/>
            <w:tcBorders>
              <w:top w:val="single" w:sz="8" w:color="auto"/>
              <w:bottom w:val="single" w:sz="8" w:color="auto"/>
            </w:tcBorders>
            <w:shd w:val="clear" w:color="auto" w:fill="FDFDFD"/>
          </w:tcPr>
          <w:p>
            <w:pPr>
              <w:spacing w:after="0"/>
              <w:rPr>
                <w:sz w:val="15"/>
                <w:szCs w:val="15"/>
                <w:color w:val="auto"/>
              </w:rPr>
            </w:pPr>
          </w:p>
        </w:tc>
        <w:tc>
          <w:tcPr>
            <w:tcW w:w="1140" w:type="dxa"/>
            <w:vAlign w:val="bottom"/>
            <w:tcBorders>
              <w:top w:val="single" w:sz="8" w:color="auto"/>
              <w:bottom w:val="single" w:sz="8" w:color="auto"/>
            </w:tcBorders>
            <w:shd w:val="clear" w:color="auto" w:fill="FDFDFD"/>
          </w:tcPr>
          <w:p>
            <w:pPr>
              <w:jc w:val="right"/>
              <w:ind w:right="389"/>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FDFDFD"/>
              <w:bottom w:val="single" w:sz="8" w:color="D3ECED"/>
            </w:tcBorders>
            <w:shd w:val="clear" w:color="auto" w:fill="FDFDFD"/>
          </w:tcPr>
          <w:p>
            <w:pPr>
              <w:spacing w:after="0"/>
              <w:rPr>
                <w:sz w:val="15"/>
                <w:szCs w:val="15"/>
                <w:color w:val="auto"/>
              </w:rPr>
            </w:pPr>
          </w:p>
        </w:tc>
      </w:tr>
      <w:tr>
        <w:trPr>
          <w:trHeight w:val="218"/>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Cost of revenue</w:t>
            </w: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1,594</w:t>
            </w:r>
          </w:p>
        </w:tc>
        <w:tc>
          <w:tcPr>
            <w:tcW w:w="220" w:type="dxa"/>
            <w:vAlign w:val="bottom"/>
            <w:shd w:val="clear" w:color="auto" w:fill="D3ECED"/>
          </w:tcPr>
          <w:p>
            <w:pPr>
              <w:spacing w:after="0"/>
              <w:rPr>
                <w:sz w:val="18"/>
                <w:szCs w:val="18"/>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1,490</w:t>
            </w:r>
          </w:p>
        </w:tc>
        <w:tc>
          <w:tcPr>
            <w:tcW w:w="80" w:type="dxa"/>
            <w:vAlign w:val="bottom"/>
            <w:shd w:val="clear" w:color="auto" w:fill="D3ECED"/>
          </w:tcPr>
          <w:p>
            <w:pPr>
              <w:spacing w:after="0"/>
              <w:rPr>
                <w:sz w:val="18"/>
                <w:szCs w:val="18"/>
                <w:color w:val="auto"/>
              </w:rPr>
            </w:pPr>
          </w:p>
        </w:tc>
      </w:tr>
      <w:tr>
        <w:trPr>
          <w:trHeight w:val="230"/>
        </w:trPr>
        <w:tc>
          <w:tcPr>
            <w:tcW w:w="6060" w:type="dxa"/>
            <w:vAlign w:val="bottom"/>
            <w:shd w:val="clear" w:color="auto" w:fill="FDFDFD"/>
          </w:tcPr>
          <w:p>
            <w:pPr>
              <w:spacing w:after="0"/>
              <w:rPr>
                <w:sz w:val="20"/>
                <w:szCs w:val="20"/>
                <w:color w:val="auto"/>
              </w:rPr>
            </w:pPr>
            <w:r>
              <w:rPr>
                <w:rFonts w:ascii="Arial" w:cs="Arial" w:eastAsia="Arial" w:hAnsi="Arial"/>
                <w:sz w:val="19"/>
                <w:szCs w:val="19"/>
                <w:color w:val="auto"/>
              </w:rPr>
              <w:t>Research and development</w:t>
            </w: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8,533</w:t>
            </w:r>
          </w:p>
        </w:tc>
        <w:tc>
          <w:tcPr>
            <w:tcW w:w="22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9,709</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tcBorders>
              <w:bottom w:val="single" w:sz="8" w:color="FDFDFD"/>
            </w:tcBorders>
            <w:shd w:val="clear" w:color="auto" w:fill="D3ECED"/>
          </w:tcPr>
          <w:p>
            <w:pPr>
              <w:spacing w:after="0"/>
              <w:rPr>
                <w:sz w:val="20"/>
                <w:szCs w:val="20"/>
                <w:color w:val="auto"/>
              </w:rPr>
            </w:pPr>
            <w:r>
              <w:rPr>
                <w:rFonts w:ascii="Arial" w:cs="Arial" w:eastAsia="Arial" w:hAnsi="Arial"/>
                <w:sz w:val="19"/>
                <w:szCs w:val="19"/>
                <w:color w:val="auto"/>
              </w:rPr>
              <w:t>Selling, general and administrative</w:t>
            </w:r>
          </w:p>
        </w:tc>
        <w:tc>
          <w:tcPr>
            <w:tcW w:w="100" w:type="dxa"/>
            <w:vAlign w:val="bottom"/>
            <w:tcBorders>
              <w:bottom w:val="single" w:sz="8" w:color="auto"/>
            </w:tcBorders>
            <w:shd w:val="clear" w:color="auto" w:fill="D3ECED"/>
          </w:tcPr>
          <w:p>
            <w:pPr>
              <w:spacing w:after="0"/>
              <w:rPr>
                <w:sz w:val="20"/>
                <w:szCs w:val="20"/>
                <w:color w:val="auto"/>
              </w:rPr>
            </w:pPr>
          </w:p>
        </w:tc>
        <w:tc>
          <w:tcPr>
            <w:tcW w:w="11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18,080</w:t>
            </w:r>
          </w:p>
        </w:tc>
        <w:tc>
          <w:tcPr>
            <w:tcW w:w="22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auto"/>
            </w:tcBorders>
            <w:shd w:val="clear" w:color="auto" w:fill="D3ECED"/>
          </w:tcPr>
          <w:p>
            <w:pPr>
              <w:spacing w:after="0"/>
              <w:rPr>
                <w:sz w:val="20"/>
                <w:szCs w:val="20"/>
                <w:color w:val="auto"/>
              </w:rPr>
            </w:pPr>
          </w:p>
        </w:tc>
        <w:tc>
          <w:tcPr>
            <w:tcW w:w="11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23,225</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2"/>
        </w:trPr>
        <w:tc>
          <w:tcPr>
            <w:tcW w:w="6060" w:type="dxa"/>
            <w:vAlign w:val="bottom"/>
            <w:shd w:val="clear" w:color="auto" w:fill="FDFDFD"/>
          </w:tcPr>
          <w:p>
            <w:pPr>
              <w:spacing w:after="0"/>
              <w:rPr>
                <w:sz w:val="20"/>
                <w:szCs w:val="20"/>
                <w:color w:val="auto"/>
              </w:rPr>
            </w:pPr>
            <w:r>
              <w:rPr>
                <w:rFonts w:ascii="Arial" w:cs="Arial" w:eastAsia="Arial" w:hAnsi="Arial"/>
                <w:sz w:val="19"/>
                <w:szCs w:val="19"/>
                <w:color w:val="auto"/>
              </w:rPr>
              <w:t>Total stock-based compensation</w:t>
            </w:r>
          </w:p>
        </w:tc>
        <w:tc>
          <w:tcPr>
            <w:tcW w:w="100" w:type="dxa"/>
            <w:vAlign w:val="bottom"/>
            <w:shd w:val="clear" w:color="auto" w:fill="FDFDFD"/>
          </w:tcPr>
          <w:p>
            <w:pPr>
              <w:jc w:val="right"/>
              <w:spacing w:after="0"/>
              <w:rPr>
                <w:sz w:val="20"/>
                <w:szCs w:val="20"/>
                <w:color w:val="auto"/>
              </w:rPr>
            </w:pPr>
            <w:r>
              <w:rPr>
                <w:rFonts w:ascii="Arial" w:cs="Arial" w:eastAsia="Arial" w:hAnsi="Arial"/>
                <w:sz w:val="19"/>
                <w:szCs w:val="19"/>
                <w:color w:val="auto"/>
                <w:highlight w:val="white"/>
                <w:w w:val="75"/>
              </w:rPr>
              <w:t>$</w:t>
            </w: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28,207</w:t>
            </w:r>
          </w:p>
        </w:tc>
        <w:tc>
          <w:tcPr>
            <w:tcW w:w="220" w:type="dxa"/>
            <w:vAlign w:val="bottom"/>
            <w:shd w:val="clear" w:color="auto" w:fill="FDFDFD"/>
          </w:tcPr>
          <w:p>
            <w:pPr>
              <w:spacing w:after="0"/>
              <w:rPr>
                <w:sz w:val="19"/>
                <w:szCs w:val="19"/>
                <w:color w:val="auto"/>
              </w:rPr>
            </w:pPr>
          </w:p>
        </w:tc>
        <w:tc>
          <w:tcPr>
            <w:tcW w:w="100" w:type="dxa"/>
            <w:vAlign w:val="bottom"/>
            <w:shd w:val="clear" w:color="auto" w:fill="FDFDFD"/>
          </w:tcPr>
          <w:p>
            <w:pPr>
              <w:jc w:val="right"/>
              <w:spacing w:after="0"/>
              <w:rPr>
                <w:sz w:val="20"/>
                <w:szCs w:val="20"/>
                <w:color w:val="auto"/>
              </w:rPr>
            </w:pPr>
            <w:r>
              <w:rPr>
                <w:rFonts w:ascii="Arial" w:cs="Arial" w:eastAsia="Arial" w:hAnsi="Arial"/>
                <w:sz w:val="19"/>
                <w:szCs w:val="19"/>
                <w:color w:val="auto"/>
                <w:highlight w:val="white"/>
                <w:w w:val="75"/>
              </w:rPr>
              <w:t>$</w:t>
            </w: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34,424</w:t>
            </w:r>
          </w:p>
        </w:tc>
        <w:tc>
          <w:tcPr>
            <w:tcW w:w="80" w:type="dxa"/>
            <w:vAlign w:val="bottom"/>
            <w:shd w:val="clear" w:color="auto" w:fill="FDFDF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-13335</wp:posOffset>
            </wp:positionV>
            <wp:extent cx="1740535" cy="533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85">
                      <a:extLst>
                        <a:ext uri="{28A0092B-C50C-407E-A947-70E740481C1C}"/>
                      </a:extLst>
                    </a:blip>
                    <a:srcRect/>
                    <a:stretch>
                      <a:fillRect/>
                    </a:stretch>
                  </pic:blipFill>
                  <pic:spPr bwMode="auto">
                    <a:xfrm>
                      <a:off x="0" y="0"/>
                      <a:ext cx="1740535" cy="53340"/>
                    </a:xfrm>
                    <a:prstGeom prst="rect">
                      <a:avLst/>
                    </a:prstGeom>
                    <a:noFill/>
                  </pic:spPr>
                </pic:pic>
              </a:graphicData>
            </a:graphic>
          </wp:anchor>
        </w:drawing>
      </w:r>
    </w:p>
    <w:p>
      <w:pPr>
        <w:spacing w:after="0" w:line="235" w:lineRule="exact"/>
        <w:rPr>
          <w:sz w:val="20"/>
          <w:szCs w:val="20"/>
          <w:color w:val="auto"/>
        </w:rPr>
      </w:pPr>
    </w:p>
    <w:p>
      <w:pPr>
        <w:ind w:left="600" w:hanging="341"/>
        <w:spacing w:after="0"/>
        <w:tabs>
          <w:tab w:leader="none" w:pos="60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EMPLOYEE BENEFIT PLANS</w:t>
      </w:r>
    </w:p>
    <w:p>
      <w:pPr>
        <w:spacing w:after="0" w:line="213" w:lineRule="exact"/>
        <w:rPr>
          <w:sz w:val="20"/>
          <w:szCs w:val="20"/>
          <w:color w:val="auto"/>
        </w:rPr>
      </w:pPr>
    </w:p>
    <w:p>
      <w:pPr>
        <w:jc w:val="both"/>
        <w:ind w:left="260" w:right="320"/>
        <w:spacing w:after="0" w:line="320" w:lineRule="auto"/>
        <w:rPr>
          <w:sz w:val="20"/>
          <w:szCs w:val="20"/>
          <w:color w:val="auto"/>
        </w:rPr>
      </w:pPr>
      <w:r>
        <w:rPr>
          <w:rFonts w:ascii="Arial" w:cs="Arial" w:eastAsia="Arial" w:hAnsi="Arial"/>
          <w:sz w:val="18"/>
          <w:szCs w:val="18"/>
          <w:color w:val="auto"/>
        </w:rPr>
        <w:t>The Company sponsors a qualified 401(k) defined contribution plan covering eligible employees. Participants may contribute a portion of their annual compensation limited to a maximum annual amount set by the Internal Revenue Service. In 2022, the Company implemented a 401(k) match program. For the fiscal years ended 2024 and 2023, the Company contributed $0.6 million and $0.4 million to the 401(k) plan, respectively.</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2240" w:h="15840" w:orient="portrait"/>
          <w:cols w:equalWidth="0" w:num="1">
            <w:col w:w="9360"/>
          </w:cols>
          <w:pgMar w:left="1440" w:top="1358" w:right="1440" w:bottom="624"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1" w:lineRule="exact"/>
        <w:rPr>
          <w:sz w:val="20"/>
          <w:szCs w:val="20"/>
          <w:color w:val="auto"/>
        </w:rPr>
      </w:pPr>
    </w:p>
    <w:p>
      <w:pPr>
        <w:ind w:left="600" w:hanging="337"/>
        <w:spacing w:after="0"/>
        <w:tabs>
          <w:tab w:leader="none" w:pos="6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LEASES</w:t>
      </w:r>
    </w:p>
    <w:p>
      <w:pPr>
        <w:spacing w:after="0" w:line="213" w:lineRule="exact"/>
        <w:rPr>
          <w:sz w:val="20"/>
          <w:szCs w:val="20"/>
          <w:color w:val="auto"/>
        </w:rPr>
      </w:pPr>
    </w:p>
    <w:p>
      <w:pPr>
        <w:ind w:left="260" w:right="400"/>
        <w:spacing w:after="0" w:line="329" w:lineRule="auto"/>
        <w:rPr>
          <w:sz w:val="20"/>
          <w:szCs w:val="20"/>
          <w:color w:val="auto"/>
        </w:rPr>
      </w:pPr>
      <w:r>
        <w:rPr>
          <w:rFonts w:ascii="Arial" w:cs="Arial" w:eastAsia="Arial" w:hAnsi="Arial"/>
          <w:sz w:val="17"/>
          <w:szCs w:val="17"/>
          <w:color w:val="auto"/>
        </w:rPr>
        <w:t>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each of December 31, 2024 and 2023, which is secured by restricted cash and is presented as noncurrent at each date based on the term of the underlying lease. In addition, the Company leases approximately 6,000 square of office space in San Diego, California under a lease that runs through September 2024. The Company entered into a lease for approximately 3,500 square of office space in San Diego, California that runs from October 2024 through July 2025.</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9"/>
          <w:szCs w:val="19"/>
          <w:color w:val="auto"/>
        </w:rPr>
        <w:t>The components of lease expense and supplemental information were as follows (in thousands):</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6020" w:type="dxa"/>
            <w:vAlign w:val="bottom"/>
            <w:tcBorders>
              <w:bottom w:val="single" w:sz="8" w:color="FDFDFD"/>
            </w:tcBorders>
            <w:shd w:val="clear" w:color="auto" w:fill="FDFDFD"/>
          </w:tcPr>
          <w:p>
            <w:pPr>
              <w:spacing w:after="0"/>
              <w:rPr>
                <w:sz w:val="16"/>
                <w:szCs w:val="16"/>
                <w:color w:val="auto"/>
              </w:rPr>
            </w:pPr>
          </w:p>
        </w:tc>
        <w:tc>
          <w:tcPr>
            <w:tcW w:w="4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2140" w:type="dxa"/>
            <w:vAlign w:val="bottom"/>
            <w:tcBorders>
              <w:bottom w:val="single" w:sz="8" w:color="auto"/>
            </w:tcBorders>
            <w:gridSpan w:val="7"/>
            <w:shd w:val="clear" w:color="auto" w:fill="FDFDFD"/>
          </w:tcPr>
          <w:p>
            <w:pPr>
              <w:jc w:val="right"/>
              <w:spacing w:after="0"/>
              <w:rPr>
                <w:sz w:val="20"/>
                <w:szCs w:val="20"/>
                <w:color w:val="auto"/>
              </w:rPr>
            </w:pPr>
            <w:r>
              <w:rPr>
                <w:rFonts w:ascii="Arial" w:cs="Arial" w:eastAsia="Arial" w:hAnsi="Arial"/>
                <w:sz w:val="15"/>
                <w:szCs w:val="15"/>
                <w:b w:val="1"/>
                <w:bCs w:val="1"/>
                <w:color w:val="auto"/>
              </w:rPr>
              <w:t>Year Ended December 31,</w:t>
            </w:r>
          </w:p>
        </w:tc>
        <w:tc>
          <w:tcPr>
            <w:tcW w:w="360" w:type="dxa"/>
            <w:vAlign w:val="bottom"/>
            <w:tcBorders>
              <w:bottom w:val="single" w:sz="8" w:color="auto"/>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r>
      <w:tr>
        <w:trPr>
          <w:trHeight w:val="176"/>
        </w:trPr>
        <w:tc>
          <w:tcPr>
            <w:tcW w:w="6020" w:type="dxa"/>
            <w:vAlign w:val="bottom"/>
            <w:shd w:val="clear" w:color="auto" w:fill="FDFDFD"/>
          </w:tcPr>
          <w:p>
            <w:pPr>
              <w:spacing w:after="0"/>
              <w:rPr>
                <w:sz w:val="15"/>
                <w:szCs w:val="15"/>
                <w:color w:val="auto"/>
              </w:rPr>
            </w:pPr>
          </w:p>
        </w:tc>
        <w:tc>
          <w:tcPr>
            <w:tcW w:w="40" w:type="dxa"/>
            <w:vAlign w:val="bottom"/>
            <w:shd w:val="clear" w:color="auto" w:fill="FDFDFD"/>
          </w:tcPr>
          <w:p>
            <w:pPr>
              <w:spacing w:after="0"/>
              <w:rPr>
                <w:sz w:val="15"/>
                <w:szCs w:val="15"/>
                <w:color w:val="auto"/>
              </w:rPr>
            </w:pPr>
          </w:p>
        </w:tc>
        <w:tc>
          <w:tcPr>
            <w:tcW w:w="780" w:type="dxa"/>
            <w:vAlign w:val="bottom"/>
            <w:gridSpan w:val="2"/>
            <w:shd w:val="clear" w:color="auto" w:fill="FDFDFD"/>
          </w:tcPr>
          <w:p>
            <w:pPr>
              <w:jc w:val="right"/>
              <w:spacing w:after="0"/>
              <w:rPr>
                <w:sz w:val="20"/>
                <w:szCs w:val="20"/>
                <w:color w:val="auto"/>
              </w:rPr>
            </w:pPr>
            <w:r>
              <w:rPr>
                <w:rFonts w:ascii="Arial" w:cs="Arial" w:eastAsia="Arial" w:hAnsi="Arial"/>
                <w:sz w:val="15"/>
                <w:szCs w:val="15"/>
                <w:b w:val="1"/>
                <w:bCs w:val="1"/>
                <w:color w:val="auto"/>
              </w:rPr>
              <w:t>2024</w:t>
            </w:r>
          </w:p>
        </w:tc>
        <w:tc>
          <w:tcPr>
            <w:tcW w:w="3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920" w:type="dxa"/>
            <w:vAlign w:val="bottom"/>
            <w:gridSpan w:val="3"/>
            <w:shd w:val="clear" w:color="auto" w:fill="FDFDFD"/>
          </w:tcPr>
          <w:p>
            <w:pPr>
              <w:jc w:val="right"/>
              <w:spacing w:after="0"/>
              <w:rPr>
                <w:sz w:val="20"/>
                <w:szCs w:val="20"/>
                <w:color w:val="auto"/>
              </w:rPr>
            </w:pPr>
            <w:r>
              <w:rPr>
                <w:rFonts w:ascii="Arial" w:cs="Arial" w:eastAsia="Arial" w:hAnsi="Arial"/>
                <w:sz w:val="15"/>
                <w:szCs w:val="15"/>
                <w:b w:val="1"/>
                <w:bCs w:val="1"/>
                <w:color w:val="auto"/>
              </w:rPr>
              <w:t>2023</w:t>
            </w:r>
          </w:p>
        </w:tc>
        <w:tc>
          <w:tcPr>
            <w:tcW w:w="3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r>
      <w:tr>
        <w:trPr>
          <w:trHeight w:val="220"/>
        </w:trPr>
        <w:tc>
          <w:tcPr>
            <w:tcW w:w="6060" w:type="dxa"/>
            <w:vAlign w:val="bottom"/>
            <w:tcBorders>
              <w:top w:val="single" w:sz="8" w:color="D3ECED"/>
            </w:tcBorders>
            <w:gridSpan w:val="2"/>
            <w:shd w:val="clear" w:color="auto" w:fill="D3ECED"/>
          </w:tcPr>
          <w:p>
            <w:pPr>
              <w:spacing w:after="0"/>
              <w:rPr>
                <w:sz w:val="20"/>
                <w:szCs w:val="20"/>
                <w:color w:val="auto"/>
              </w:rPr>
            </w:pPr>
            <w:r>
              <w:rPr>
                <w:rFonts w:ascii="Arial" w:cs="Arial" w:eastAsia="Arial" w:hAnsi="Arial"/>
                <w:sz w:val="19"/>
                <w:szCs w:val="19"/>
                <w:color w:val="auto"/>
              </w:rPr>
              <w:t>Operating lease costs</w:t>
            </w:r>
          </w:p>
        </w:tc>
        <w:tc>
          <w:tcPr>
            <w:tcW w:w="10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680" w:type="dxa"/>
            <w:vAlign w:val="bottom"/>
            <w:tcBorders>
              <w:top w:val="single" w:sz="8" w:color="auto"/>
            </w:tcBorders>
            <w:shd w:val="clear" w:color="auto" w:fill="D3ECED"/>
          </w:tcPr>
          <w:p>
            <w:pPr>
              <w:spacing w:after="0"/>
              <w:rPr>
                <w:sz w:val="19"/>
                <w:szCs w:val="19"/>
                <w:color w:val="auto"/>
              </w:rPr>
            </w:pPr>
          </w:p>
        </w:tc>
        <w:tc>
          <w:tcPr>
            <w:tcW w:w="460" w:type="dxa"/>
            <w:vAlign w:val="bottom"/>
            <w:tcBorders>
              <w:top w:val="single" w:sz="8" w:color="auto"/>
            </w:tcBorders>
            <w:gridSpan w:val="2"/>
            <w:shd w:val="clear" w:color="auto" w:fill="D3ECED"/>
          </w:tcPr>
          <w:p>
            <w:pPr>
              <w:jc w:val="right"/>
              <w:ind w:right="20"/>
              <w:spacing w:after="0"/>
              <w:rPr>
                <w:sz w:val="20"/>
                <w:szCs w:val="20"/>
                <w:color w:val="auto"/>
              </w:rPr>
            </w:pPr>
            <w:r>
              <w:rPr>
                <w:rFonts w:ascii="Arial" w:cs="Arial" w:eastAsia="Arial" w:hAnsi="Arial"/>
                <w:sz w:val="19"/>
                <w:szCs w:val="19"/>
                <w:color w:val="auto"/>
                <w:w w:val="88"/>
              </w:rPr>
              <w:t>4,061</w:t>
            </w:r>
          </w:p>
        </w:tc>
        <w:tc>
          <w:tcPr>
            <w:tcW w:w="80" w:type="dxa"/>
            <w:vAlign w:val="bottom"/>
            <w:tcBorders>
              <w:top w:val="single" w:sz="8" w:color="D3ECED"/>
            </w:tcBorders>
            <w:shd w:val="clear" w:color="auto" w:fill="D3ECED"/>
          </w:tcPr>
          <w:p>
            <w:pPr>
              <w:spacing w:after="0"/>
              <w:rPr>
                <w:sz w:val="19"/>
                <w:szCs w:val="19"/>
                <w:color w:val="auto"/>
              </w:rPr>
            </w:pPr>
          </w:p>
        </w:tc>
        <w:tc>
          <w:tcPr>
            <w:tcW w:w="100" w:type="dxa"/>
            <w:vAlign w:val="bottom"/>
            <w:tcBorders>
              <w:top w:val="single" w:sz="8" w:color="D3ECED"/>
            </w:tcBorders>
            <w:shd w:val="clear" w:color="auto" w:fill="D3ECED"/>
          </w:tcPr>
          <w:p>
            <w:pPr>
              <w:spacing w:after="0"/>
              <w:rPr>
                <w:sz w:val="19"/>
                <w:szCs w:val="19"/>
                <w:color w:val="auto"/>
              </w:rPr>
            </w:pPr>
          </w:p>
        </w:tc>
        <w:tc>
          <w:tcPr>
            <w:tcW w:w="40" w:type="dxa"/>
            <w:vAlign w:val="bottom"/>
            <w:tcBorders>
              <w:top w:val="single" w:sz="8" w:color="D3ECED"/>
            </w:tcBorders>
            <w:shd w:val="clear" w:color="auto" w:fill="D3ECED"/>
          </w:tcPr>
          <w:p>
            <w:pPr>
              <w:spacing w:after="0"/>
              <w:rPr>
                <w:sz w:val="19"/>
                <w:szCs w:val="19"/>
                <w:color w:val="auto"/>
              </w:rPr>
            </w:pPr>
          </w:p>
        </w:tc>
        <w:tc>
          <w:tcPr>
            <w:tcW w:w="780" w:type="dxa"/>
            <w:vAlign w:val="bottom"/>
            <w:tcBorders>
              <w:top w:val="single" w:sz="8" w:color="auto"/>
            </w:tcBorders>
            <w:shd w:val="clear" w:color="auto" w:fill="D3ECED"/>
          </w:tcPr>
          <w:p>
            <w:pPr>
              <w:jc w:val="right"/>
              <w:ind w:right="585"/>
              <w:spacing w:after="0"/>
              <w:rPr>
                <w:sz w:val="20"/>
                <w:szCs w:val="20"/>
                <w:color w:val="auto"/>
              </w:rPr>
            </w:pPr>
            <w:r>
              <w:rPr>
                <w:rFonts w:ascii="Arial" w:cs="Arial" w:eastAsia="Arial" w:hAnsi="Arial"/>
                <w:sz w:val="19"/>
                <w:szCs w:val="19"/>
                <w:color w:val="auto"/>
                <w:w w:val="75"/>
                <w:shd w:val="clear" w:color="auto" w:fill="D3ECED"/>
              </w:rPr>
              <w:t>$</w:t>
            </w:r>
          </w:p>
        </w:tc>
        <w:tc>
          <w:tcPr>
            <w:tcW w:w="460" w:type="dxa"/>
            <w:vAlign w:val="bottom"/>
            <w:tcBorders>
              <w:top w:val="single" w:sz="8" w:color="auto"/>
            </w:tcBorders>
            <w:gridSpan w:val="2"/>
            <w:shd w:val="clear" w:color="auto" w:fill="D3ECED"/>
          </w:tcPr>
          <w:p>
            <w:pPr>
              <w:jc w:val="right"/>
              <w:ind w:right="20"/>
              <w:spacing w:after="0"/>
              <w:rPr>
                <w:sz w:val="20"/>
                <w:szCs w:val="20"/>
                <w:color w:val="auto"/>
              </w:rPr>
            </w:pPr>
            <w:r>
              <w:rPr>
                <w:rFonts w:ascii="Arial" w:cs="Arial" w:eastAsia="Arial" w:hAnsi="Arial"/>
                <w:sz w:val="19"/>
                <w:szCs w:val="19"/>
                <w:color w:val="auto"/>
                <w:w w:val="88"/>
              </w:rPr>
              <w:t>4,153</w:t>
            </w:r>
          </w:p>
        </w:tc>
        <w:tc>
          <w:tcPr>
            <w:tcW w:w="80" w:type="dxa"/>
            <w:vAlign w:val="bottom"/>
            <w:tcBorders>
              <w:top w:val="single" w:sz="8" w:color="D3ECED"/>
            </w:tcBorders>
            <w:shd w:val="clear" w:color="auto" w:fill="D3ECED"/>
          </w:tcPr>
          <w:p>
            <w:pPr>
              <w:spacing w:after="0"/>
              <w:rPr>
                <w:sz w:val="19"/>
                <w:szCs w:val="19"/>
                <w:color w:val="auto"/>
              </w:rPr>
            </w:pPr>
          </w:p>
        </w:tc>
      </w:tr>
      <w:tr>
        <w:trPr>
          <w:trHeight w:val="230"/>
        </w:trPr>
        <w:tc>
          <w:tcPr>
            <w:tcW w:w="6060" w:type="dxa"/>
            <w:vAlign w:val="bottom"/>
            <w:gridSpan w:val="2"/>
            <w:shd w:val="clear" w:color="auto" w:fill="FDFDFD"/>
          </w:tcPr>
          <w:p>
            <w:pPr>
              <w:spacing w:after="0"/>
              <w:rPr>
                <w:sz w:val="20"/>
                <w:szCs w:val="20"/>
                <w:color w:val="auto"/>
              </w:rPr>
            </w:pPr>
            <w:r>
              <w:rPr>
                <w:rFonts w:ascii="Arial" w:cs="Arial" w:eastAsia="Arial" w:hAnsi="Arial"/>
                <w:sz w:val="19"/>
                <w:szCs w:val="19"/>
                <w:color w:val="auto"/>
              </w:rPr>
              <w:t>Variable lease costs</w:t>
            </w:r>
          </w:p>
        </w:tc>
        <w:tc>
          <w:tcPr>
            <w:tcW w:w="100" w:type="dxa"/>
            <w:vAlign w:val="bottom"/>
            <w:shd w:val="clear" w:color="auto" w:fill="FDFDFD"/>
          </w:tcPr>
          <w:p>
            <w:pPr>
              <w:spacing w:after="0"/>
              <w:rPr>
                <w:sz w:val="20"/>
                <w:szCs w:val="20"/>
                <w:color w:val="auto"/>
              </w:rPr>
            </w:pPr>
          </w:p>
        </w:tc>
        <w:tc>
          <w:tcPr>
            <w:tcW w:w="680" w:type="dxa"/>
            <w:vAlign w:val="bottom"/>
            <w:shd w:val="clear" w:color="auto" w:fill="FDFDFD"/>
          </w:tcPr>
          <w:p>
            <w:pPr>
              <w:spacing w:after="0"/>
              <w:rPr>
                <w:sz w:val="20"/>
                <w:szCs w:val="20"/>
                <w:color w:val="auto"/>
              </w:rPr>
            </w:pPr>
          </w:p>
        </w:tc>
        <w:tc>
          <w:tcPr>
            <w:tcW w:w="460" w:type="dxa"/>
            <w:vAlign w:val="bottom"/>
            <w:gridSpan w:val="2"/>
            <w:shd w:val="clear" w:color="auto" w:fill="FDFDFD"/>
          </w:tcPr>
          <w:p>
            <w:pPr>
              <w:jc w:val="right"/>
              <w:ind w:right="20"/>
              <w:spacing w:after="0"/>
              <w:rPr>
                <w:sz w:val="20"/>
                <w:szCs w:val="20"/>
                <w:color w:val="auto"/>
              </w:rPr>
            </w:pPr>
            <w:r>
              <w:rPr>
                <w:rFonts w:ascii="Arial" w:cs="Arial" w:eastAsia="Arial" w:hAnsi="Arial"/>
                <w:sz w:val="19"/>
                <w:szCs w:val="19"/>
                <w:color w:val="auto"/>
              </w:rPr>
              <w:t>976</w:t>
            </w:r>
          </w:p>
        </w:tc>
        <w:tc>
          <w:tcPr>
            <w:tcW w:w="8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40" w:type="dxa"/>
            <w:vAlign w:val="bottom"/>
            <w:shd w:val="clear" w:color="auto" w:fill="FDFDFD"/>
          </w:tcPr>
          <w:p>
            <w:pPr>
              <w:spacing w:after="0"/>
              <w:rPr>
                <w:sz w:val="20"/>
                <w:szCs w:val="20"/>
                <w:color w:val="auto"/>
              </w:rPr>
            </w:pPr>
          </w:p>
        </w:tc>
        <w:tc>
          <w:tcPr>
            <w:tcW w:w="780" w:type="dxa"/>
            <w:vAlign w:val="bottom"/>
            <w:shd w:val="clear" w:color="auto" w:fill="FDFDFD"/>
          </w:tcPr>
          <w:p>
            <w:pPr>
              <w:spacing w:after="0"/>
              <w:rPr>
                <w:sz w:val="20"/>
                <w:szCs w:val="20"/>
                <w:color w:val="auto"/>
              </w:rPr>
            </w:pPr>
          </w:p>
        </w:tc>
        <w:tc>
          <w:tcPr>
            <w:tcW w:w="460" w:type="dxa"/>
            <w:vAlign w:val="bottom"/>
            <w:gridSpan w:val="2"/>
            <w:shd w:val="clear" w:color="auto" w:fill="FDFDFD"/>
          </w:tcPr>
          <w:p>
            <w:pPr>
              <w:jc w:val="right"/>
              <w:ind w:right="20"/>
              <w:spacing w:after="0"/>
              <w:rPr>
                <w:sz w:val="20"/>
                <w:szCs w:val="20"/>
                <w:color w:val="auto"/>
              </w:rPr>
            </w:pPr>
            <w:r>
              <w:rPr>
                <w:rFonts w:ascii="Arial" w:cs="Arial" w:eastAsia="Arial" w:hAnsi="Arial"/>
                <w:sz w:val="19"/>
                <w:szCs w:val="19"/>
                <w:color w:val="auto"/>
              </w:rPr>
              <w:t>397</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tcBorders>
              <w:bottom w:val="single" w:sz="8" w:color="FDFDFD"/>
            </w:tcBorders>
            <w:gridSpan w:val="2"/>
            <w:shd w:val="clear" w:color="auto" w:fill="D3ECED"/>
          </w:tcPr>
          <w:p>
            <w:pPr>
              <w:spacing w:after="0"/>
              <w:rPr>
                <w:sz w:val="20"/>
                <w:szCs w:val="20"/>
                <w:color w:val="auto"/>
              </w:rPr>
            </w:pPr>
            <w:r>
              <w:rPr>
                <w:rFonts w:ascii="Arial" w:cs="Arial" w:eastAsia="Arial" w:hAnsi="Arial"/>
                <w:sz w:val="19"/>
                <w:szCs w:val="19"/>
                <w:color w:val="auto"/>
              </w:rPr>
              <w:t>Short-term lease costs</w:t>
            </w:r>
          </w:p>
        </w:tc>
        <w:tc>
          <w:tcPr>
            <w:tcW w:w="100" w:type="dxa"/>
            <w:vAlign w:val="bottom"/>
            <w:tcBorders>
              <w:bottom w:val="single" w:sz="8" w:color="auto"/>
            </w:tcBorders>
            <w:shd w:val="clear" w:color="auto" w:fill="D3ECED"/>
          </w:tcPr>
          <w:p>
            <w:pPr>
              <w:spacing w:after="0"/>
              <w:rPr>
                <w:sz w:val="20"/>
                <w:szCs w:val="20"/>
                <w:color w:val="auto"/>
              </w:rPr>
            </w:pPr>
          </w:p>
        </w:tc>
        <w:tc>
          <w:tcPr>
            <w:tcW w:w="680" w:type="dxa"/>
            <w:vAlign w:val="bottom"/>
            <w:tcBorders>
              <w:bottom w:val="single" w:sz="8" w:color="auto"/>
            </w:tcBorders>
            <w:shd w:val="clear" w:color="auto" w:fill="D3ECED"/>
          </w:tcPr>
          <w:p>
            <w:pPr>
              <w:spacing w:after="0"/>
              <w:rPr>
                <w:sz w:val="20"/>
                <w:szCs w:val="20"/>
                <w:color w:val="auto"/>
              </w:rPr>
            </w:pPr>
          </w:p>
        </w:tc>
        <w:tc>
          <w:tcPr>
            <w:tcW w:w="460" w:type="dxa"/>
            <w:vAlign w:val="bottom"/>
            <w:tcBorders>
              <w:bottom w:val="single" w:sz="8" w:color="auto"/>
            </w:tcBorders>
            <w:gridSpan w:val="2"/>
            <w:shd w:val="clear" w:color="auto" w:fill="D3ECED"/>
          </w:tcPr>
          <w:p>
            <w:pPr>
              <w:jc w:val="right"/>
              <w:ind w:right="20"/>
              <w:spacing w:after="0"/>
              <w:rPr>
                <w:sz w:val="20"/>
                <w:szCs w:val="20"/>
                <w:color w:val="auto"/>
              </w:rPr>
            </w:pPr>
            <w:r>
              <w:rPr>
                <w:rFonts w:ascii="Arial" w:cs="Arial" w:eastAsia="Arial" w:hAnsi="Arial"/>
                <w:sz w:val="19"/>
                <w:szCs w:val="19"/>
                <w:color w:val="auto"/>
              </w:rPr>
              <w:t>67</w:t>
            </w:r>
          </w:p>
        </w:tc>
        <w:tc>
          <w:tcPr>
            <w:tcW w:w="80" w:type="dxa"/>
            <w:vAlign w:val="bottom"/>
            <w:tcBorders>
              <w:bottom w:val="single" w:sz="8" w:color="FDFDFD"/>
            </w:tcBorders>
            <w:shd w:val="clear" w:color="auto" w:fill="D3ECED"/>
          </w:tcPr>
          <w:p>
            <w:pPr>
              <w:spacing w:after="0"/>
              <w:rPr>
                <w:sz w:val="20"/>
                <w:szCs w:val="20"/>
                <w:color w:val="auto"/>
              </w:rPr>
            </w:pPr>
          </w:p>
        </w:tc>
        <w:tc>
          <w:tcPr>
            <w:tcW w:w="100" w:type="dxa"/>
            <w:vAlign w:val="bottom"/>
            <w:tcBorders>
              <w:bottom w:val="single" w:sz="8" w:color="FDFDFD"/>
            </w:tcBorders>
            <w:shd w:val="clear" w:color="auto" w:fill="D3ECED"/>
          </w:tcPr>
          <w:p>
            <w:pPr>
              <w:spacing w:after="0"/>
              <w:rPr>
                <w:sz w:val="20"/>
                <w:szCs w:val="20"/>
                <w:color w:val="auto"/>
              </w:rPr>
            </w:pPr>
          </w:p>
        </w:tc>
        <w:tc>
          <w:tcPr>
            <w:tcW w:w="40" w:type="dxa"/>
            <w:vAlign w:val="bottom"/>
            <w:tcBorders>
              <w:bottom w:val="single" w:sz="8" w:color="FDFDFD"/>
            </w:tcBorders>
            <w:shd w:val="clear" w:color="auto" w:fill="D3ECED"/>
          </w:tcPr>
          <w:p>
            <w:pPr>
              <w:spacing w:after="0"/>
              <w:rPr>
                <w:sz w:val="20"/>
                <w:szCs w:val="20"/>
                <w:color w:val="auto"/>
              </w:rPr>
            </w:pPr>
          </w:p>
        </w:tc>
        <w:tc>
          <w:tcPr>
            <w:tcW w:w="780" w:type="dxa"/>
            <w:vAlign w:val="bottom"/>
            <w:tcBorders>
              <w:bottom w:val="single" w:sz="8" w:color="auto"/>
            </w:tcBorders>
            <w:shd w:val="clear" w:color="auto" w:fill="D3ECED"/>
          </w:tcPr>
          <w:p>
            <w:pPr>
              <w:spacing w:after="0"/>
              <w:rPr>
                <w:sz w:val="20"/>
                <w:szCs w:val="20"/>
                <w:color w:val="auto"/>
              </w:rPr>
            </w:pPr>
          </w:p>
        </w:tc>
        <w:tc>
          <w:tcPr>
            <w:tcW w:w="460" w:type="dxa"/>
            <w:vAlign w:val="bottom"/>
            <w:tcBorders>
              <w:bottom w:val="single" w:sz="8" w:color="auto"/>
            </w:tcBorders>
            <w:gridSpan w:val="2"/>
            <w:shd w:val="clear" w:color="auto" w:fill="D3ECED"/>
          </w:tcPr>
          <w:p>
            <w:pPr>
              <w:jc w:val="right"/>
              <w:ind w:right="20"/>
              <w:spacing w:after="0"/>
              <w:rPr>
                <w:sz w:val="20"/>
                <w:szCs w:val="20"/>
                <w:color w:val="auto"/>
              </w:rPr>
            </w:pPr>
            <w:r>
              <w:rPr>
                <w:rFonts w:ascii="Arial" w:cs="Arial" w:eastAsia="Arial" w:hAnsi="Arial"/>
                <w:sz w:val="19"/>
                <w:szCs w:val="19"/>
                <w:color w:val="auto"/>
              </w:rPr>
              <w:t>22</w:t>
            </w:r>
          </w:p>
        </w:tc>
        <w:tc>
          <w:tcPr>
            <w:tcW w:w="80" w:type="dxa"/>
            <w:vAlign w:val="bottom"/>
            <w:tcBorders>
              <w:bottom w:val="single" w:sz="8" w:color="FDFDFD"/>
            </w:tcBorders>
            <w:shd w:val="clear" w:color="auto" w:fill="D3ECED"/>
          </w:tcPr>
          <w:p>
            <w:pPr>
              <w:spacing w:after="0"/>
              <w:rPr>
                <w:sz w:val="20"/>
                <w:szCs w:val="20"/>
                <w:color w:val="auto"/>
              </w:rPr>
            </w:pPr>
          </w:p>
        </w:tc>
      </w:tr>
      <w:tr>
        <w:trPr>
          <w:trHeight w:val="222"/>
        </w:trPr>
        <w:tc>
          <w:tcPr>
            <w:tcW w:w="6060" w:type="dxa"/>
            <w:vAlign w:val="bottom"/>
            <w:gridSpan w:val="2"/>
            <w:shd w:val="clear" w:color="auto" w:fill="FDFDFD"/>
          </w:tcPr>
          <w:p>
            <w:pPr>
              <w:spacing w:after="0"/>
              <w:rPr>
                <w:sz w:val="20"/>
                <w:szCs w:val="20"/>
                <w:color w:val="auto"/>
              </w:rPr>
            </w:pPr>
            <w:r>
              <w:rPr>
                <w:rFonts w:ascii="Arial" w:cs="Arial" w:eastAsia="Arial" w:hAnsi="Arial"/>
                <w:sz w:val="19"/>
                <w:szCs w:val="19"/>
                <w:color w:val="auto"/>
              </w:rPr>
              <w:t>Total lease costs</w:t>
            </w:r>
          </w:p>
        </w:tc>
        <w:tc>
          <w:tcPr>
            <w:tcW w:w="100" w:type="dxa"/>
            <w:vAlign w:val="bottom"/>
            <w:shd w:val="clear" w:color="auto" w:fill="FDFDFD"/>
          </w:tcPr>
          <w:p>
            <w:pPr>
              <w:jc w:val="right"/>
              <w:spacing w:after="0"/>
              <w:rPr>
                <w:sz w:val="20"/>
                <w:szCs w:val="20"/>
                <w:color w:val="auto"/>
              </w:rPr>
            </w:pPr>
            <w:r>
              <w:rPr>
                <w:rFonts w:ascii="Arial" w:cs="Arial" w:eastAsia="Arial" w:hAnsi="Arial"/>
                <w:sz w:val="19"/>
                <w:szCs w:val="19"/>
                <w:color w:val="auto"/>
                <w:highlight w:val="white"/>
                <w:w w:val="75"/>
              </w:rPr>
              <w:t>$</w:t>
            </w:r>
          </w:p>
        </w:tc>
        <w:tc>
          <w:tcPr>
            <w:tcW w:w="680" w:type="dxa"/>
            <w:vAlign w:val="bottom"/>
            <w:shd w:val="clear" w:color="auto" w:fill="FDFDFD"/>
          </w:tcPr>
          <w:p>
            <w:pPr>
              <w:spacing w:after="0"/>
              <w:rPr>
                <w:sz w:val="19"/>
                <w:szCs w:val="19"/>
                <w:color w:val="auto"/>
              </w:rPr>
            </w:pPr>
          </w:p>
        </w:tc>
        <w:tc>
          <w:tcPr>
            <w:tcW w:w="460" w:type="dxa"/>
            <w:vAlign w:val="bottom"/>
            <w:gridSpan w:val="2"/>
            <w:shd w:val="clear" w:color="auto" w:fill="FDFDFD"/>
          </w:tcPr>
          <w:p>
            <w:pPr>
              <w:jc w:val="right"/>
              <w:ind w:right="20"/>
              <w:spacing w:after="0"/>
              <w:rPr>
                <w:sz w:val="20"/>
                <w:szCs w:val="20"/>
                <w:color w:val="auto"/>
              </w:rPr>
            </w:pPr>
            <w:r>
              <w:rPr>
                <w:rFonts w:ascii="Arial" w:cs="Arial" w:eastAsia="Arial" w:hAnsi="Arial"/>
                <w:sz w:val="19"/>
                <w:szCs w:val="19"/>
                <w:color w:val="auto"/>
                <w:w w:val="88"/>
              </w:rPr>
              <w:t>5,104</w:t>
            </w:r>
          </w:p>
        </w:tc>
        <w:tc>
          <w:tcPr>
            <w:tcW w:w="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40" w:type="dxa"/>
            <w:vAlign w:val="bottom"/>
            <w:shd w:val="clear" w:color="auto" w:fill="FDFDFD"/>
          </w:tcPr>
          <w:p>
            <w:pPr>
              <w:spacing w:after="0"/>
              <w:rPr>
                <w:sz w:val="19"/>
                <w:szCs w:val="19"/>
                <w:color w:val="auto"/>
              </w:rPr>
            </w:pPr>
          </w:p>
        </w:tc>
        <w:tc>
          <w:tcPr>
            <w:tcW w:w="780" w:type="dxa"/>
            <w:vAlign w:val="bottom"/>
            <w:shd w:val="clear" w:color="auto" w:fill="FDFDFD"/>
          </w:tcPr>
          <w:p>
            <w:pPr>
              <w:jc w:val="right"/>
              <w:ind w:right="585"/>
              <w:spacing w:after="0"/>
              <w:rPr>
                <w:sz w:val="20"/>
                <w:szCs w:val="20"/>
                <w:color w:val="auto"/>
              </w:rPr>
            </w:pPr>
            <w:r>
              <w:rPr>
                <w:rFonts w:ascii="Arial" w:cs="Arial" w:eastAsia="Arial" w:hAnsi="Arial"/>
                <w:sz w:val="19"/>
                <w:szCs w:val="19"/>
                <w:color w:val="auto"/>
                <w:highlight w:val="white"/>
                <w:w w:val="75"/>
              </w:rPr>
              <w:t>$</w:t>
            </w:r>
          </w:p>
        </w:tc>
        <w:tc>
          <w:tcPr>
            <w:tcW w:w="460" w:type="dxa"/>
            <w:vAlign w:val="bottom"/>
            <w:gridSpan w:val="2"/>
            <w:shd w:val="clear" w:color="auto" w:fill="FDFDFD"/>
          </w:tcPr>
          <w:p>
            <w:pPr>
              <w:jc w:val="right"/>
              <w:ind w:right="20"/>
              <w:spacing w:after="0"/>
              <w:rPr>
                <w:sz w:val="20"/>
                <w:szCs w:val="20"/>
                <w:color w:val="auto"/>
              </w:rPr>
            </w:pPr>
            <w:r>
              <w:rPr>
                <w:rFonts w:ascii="Arial" w:cs="Arial" w:eastAsia="Arial" w:hAnsi="Arial"/>
                <w:sz w:val="19"/>
                <w:szCs w:val="19"/>
                <w:color w:val="auto"/>
                <w:w w:val="88"/>
              </w:rPr>
              <w:t>4,572</w:t>
            </w:r>
          </w:p>
        </w:tc>
        <w:tc>
          <w:tcPr>
            <w:tcW w:w="80" w:type="dxa"/>
            <w:vAlign w:val="bottom"/>
            <w:shd w:val="clear" w:color="auto" w:fill="FDFDFD"/>
          </w:tcPr>
          <w:p>
            <w:pPr>
              <w:spacing w:after="0"/>
              <w:rPr>
                <w:sz w:val="19"/>
                <w:szCs w:val="19"/>
                <w:color w:val="auto"/>
              </w:rPr>
            </w:pPr>
          </w:p>
        </w:tc>
      </w:tr>
      <w:tr>
        <w:trPr>
          <w:trHeight w:val="274"/>
        </w:trPr>
        <w:tc>
          <w:tcPr>
            <w:tcW w:w="6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spacing w:after="0"/>
              <w:rPr>
                <w:sz w:val="23"/>
                <w:szCs w:val="23"/>
                <w:color w:val="auto"/>
              </w:rPr>
            </w:pPr>
          </w:p>
        </w:tc>
        <w:tc>
          <w:tcPr>
            <w:tcW w:w="280" w:type="dxa"/>
            <w:vAlign w:val="bottom"/>
            <w:gridSpan w:val="3"/>
          </w:tcPr>
          <w:p>
            <w:pPr>
              <w:spacing w:after="0"/>
              <w:rPr>
                <w:sz w:val="23"/>
                <w:szCs w:val="23"/>
                <w:color w:val="auto"/>
              </w:rPr>
            </w:pPr>
          </w:p>
        </w:tc>
        <w:tc>
          <w:tcPr>
            <w:tcW w:w="820" w:type="dxa"/>
            <w:vAlign w:val="bottom"/>
            <w:gridSpan w:val="2"/>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69"/>
        </w:trPr>
        <w:tc>
          <w:tcPr>
            <w:tcW w:w="6020" w:type="dxa"/>
            <w:vAlign w:val="bottom"/>
            <w:tcBorders>
              <w:bottom w:val="single" w:sz="8" w:color="FDFDFD"/>
            </w:tcBorders>
            <w:shd w:val="clear" w:color="auto" w:fill="FDFDFD"/>
          </w:tcPr>
          <w:p>
            <w:pPr>
              <w:spacing w:after="0"/>
              <w:rPr>
                <w:sz w:val="23"/>
                <w:szCs w:val="23"/>
                <w:color w:val="auto"/>
              </w:rPr>
            </w:pPr>
          </w:p>
        </w:tc>
        <w:tc>
          <w:tcPr>
            <w:tcW w:w="40" w:type="dxa"/>
            <w:vAlign w:val="bottom"/>
            <w:tcBorders>
              <w:bottom w:val="single" w:sz="8" w:color="auto"/>
            </w:tcBorders>
            <w:shd w:val="clear" w:color="auto" w:fill="FDFDFD"/>
          </w:tcPr>
          <w:p>
            <w:pPr>
              <w:spacing w:after="0"/>
              <w:rPr>
                <w:sz w:val="23"/>
                <w:szCs w:val="23"/>
                <w:color w:val="auto"/>
              </w:rPr>
            </w:pPr>
          </w:p>
        </w:tc>
        <w:tc>
          <w:tcPr>
            <w:tcW w:w="100" w:type="dxa"/>
            <w:vAlign w:val="bottom"/>
            <w:tcBorders>
              <w:bottom w:val="single" w:sz="8" w:color="auto"/>
            </w:tcBorders>
            <w:shd w:val="clear" w:color="auto" w:fill="FDFDFD"/>
          </w:tcPr>
          <w:p>
            <w:pPr>
              <w:spacing w:after="0"/>
              <w:rPr>
                <w:sz w:val="23"/>
                <w:szCs w:val="23"/>
                <w:color w:val="auto"/>
              </w:rPr>
            </w:pPr>
          </w:p>
        </w:tc>
        <w:tc>
          <w:tcPr>
            <w:tcW w:w="2140" w:type="dxa"/>
            <w:vAlign w:val="bottom"/>
            <w:tcBorders>
              <w:bottom w:val="single" w:sz="8" w:color="auto"/>
            </w:tcBorders>
            <w:gridSpan w:val="7"/>
            <w:shd w:val="clear" w:color="auto" w:fill="FDFDFD"/>
          </w:tcPr>
          <w:p>
            <w:pPr>
              <w:jc w:val="right"/>
              <w:ind w:right="25"/>
              <w:spacing w:after="0"/>
              <w:rPr>
                <w:sz w:val="20"/>
                <w:szCs w:val="20"/>
                <w:color w:val="auto"/>
              </w:rPr>
            </w:pPr>
            <w:r>
              <w:rPr>
                <w:rFonts w:ascii="Arial" w:cs="Arial" w:eastAsia="Arial" w:hAnsi="Arial"/>
                <w:sz w:val="15"/>
                <w:szCs w:val="15"/>
                <w:b w:val="1"/>
                <w:bCs w:val="1"/>
                <w:color w:val="auto"/>
              </w:rPr>
              <w:t>Year Ended December 31,</w:t>
            </w:r>
          </w:p>
        </w:tc>
        <w:tc>
          <w:tcPr>
            <w:tcW w:w="360" w:type="dxa"/>
            <w:vAlign w:val="bottom"/>
            <w:tcBorders>
              <w:bottom w:val="single" w:sz="8" w:color="auto"/>
            </w:tcBorders>
            <w:shd w:val="clear" w:color="auto" w:fill="FDFDFD"/>
          </w:tcPr>
          <w:p>
            <w:pPr>
              <w:spacing w:after="0"/>
              <w:rPr>
                <w:sz w:val="23"/>
                <w:szCs w:val="23"/>
                <w:color w:val="auto"/>
              </w:rPr>
            </w:pPr>
          </w:p>
        </w:tc>
        <w:tc>
          <w:tcPr>
            <w:tcW w:w="100" w:type="dxa"/>
            <w:vAlign w:val="bottom"/>
            <w:tcBorders>
              <w:bottom w:val="single" w:sz="8" w:color="FDFDFD"/>
            </w:tcBorders>
            <w:shd w:val="clear" w:color="auto" w:fill="FDFDFD"/>
          </w:tcPr>
          <w:p>
            <w:pPr>
              <w:spacing w:after="0"/>
              <w:rPr>
                <w:sz w:val="23"/>
                <w:szCs w:val="23"/>
                <w:color w:val="auto"/>
              </w:rPr>
            </w:pPr>
          </w:p>
        </w:tc>
        <w:tc>
          <w:tcPr>
            <w:tcW w:w="80" w:type="dxa"/>
            <w:vAlign w:val="bottom"/>
            <w:tcBorders>
              <w:bottom w:val="single" w:sz="8" w:color="FDFDFD"/>
            </w:tcBorders>
            <w:shd w:val="clear" w:color="auto" w:fill="FDFDFD"/>
          </w:tcPr>
          <w:p>
            <w:pPr>
              <w:spacing w:after="0"/>
              <w:rPr>
                <w:sz w:val="23"/>
                <w:szCs w:val="23"/>
                <w:color w:val="auto"/>
              </w:rPr>
            </w:pPr>
          </w:p>
        </w:tc>
      </w:tr>
      <w:tr>
        <w:trPr>
          <w:trHeight w:val="174"/>
        </w:trPr>
        <w:tc>
          <w:tcPr>
            <w:tcW w:w="6020" w:type="dxa"/>
            <w:vAlign w:val="bottom"/>
            <w:shd w:val="clear" w:color="auto" w:fill="FDFDFD"/>
          </w:tcPr>
          <w:p>
            <w:pPr>
              <w:spacing w:after="0"/>
              <w:rPr>
                <w:sz w:val="15"/>
                <w:szCs w:val="15"/>
                <w:color w:val="auto"/>
              </w:rPr>
            </w:pPr>
          </w:p>
        </w:tc>
        <w:tc>
          <w:tcPr>
            <w:tcW w:w="40" w:type="dxa"/>
            <w:vAlign w:val="bottom"/>
            <w:shd w:val="clear" w:color="auto" w:fill="FDFDFD"/>
          </w:tcPr>
          <w:p>
            <w:pPr>
              <w:spacing w:after="0"/>
              <w:rPr>
                <w:sz w:val="15"/>
                <w:szCs w:val="15"/>
                <w:color w:val="auto"/>
              </w:rPr>
            </w:pPr>
          </w:p>
        </w:tc>
        <w:tc>
          <w:tcPr>
            <w:tcW w:w="780" w:type="dxa"/>
            <w:vAlign w:val="bottom"/>
            <w:gridSpan w:val="2"/>
            <w:shd w:val="clear" w:color="auto" w:fill="FDFDFD"/>
          </w:tcPr>
          <w:p>
            <w:pPr>
              <w:jc w:val="right"/>
              <w:ind w:right="4"/>
              <w:spacing w:after="0"/>
              <w:rPr>
                <w:sz w:val="20"/>
                <w:szCs w:val="20"/>
                <w:color w:val="auto"/>
              </w:rPr>
            </w:pPr>
            <w:r>
              <w:rPr>
                <w:rFonts w:ascii="Arial" w:cs="Arial" w:eastAsia="Arial" w:hAnsi="Arial"/>
                <w:sz w:val="15"/>
                <w:szCs w:val="15"/>
                <w:b w:val="1"/>
                <w:bCs w:val="1"/>
                <w:color w:val="auto"/>
              </w:rPr>
              <w:t>2024</w:t>
            </w:r>
          </w:p>
        </w:tc>
        <w:tc>
          <w:tcPr>
            <w:tcW w:w="3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920" w:type="dxa"/>
            <w:vAlign w:val="bottom"/>
            <w:gridSpan w:val="3"/>
            <w:shd w:val="clear" w:color="auto" w:fill="FDFDFD"/>
          </w:tcPr>
          <w:p>
            <w:pPr>
              <w:jc w:val="right"/>
              <w:spacing w:after="0"/>
              <w:rPr>
                <w:sz w:val="20"/>
                <w:szCs w:val="20"/>
                <w:color w:val="auto"/>
              </w:rPr>
            </w:pPr>
            <w:r>
              <w:rPr>
                <w:rFonts w:ascii="Arial" w:cs="Arial" w:eastAsia="Arial" w:hAnsi="Arial"/>
                <w:sz w:val="15"/>
                <w:szCs w:val="15"/>
                <w:b w:val="1"/>
                <w:bCs w:val="1"/>
                <w:color w:val="auto"/>
              </w:rPr>
              <w:t>2023</w:t>
            </w:r>
          </w:p>
        </w:tc>
        <w:tc>
          <w:tcPr>
            <w:tcW w:w="3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r>
      <w:tr>
        <w:trPr>
          <w:trHeight w:val="222"/>
        </w:trPr>
        <w:tc>
          <w:tcPr>
            <w:tcW w:w="6020" w:type="dxa"/>
            <w:vAlign w:val="bottom"/>
            <w:tcBorders>
              <w:top w:val="single" w:sz="8" w:color="D3ECED"/>
            </w:tcBorders>
            <w:shd w:val="clear" w:color="auto" w:fill="D3ECED"/>
          </w:tcPr>
          <w:p>
            <w:pPr>
              <w:spacing w:after="0"/>
              <w:rPr>
                <w:sz w:val="20"/>
                <w:szCs w:val="20"/>
                <w:color w:val="auto"/>
              </w:rPr>
            </w:pPr>
            <w:r>
              <w:rPr>
                <w:rFonts w:ascii="Arial" w:cs="Arial" w:eastAsia="Arial" w:hAnsi="Arial"/>
                <w:sz w:val="19"/>
                <w:szCs w:val="19"/>
                <w:color w:val="auto"/>
              </w:rPr>
              <w:t>Weighted-average remaining lease term (in years)</w:t>
            </w:r>
          </w:p>
        </w:tc>
        <w:tc>
          <w:tcPr>
            <w:tcW w:w="40" w:type="dxa"/>
            <w:vAlign w:val="bottom"/>
            <w:tcBorders>
              <w:top w:val="single" w:sz="8" w:color="auto"/>
            </w:tcBorders>
            <w:shd w:val="clear" w:color="auto" w:fill="D3ECED"/>
          </w:tcPr>
          <w:p>
            <w:pPr>
              <w:spacing w:after="0"/>
              <w:rPr>
                <w:sz w:val="19"/>
                <w:szCs w:val="19"/>
                <w:color w:val="auto"/>
              </w:rPr>
            </w:pPr>
          </w:p>
        </w:tc>
        <w:tc>
          <w:tcPr>
            <w:tcW w:w="100" w:type="dxa"/>
            <w:vAlign w:val="bottom"/>
            <w:tcBorders>
              <w:top w:val="single" w:sz="8" w:color="auto"/>
            </w:tcBorders>
            <w:shd w:val="clear" w:color="auto" w:fill="D3ECED"/>
          </w:tcPr>
          <w:p>
            <w:pPr>
              <w:spacing w:after="0"/>
              <w:rPr>
                <w:sz w:val="19"/>
                <w:szCs w:val="19"/>
                <w:color w:val="auto"/>
              </w:rPr>
            </w:pPr>
          </w:p>
        </w:tc>
        <w:tc>
          <w:tcPr>
            <w:tcW w:w="680" w:type="dxa"/>
            <w:vAlign w:val="bottom"/>
            <w:tcBorders>
              <w:top w:val="single" w:sz="8" w:color="auto"/>
            </w:tcBorders>
            <w:shd w:val="clear" w:color="auto" w:fill="D3ECED"/>
          </w:tcPr>
          <w:p>
            <w:pPr>
              <w:spacing w:after="0"/>
              <w:rPr>
                <w:sz w:val="19"/>
                <w:szCs w:val="19"/>
                <w:color w:val="auto"/>
              </w:rPr>
            </w:pPr>
          </w:p>
        </w:tc>
        <w:tc>
          <w:tcPr>
            <w:tcW w:w="360" w:type="dxa"/>
            <w:vAlign w:val="bottom"/>
            <w:tcBorders>
              <w:top w:val="single" w:sz="8" w:color="auto"/>
            </w:tcBorders>
            <w:shd w:val="clear" w:color="auto" w:fill="D3ECED"/>
          </w:tcPr>
          <w:p>
            <w:pPr>
              <w:ind w:left="120"/>
              <w:spacing w:after="0"/>
              <w:rPr>
                <w:sz w:val="20"/>
                <w:szCs w:val="20"/>
                <w:color w:val="auto"/>
              </w:rPr>
            </w:pPr>
            <w:r>
              <w:rPr>
                <w:rFonts w:ascii="Arial" w:cs="Arial" w:eastAsia="Arial" w:hAnsi="Arial"/>
                <w:sz w:val="19"/>
                <w:szCs w:val="19"/>
                <w:color w:val="auto"/>
                <w:w w:val="83"/>
              </w:rPr>
              <w:t>7.8</w:t>
            </w:r>
          </w:p>
        </w:tc>
        <w:tc>
          <w:tcPr>
            <w:tcW w:w="100" w:type="dxa"/>
            <w:vAlign w:val="bottom"/>
            <w:tcBorders>
              <w:top w:val="single" w:sz="8" w:color="D3ECED"/>
            </w:tcBorders>
            <w:shd w:val="clear" w:color="auto" w:fill="D3ECED"/>
          </w:tcPr>
          <w:p>
            <w:pPr>
              <w:spacing w:after="0"/>
              <w:rPr>
                <w:sz w:val="19"/>
                <w:szCs w:val="19"/>
                <w:color w:val="auto"/>
              </w:rPr>
            </w:pPr>
          </w:p>
        </w:tc>
        <w:tc>
          <w:tcPr>
            <w:tcW w:w="80" w:type="dxa"/>
            <w:vAlign w:val="bottom"/>
            <w:tcBorders>
              <w:top w:val="single" w:sz="8" w:color="D3ECED"/>
            </w:tcBorders>
            <w:shd w:val="clear" w:color="auto" w:fill="D3ECED"/>
          </w:tcPr>
          <w:p>
            <w:pPr>
              <w:spacing w:after="0"/>
              <w:rPr>
                <w:sz w:val="19"/>
                <w:szCs w:val="19"/>
                <w:color w:val="auto"/>
              </w:rPr>
            </w:pPr>
          </w:p>
        </w:tc>
        <w:tc>
          <w:tcPr>
            <w:tcW w:w="100" w:type="dxa"/>
            <w:vAlign w:val="bottom"/>
            <w:tcBorders>
              <w:top w:val="single" w:sz="8" w:color="D3ECED"/>
            </w:tcBorders>
            <w:shd w:val="clear" w:color="auto" w:fill="D3ECED"/>
          </w:tcPr>
          <w:p>
            <w:pPr>
              <w:spacing w:after="0"/>
              <w:rPr>
                <w:sz w:val="19"/>
                <w:szCs w:val="19"/>
                <w:color w:val="auto"/>
              </w:rPr>
            </w:pPr>
          </w:p>
        </w:tc>
        <w:tc>
          <w:tcPr>
            <w:tcW w:w="40" w:type="dxa"/>
            <w:vAlign w:val="bottom"/>
            <w:tcBorders>
              <w:top w:val="single" w:sz="8" w:color="auto"/>
            </w:tcBorders>
            <w:shd w:val="clear" w:color="auto" w:fill="D3ECED"/>
          </w:tcPr>
          <w:p>
            <w:pPr>
              <w:spacing w:after="0"/>
              <w:rPr>
                <w:sz w:val="19"/>
                <w:szCs w:val="19"/>
                <w:color w:val="auto"/>
              </w:rPr>
            </w:pPr>
          </w:p>
        </w:tc>
        <w:tc>
          <w:tcPr>
            <w:tcW w:w="780" w:type="dxa"/>
            <w:vAlign w:val="bottom"/>
            <w:tcBorders>
              <w:top w:val="single" w:sz="8" w:color="auto"/>
            </w:tcBorders>
            <w:shd w:val="clear" w:color="auto" w:fill="D3ECED"/>
          </w:tcPr>
          <w:p>
            <w:pPr>
              <w:spacing w:after="0"/>
              <w:rPr>
                <w:sz w:val="19"/>
                <w:szCs w:val="19"/>
                <w:color w:val="auto"/>
              </w:rPr>
            </w:pPr>
          </w:p>
        </w:tc>
        <w:tc>
          <w:tcPr>
            <w:tcW w:w="360" w:type="dxa"/>
            <w:vAlign w:val="bottom"/>
            <w:tcBorders>
              <w:top w:val="single" w:sz="8" w:color="auto"/>
            </w:tcBorders>
            <w:shd w:val="clear" w:color="auto" w:fill="D3ECED"/>
          </w:tcPr>
          <w:p>
            <w:pPr>
              <w:ind w:left="120"/>
              <w:spacing w:after="0"/>
              <w:rPr>
                <w:sz w:val="20"/>
                <w:szCs w:val="20"/>
                <w:color w:val="auto"/>
              </w:rPr>
            </w:pPr>
            <w:r>
              <w:rPr>
                <w:rFonts w:ascii="Arial" w:cs="Arial" w:eastAsia="Arial" w:hAnsi="Arial"/>
                <w:sz w:val="19"/>
                <w:szCs w:val="19"/>
                <w:color w:val="auto"/>
                <w:w w:val="83"/>
              </w:rPr>
              <w:t>8.7</w:t>
            </w:r>
          </w:p>
        </w:tc>
        <w:tc>
          <w:tcPr>
            <w:tcW w:w="100" w:type="dxa"/>
            <w:vAlign w:val="bottom"/>
            <w:tcBorders>
              <w:top w:val="single" w:sz="8" w:color="D3ECED"/>
            </w:tcBorders>
            <w:shd w:val="clear" w:color="auto" w:fill="D3ECED"/>
          </w:tcPr>
          <w:p>
            <w:pPr>
              <w:spacing w:after="0"/>
              <w:rPr>
                <w:sz w:val="19"/>
                <w:szCs w:val="19"/>
                <w:color w:val="auto"/>
              </w:rPr>
            </w:pPr>
          </w:p>
        </w:tc>
        <w:tc>
          <w:tcPr>
            <w:tcW w:w="80" w:type="dxa"/>
            <w:vAlign w:val="bottom"/>
            <w:tcBorders>
              <w:top w:val="single" w:sz="8" w:color="D3ECED"/>
            </w:tcBorders>
            <w:shd w:val="clear" w:color="auto" w:fill="D3ECED"/>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9"/>
                <w:szCs w:val="19"/>
                <w:color w:val="auto"/>
              </w:rPr>
              <w:t>Weighted-average incremental borrowing rate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gridSpan w:val="3"/>
          </w:tcPr>
          <w:p>
            <w:pPr>
              <w:ind w:left="120"/>
              <w:spacing w:after="0"/>
              <w:rPr>
                <w:sz w:val="20"/>
                <w:szCs w:val="20"/>
                <w:color w:val="auto"/>
              </w:rPr>
            </w:pPr>
            <w:r>
              <w:rPr>
                <w:rFonts w:ascii="Arial" w:cs="Arial" w:eastAsia="Arial" w:hAnsi="Arial"/>
                <w:sz w:val="19"/>
                <w:szCs w:val="19"/>
                <w:color w:val="auto"/>
                <w:w w:val="92"/>
              </w:rPr>
              <w:t>6.2%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gridSpan w:val="3"/>
          </w:tcPr>
          <w:p>
            <w:pPr>
              <w:ind w:left="120"/>
              <w:spacing w:after="0"/>
              <w:rPr>
                <w:sz w:val="20"/>
                <w:szCs w:val="20"/>
                <w:color w:val="auto"/>
              </w:rPr>
            </w:pPr>
            <w:r>
              <w:rPr>
                <w:rFonts w:ascii="Arial" w:cs="Arial" w:eastAsia="Arial" w:hAnsi="Arial"/>
                <w:sz w:val="19"/>
                <w:szCs w:val="19"/>
                <w:color w:val="auto"/>
                <w:w w:val="92"/>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-781050</wp:posOffset>
            </wp:positionV>
            <wp:extent cx="1740535" cy="533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86">
                      <a:extLst>
                        <a:ext uri="{28A0092B-C50C-407E-A947-70E740481C1C}"/>
                      </a:extLst>
                    </a:blip>
                    <a:srcRect/>
                    <a:stretch>
                      <a:fillRect/>
                    </a:stretch>
                  </pic:blipFill>
                  <pic:spPr bwMode="auto">
                    <a:xfrm>
                      <a:off x="0" y="0"/>
                      <a:ext cx="1740535" cy="533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164465</wp:posOffset>
                </wp:positionH>
                <wp:positionV relativeFrom="paragraph">
                  <wp:posOffset>-147320</wp:posOffset>
                </wp:positionV>
                <wp:extent cx="4577715" cy="14732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7715" cy="147320"/>
                        </a:xfrm>
                        <a:prstGeom prst="rect">
                          <a:avLst/>
                        </a:prstGeom>
                        <a:solidFill>
                          <a:srgbClr val="FDFDFD"/>
                        </a:solidFill>
                      </wps:spPr>
                      <wps:bodyPr/>
                    </wps:wsp>
                  </a:graphicData>
                </a:graphic>
              </wp:anchor>
            </w:drawing>
          </mc:Choice>
          <mc:Fallback>
            <w:pict>
              <v:rect id="Shape 321" o:spid="_x0000_s1346" style="position:absolute;margin-left:12.95pt;margin-top:-11.5999pt;width:360.4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4740910</wp:posOffset>
                </wp:positionH>
                <wp:positionV relativeFrom="paragraph">
                  <wp:posOffset>-147320</wp:posOffset>
                </wp:positionV>
                <wp:extent cx="929640" cy="14732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9640" cy="147320"/>
                        </a:xfrm>
                        <a:prstGeom prst="rect">
                          <a:avLst/>
                        </a:prstGeom>
                        <a:solidFill>
                          <a:srgbClr val="FDFDFD"/>
                        </a:solidFill>
                      </wps:spPr>
                      <wps:bodyPr/>
                    </wps:wsp>
                  </a:graphicData>
                </a:graphic>
              </wp:anchor>
            </w:drawing>
          </mc:Choice>
          <mc:Fallback>
            <w:pict>
              <v:rect id="Shape 322" o:spid="_x0000_s1347" style="position:absolute;margin-left:373.3pt;margin-top:-11.5999pt;width:73.2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9"/>
          <w:szCs w:val="19"/>
          <w:color w:val="auto"/>
        </w:rPr>
        <w:t>Variable lease costs primarily consist of common area maintenance.</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9"/>
          <w:szCs w:val="19"/>
          <w:color w:val="auto"/>
        </w:rPr>
        <w:t>Supplemental cash flow information related to leases are as follows (in thousands):</w:t>
      </w:r>
    </w:p>
    <w:p>
      <w:pPr>
        <w:spacing w:after="0" w:line="228" w:lineRule="exact"/>
        <w:rPr>
          <w:sz w:val="20"/>
          <w:szCs w:val="20"/>
          <w:color w:val="auto"/>
        </w:rPr>
      </w:pPr>
    </w:p>
    <w:p>
      <w:pPr>
        <w:ind w:left="6820"/>
        <w:spacing w:after="0"/>
        <w:rPr>
          <w:sz w:val="20"/>
          <w:szCs w:val="20"/>
          <w:color w:val="auto"/>
        </w:rPr>
      </w:pPr>
      <w:r>
        <w:rPr>
          <w:rFonts w:ascii="Arial" w:cs="Arial" w:eastAsia="Arial" w:hAnsi="Arial"/>
          <w:sz w:val="15"/>
          <w:szCs w:val="15"/>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164465</wp:posOffset>
                </wp:positionH>
                <wp:positionV relativeFrom="paragraph">
                  <wp:posOffset>-107315</wp:posOffset>
                </wp:positionV>
                <wp:extent cx="5614035" cy="11938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14035" cy="119380"/>
                        </a:xfrm>
                        <a:prstGeom prst="rect">
                          <a:avLst/>
                        </a:prstGeom>
                        <a:solidFill>
                          <a:srgbClr val="FDFDFD"/>
                        </a:solidFill>
                      </wps:spPr>
                      <wps:bodyPr/>
                    </wps:wsp>
                  </a:graphicData>
                </a:graphic>
              </wp:anchor>
            </w:drawing>
          </mc:Choice>
          <mc:Fallback>
            <w:pict>
              <v:rect id="Shape 323" o:spid="_x0000_s1348" style="position:absolute;margin-left:12.95pt;margin-top:-8.4499pt;width:442.05pt;height:9.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164465</wp:posOffset>
                </wp:positionH>
                <wp:positionV relativeFrom="paragraph">
                  <wp:posOffset>-107315</wp:posOffset>
                </wp:positionV>
                <wp:extent cx="3846195" cy="244475"/>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6195" cy="244475"/>
                        </a:xfrm>
                        <a:prstGeom prst="rect">
                          <a:avLst/>
                        </a:prstGeom>
                        <a:solidFill>
                          <a:srgbClr val="FDFDFD"/>
                        </a:solidFill>
                      </wps:spPr>
                      <wps:bodyPr/>
                    </wps:wsp>
                  </a:graphicData>
                </a:graphic>
              </wp:anchor>
            </w:drawing>
          </mc:Choice>
          <mc:Fallback>
            <w:pict>
              <v:rect id="Shape 324" o:spid="_x0000_s1349" style="position:absolute;margin-left:12.95pt;margin-top:-8.4499pt;width:302.85pt;height:1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4009390</wp:posOffset>
                </wp:positionH>
                <wp:positionV relativeFrom="paragraph">
                  <wp:posOffset>17145</wp:posOffset>
                </wp:positionV>
                <wp:extent cx="788035" cy="120015"/>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8035" cy="120015"/>
                        </a:xfrm>
                        <a:prstGeom prst="rect">
                          <a:avLst/>
                        </a:prstGeom>
                        <a:solidFill>
                          <a:srgbClr val="FDFDFD"/>
                        </a:solidFill>
                      </wps:spPr>
                      <wps:bodyPr/>
                    </wps:wsp>
                  </a:graphicData>
                </a:graphic>
              </wp:anchor>
            </w:drawing>
          </mc:Choice>
          <mc:Fallback>
            <w:pict>
              <v:rect id="Shape 325" o:spid="_x0000_s1350" style="position:absolute;margin-left:315.7pt;margin-top:1.35pt;width:62.05pt;height: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4795520</wp:posOffset>
                </wp:positionH>
                <wp:positionV relativeFrom="paragraph">
                  <wp:posOffset>10795</wp:posOffset>
                </wp:positionV>
                <wp:extent cx="55245" cy="126365"/>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 cy="126365"/>
                        </a:xfrm>
                        <a:prstGeom prst="rect">
                          <a:avLst/>
                        </a:prstGeom>
                        <a:solidFill>
                          <a:srgbClr val="FDFDFD"/>
                        </a:solidFill>
                      </wps:spPr>
                      <wps:bodyPr/>
                    </wps:wsp>
                  </a:graphicData>
                </a:graphic>
              </wp:anchor>
            </w:drawing>
          </mc:Choice>
          <mc:Fallback>
            <w:pict>
              <v:rect id="Shape 326" o:spid="_x0000_s1351" style="position:absolute;margin-left:377.6pt;margin-top:0.85pt;width:4.3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4848860</wp:posOffset>
                </wp:positionH>
                <wp:positionV relativeFrom="paragraph">
                  <wp:posOffset>17145</wp:posOffset>
                </wp:positionV>
                <wp:extent cx="876300" cy="120015"/>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6300" cy="120015"/>
                        </a:xfrm>
                        <a:prstGeom prst="rect">
                          <a:avLst/>
                        </a:prstGeom>
                        <a:solidFill>
                          <a:srgbClr val="FDFDFD"/>
                        </a:solidFill>
                      </wps:spPr>
                      <wps:bodyPr/>
                    </wps:wsp>
                  </a:graphicData>
                </a:graphic>
              </wp:anchor>
            </w:drawing>
          </mc:Choice>
          <mc:Fallback>
            <w:pict>
              <v:rect id="Shape 327" o:spid="_x0000_s1352" style="position:absolute;margin-left:381.8pt;margin-top:1.35pt;width:69pt;height: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5723890</wp:posOffset>
                </wp:positionH>
                <wp:positionV relativeFrom="paragraph">
                  <wp:posOffset>10795</wp:posOffset>
                </wp:positionV>
                <wp:extent cx="54610" cy="126365"/>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610" cy="126365"/>
                        </a:xfrm>
                        <a:prstGeom prst="rect">
                          <a:avLst/>
                        </a:prstGeom>
                        <a:solidFill>
                          <a:srgbClr val="FDFDFD"/>
                        </a:solidFill>
                      </wps:spPr>
                      <wps:bodyPr/>
                    </wps:wsp>
                  </a:graphicData>
                </a:graphic>
              </wp:anchor>
            </w:drawing>
          </mc:Choice>
          <mc:Fallback>
            <w:pict>
              <v:rect id="Shape 328" o:spid="_x0000_s1353" style="position:absolute;margin-left:450.7pt;margin-top:0.85pt;width:4.3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D" stroked="f"/>
            </w:pict>
          </mc:Fallback>
        </mc:AlternateContent>
        <mc:AlternateContent>
          <mc:Choice Requires="wps">
            <w:drawing>
              <wp:anchor simplePos="0" relativeHeight="251657728" behindDoc="1" locked="0" layoutInCell="0" allowOverlap="1">
                <wp:simplePos x="0" y="0"/>
                <wp:positionH relativeFrom="column">
                  <wp:posOffset>4010660</wp:posOffset>
                </wp:positionH>
                <wp:positionV relativeFrom="paragraph">
                  <wp:posOffset>13970</wp:posOffset>
                </wp:positionV>
                <wp:extent cx="1713230"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2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8pt,1.1pt" to="450.7pt,1.1pt" o:allowincell="f" strokecolor="#000000" strokeweight="0.48pt"/>
            </w:pict>
          </mc:Fallback>
        </mc:AlternateContent>
      </w:r>
    </w:p>
    <w:p>
      <w:pPr>
        <w:spacing w:after="0" w:line="14" w:lineRule="exact"/>
        <w:rPr>
          <w:sz w:val="20"/>
          <w:szCs w:val="20"/>
          <w:color w:val="auto"/>
        </w:rPr>
      </w:pPr>
    </w:p>
    <w:p>
      <w:pPr>
        <w:ind w:left="6780"/>
        <w:spacing w:after="0"/>
        <w:tabs>
          <w:tab w:leader="none" w:pos="8220" w:val="left"/>
        </w:tabs>
        <w:rPr>
          <w:sz w:val="20"/>
          <w:szCs w:val="20"/>
          <w:color w:val="auto"/>
        </w:rPr>
      </w:pPr>
      <w:r>
        <w:rPr>
          <w:rFonts w:ascii="Arial" w:cs="Arial" w:eastAsia="Arial" w:hAnsi="Arial"/>
          <w:sz w:val="15"/>
          <w:szCs w:val="15"/>
          <w:b w:val="1"/>
          <w:bCs w:val="1"/>
          <w:color w:val="auto"/>
        </w:rPr>
        <w:t>2024</w:t>
      </w:r>
      <w:r>
        <w:rPr>
          <w:sz w:val="20"/>
          <w:szCs w:val="20"/>
          <w:color w:val="auto"/>
        </w:rPr>
        <w:tab/>
      </w:r>
      <w:r>
        <w:rPr>
          <w:rFonts w:ascii="Arial" w:cs="Arial" w:eastAsia="Arial" w:hAnsi="Arial"/>
          <w:sz w:val="15"/>
          <w:szCs w:val="15"/>
          <w:b w:val="1"/>
          <w:bCs w:val="1"/>
          <w:color w:val="auto"/>
        </w:rPr>
        <w:t>2023</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220"/>
        </w:trPr>
        <w:tc>
          <w:tcPr>
            <w:tcW w:w="6060" w:type="dxa"/>
            <w:vAlign w:val="bottom"/>
            <w:tcBorders>
              <w:top w:val="single" w:sz="8" w:color="D3ECED"/>
            </w:tcBorders>
            <w:shd w:val="clear" w:color="auto" w:fill="D3ECED"/>
          </w:tcPr>
          <w:p>
            <w:pPr>
              <w:spacing w:after="0"/>
              <w:rPr>
                <w:sz w:val="20"/>
                <w:szCs w:val="20"/>
                <w:color w:val="auto"/>
              </w:rPr>
            </w:pPr>
            <w:r>
              <w:rPr>
                <w:rFonts w:ascii="Arial" w:cs="Arial" w:eastAsia="Arial" w:hAnsi="Arial"/>
                <w:sz w:val="19"/>
                <w:szCs w:val="19"/>
                <w:color w:val="auto"/>
              </w:rPr>
              <w:t>Cash paid for amounts included in the measurement of lease liabilities</w:t>
            </w:r>
          </w:p>
        </w:tc>
        <w:tc>
          <w:tcPr>
            <w:tcW w:w="10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3,969</w:t>
            </w:r>
          </w:p>
        </w:tc>
        <w:tc>
          <w:tcPr>
            <w:tcW w:w="220" w:type="dxa"/>
            <w:vAlign w:val="bottom"/>
            <w:tcBorders>
              <w:top w:val="single" w:sz="8" w:color="D3ECED"/>
            </w:tcBorders>
            <w:shd w:val="clear" w:color="auto" w:fill="D3ECED"/>
          </w:tcPr>
          <w:p>
            <w:pPr>
              <w:spacing w:after="0"/>
              <w:rPr>
                <w:sz w:val="19"/>
                <w:szCs w:val="19"/>
                <w:color w:val="auto"/>
              </w:rPr>
            </w:pPr>
          </w:p>
        </w:tc>
        <w:tc>
          <w:tcPr>
            <w:tcW w:w="10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3,941</w:t>
            </w:r>
          </w:p>
        </w:tc>
        <w:tc>
          <w:tcPr>
            <w:tcW w:w="80" w:type="dxa"/>
            <w:vAlign w:val="bottom"/>
            <w:tcBorders>
              <w:top w:val="single" w:sz="8" w:color="D3ECED"/>
            </w:tcBorders>
            <w:shd w:val="clear" w:color="auto" w:fill="D3ECED"/>
          </w:tcPr>
          <w:p>
            <w:pPr>
              <w:spacing w:after="0"/>
              <w:rPr>
                <w:sz w:val="19"/>
                <w:szCs w:val="19"/>
                <w:color w:val="auto"/>
              </w:rPr>
            </w:pPr>
          </w:p>
        </w:tc>
      </w:tr>
      <w:tr>
        <w:trPr>
          <w:trHeight w:val="233"/>
        </w:trPr>
        <w:tc>
          <w:tcPr>
            <w:tcW w:w="6060" w:type="dxa"/>
            <w:vAlign w:val="bottom"/>
            <w:shd w:val="clear" w:color="auto" w:fill="FDFDFD"/>
          </w:tcPr>
          <w:p>
            <w:pPr>
              <w:spacing w:after="0"/>
              <w:rPr>
                <w:sz w:val="20"/>
                <w:szCs w:val="20"/>
                <w:color w:val="auto"/>
              </w:rPr>
            </w:pPr>
            <w:r>
              <w:rPr>
                <w:rFonts w:ascii="Arial" w:cs="Arial" w:eastAsia="Arial" w:hAnsi="Arial"/>
                <w:sz w:val="19"/>
                <w:szCs w:val="19"/>
                <w:color w:val="auto"/>
              </w:rPr>
              <w:t>Lease liability obtained in exchange for right-of-use assets</w:t>
            </w:r>
          </w:p>
        </w:tc>
        <w:tc>
          <w:tcPr>
            <w:tcW w:w="100" w:type="dxa"/>
            <w:vAlign w:val="bottom"/>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220" w:type="dxa"/>
            <w:vAlign w:val="bottom"/>
            <w:shd w:val="clear" w:color="auto" w:fill="FDFDFD"/>
          </w:tcPr>
          <w:p>
            <w:pPr>
              <w:spacing w:after="0"/>
              <w:rPr>
                <w:sz w:val="20"/>
                <w:szCs w:val="20"/>
                <w:color w:val="auto"/>
              </w:rPr>
            </w:pPr>
          </w:p>
        </w:tc>
        <w:tc>
          <w:tcPr>
            <w:tcW w:w="100" w:type="dxa"/>
            <w:vAlign w:val="bottom"/>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514</w:t>
            </w:r>
          </w:p>
        </w:tc>
        <w:tc>
          <w:tcPr>
            <w:tcW w:w="80" w:type="dxa"/>
            <w:vAlign w:val="bottom"/>
            <w:shd w:val="clear" w:color="auto" w:fill="FDFDFD"/>
          </w:tcPr>
          <w:p>
            <w:pPr>
              <w:spacing w:after="0"/>
              <w:rPr>
                <w:sz w:val="20"/>
                <w:szCs w:val="20"/>
                <w:color w:val="auto"/>
              </w:rPr>
            </w:pPr>
          </w:p>
        </w:tc>
      </w:tr>
    </w:tbl>
    <w:p>
      <w:pPr>
        <w:spacing w:after="0" w:line="149" w:lineRule="exact"/>
        <w:rPr>
          <w:sz w:val="20"/>
          <w:szCs w:val="20"/>
          <w:color w:val="auto"/>
        </w:rPr>
      </w:pPr>
    </w:p>
    <w:p>
      <w:pPr>
        <w:ind w:left="260" w:right="560"/>
        <w:spacing w:after="0" w:line="324" w:lineRule="auto"/>
        <w:rPr>
          <w:sz w:val="20"/>
          <w:szCs w:val="20"/>
          <w:color w:val="auto"/>
        </w:rPr>
      </w:pPr>
      <w:r>
        <w:rPr>
          <w:rFonts w:ascii="Arial" w:cs="Arial" w:eastAsia="Arial" w:hAnsi="Arial"/>
          <w:sz w:val="19"/>
          <w:szCs w:val="19"/>
          <w:color w:val="auto"/>
        </w:rPr>
        <w:t>As of December 31, 2024, future minimum commitments under the Company’s non-cancelable facility operating leases are as follows: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7020" w:type="dxa"/>
            <w:vAlign w:val="bottom"/>
            <w:gridSpan w:val="2"/>
            <w:shd w:val="clear" w:color="auto" w:fill="FDFDFD"/>
          </w:tcPr>
          <w:p>
            <w:pPr>
              <w:spacing w:after="0"/>
              <w:rPr>
                <w:sz w:val="20"/>
                <w:szCs w:val="20"/>
                <w:color w:val="auto"/>
              </w:rPr>
            </w:pPr>
            <w:r>
              <w:rPr>
                <w:rFonts w:ascii="Arial" w:cs="Arial" w:eastAsia="Arial" w:hAnsi="Arial"/>
                <w:sz w:val="15"/>
                <w:szCs w:val="15"/>
                <w:b w:val="1"/>
                <w:bCs w:val="1"/>
                <w:color w:val="auto"/>
              </w:rPr>
              <w:t>Years ending December 31,</w:t>
            </w:r>
          </w:p>
        </w:tc>
        <w:tc>
          <w:tcPr>
            <w:tcW w:w="1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560" w:type="dxa"/>
            <w:vAlign w:val="bottom"/>
            <w:gridSpan w:val="2"/>
            <w:shd w:val="clear" w:color="auto" w:fill="FDFDFD"/>
          </w:tcPr>
          <w:p>
            <w:pPr>
              <w:ind w:left="220"/>
              <w:spacing w:after="0"/>
              <w:rPr>
                <w:sz w:val="20"/>
                <w:szCs w:val="20"/>
                <w:color w:val="auto"/>
              </w:rPr>
            </w:pPr>
            <w:r>
              <w:rPr>
                <w:rFonts w:ascii="Arial" w:cs="Arial" w:eastAsia="Arial" w:hAnsi="Arial"/>
                <w:sz w:val="15"/>
                <w:szCs w:val="15"/>
                <w:b w:val="1"/>
                <w:bCs w:val="1"/>
                <w:color w:val="auto"/>
              </w:rPr>
              <w:t>(in thousands)</w:t>
            </w:r>
          </w:p>
        </w:tc>
      </w:tr>
      <w:tr>
        <w:trPr>
          <w:trHeight w:val="220"/>
        </w:trPr>
        <w:tc>
          <w:tcPr>
            <w:tcW w:w="7000" w:type="dxa"/>
            <w:vAlign w:val="bottom"/>
            <w:tcBorders>
              <w:top w:val="single" w:sz="8" w:color="auto"/>
            </w:tcBorders>
            <w:shd w:val="clear" w:color="auto" w:fill="D3ECED"/>
          </w:tcPr>
          <w:p>
            <w:pPr>
              <w:spacing w:after="0"/>
              <w:rPr>
                <w:sz w:val="20"/>
                <w:szCs w:val="20"/>
                <w:color w:val="auto"/>
              </w:rPr>
            </w:pPr>
            <w:r>
              <w:rPr>
                <w:rFonts w:ascii="Arial" w:cs="Arial" w:eastAsia="Arial" w:hAnsi="Arial"/>
                <w:sz w:val="19"/>
                <w:szCs w:val="19"/>
                <w:color w:val="auto"/>
              </w:rPr>
              <w:t>2025</w:t>
            </w:r>
          </w:p>
        </w:tc>
        <w:tc>
          <w:tcPr>
            <w:tcW w:w="20" w:type="dxa"/>
            <w:vAlign w:val="bottom"/>
            <w:tcBorders>
              <w:top w:val="single" w:sz="8" w:color="D3ECED"/>
            </w:tcBorders>
            <w:shd w:val="clear" w:color="auto" w:fill="D3ECED"/>
          </w:tcPr>
          <w:p>
            <w:pPr>
              <w:spacing w:after="0"/>
              <w:rPr>
                <w:sz w:val="19"/>
                <w:szCs w:val="19"/>
                <w:color w:val="auto"/>
              </w:rPr>
            </w:pPr>
          </w:p>
        </w:tc>
        <w:tc>
          <w:tcPr>
            <w:tcW w:w="160" w:type="dxa"/>
            <w:vAlign w:val="bottom"/>
            <w:tcBorders>
              <w:top w:val="single" w:sz="8" w:color="D3ECED"/>
            </w:tcBorders>
            <w:shd w:val="clear" w:color="auto" w:fill="D3ECED"/>
          </w:tcPr>
          <w:p>
            <w:pPr>
              <w:spacing w:after="0"/>
              <w:rPr>
                <w:sz w:val="19"/>
                <w:szCs w:val="19"/>
                <w:color w:val="auto"/>
              </w:rPr>
            </w:pPr>
          </w:p>
        </w:tc>
        <w:tc>
          <w:tcPr>
            <w:tcW w:w="10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148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3,846</w:t>
            </w:r>
          </w:p>
        </w:tc>
        <w:tc>
          <w:tcPr>
            <w:tcW w:w="80" w:type="dxa"/>
            <w:vAlign w:val="bottom"/>
            <w:tcBorders>
              <w:top w:val="single" w:sz="8" w:color="D3ECED"/>
            </w:tcBorders>
            <w:shd w:val="clear" w:color="auto" w:fill="D3ECED"/>
          </w:tcPr>
          <w:p>
            <w:pPr>
              <w:spacing w:after="0"/>
              <w:rPr>
                <w:sz w:val="19"/>
                <w:szCs w:val="19"/>
                <w:color w:val="auto"/>
              </w:rPr>
            </w:pPr>
          </w:p>
        </w:tc>
      </w:tr>
      <w:tr>
        <w:trPr>
          <w:trHeight w:val="230"/>
        </w:trPr>
        <w:tc>
          <w:tcPr>
            <w:tcW w:w="7000" w:type="dxa"/>
            <w:vAlign w:val="bottom"/>
            <w:shd w:val="clear" w:color="auto" w:fill="FDFDFD"/>
          </w:tcPr>
          <w:p>
            <w:pPr>
              <w:spacing w:after="0"/>
              <w:rPr>
                <w:sz w:val="20"/>
                <w:szCs w:val="20"/>
                <w:color w:val="auto"/>
              </w:rPr>
            </w:pPr>
            <w:r>
              <w:rPr>
                <w:rFonts w:ascii="Arial" w:cs="Arial" w:eastAsia="Arial" w:hAnsi="Arial"/>
                <w:sz w:val="19"/>
                <w:szCs w:val="19"/>
                <w:color w:val="auto"/>
              </w:rPr>
              <w:t>2026</w:t>
            </w:r>
          </w:p>
        </w:tc>
        <w:tc>
          <w:tcPr>
            <w:tcW w:w="20" w:type="dxa"/>
            <w:vAlign w:val="bottom"/>
            <w:shd w:val="clear" w:color="auto" w:fill="FDFDFD"/>
          </w:tcPr>
          <w:p>
            <w:pPr>
              <w:spacing w:after="0"/>
              <w:rPr>
                <w:sz w:val="20"/>
                <w:szCs w:val="20"/>
                <w:color w:val="auto"/>
              </w:rPr>
            </w:pPr>
          </w:p>
        </w:tc>
        <w:tc>
          <w:tcPr>
            <w:tcW w:w="16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48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3,957</w:t>
            </w:r>
          </w:p>
        </w:tc>
        <w:tc>
          <w:tcPr>
            <w:tcW w:w="80" w:type="dxa"/>
            <w:vAlign w:val="bottom"/>
            <w:shd w:val="clear" w:color="auto" w:fill="FDFDFD"/>
          </w:tcPr>
          <w:p>
            <w:pPr>
              <w:spacing w:after="0"/>
              <w:rPr>
                <w:sz w:val="20"/>
                <w:szCs w:val="20"/>
                <w:color w:val="auto"/>
              </w:rPr>
            </w:pPr>
          </w:p>
        </w:tc>
      </w:tr>
      <w:tr>
        <w:trPr>
          <w:trHeight w:val="230"/>
        </w:trPr>
        <w:tc>
          <w:tcPr>
            <w:tcW w:w="7000" w:type="dxa"/>
            <w:vAlign w:val="bottom"/>
            <w:shd w:val="clear" w:color="auto" w:fill="D3ECED"/>
          </w:tcPr>
          <w:p>
            <w:pPr>
              <w:spacing w:after="0"/>
              <w:rPr>
                <w:sz w:val="20"/>
                <w:szCs w:val="20"/>
                <w:color w:val="auto"/>
              </w:rPr>
            </w:pPr>
            <w:r>
              <w:rPr>
                <w:rFonts w:ascii="Arial" w:cs="Arial" w:eastAsia="Arial" w:hAnsi="Arial"/>
                <w:sz w:val="19"/>
                <w:szCs w:val="19"/>
                <w:color w:val="auto"/>
              </w:rPr>
              <w:t>2027</w:t>
            </w:r>
          </w:p>
        </w:tc>
        <w:tc>
          <w:tcPr>
            <w:tcW w:w="20" w:type="dxa"/>
            <w:vAlign w:val="bottom"/>
            <w:shd w:val="clear" w:color="auto" w:fill="D3ECED"/>
          </w:tcPr>
          <w:p>
            <w:pPr>
              <w:spacing w:after="0"/>
              <w:rPr>
                <w:sz w:val="20"/>
                <w:szCs w:val="20"/>
                <w:color w:val="auto"/>
              </w:rPr>
            </w:pPr>
          </w:p>
        </w:tc>
        <w:tc>
          <w:tcPr>
            <w:tcW w:w="16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14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4,072</w:t>
            </w:r>
          </w:p>
        </w:tc>
        <w:tc>
          <w:tcPr>
            <w:tcW w:w="80" w:type="dxa"/>
            <w:vAlign w:val="bottom"/>
            <w:shd w:val="clear" w:color="auto" w:fill="D3ECED"/>
          </w:tcPr>
          <w:p>
            <w:pPr>
              <w:spacing w:after="0"/>
              <w:rPr>
                <w:sz w:val="20"/>
                <w:szCs w:val="20"/>
                <w:color w:val="auto"/>
              </w:rPr>
            </w:pPr>
          </w:p>
        </w:tc>
      </w:tr>
      <w:tr>
        <w:trPr>
          <w:trHeight w:val="230"/>
        </w:trPr>
        <w:tc>
          <w:tcPr>
            <w:tcW w:w="7000" w:type="dxa"/>
            <w:vAlign w:val="bottom"/>
            <w:shd w:val="clear" w:color="auto" w:fill="FDFDFD"/>
          </w:tcPr>
          <w:p>
            <w:pPr>
              <w:spacing w:after="0"/>
              <w:rPr>
                <w:sz w:val="20"/>
                <w:szCs w:val="20"/>
                <w:color w:val="auto"/>
              </w:rPr>
            </w:pPr>
            <w:r>
              <w:rPr>
                <w:rFonts w:ascii="Arial" w:cs="Arial" w:eastAsia="Arial" w:hAnsi="Arial"/>
                <w:sz w:val="19"/>
                <w:szCs w:val="19"/>
                <w:color w:val="auto"/>
              </w:rPr>
              <w:t>2028</w:t>
            </w:r>
          </w:p>
        </w:tc>
        <w:tc>
          <w:tcPr>
            <w:tcW w:w="20" w:type="dxa"/>
            <w:vAlign w:val="bottom"/>
            <w:shd w:val="clear" w:color="auto" w:fill="FDFDFD"/>
          </w:tcPr>
          <w:p>
            <w:pPr>
              <w:spacing w:after="0"/>
              <w:rPr>
                <w:sz w:val="20"/>
                <w:szCs w:val="20"/>
                <w:color w:val="auto"/>
              </w:rPr>
            </w:pPr>
          </w:p>
        </w:tc>
        <w:tc>
          <w:tcPr>
            <w:tcW w:w="16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48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4,191</w:t>
            </w:r>
          </w:p>
        </w:tc>
        <w:tc>
          <w:tcPr>
            <w:tcW w:w="80" w:type="dxa"/>
            <w:vAlign w:val="bottom"/>
            <w:shd w:val="clear" w:color="auto" w:fill="FDFDFD"/>
          </w:tcPr>
          <w:p>
            <w:pPr>
              <w:spacing w:after="0"/>
              <w:rPr>
                <w:sz w:val="20"/>
                <w:szCs w:val="20"/>
                <w:color w:val="auto"/>
              </w:rPr>
            </w:pPr>
          </w:p>
        </w:tc>
      </w:tr>
      <w:tr>
        <w:trPr>
          <w:trHeight w:val="230"/>
        </w:trPr>
        <w:tc>
          <w:tcPr>
            <w:tcW w:w="7000" w:type="dxa"/>
            <w:vAlign w:val="bottom"/>
            <w:shd w:val="clear" w:color="auto" w:fill="D3ECED"/>
          </w:tcPr>
          <w:p>
            <w:pPr>
              <w:spacing w:after="0"/>
              <w:rPr>
                <w:sz w:val="20"/>
                <w:szCs w:val="20"/>
                <w:color w:val="auto"/>
              </w:rPr>
            </w:pPr>
            <w:r>
              <w:rPr>
                <w:rFonts w:ascii="Arial" w:cs="Arial" w:eastAsia="Arial" w:hAnsi="Arial"/>
                <w:sz w:val="19"/>
                <w:szCs w:val="19"/>
                <w:color w:val="auto"/>
              </w:rPr>
              <w:t>2029</w:t>
            </w:r>
          </w:p>
        </w:tc>
        <w:tc>
          <w:tcPr>
            <w:tcW w:w="20" w:type="dxa"/>
            <w:vAlign w:val="bottom"/>
            <w:shd w:val="clear" w:color="auto" w:fill="D3ECED"/>
          </w:tcPr>
          <w:p>
            <w:pPr>
              <w:spacing w:after="0"/>
              <w:rPr>
                <w:sz w:val="20"/>
                <w:szCs w:val="20"/>
                <w:color w:val="auto"/>
              </w:rPr>
            </w:pPr>
          </w:p>
        </w:tc>
        <w:tc>
          <w:tcPr>
            <w:tcW w:w="16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14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4,312</w:t>
            </w:r>
          </w:p>
        </w:tc>
        <w:tc>
          <w:tcPr>
            <w:tcW w:w="80" w:type="dxa"/>
            <w:vAlign w:val="bottom"/>
            <w:shd w:val="clear" w:color="auto" w:fill="D3ECED"/>
          </w:tcPr>
          <w:p>
            <w:pPr>
              <w:spacing w:after="0"/>
              <w:rPr>
                <w:sz w:val="20"/>
                <w:szCs w:val="20"/>
                <w:color w:val="auto"/>
              </w:rPr>
            </w:pPr>
          </w:p>
        </w:tc>
      </w:tr>
      <w:tr>
        <w:trPr>
          <w:trHeight w:val="230"/>
        </w:trPr>
        <w:tc>
          <w:tcPr>
            <w:tcW w:w="7020" w:type="dxa"/>
            <w:vAlign w:val="bottom"/>
            <w:tcBorders>
              <w:bottom w:val="single" w:sz="8" w:color="D3ECED"/>
            </w:tcBorders>
            <w:gridSpan w:val="2"/>
            <w:shd w:val="clear" w:color="auto" w:fill="FDFDFD"/>
          </w:tcPr>
          <w:p>
            <w:pPr>
              <w:spacing w:after="0"/>
              <w:rPr>
                <w:sz w:val="20"/>
                <w:szCs w:val="20"/>
                <w:color w:val="auto"/>
              </w:rPr>
            </w:pPr>
            <w:r>
              <w:rPr>
                <w:rFonts w:ascii="Arial" w:cs="Arial" w:eastAsia="Arial" w:hAnsi="Arial"/>
                <w:sz w:val="19"/>
                <w:szCs w:val="19"/>
                <w:color w:val="auto"/>
              </w:rPr>
              <w:t>Thereafter</w:t>
            </w:r>
          </w:p>
        </w:tc>
        <w:tc>
          <w:tcPr>
            <w:tcW w:w="160" w:type="dxa"/>
            <w:vAlign w:val="bottom"/>
            <w:tcBorders>
              <w:bottom w:val="single" w:sz="8" w:color="D3ECED"/>
            </w:tcBorders>
            <w:shd w:val="clear" w:color="auto" w:fill="FDFDFD"/>
          </w:tcPr>
          <w:p>
            <w:pPr>
              <w:spacing w:after="0"/>
              <w:rPr>
                <w:sz w:val="20"/>
                <w:szCs w:val="20"/>
                <w:color w:val="auto"/>
              </w:rPr>
            </w:pPr>
          </w:p>
        </w:tc>
        <w:tc>
          <w:tcPr>
            <w:tcW w:w="100" w:type="dxa"/>
            <w:vAlign w:val="bottom"/>
            <w:tcBorders>
              <w:bottom w:val="single" w:sz="8" w:color="auto"/>
            </w:tcBorders>
            <w:shd w:val="clear" w:color="auto" w:fill="FDFDFD"/>
          </w:tcPr>
          <w:p>
            <w:pPr>
              <w:spacing w:after="0"/>
              <w:rPr>
                <w:sz w:val="20"/>
                <w:szCs w:val="20"/>
                <w:color w:val="auto"/>
              </w:rPr>
            </w:pPr>
          </w:p>
        </w:tc>
        <w:tc>
          <w:tcPr>
            <w:tcW w:w="148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12,562</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20"/>
        </w:trPr>
        <w:tc>
          <w:tcPr>
            <w:tcW w:w="7020" w:type="dxa"/>
            <w:vAlign w:val="bottom"/>
            <w:gridSpan w:val="2"/>
            <w:shd w:val="clear" w:color="auto" w:fill="D3ECED"/>
          </w:tcPr>
          <w:p>
            <w:pPr>
              <w:ind w:left="100"/>
              <w:spacing w:after="0"/>
              <w:rPr>
                <w:sz w:val="20"/>
                <w:szCs w:val="20"/>
                <w:color w:val="auto"/>
              </w:rPr>
            </w:pPr>
            <w:r>
              <w:rPr>
                <w:rFonts w:ascii="Arial" w:cs="Arial" w:eastAsia="Arial" w:hAnsi="Arial"/>
                <w:sz w:val="19"/>
                <w:szCs w:val="19"/>
                <w:color w:val="auto"/>
              </w:rPr>
              <w:t>Total undiscounted future minimum lease payments</w:t>
            </w:r>
          </w:p>
        </w:tc>
        <w:tc>
          <w:tcPr>
            <w:tcW w:w="16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14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32,940</w:t>
            </w:r>
          </w:p>
        </w:tc>
        <w:tc>
          <w:tcPr>
            <w:tcW w:w="80" w:type="dxa"/>
            <w:vAlign w:val="bottom"/>
            <w:shd w:val="clear" w:color="auto" w:fill="D3ECED"/>
          </w:tcPr>
          <w:p>
            <w:pPr>
              <w:spacing w:after="0"/>
              <w:rPr>
                <w:sz w:val="19"/>
                <w:szCs w:val="19"/>
                <w:color w:val="auto"/>
              </w:rPr>
            </w:pPr>
          </w:p>
        </w:tc>
      </w:tr>
      <w:tr>
        <w:trPr>
          <w:trHeight w:val="230"/>
        </w:trPr>
        <w:tc>
          <w:tcPr>
            <w:tcW w:w="7020" w:type="dxa"/>
            <w:vAlign w:val="bottom"/>
            <w:tcBorders>
              <w:bottom w:val="single" w:sz="8" w:color="D3ECED"/>
            </w:tcBorders>
            <w:gridSpan w:val="2"/>
            <w:shd w:val="clear" w:color="auto" w:fill="FDFDFD"/>
          </w:tcPr>
          <w:p>
            <w:pPr>
              <w:spacing w:after="0"/>
              <w:rPr>
                <w:sz w:val="20"/>
                <w:szCs w:val="20"/>
                <w:color w:val="auto"/>
              </w:rPr>
            </w:pPr>
            <w:r>
              <w:rPr>
                <w:rFonts w:ascii="Arial" w:cs="Arial" w:eastAsia="Arial" w:hAnsi="Arial"/>
                <w:sz w:val="19"/>
                <w:szCs w:val="19"/>
                <w:color w:val="auto"/>
              </w:rPr>
              <w:t>Present value adjustment for minimum lease commitments</w:t>
            </w:r>
          </w:p>
        </w:tc>
        <w:tc>
          <w:tcPr>
            <w:tcW w:w="160" w:type="dxa"/>
            <w:vAlign w:val="bottom"/>
            <w:tcBorders>
              <w:bottom w:val="single" w:sz="8" w:color="D3ECED"/>
            </w:tcBorders>
            <w:shd w:val="clear" w:color="auto" w:fill="FDFDFD"/>
          </w:tcPr>
          <w:p>
            <w:pPr>
              <w:spacing w:after="0"/>
              <w:rPr>
                <w:sz w:val="20"/>
                <w:szCs w:val="20"/>
                <w:color w:val="auto"/>
              </w:rPr>
            </w:pPr>
          </w:p>
        </w:tc>
        <w:tc>
          <w:tcPr>
            <w:tcW w:w="100" w:type="dxa"/>
            <w:vAlign w:val="bottom"/>
            <w:tcBorders>
              <w:bottom w:val="single" w:sz="8" w:color="auto"/>
            </w:tcBorders>
            <w:shd w:val="clear" w:color="auto" w:fill="FDFDFD"/>
          </w:tcPr>
          <w:p>
            <w:pPr>
              <w:spacing w:after="0"/>
              <w:rPr>
                <w:sz w:val="20"/>
                <w:szCs w:val="20"/>
                <w:color w:val="auto"/>
              </w:rPr>
            </w:pPr>
          </w:p>
        </w:tc>
        <w:tc>
          <w:tcPr>
            <w:tcW w:w="148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(6,976)</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22"/>
        </w:trPr>
        <w:tc>
          <w:tcPr>
            <w:tcW w:w="7020" w:type="dxa"/>
            <w:vAlign w:val="bottom"/>
            <w:gridSpan w:val="2"/>
            <w:shd w:val="clear" w:color="auto" w:fill="D3ECED"/>
          </w:tcPr>
          <w:p>
            <w:pPr>
              <w:ind w:left="100"/>
              <w:spacing w:after="0"/>
              <w:rPr>
                <w:sz w:val="20"/>
                <w:szCs w:val="20"/>
                <w:color w:val="auto"/>
              </w:rPr>
            </w:pPr>
            <w:r>
              <w:rPr>
                <w:rFonts w:ascii="Arial" w:cs="Arial" w:eastAsia="Arial" w:hAnsi="Arial"/>
                <w:sz w:val="19"/>
                <w:szCs w:val="19"/>
                <w:color w:val="auto"/>
              </w:rPr>
              <w:t>Total operating lease liabilities</w:t>
            </w:r>
          </w:p>
        </w:tc>
        <w:tc>
          <w:tcPr>
            <w:tcW w:w="16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5"/>
                <w:szCs w:val="15"/>
                <w:color w:val="auto"/>
                <w:w w:val="71"/>
                <w:shd w:val="clear" w:color="auto" w:fill="D3ECED"/>
              </w:rPr>
              <w:t>$</w:t>
            </w:r>
          </w:p>
        </w:tc>
        <w:tc>
          <w:tcPr>
            <w:tcW w:w="14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25,964</w:t>
            </w:r>
          </w:p>
        </w:tc>
        <w:tc>
          <w:tcPr>
            <w:tcW w:w="80" w:type="dxa"/>
            <w:vAlign w:val="bottom"/>
            <w:shd w:val="clear" w:color="auto" w:fill="D3ECE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-13335</wp:posOffset>
            </wp:positionV>
            <wp:extent cx="1028700" cy="533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87">
                      <a:extLst>
                        <a:ext uri="{28A0092B-C50C-407E-A947-70E740481C1C}"/>
                      </a:extLst>
                    </a:blip>
                    <a:srcRect/>
                    <a:stretch>
                      <a:fillRect/>
                    </a:stretch>
                  </pic:blipFill>
                  <pic:spPr bwMode="auto">
                    <a:xfrm>
                      <a:off x="0" y="0"/>
                      <a:ext cx="1028700" cy="53340"/>
                    </a:xfrm>
                    <a:prstGeom prst="rect">
                      <a:avLst/>
                    </a:prstGeom>
                    <a:noFill/>
                  </pic:spPr>
                </pic:pic>
              </a:graphicData>
            </a:graphic>
          </wp:anchor>
        </w:drawing>
      </w:r>
    </w:p>
    <w:p>
      <w:pPr>
        <w:spacing w:after="0" w:line="172" w:lineRule="exact"/>
        <w:rPr>
          <w:sz w:val="20"/>
          <w:szCs w:val="20"/>
          <w:color w:val="auto"/>
        </w:rPr>
      </w:pPr>
    </w:p>
    <w:p>
      <w:pPr>
        <w:ind w:left="260" w:right="320"/>
        <w:spacing w:after="0" w:line="430" w:lineRule="auto"/>
        <w:rPr>
          <w:sz w:val="20"/>
          <w:szCs w:val="20"/>
          <w:color w:val="auto"/>
        </w:rPr>
      </w:pPr>
      <w:r>
        <w:rPr>
          <w:rFonts w:ascii="Arial" w:cs="Arial" w:eastAsia="Arial" w:hAnsi="Arial"/>
          <w:sz w:val="16"/>
          <w:szCs w:val="16"/>
          <w:color w:val="auto"/>
        </w:rPr>
        <w:t>As a lessor, the Company has contracts for equipment leased to customers. The Company accounts for the non-lease component under the revenue recognition ASC 606 guidance and the lease component under ASC 842 guidance.</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2240" w:h="15840" w:orient="portrait"/>
          <w:cols w:equalWidth="0" w:num="1">
            <w:col w:w="9360"/>
          </w:cols>
          <w:pgMar w:left="1440" w:top="1358" w:right="1440" w:bottom="624"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380"/>
        <w:spacing w:after="0" w:line="344" w:lineRule="auto"/>
        <w:rPr>
          <w:sz w:val="20"/>
          <w:szCs w:val="20"/>
          <w:color w:val="auto"/>
        </w:rPr>
      </w:pPr>
      <w:r>
        <w:rPr>
          <w:rFonts w:ascii="Arial" w:cs="Arial" w:eastAsia="Arial" w:hAnsi="Arial"/>
          <w:sz w:val="17"/>
          <w:szCs w:val="17"/>
          <w:color w:val="auto"/>
        </w:rPr>
        <w:t>For an arrangement that has been classified as a sales-type lease, revenue is recognized when the transfer of control of the underlying leased asset has occurred and the net investment lease recorded, which is calculated at the present value of the remaining lease payments due from the lessee. For an arrangement that has been classified as an operating lease, revenue is recognized on a straight-line basis over the lease term.</w:t>
      </w:r>
    </w:p>
    <w:p>
      <w:pPr>
        <w:spacing w:after="0" w:line="88" w:lineRule="exact"/>
        <w:rPr>
          <w:sz w:val="20"/>
          <w:szCs w:val="20"/>
          <w:color w:val="auto"/>
        </w:rPr>
      </w:pPr>
    </w:p>
    <w:p>
      <w:pPr>
        <w:ind w:left="600" w:right="5140" w:hanging="337"/>
        <w:spacing w:after="0" w:line="500" w:lineRule="auto"/>
        <w:tabs>
          <w:tab w:leader="none" w:pos="6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Purchase Commitments and Obligations</w:t>
      </w:r>
    </w:p>
    <w:p>
      <w:pPr>
        <w:ind w:left="260" w:right="280"/>
        <w:spacing w:after="0" w:line="331" w:lineRule="auto"/>
        <w:rPr>
          <w:sz w:val="20"/>
          <w:szCs w:val="20"/>
          <w:color w:val="auto"/>
        </w:rPr>
      </w:pPr>
      <w:r>
        <w:rPr>
          <w:rFonts w:ascii="Arial" w:cs="Arial" w:eastAsia="Arial" w:hAnsi="Arial"/>
          <w:sz w:val="17"/>
          <w:szCs w:val="17"/>
          <w:color w:val="auto"/>
        </w:rPr>
        <w:t>The Company has certain purchase commitments related to its inventory management with certain manufacturing suppliers wherein the Company is required to purchase the amounts forecasted in a blanket purchase order within a certain time period. The Company also has certain contractual obligations for third-party technology used as part of the normal operations.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amounted to $4.5 million and $6.3 million as of December 31, 2024 and 2023, respectively.</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Guarantees and Indemnifications</w:t>
      </w:r>
    </w:p>
    <w:p>
      <w:pPr>
        <w:spacing w:after="0" w:line="209" w:lineRule="exact"/>
        <w:rPr>
          <w:sz w:val="20"/>
          <w:szCs w:val="20"/>
          <w:color w:val="auto"/>
        </w:rPr>
      </w:pPr>
    </w:p>
    <w:p>
      <w:pPr>
        <w:ind w:left="260" w:right="260"/>
        <w:spacing w:after="0" w:line="329" w:lineRule="auto"/>
        <w:rPr>
          <w:sz w:val="20"/>
          <w:szCs w:val="20"/>
          <w:color w:val="auto"/>
        </w:rPr>
      </w:pPr>
      <w:r>
        <w:rPr>
          <w:rFonts w:ascii="Arial" w:cs="Arial" w:eastAsia="Arial" w:hAnsi="Arial"/>
          <w:sz w:val="17"/>
          <w:szCs w:val="17"/>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2024 and 2023, the Company does not have any material indemnification claims that were probable or reasonably possible and consequently has not recorded related liabilities.</w:t>
      </w:r>
    </w:p>
    <w:p>
      <w:pPr>
        <w:spacing w:after="0" w:line="112"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Contingencies</w:t>
      </w:r>
    </w:p>
    <w:p>
      <w:pPr>
        <w:spacing w:after="0" w:line="209" w:lineRule="exact"/>
        <w:rPr>
          <w:sz w:val="20"/>
          <w:szCs w:val="20"/>
          <w:color w:val="auto"/>
        </w:rPr>
      </w:pPr>
    </w:p>
    <w:p>
      <w:pPr>
        <w:ind w:left="260" w:right="880"/>
        <w:spacing w:after="0" w:line="326" w:lineRule="auto"/>
        <w:rPr>
          <w:sz w:val="20"/>
          <w:szCs w:val="20"/>
          <w:color w:val="auto"/>
        </w:rPr>
      </w:pPr>
      <w:r>
        <w:rPr>
          <w:rFonts w:ascii="Arial" w:cs="Arial" w:eastAsia="Arial" w:hAnsi="Arial"/>
          <w:sz w:val="19"/>
          <w:szCs w:val="19"/>
          <w:color w:val="auto"/>
        </w:rPr>
        <w:t>From time to time, the Company may become involved in legal proceedings arising in the ordinary course of business. The Company is not currently a party to any material legal proceedings.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11. RELATED PARTY TRANSACTIONS</w:t>
      </w:r>
    </w:p>
    <w:p>
      <w:pPr>
        <w:spacing w:after="0" w:line="215" w:lineRule="exact"/>
        <w:rPr>
          <w:sz w:val="20"/>
          <w:szCs w:val="20"/>
          <w:color w:val="auto"/>
        </w:rPr>
      </w:pPr>
    </w:p>
    <w:p>
      <w:pPr>
        <w:ind w:left="260" w:right="420"/>
        <w:spacing w:after="0" w:line="295" w:lineRule="auto"/>
        <w:rPr>
          <w:sz w:val="20"/>
          <w:szCs w:val="20"/>
          <w:color w:val="auto"/>
        </w:rPr>
      </w:pPr>
      <w:r>
        <w:rPr>
          <w:rFonts w:ascii="Arial" w:cs="Arial" w:eastAsia="Arial" w:hAnsi="Arial"/>
          <w:sz w:val="19"/>
          <w:szCs w:val="19"/>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29" w:lineRule="exact"/>
        <w:rPr>
          <w:sz w:val="20"/>
          <w:szCs w:val="20"/>
          <w:color w:val="auto"/>
        </w:rPr>
      </w:pPr>
    </w:p>
    <w:p>
      <w:pPr>
        <w:ind w:left="260" w:right="300"/>
        <w:spacing w:after="0" w:line="309" w:lineRule="auto"/>
        <w:rPr>
          <w:sz w:val="20"/>
          <w:szCs w:val="20"/>
          <w:color w:val="auto"/>
        </w:rPr>
      </w:pPr>
      <w:r>
        <w:rPr>
          <w:rFonts w:ascii="Arial" w:cs="Arial" w:eastAsia="Arial" w:hAnsi="Arial"/>
          <w:sz w:val="18"/>
          <w:szCs w:val="18"/>
          <w:color w:val="auto"/>
        </w:rPr>
        <w:t>The Company has concluded that PrognomiQ is a variable interest entities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2020, the carrying value of the Company’s investment in PrognomiQ was reduced to nil after recognizing net losses based on its percentage of ownership in PrognomiQ.</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2240" w:h="15840" w:orient="portrait"/>
          <w:cols w:equalWidth="0" w:num="1">
            <w:col w:w="9360"/>
          </w:cols>
          <w:pgMar w:left="1440" w:top="1358" w:right="1440" w:bottom="624"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400"/>
        <w:spacing w:after="0" w:line="312" w:lineRule="auto"/>
        <w:rPr>
          <w:sz w:val="20"/>
          <w:szCs w:val="20"/>
          <w:color w:val="auto"/>
        </w:rPr>
      </w:pPr>
      <w:r>
        <w:rPr>
          <w:rFonts w:ascii="Arial" w:cs="Arial" w:eastAsia="Arial" w:hAnsi="Arial"/>
          <w:sz w:val="18"/>
          <w:szCs w:val="18"/>
          <w:color w:val="auto"/>
        </w:rPr>
        <w:t>PrognomiQ constitutes a related party and, as of December 31, 2024 and 2023, the Company recorded $0.4 million and $0.6 million in related party receivables, respectively, on the consolidated balance sheets mainly due from product sales and service revenue. For the years ended December 31, 2024 and 2023, the Company recognized revenue of $2.5 million, of which $1.6 million was from product sales, and $4.7 million, of which $4.4 million was from product sales, respectively, from PrognomiQ and is presented as related party revenue on the consolidated statements of operations and comprehensive loss.</w:t>
      </w:r>
    </w:p>
    <w:p>
      <w:pPr>
        <w:spacing w:after="0" w:line="116" w:lineRule="exact"/>
        <w:rPr>
          <w:sz w:val="20"/>
          <w:szCs w:val="20"/>
          <w:color w:val="auto"/>
        </w:rPr>
      </w:pPr>
    </w:p>
    <w:p>
      <w:pPr>
        <w:ind w:left="260" w:right="300"/>
        <w:spacing w:after="0" w:line="305" w:lineRule="auto"/>
        <w:rPr>
          <w:sz w:val="20"/>
          <w:szCs w:val="20"/>
          <w:color w:val="auto"/>
        </w:rPr>
      </w:pPr>
      <w:r>
        <w:rPr>
          <w:rFonts w:ascii="Arial" w:cs="Arial" w:eastAsia="Arial" w:hAnsi="Arial"/>
          <w:sz w:val="19"/>
          <w:szCs w:val="19"/>
          <w:color w:val="auto"/>
        </w:rPr>
        <w:t>On August 12, 2024, the Company entered into a preferred stock purchase agreement with PrognomiQ, pursuant to which the Company purchased $10.0 million of PrognomiQ's Series D Preferred Stock. The investment is accounted for as an equity security in accordance with ASC 321.</w:t>
      </w:r>
    </w:p>
    <w:p>
      <w:pPr>
        <w:spacing w:after="0" w:line="119" w:lineRule="exact"/>
        <w:rPr>
          <w:sz w:val="20"/>
          <w:szCs w:val="20"/>
          <w:color w:val="auto"/>
        </w:rPr>
      </w:pPr>
    </w:p>
    <w:p>
      <w:pPr>
        <w:ind w:left="260" w:right="380"/>
        <w:spacing w:after="0" w:line="299" w:lineRule="auto"/>
        <w:rPr>
          <w:sz w:val="20"/>
          <w:szCs w:val="20"/>
          <w:color w:val="auto"/>
        </w:rPr>
      </w:pPr>
      <w:r>
        <w:rPr>
          <w:rFonts w:ascii="Arial" w:cs="Arial" w:eastAsia="Arial" w:hAnsi="Arial"/>
          <w:sz w:val="19"/>
          <w:szCs w:val="19"/>
          <w:color w:val="auto"/>
        </w:rPr>
        <w:t>As of December 31, 2024, the carrying value of the investment was $7.4 million and is included in other assets on the consolidated balance sheets. The carrying value is adjusted by the Company's share in loss in the equity method investment. There were no impairment and recognized gains or losses to the carrying value for the year ended December 31, 2024.</w:t>
      </w:r>
    </w:p>
    <w:p>
      <w:pPr>
        <w:spacing w:after="0" w:line="122" w:lineRule="exact"/>
        <w:rPr>
          <w:sz w:val="20"/>
          <w:szCs w:val="20"/>
          <w:color w:val="auto"/>
        </w:rPr>
      </w:pPr>
    </w:p>
    <w:p>
      <w:pPr>
        <w:ind w:left="260" w:right="360"/>
        <w:spacing w:after="0" w:line="312" w:lineRule="auto"/>
        <w:rPr>
          <w:sz w:val="20"/>
          <w:szCs w:val="20"/>
          <w:color w:val="auto"/>
        </w:rPr>
      </w:pPr>
      <w:r>
        <w:rPr>
          <w:rFonts w:ascii="Arial" w:cs="Arial" w:eastAsia="Arial" w:hAnsi="Arial"/>
          <w:sz w:val="18"/>
          <w:szCs w:val="18"/>
          <w:color w:val="auto"/>
        </w:rPr>
        <w:t>During 2022, a member of the Company’s Board of Directors served as a board member and an executive officer at a company that is a customer of the Company. There was no revenue recognized for each of the year ended December 31, 2024 and 2023. The Company has a contract for equipment leased to this customer that has been classified as a sales-type lease. As of December 31, 2024 and 2023, the lease receivables related to the sales-type lease is nil and $0.2 million, respectively. The lease receivables are presented as prepaid expenses and other current assets on the consolidated balance sheets.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12. NET LOSS PER SHARE ATTRIBUTABLE TO COMMON STOCKHOLDERS</w:t>
      </w:r>
    </w:p>
    <w:p>
      <w:pPr>
        <w:spacing w:after="0" w:line="215" w:lineRule="exact"/>
        <w:rPr>
          <w:sz w:val="20"/>
          <w:szCs w:val="20"/>
          <w:color w:val="auto"/>
        </w:rPr>
      </w:pPr>
    </w:p>
    <w:p>
      <w:pPr>
        <w:ind w:left="260" w:right="520"/>
        <w:spacing w:after="0" w:line="324" w:lineRule="auto"/>
        <w:rPr>
          <w:sz w:val="20"/>
          <w:szCs w:val="20"/>
          <w:color w:val="auto"/>
        </w:rPr>
      </w:pPr>
      <w:r>
        <w:rPr>
          <w:rFonts w:ascii="Arial" w:cs="Arial" w:eastAsia="Arial" w:hAnsi="Arial"/>
          <w:sz w:val="19"/>
          <w:szCs w:val="19"/>
          <w:color w:val="auto"/>
        </w:rPr>
        <w:t>The following table shows the computation of basic and diluted net loss per share (in thousands, except share and per share data):</w:t>
      </w:r>
    </w:p>
    <w:p>
      <w:pPr>
        <w:spacing w:after="0" w:line="154"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5500" w:type="dxa"/>
            <w:vAlign w:val="bottom"/>
            <w:shd w:val="clear" w:color="auto" w:fill="FDFDFD"/>
          </w:tcPr>
          <w:p>
            <w:pPr>
              <w:spacing w:after="0"/>
              <w:rPr>
                <w:sz w:val="16"/>
                <w:szCs w:val="16"/>
                <w:color w:val="auto"/>
              </w:rPr>
            </w:pPr>
          </w:p>
        </w:tc>
        <w:tc>
          <w:tcPr>
            <w:tcW w:w="3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860" w:type="dxa"/>
            <w:vAlign w:val="bottom"/>
            <w:gridSpan w:val="5"/>
            <w:shd w:val="clear" w:color="auto" w:fill="FDFDFD"/>
          </w:tcPr>
          <w:p>
            <w:pPr>
              <w:ind w:left="480"/>
              <w:spacing w:after="0"/>
              <w:rPr>
                <w:sz w:val="20"/>
                <w:szCs w:val="20"/>
                <w:color w:val="auto"/>
              </w:rPr>
            </w:pPr>
            <w:r>
              <w:rPr>
                <w:rFonts w:ascii="Arial" w:cs="Arial" w:eastAsia="Arial" w:hAnsi="Arial"/>
                <w:sz w:val="15"/>
                <w:szCs w:val="15"/>
                <w:b w:val="1"/>
                <w:bCs w:val="1"/>
                <w:color w:val="auto"/>
              </w:rPr>
              <w:t>Year Ended December 31,</w:t>
            </w:r>
          </w:p>
        </w:tc>
      </w:tr>
      <w:tr>
        <w:trPr>
          <w:trHeight w:val="176"/>
        </w:trPr>
        <w:tc>
          <w:tcPr>
            <w:tcW w:w="5500" w:type="dxa"/>
            <w:vAlign w:val="bottom"/>
            <w:tcBorders>
              <w:top w:val="single" w:sz="8" w:color="FDFDFD"/>
              <w:bottom w:val="single" w:sz="8" w:color="D3ECED"/>
            </w:tcBorders>
            <w:shd w:val="clear" w:color="auto" w:fill="FDFDFD"/>
          </w:tcPr>
          <w:p>
            <w:pPr>
              <w:spacing w:after="0"/>
              <w:rPr>
                <w:sz w:val="15"/>
                <w:szCs w:val="15"/>
                <w:color w:val="auto"/>
              </w:rPr>
            </w:pPr>
          </w:p>
        </w:tc>
        <w:tc>
          <w:tcPr>
            <w:tcW w:w="380" w:type="dxa"/>
            <w:vAlign w:val="bottom"/>
            <w:tcBorders>
              <w:top w:val="single" w:sz="8" w:color="FDFDFD"/>
              <w:bottom w:val="single" w:sz="8" w:color="D3ECED"/>
            </w:tcBorders>
            <w:shd w:val="clear" w:color="auto" w:fill="FDFDFD"/>
          </w:tcPr>
          <w:p>
            <w:pPr>
              <w:spacing w:after="0"/>
              <w:rPr>
                <w:sz w:val="15"/>
                <w:szCs w:val="15"/>
                <w:color w:val="auto"/>
              </w:rPr>
            </w:pPr>
          </w:p>
        </w:tc>
        <w:tc>
          <w:tcPr>
            <w:tcW w:w="100" w:type="dxa"/>
            <w:vAlign w:val="bottom"/>
            <w:tcBorders>
              <w:top w:val="single" w:sz="8" w:color="auto"/>
              <w:bottom w:val="single" w:sz="8" w:color="auto"/>
            </w:tcBorders>
            <w:shd w:val="clear" w:color="auto" w:fill="FDFDFD"/>
          </w:tcPr>
          <w:p>
            <w:pPr>
              <w:spacing w:after="0"/>
              <w:rPr>
                <w:sz w:val="15"/>
                <w:szCs w:val="15"/>
                <w:color w:val="auto"/>
              </w:rPr>
            </w:pPr>
          </w:p>
        </w:tc>
        <w:tc>
          <w:tcPr>
            <w:tcW w:w="1220" w:type="dxa"/>
            <w:vAlign w:val="bottom"/>
            <w:tcBorders>
              <w:top w:val="single" w:sz="8" w:color="auto"/>
              <w:bottom w:val="single" w:sz="8" w:color="auto"/>
            </w:tcBorders>
            <w:shd w:val="clear" w:color="auto" w:fill="FDFDFD"/>
          </w:tcPr>
          <w:p>
            <w:pPr>
              <w:jc w:val="right"/>
              <w:ind w:right="433"/>
              <w:spacing w:after="0"/>
              <w:rPr>
                <w:sz w:val="20"/>
                <w:szCs w:val="20"/>
                <w:color w:val="auto"/>
              </w:rPr>
            </w:pPr>
            <w:r>
              <w:rPr>
                <w:rFonts w:ascii="Arial" w:cs="Arial" w:eastAsia="Arial" w:hAnsi="Arial"/>
                <w:sz w:val="15"/>
                <w:szCs w:val="15"/>
                <w:b w:val="1"/>
                <w:bCs w:val="1"/>
                <w:color w:val="auto"/>
              </w:rPr>
              <w:t>2024</w:t>
            </w:r>
          </w:p>
        </w:tc>
        <w:tc>
          <w:tcPr>
            <w:tcW w:w="220" w:type="dxa"/>
            <w:vAlign w:val="bottom"/>
            <w:tcBorders>
              <w:top w:val="single" w:sz="8" w:color="auto"/>
              <w:bottom w:val="single" w:sz="8" w:color="D3ECED"/>
            </w:tcBorders>
            <w:shd w:val="clear" w:color="auto" w:fill="FDFDFD"/>
          </w:tcPr>
          <w:p>
            <w:pPr>
              <w:spacing w:after="0"/>
              <w:rPr>
                <w:sz w:val="15"/>
                <w:szCs w:val="15"/>
                <w:color w:val="auto"/>
              </w:rPr>
            </w:pPr>
          </w:p>
        </w:tc>
        <w:tc>
          <w:tcPr>
            <w:tcW w:w="120" w:type="dxa"/>
            <w:vAlign w:val="bottom"/>
            <w:tcBorders>
              <w:top w:val="single" w:sz="8" w:color="auto"/>
              <w:bottom w:val="single" w:sz="8" w:color="auto"/>
            </w:tcBorders>
            <w:shd w:val="clear" w:color="auto" w:fill="FDFDFD"/>
          </w:tcPr>
          <w:p>
            <w:pPr>
              <w:spacing w:after="0"/>
              <w:rPr>
                <w:sz w:val="15"/>
                <w:szCs w:val="15"/>
                <w:color w:val="auto"/>
              </w:rPr>
            </w:pPr>
          </w:p>
        </w:tc>
        <w:tc>
          <w:tcPr>
            <w:tcW w:w="1220" w:type="dxa"/>
            <w:vAlign w:val="bottom"/>
            <w:tcBorders>
              <w:top w:val="single" w:sz="8" w:color="auto"/>
              <w:bottom w:val="single" w:sz="8" w:color="auto"/>
            </w:tcBorders>
            <w:shd w:val="clear" w:color="auto" w:fill="FDFDFD"/>
          </w:tcPr>
          <w:p>
            <w:pPr>
              <w:jc w:val="right"/>
              <w:ind w:right="430"/>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FDFDFD"/>
              <w:bottom w:val="single" w:sz="8" w:color="D3ECED"/>
            </w:tcBorders>
            <w:shd w:val="clear" w:color="auto" w:fill="FDFDFD"/>
          </w:tcPr>
          <w:p>
            <w:pPr>
              <w:spacing w:after="0"/>
              <w:rPr>
                <w:sz w:val="15"/>
                <w:szCs w:val="15"/>
                <w:color w:val="auto"/>
              </w:rPr>
            </w:pPr>
          </w:p>
        </w:tc>
      </w:tr>
      <w:tr>
        <w:trPr>
          <w:trHeight w:val="220"/>
        </w:trPr>
        <w:tc>
          <w:tcPr>
            <w:tcW w:w="5500" w:type="dxa"/>
            <w:vAlign w:val="bottom"/>
            <w:shd w:val="clear" w:color="auto" w:fill="D3ECED"/>
          </w:tcPr>
          <w:p>
            <w:pPr>
              <w:spacing w:after="0"/>
              <w:rPr>
                <w:sz w:val="20"/>
                <w:szCs w:val="20"/>
                <w:color w:val="auto"/>
              </w:rPr>
            </w:pPr>
            <w:r>
              <w:rPr>
                <w:rFonts w:ascii="Arial" w:cs="Arial" w:eastAsia="Arial" w:hAnsi="Arial"/>
                <w:sz w:val="19"/>
                <w:szCs w:val="19"/>
                <w:color w:val="auto"/>
              </w:rPr>
              <w:t>Numerator:</w:t>
            </w:r>
          </w:p>
        </w:tc>
        <w:tc>
          <w:tcPr>
            <w:tcW w:w="380" w:type="dxa"/>
            <w:vAlign w:val="bottom"/>
            <w:shd w:val="clear" w:color="auto" w:fill="D3ECED"/>
          </w:tcPr>
          <w:p>
            <w:pPr>
              <w:spacing w:after="0"/>
              <w:rPr>
                <w:sz w:val="19"/>
                <w:szCs w:val="19"/>
                <w:color w:val="auto"/>
              </w:rPr>
            </w:pPr>
          </w:p>
        </w:tc>
        <w:tc>
          <w:tcPr>
            <w:tcW w:w="100" w:type="dxa"/>
            <w:vAlign w:val="bottom"/>
            <w:shd w:val="clear" w:color="auto" w:fill="D3ECED"/>
          </w:tcPr>
          <w:p>
            <w:pPr>
              <w:spacing w:after="0"/>
              <w:rPr>
                <w:sz w:val="19"/>
                <w:szCs w:val="19"/>
                <w:color w:val="auto"/>
              </w:rPr>
            </w:pPr>
          </w:p>
        </w:tc>
        <w:tc>
          <w:tcPr>
            <w:tcW w:w="1220" w:type="dxa"/>
            <w:vAlign w:val="bottom"/>
            <w:shd w:val="clear" w:color="auto" w:fill="D3ECED"/>
          </w:tcPr>
          <w:p>
            <w:pPr>
              <w:spacing w:after="0"/>
              <w:rPr>
                <w:sz w:val="19"/>
                <w:szCs w:val="19"/>
                <w:color w:val="auto"/>
              </w:rPr>
            </w:pPr>
          </w:p>
        </w:tc>
        <w:tc>
          <w:tcPr>
            <w:tcW w:w="220" w:type="dxa"/>
            <w:vAlign w:val="bottom"/>
            <w:shd w:val="clear" w:color="auto" w:fill="D3ECED"/>
          </w:tcPr>
          <w:p>
            <w:pPr>
              <w:spacing w:after="0"/>
              <w:rPr>
                <w:sz w:val="19"/>
                <w:szCs w:val="19"/>
                <w:color w:val="auto"/>
              </w:rPr>
            </w:pPr>
          </w:p>
        </w:tc>
        <w:tc>
          <w:tcPr>
            <w:tcW w:w="120" w:type="dxa"/>
            <w:vAlign w:val="bottom"/>
            <w:shd w:val="clear" w:color="auto" w:fill="D3ECED"/>
          </w:tcPr>
          <w:p>
            <w:pPr>
              <w:spacing w:after="0"/>
              <w:rPr>
                <w:sz w:val="19"/>
                <w:szCs w:val="19"/>
                <w:color w:val="auto"/>
              </w:rPr>
            </w:pPr>
          </w:p>
        </w:tc>
        <w:tc>
          <w:tcPr>
            <w:tcW w:w="122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r>
      <w:tr>
        <w:trPr>
          <w:trHeight w:val="230"/>
        </w:trPr>
        <w:tc>
          <w:tcPr>
            <w:tcW w:w="5500" w:type="dxa"/>
            <w:vAlign w:val="bottom"/>
            <w:shd w:val="clear" w:color="auto" w:fill="FDFDFD"/>
          </w:tcPr>
          <w:p>
            <w:pPr>
              <w:ind w:left="100"/>
              <w:spacing w:after="0"/>
              <w:rPr>
                <w:sz w:val="20"/>
                <w:szCs w:val="20"/>
                <w:color w:val="auto"/>
              </w:rPr>
            </w:pPr>
            <w:r>
              <w:rPr>
                <w:rFonts w:ascii="Arial" w:cs="Arial" w:eastAsia="Arial" w:hAnsi="Arial"/>
                <w:sz w:val="19"/>
                <w:szCs w:val="19"/>
                <w:color w:val="auto"/>
                <w:w w:val="96"/>
              </w:rPr>
              <w:t>Net loss attributable to Class A and Class B common stockholders</w:t>
            </w:r>
          </w:p>
        </w:tc>
        <w:tc>
          <w:tcPr>
            <w:tcW w:w="380" w:type="dxa"/>
            <w:vAlign w:val="bottom"/>
            <w:shd w:val="clear" w:color="auto" w:fill="FDFDFD"/>
          </w:tcPr>
          <w:p>
            <w:pPr>
              <w:spacing w:after="0"/>
              <w:rPr>
                <w:sz w:val="20"/>
                <w:szCs w:val="20"/>
                <w:color w:val="auto"/>
              </w:rPr>
            </w:pPr>
          </w:p>
        </w:tc>
        <w:tc>
          <w:tcPr>
            <w:tcW w:w="100" w:type="dxa"/>
            <w:vAlign w:val="bottom"/>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(86,599)</w:t>
            </w:r>
          </w:p>
        </w:tc>
        <w:tc>
          <w:tcPr>
            <w:tcW w:w="220" w:type="dxa"/>
            <w:vAlign w:val="bottom"/>
            <w:shd w:val="clear" w:color="auto" w:fill="FDFDFD"/>
          </w:tcPr>
          <w:p>
            <w:pPr>
              <w:spacing w:after="0"/>
              <w:rPr>
                <w:sz w:val="20"/>
                <w:szCs w:val="20"/>
                <w:color w:val="auto"/>
              </w:rPr>
            </w:pPr>
          </w:p>
        </w:tc>
        <w:tc>
          <w:tcPr>
            <w:tcW w:w="120" w:type="dxa"/>
            <w:vAlign w:val="bottom"/>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(86,277)</w:t>
            </w:r>
          </w:p>
        </w:tc>
        <w:tc>
          <w:tcPr>
            <w:tcW w:w="80" w:type="dxa"/>
            <w:vAlign w:val="bottom"/>
            <w:shd w:val="clear" w:color="auto" w:fill="FDFDFD"/>
          </w:tcPr>
          <w:p>
            <w:pPr>
              <w:spacing w:after="0"/>
              <w:rPr>
                <w:sz w:val="20"/>
                <w:szCs w:val="20"/>
                <w:color w:val="auto"/>
              </w:rPr>
            </w:pPr>
          </w:p>
        </w:tc>
      </w:tr>
      <w:tr>
        <w:trPr>
          <w:trHeight w:val="230"/>
        </w:trPr>
        <w:tc>
          <w:tcPr>
            <w:tcW w:w="5500" w:type="dxa"/>
            <w:vAlign w:val="bottom"/>
            <w:shd w:val="clear" w:color="auto" w:fill="D3ECED"/>
          </w:tcPr>
          <w:p>
            <w:pPr>
              <w:spacing w:after="0"/>
              <w:rPr>
                <w:sz w:val="20"/>
                <w:szCs w:val="20"/>
                <w:color w:val="auto"/>
              </w:rPr>
            </w:pPr>
            <w:r>
              <w:rPr>
                <w:rFonts w:ascii="Arial" w:cs="Arial" w:eastAsia="Arial" w:hAnsi="Arial"/>
                <w:sz w:val="19"/>
                <w:szCs w:val="19"/>
                <w:color w:val="auto"/>
              </w:rPr>
              <w:t>Denominator:</w:t>
            </w:r>
          </w:p>
        </w:tc>
        <w:tc>
          <w:tcPr>
            <w:tcW w:w="38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1220" w:type="dxa"/>
            <w:vAlign w:val="bottom"/>
            <w:shd w:val="clear" w:color="auto" w:fill="D3ECED"/>
          </w:tcPr>
          <w:p>
            <w:pPr>
              <w:spacing w:after="0"/>
              <w:rPr>
                <w:sz w:val="20"/>
                <w:szCs w:val="20"/>
                <w:color w:val="auto"/>
              </w:rPr>
            </w:pPr>
          </w:p>
        </w:tc>
        <w:tc>
          <w:tcPr>
            <w:tcW w:w="22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12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r>
      <w:tr>
        <w:trPr>
          <w:trHeight w:val="211"/>
        </w:trPr>
        <w:tc>
          <w:tcPr>
            <w:tcW w:w="5500" w:type="dxa"/>
            <w:vAlign w:val="bottom"/>
            <w:shd w:val="clear" w:color="auto" w:fill="FDFDFD"/>
          </w:tcPr>
          <w:p>
            <w:pPr>
              <w:ind w:left="100"/>
              <w:spacing w:after="0" w:line="211" w:lineRule="exact"/>
              <w:rPr>
                <w:sz w:val="20"/>
                <w:szCs w:val="20"/>
                <w:color w:val="auto"/>
              </w:rPr>
            </w:pPr>
            <w:r>
              <w:rPr>
                <w:rFonts w:ascii="Arial" w:cs="Arial" w:eastAsia="Arial" w:hAnsi="Arial"/>
                <w:sz w:val="19"/>
                <w:szCs w:val="19"/>
                <w:color w:val="auto"/>
              </w:rPr>
              <w:t>Weighted-average shares used in computing net loss per share</w:t>
            </w:r>
          </w:p>
        </w:tc>
        <w:tc>
          <w:tcPr>
            <w:tcW w:w="38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220" w:type="dxa"/>
            <w:vAlign w:val="bottom"/>
            <w:shd w:val="clear" w:color="auto" w:fill="FDFDFD"/>
          </w:tcPr>
          <w:p>
            <w:pPr>
              <w:spacing w:after="0"/>
              <w:rPr>
                <w:sz w:val="18"/>
                <w:szCs w:val="18"/>
                <w:color w:val="auto"/>
              </w:rPr>
            </w:pPr>
          </w:p>
        </w:tc>
        <w:tc>
          <w:tcPr>
            <w:tcW w:w="220" w:type="dxa"/>
            <w:vAlign w:val="bottom"/>
            <w:shd w:val="clear" w:color="auto" w:fill="FDFDFD"/>
          </w:tcPr>
          <w:p>
            <w:pPr>
              <w:spacing w:after="0"/>
              <w:rPr>
                <w:sz w:val="18"/>
                <w:szCs w:val="18"/>
                <w:color w:val="auto"/>
              </w:rPr>
            </w:pPr>
          </w:p>
        </w:tc>
        <w:tc>
          <w:tcPr>
            <w:tcW w:w="120" w:type="dxa"/>
            <w:vAlign w:val="bottom"/>
            <w:shd w:val="clear" w:color="auto" w:fill="FDFDFD"/>
          </w:tcPr>
          <w:p>
            <w:pPr>
              <w:spacing w:after="0"/>
              <w:rPr>
                <w:sz w:val="18"/>
                <w:szCs w:val="18"/>
                <w:color w:val="auto"/>
              </w:rPr>
            </w:pPr>
          </w:p>
        </w:tc>
        <w:tc>
          <w:tcPr>
            <w:tcW w:w="122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r>
      <w:tr>
        <w:trPr>
          <w:trHeight w:val="218"/>
        </w:trPr>
        <w:tc>
          <w:tcPr>
            <w:tcW w:w="5500" w:type="dxa"/>
            <w:vAlign w:val="bottom"/>
            <w:shd w:val="clear" w:color="auto" w:fill="FDFDFD"/>
          </w:tcPr>
          <w:p>
            <w:pPr>
              <w:ind w:left="180"/>
              <w:spacing w:after="0"/>
              <w:rPr>
                <w:sz w:val="20"/>
                <w:szCs w:val="20"/>
                <w:color w:val="auto"/>
              </w:rPr>
            </w:pPr>
            <w:r>
              <w:rPr>
                <w:rFonts w:ascii="Arial" w:cs="Arial" w:eastAsia="Arial" w:hAnsi="Arial"/>
                <w:sz w:val="19"/>
                <w:szCs w:val="19"/>
                <w:color w:val="auto"/>
                <w:w w:val="98"/>
              </w:rPr>
              <w:t>attributable to Class A and Class B common stockholders, basic</w:t>
            </w:r>
          </w:p>
        </w:tc>
        <w:tc>
          <w:tcPr>
            <w:tcW w:w="38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220" w:type="dxa"/>
            <w:vAlign w:val="bottom"/>
            <w:shd w:val="clear" w:color="auto" w:fill="FDFDFD"/>
          </w:tcPr>
          <w:p>
            <w:pPr>
              <w:spacing w:after="0"/>
              <w:rPr>
                <w:sz w:val="18"/>
                <w:szCs w:val="18"/>
                <w:color w:val="auto"/>
              </w:rPr>
            </w:pPr>
          </w:p>
        </w:tc>
        <w:tc>
          <w:tcPr>
            <w:tcW w:w="220" w:type="dxa"/>
            <w:vAlign w:val="bottom"/>
            <w:shd w:val="clear" w:color="auto" w:fill="FDFDFD"/>
          </w:tcPr>
          <w:p>
            <w:pPr>
              <w:spacing w:after="0"/>
              <w:rPr>
                <w:sz w:val="18"/>
                <w:szCs w:val="18"/>
                <w:color w:val="auto"/>
              </w:rPr>
            </w:pPr>
          </w:p>
        </w:tc>
        <w:tc>
          <w:tcPr>
            <w:tcW w:w="120" w:type="dxa"/>
            <w:vAlign w:val="bottom"/>
            <w:shd w:val="clear" w:color="auto" w:fill="FDFDFD"/>
          </w:tcPr>
          <w:p>
            <w:pPr>
              <w:spacing w:after="0"/>
              <w:rPr>
                <w:sz w:val="18"/>
                <w:szCs w:val="18"/>
                <w:color w:val="auto"/>
              </w:rPr>
            </w:pPr>
          </w:p>
        </w:tc>
        <w:tc>
          <w:tcPr>
            <w:tcW w:w="1220" w:type="dxa"/>
            <w:vAlign w:val="bottom"/>
            <w:shd w:val="clear" w:color="auto" w:fill="FDFDFD"/>
          </w:tcPr>
          <w:p>
            <w:pPr>
              <w:spacing w:after="0"/>
              <w:rPr>
                <w:sz w:val="18"/>
                <w:szCs w:val="18"/>
                <w:color w:val="auto"/>
              </w:rPr>
            </w:pPr>
          </w:p>
        </w:tc>
        <w:tc>
          <w:tcPr>
            <w:tcW w:w="80" w:type="dxa"/>
            <w:vAlign w:val="bottom"/>
            <w:shd w:val="clear" w:color="auto" w:fill="FDFDFD"/>
          </w:tcPr>
          <w:p>
            <w:pPr>
              <w:spacing w:after="0"/>
              <w:rPr>
                <w:sz w:val="18"/>
                <w:szCs w:val="18"/>
                <w:color w:val="auto"/>
              </w:rPr>
            </w:pPr>
          </w:p>
        </w:tc>
      </w:tr>
      <w:tr>
        <w:trPr>
          <w:trHeight w:val="236"/>
        </w:trPr>
        <w:tc>
          <w:tcPr>
            <w:tcW w:w="5500" w:type="dxa"/>
            <w:vAlign w:val="bottom"/>
            <w:tcBorders>
              <w:bottom w:val="single" w:sz="8" w:color="D3ECED"/>
            </w:tcBorders>
            <w:shd w:val="clear" w:color="auto" w:fill="FDFDFD"/>
          </w:tcPr>
          <w:p>
            <w:pPr>
              <w:ind w:left="180"/>
              <w:spacing w:after="0"/>
              <w:rPr>
                <w:sz w:val="20"/>
                <w:szCs w:val="20"/>
                <w:color w:val="auto"/>
              </w:rPr>
            </w:pPr>
            <w:r>
              <w:rPr>
                <w:rFonts w:ascii="Arial" w:cs="Arial" w:eastAsia="Arial" w:hAnsi="Arial"/>
                <w:sz w:val="19"/>
                <w:szCs w:val="19"/>
                <w:color w:val="auto"/>
              </w:rPr>
              <w:t>and diluted</w:t>
            </w:r>
          </w:p>
        </w:tc>
        <w:tc>
          <w:tcPr>
            <w:tcW w:w="380" w:type="dxa"/>
            <w:vAlign w:val="bottom"/>
            <w:tcBorders>
              <w:bottom w:val="single" w:sz="8" w:color="D3ECED"/>
            </w:tcBorders>
            <w:shd w:val="clear" w:color="auto" w:fill="FDFDFD"/>
          </w:tcPr>
          <w:p>
            <w:pPr>
              <w:spacing w:after="0"/>
              <w:rPr>
                <w:sz w:val="20"/>
                <w:szCs w:val="20"/>
                <w:color w:val="auto"/>
              </w:rPr>
            </w:pPr>
          </w:p>
        </w:tc>
        <w:tc>
          <w:tcPr>
            <w:tcW w:w="100" w:type="dxa"/>
            <w:vAlign w:val="bottom"/>
            <w:tcBorders>
              <w:bottom w:val="single" w:sz="8" w:color="auto"/>
            </w:tcBorders>
            <w:shd w:val="clear" w:color="auto" w:fill="FDFDFD"/>
          </w:tcPr>
          <w:p>
            <w:pPr>
              <w:spacing w:after="0"/>
              <w:rPr>
                <w:sz w:val="20"/>
                <w:szCs w:val="20"/>
                <w:color w:val="auto"/>
              </w:rPr>
            </w:pPr>
          </w:p>
        </w:tc>
        <w:tc>
          <w:tcPr>
            <w:tcW w:w="12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62,348,012</w:t>
            </w:r>
          </w:p>
        </w:tc>
        <w:tc>
          <w:tcPr>
            <w:tcW w:w="220" w:type="dxa"/>
            <w:vAlign w:val="bottom"/>
            <w:tcBorders>
              <w:bottom w:val="single" w:sz="8" w:color="D3ECED"/>
            </w:tcBorders>
            <w:shd w:val="clear" w:color="auto" w:fill="FDFDFD"/>
          </w:tcPr>
          <w:p>
            <w:pPr>
              <w:spacing w:after="0"/>
              <w:rPr>
                <w:sz w:val="20"/>
                <w:szCs w:val="20"/>
                <w:color w:val="auto"/>
              </w:rPr>
            </w:pPr>
          </w:p>
        </w:tc>
        <w:tc>
          <w:tcPr>
            <w:tcW w:w="120" w:type="dxa"/>
            <w:vAlign w:val="bottom"/>
            <w:tcBorders>
              <w:bottom w:val="single" w:sz="8" w:color="auto"/>
            </w:tcBorders>
            <w:shd w:val="clear" w:color="auto" w:fill="FDFDFD"/>
          </w:tcPr>
          <w:p>
            <w:pPr>
              <w:spacing w:after="0"/>
              <w:rPr>
                <w:sz w:val="20"/>
                <w:szCs w:val="20"/>
                <w:color w:val="auto"/>
              </w:rPr>
            </w:pPr>
          </w:p>
        </w:tc>
        <w:tc>
          <w:tcPr>
            <w:tcW w:w="122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63,850,490</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01"/>
        </w:trPr>
        <w:tc>
          <w:tcPr>
            <w:tcW w:w="5500" w:type="dxa"/>
            <w:vAlign w:val="bottom"/>
            <w:shd w:val="clear" w:color="auto" w:fill="D3ECED"/>
          </w:tcPr>
          <w:p>
            <w:pPr>
              <w:spacing w:after="0" w:line="201" w:lineRule="exact"/>
              <w:rPr>
                <w:sz w:val="20"/>
                <w:szCs w:val="20"/>
                <w:color w:val="auto"/>
              </w:rPr>
            </w:pPr>
            <w:r>
              <w:rPr>
                <w:rFonts w:ascii="Arial" w:cs="Arial" w:eastAsia="Arial" w:hAnsi="Arial"/>
                <w:sz w:val="19"/>
                <w:szCs w:val="19"/>
                <w:color w:val="auto"/>
              </w:rPr>
              <w:t>Net loss per share attributable to Class A and Class B common</w:t>
            </w:r>
          </w:p>
        </w:tc>
        <w:tc>
          <w:tcPr>
            <w:tcW w:w="380" w:type="dxa"/>
            <w:vAlign w:val="bottom"/>
            <w:shd w:val="clear" w:color="auto" w:fill="D3ECED"/>
          </w:tcPr>
          <w:p>
            <w:pPr>
              <w:spacing w:after="0"/>
              <w:rPr>
                <w:sz w:val="17"/>
                <w:szCs w:val="17"/>
                <w:color w:val="auto"/>
              </w:rPr>
            </w:pPr>
          </w:p>
        </w:tc>
        <w:tc>
          <w:tcPr>
            <w:tcW w:w="100" w:type="dxa"/>
            <w:vAlign w:val="bottom"/>
            <w:shd w:val="clear" w:color="auto" w:fill="D3ECED"/>
          </w:tcPr>
          <w:p>
            <w:pPr>
              <w:spacing w:after="0"/>
              <w:rPr>
                <w:sz w:val="17"/>
                <w:szCs w:val="17"/>
                <w:color w:val="auto"/>
              </w:rPr>
            </w:pPr>
          </w:p>
        </w:tc>
        <w:tc>
          <w:tcPr>
            <w:tcW w:w="1220" w:type="dxa"/>
            <w:vAlign w:val="bottom"/>
            <w:shd w:val="clear" w:color="auto" w:fill="D3ECED"/>
          </w:tcPr>
          <w:p>
            <w:pPr>
              <w:spacing w:after="0"/>
              <w:rPr>
                <w:sz w:val="17"/>
                <w:szCs w:val="17"/>
                <w:color w:val="auto"/>
              </w:rPr>
            </w:pPr>
          </w:p>
        </w:tc>
        <w:tc>
          <w:tcPr>
            <w:tcW w:w="220" w:type="dxa"/>
            <w:vAlign w:val="bottom"/>
            <w:shd w:val="clear" w:color="auto" w:fill="D3ECED"/>
          </w:tcPr>
          <w:p>
            <w:pPr>
              <w:spacing w:after="0"/>
              <w:rPr>
                <w:sz w:val="17"/>
                <w:szCs w:val="17"/>
                <w:color w:val="auto"/>
              </w:rPr>
            </w:pPr>
          </w:p>
        </w:tc>
        <w:tc>
          <w:tcPr>
            <w:tcW w:w="120" w:type="dxa"/>
            <w:vAlign w:val="bottom"/>
            <w:shd w:val="clear" w:color="auto" w:fill="D3ECED"/>
          </w:tcPr>
          <w:p>
            <w:pPr>
              <w:spacing w:after="0"/>
              <w:rPr>
                <w:sz w:val="17"/>
                <w:szCs w:val="17"/>
                <w:color w:val="auto"/>
              </w:rPr>
            </w:pPr>
          </w:p>
        </w:tc>
        <w:tc>
          <w:tcPr>
            <w:tcW w:w="1220" w:type="dxa"/>
            <w:vAlign w:val="bottom"/>
            <w:shd w:val="clear" w:color="auto" w:fill="D3ECED"/>
          </w:tcPr>
          <w:p>
            <w:pPr>
              <w:spacing w:after="0"/>
              <w:rPr>
                <w:sz w:val="17"/>
                <w:szCs w:val="17"/>
                <w:color w:val="auto"/>
              </w:rPr>
            </w:pPr>
          </w:p>
        </w:tc>
        <w:tc>
          <w:tcPr>
            <w:tcW w:w="80" w:type="dxa"/>
            <w:vAlign w:val="bottom"/>
            <w:shd w:val="clear" w:color="auto" w:fill="D3ECED"/>
          </w:tcPr>
          <w:p>
            <w:pPr>
              <w:spacing w:after="0"/>
              <w:rPr>
                <w:sz w:val="17"/>
                <w:szCs w:val="17"/>
                <w:color w:val="auto"/>
              </w:rPr>
            </w:pPr>
          </w:p>
        </w:tc>
      </w:tr>
      <w:tr>
        <w:trPr>
          <w:trHeight w:val="240"/>
        </w:trPr>
        <w:tc>
          <w:tcPr>
            <w:tcW w:w="5500" w:type="dxa"/>
            <w:vAlign w:val="bottom"/>
            <w:shd w:val="clear" w:color="auto" w:fill="D3ECED"/>
          </w:tcPr>
          <w:p>
            <w:pPr>
              <w:ind w:left="100"/>
              <w:spacing w:after="0"/>
              <w:rPr>
                <w:sz w:val="20"/>
                <w:szCs w:val="20"/>
                <w:color w:val="auto"/>
              </w:rPr>
            </w:pPr>
            <w:r>
              <w:rPr>
                <w:rFonts w:ascii="Arial" w:cs="Arial" w:eastAsia="Arial" w:hAnsi="Arial"/>
                <w:sz w:val="19"/>
                <w:szCs w:val="19"/>
                <w:color w:val="auto"/>
              </w:rPr>
              <w:t>stockholders, basic and diluted</w:t>
            </w:r>
          </w:p>
        </w:tc>
        <w:tc>
          <w:tcPr>
            <w:tcW w:w="380" w:type="dxa"/>
            <w:vAlign w:val="bottom"/>
            <w:shd w:val="clear" w:color="auto" w:fill="D3ECED"/>
          </w:tcPr>
          <w:p>
            <w:pPr>
              <w:spacing w:after="0"/>
              <w:rPr>
                <w:sz w:val="20"/>
                <w:szCs w:val="20"/>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(1.39)</w:t>
            </w:r>
          </w:p>
        </w:tc>
        <w:tc>
          <w:tcPr>
            <w:tcW w:w="220" w:type="dxa"/>
            <w:vAlign w:val="bottom"/>
            <w:shd w:val="clear" w:color="auto" w:fill="D3ECED"/>
          </w:tcPr>
          <w:p>
            <w:pPr>
              <w:spacing w:after="0"/>
              <w:rPr>
                <w:sz w:val="20"/>
                <w:szCs w:val="20"/>
                <w:color w:val="auto"/>
              </w:rPr>
            </w:pP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(1.35)</w:t>
            </w:r>
          </w:p>
        </w:tc>
        <w:tc>
          <w:tcPr>
            <w:tcW w:w="80" w:type="dxa"/>
            <w:vAlign w:val="bottom"/>
            <w:shd w:val="clear" w:color="auto" w:fill="D3ECED"/>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-13335</wp:posOffset>
            </wp:positionV>
            <wp:extent cx="1851660" cy="520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88">
                      <a:extLst>
                        <a:ext uri="{28A0092B-C50C-407E-A947-70E740481C1C}"/>
                      </a:extLst>
                    </a:blip>
                    <a:srcRect/>
                    <a:stretch>
                      <a:fillRect/>
                    </a:stretch>
                  </pic:blipFill>
                  <pic:spPr bwMode="auto">
                    <a:xfrm>
                      <a:off x="0" y="0"/>
                      <a:ext cx="1851660" cy="52070"/>
                    </a:xfrm>
                    <a:prstGeom prst="rect">
                      <a:avLst/>
                    </a:prstGeom>
                    <a:noFill/>
                  </pic:spPr>
                </pic:pic>
              </a:graphicData>
            </a:graphic>
          </wp:anchor>
        </w:drawing>
      </w:r>
    </w:p>
    <w:p>
      <w:pPr>
        <w:spacing w:after="0" w:line="234" w:lineRule="exact"/>
        <w:rPr>
          <w:sz w:val="20"/>
          <w:szCs w:val="20"/>
          <w:color w:val="auto"/>
        </w:rPr>
      </w:pPr>
    </w:p>
    <w:p>
      <w:pPr>
        <w:ind w:left="260" w:right="260"/>
        <w:spacing w:after="0" w:line="305" w:lineRule="auto"/>
        <w:rPr>
          <w:sz w:val="20"/>
          <w:szCs w:val="20"/>
          <w:color w:val="auto"/>
        </w:rPr>
      </w:pPr>
      <w:r>
        <w:rPr>
          <w:rFonts w:ascii="Arial" w:cs="Arial" w:eastAsia="Arial" w:hAnsi="Arial"/>
          <w:sz w:val="19"/>
          <w:szCs w:val="19"/>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6020" w:type="dxa"/>
            <w:vAlign w:val="bottom"/>
            <w:tcBorders>
              <w:bottom w:val="single" w:sz="8" w:color="FDFDFD"/>
            </w:tcBorders>
            <w:shd w:val="clear" w:color="auto" w:fill="FDFDFD"/>
          </w:tcPr>
          <w:p>
            <w:pPr>
              <w:spacing w:after="0"/>
              <w:rPr>
                <w:sz w:val="16"/>
                <w:szCs w:val="16"/>
                <w:color w:val="auto"/>
              </w:rPr>
            </w:pPr>
          </w:p>
        </w:tc>
        <w:tc>
          <w:tcPr>
            <w:tcW w:w="1840" w:type="dxa"/>
            <w:vAlign w:val="bottom"/>
            <w:tcBorders>
              <w:bottom w:val="single" w:sz="8" w:color="auto"/>
            </w:tcBorders>
            <w:gridSpan w:val="3"/>
            <w:shd w:val="clear" w:color="auto" w:fill="FDFDFD"/>
          </w:tcPr>
          <w:p>
            <w:pPr>
              <w:ind w:left="920"/>
              <w:spacing w:after="0"/>
              <w:rPr>
                <w:sz w:val="20"/>
                <w:szCs w:val="20"/>
                <w:color w:val="auto"/>
              </w:rPr>
            </w:pPr>
            <w:r>
              <w:rPr>
                <w:rFonts w:ascii="Arial" w:cs="Arial" w:eastAsia="Arial" w:hAnsi="Arial"/>
                <w:sz w:val="15"/>
                <w:szCs w:val="15"/>
                <w:b w:val="1"/>
                <w:bCs w:val="1"/>
                <w:color w:val="auto"/>
                <w:w w:val="92"/>
              </w:rPr>
              <w:t>December 31,</w:t>
            </w:r>
          </w:p>
        </w:tc>
        <w:tc>
          <w:tcPr>
            <w:tcW w:w="90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r>
      <w:tr>
        <w:trPr>
          <w:trHeight w:val="174"/>
        </w:trPr>
        <w:tc>
          <w:tcPr>
            <w:tcW w:w="6020" w:type="dxa"/>
            <w:vAlign w:val="bottom"/>
            <w:tcBorders>
              <w:bottom w:val="single" w:sz="8" w:color="D3ECED"/>
            </w:tcBorders>
            <w:shd w:val="clear" w:color="auto" w:fill="FDFDFD"/>
          </w:tcPr>
          <w:p>
            <w:pPr>
              <w:spacing w:after="0"/>
              <w:rPr>
                <w:sz w:val="15"/>
                <w:szCs w:val="15"/>
                <w:color w:val="auto"/>
              </w:rPr>
            </w:pPr>
          </w:p>
        </w:tc>
        <w:tc>
          <w:tcPr>
            <w:tcW w:w="1280" w:type="dxa"/>
            <w:vAlign w:val="bottom"/>
            <w:tcBorders>
              <w:bottom w:val="single" w:sz="8" w:color="auto"/>
            </w:tcBorders>
            <w:shd w:val="clear" w:color="auto" w:fill="FDFDFD"/>
          </w:tcPr>
          <w:p>
            <w:pPr>
              <w:jc w:val="right"/>
              <w:ind w:right="411"/>
              <w:spacing w:after="0"/>
              <w:rPr>
                <w:sz w:val="20"/>
                <w:szCs w:val="20"/>
                <w:color w:val="auto"/>
              </w:rPr>
            </w:pPr>
            <w:r>
              <w:rPr>
                <w:rFonts w:ascii="Arial" w:cs="Arial" w:eastAsia="Arial" w:hAnsi="Arial"/>
                <w:sz w:val="15"/>
                <w:szCs w:val="15"/>
                <w:b w:val="1"/>
                <w:bCs w:val="1"/>
                <w:color w:val="auto"/>
              </w:rPr>
              <w:t>2024</w:t>
            </w:r>
          </w:p>
        </w:tc>
        <w:tc>
          <w:tcPr>
            <w:tcW w:w="180" w:type="dxa"/>
            <w:vAlign w:val="bottom"/>
            <w:tcBorders>
              <w:bottom w:val="single" w:sz="8" w:color="D3ECED"/>
            </w:tcBorders>
            <w:shd w:val="clear" w:color="auto" w:fill="FDFDFD"/>
          </w:tcPr>
          <w:p>
            <w:pPr>
              <w:spacing w:after="0"/>
              <w:rPr>
                <w:sz w:val="15"/>
                <w:szCs w:val="15"/>
                <w:color w:val="auto"/>
              </w:rPr>
            </w:pPr>
          </w:p>
        </w:tc>
        <w:tc>
          <w:tcPr>
            <w:tcW w:w="380" w:type="dxa"/>
            <w:vAlign w:val="bottom"/>
            <w:tcBorders>
              <w:bottom w:val="single" w:sz="8" w:color="auto"/>
            </w:tcBorders>
            <w:shd w:val="clear" w:color="auto" w:fill="FDFDFD"/>
          </w:tcPr>
          <w:p>
            <w:pPr>
              <w:spacing w:after="0"/>
              <w:rPr>
                <w:sz w:val="15"/>
                <w:szCs w:val="15"/>
                <w:color w:val="auto"/>
              </w:rPr>
            </w:pPr>
          </w:p>
        </w:tc>
        <w:tc>
          <w:tcPr>
            <w:tcW w:w="900" w:type="dxa"/>
            <w:vAlign w:val="bottom"/>
            <w:tcBorders>
              <w:bottom w:val="single" w:sz="8" w:color="auto"/>
            </w:tcBorders>
            <w:shd w:val="clear" w:color="auto" w:fill="FDFDFD"/>
          </w:tcPr>
          <w:p>
            <w:pPr>
              <w:jc w:val="right"/>
              <w:ind w:right="408"/>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D3ECED"/>
            </w:tcBorders>
            <w:shd w:val="clear" w:color="auto" w:fill="FDFDFD"/>
          </w:tcPr>
          <w:p>
            <w:pPr>
              <w:spacing w:after="0"/>
              <w:rPr>
                <w:sz w:val="15"/>
                <w:szCs w:val="15"/>
                <w:color w:val="auto"/>
              </w:rPr>
            </w:pPr>
          </w:p>
        </w:tc>
      </w:tr>
      <w:tr>
        <w:trPr>
          <w:trHeight w:val="220"/>
        </w:trPr>
        <w:tc>
          <w:tcPr>
            <w:tcW w:w="6020" w:type="dxa"/>
            <w:vAlign w:val="bottom"/>
            <w:shd w:val="clear" w:color="auto" w:fill="D3ECED"/>
          </w:tcPr>
          <w:p>
            <w:pPr>
              <w:spacing w:after="0"/>
              <w:rPr>
                <w:sz w:val="20"/>
                <w:szCs w:val="20"/>
                <w:color w:val="auto"/>
              </w:rPr>
            </w:pPr>
            <w:r>
              <w:rPr>
                <w:rFonts w:ascii="Arial" w:cs="Arial" w:eastAsia="Arial" w:hAnsi="Arial"/>
                <w:sz w:val="19"/>
                <w:szCs w:val="19"/>
                <w:color w:val="auto"/>
              </w:rPr>
              <w:t>Class A common stock options issued and outstanding</w:t>
            </w:r>
          </w:p>
        </w:tc>
        <w:tc>
          <w:tcPr>
            <w:tcW w:w="12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13,198,232</w:t>
            </w:r>
          </w:p>
        </w:tc>
        <w:tc>
          <w:tcPr>
            <w:tcW w:w="180" w:type="dxa"/>
            <w:vAlign w:val="bottom"/>
            <w:shd w:val="clear" w:color="auto" w:fill="D3ECED"/>
          </w:tcPr>
          <w:p>
            <w:pPr>
              <w:spacing w:after="0"/>
              <w:rPr>
                <w:sz w:val="19"/>
                <w:szCs w:val="19"/>
                <w:color w:val="auto"/>
              </w:rPr>
            </w:pPr>
          </w:p>
        </w:tc>
        <w:tc>
          <w:tcPr>
            <w:tcW w:w="380" w:type="dxa"/>
            <w:vAlign w:val="bottom"/>
            <w:shd w:val="clear" w:color="auto" w:fill="D3ECED"/>
          </w:tcPr>
          <w:p>
            <w:pPr>
              <w:spacing w:after="0"/>
              <w:rPr>
                <w:sz w:val="19"/>
                <w:szCs w:val="19"/>
                <w:color w:val="auto"/>
              </w:rPr>
            </w:pPr>
          </w:p>
        </w:tc>
        <w:tc>
          <w:tcPr>
            <w:tcW w:w="9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90"/>
              </w:rPr>
              <w:t>11,945,032</w:t>
            </w:r>
          </w:p>
        </w:tc>
        <w:tc>
          <w:tcPr>
            <w:tcW w:w="80" w:type="dxa"/>
            <w:vAlign w:val="bottom"/>
            <w:shd w:val="clear" w:color="auto" w:fill="D3ECED"/>
          </w:tcPr>
          <w:p>
            <w:pPr>
              <w:spacing w:after="0"/>
              <w:rPr>
                <w:sz w:val="19"/>
                <w:szCs w:val="19"/>
                <w:color w:val="auto"/>
              </w:rPr>
            </w:pPr>
          </w:p>
        </w:tc>
      </w:tr>
      <w:tr>
        <w:trPr>
          <w:trHeight w:val="230"/>
        </w:trPr>
        <w:tc>
          <w:tcPr>
            <w:tcW w:w="6020" w:type="dxa"/>
            <w:vAlign w:val="bottom"/>
            <w:shd w:val="clear" w:color="auto" w:fill="FDFDFD"/>
          </w:tcPr>
          <w:p>
            <w:pPr>
              <w:spacing w:after="0"/>
              <w:rPr>
                <w:sz w:val="20"/>
                <w:szCs w:val="20"/>
                <w:color w:val="auto"/>
              </w:rPr>
            </w:pPr>
            <w:r>
              <w:rPr>
                <w:rFonts w:ascii="Arial" w:cs="Arial" w:eastAsia="Arial" w:hAnsi="Arial"/>
                <w:sz w:val="19"/>
                <w:szCs w:val="19"/>
                <w:color w:val="auto"/>
              </w:rPr>
              <w:t>Restricted common stock subject to future vesting</w:t>
            </w:r>
          </w:p>
        </w:tc>
        <w:tc>
          <w:tcPr>
            <w:tcW w:w="128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180" w:type="dxa"/>
            <w:vAlign w:val="bottom"/>
            <w:shd w:val="clear" w:color="auto" w:fill="FDFDFD"/>
          </w:tcPr>
          <w:p>
            <w:pPr>
              <w:spacing w:after="0"/>
              <w:rPr>
                <w:sz w:val="20"/>
                <w:szCs w:val="20"/>
                <w:color w:val="auto"/>
              </w:rPr>
            </w:pPr>
          </w:p>
        </w:tc>
        <w:tc>
          <w:tcPr>
            <w:tcW w:w="380" w:type="dxa"/>
            <w:vAlign w:val="bottom"/>
            <w:shd w:val="clear" w:color="auto" w:fill="FDFDFD"/>
          </w:tcPr>
          <w:p>
            <w:pPr>
              <w:spacing w:after="0"/>
              <w:rPr>
                <w:sz w:val="20"/>
                <w:szCs w:val="20"/>
                <w:color w:val="auto"/>
              </w:rPr>
            </w:pPr>
          </w:p>
        </w:tc>
        <w:tc>
          <w:tcPr>
            <w:tcW w:w="90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1,023</w:t>
            </w:r>
          </w:p>
        </w:tc>
        <w:tc>
          <w:tcPr>
            <w:tcW w:w="80" w:type="dxa"/>
            <w:vAlign w:val="bottom"/>
            <w:shd w:val="clear" w:color="auto" w:fill="FDFDFD"/>
          </w:tcPr>
          <w:p>
            <w:pPr>
              <w:spacing w:after="0"/>
              <w:rPr>
                <w:sz w:val="20"/>
                <w:szCs w:val="20"/>
                <w:color w:val="auto"/>
              </w:rPr>
            </w:pPr>
          </w:p>
        </w:tc>
      </w:tr>
      <w:tr>
        <w:trPr>
          <w:trHeight w:val="230"/>
        </w:trPr>
        <w:tc>
          <w:tcPr>
            <w:tcW w:w="6020" w:type="dxa"/>
            <w:vAlign w:val="bottom"/>
            <w:shd w:val="clear" w:color="auto" w:fill="D3ECED"/>
          </w:tcPr>
          <w:p>
            <w:pPr>
              <w:spacing w:after="0"/>
              <w:rPr>
                <w:sz w:val="20"/>
                <w:szCs w:val="20"/>
                <w:color w:val="auto"/>
              </w:rPr>
            </w:pPr>
            <w:r>
              <w:rPr>
                <w:rFonts w:ascii="Arial" w:cs="Arial" w:eastAsia="Arial" w:hAnsi="Arial"/>
                <w:sz w:val="19"/>
                <w:szCs w:val="19"/>
                <w:color w:val="auto"/>
              </w:rPr>
              <w:t>Restricted stock units</w:t>
            </w:r>
          </w:p>
        </w:tc>
        <w:tc>
          <w:tcPr>
            <w:tcW w:w="12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4,450,441</w:t>
            </w:r>
          </w:p>
        </w:tc>
        <w:tc>
          <w:tcPr>
            <w:tcW w:w="180" w:type="dxa"/>
            <w:vAlign w:val="bottom"/>
            <w:shd w:val="clear" w:color="auto" w:fill="D3ECED"/>
          </w:tcPr>
          <w:p>
            <w:pPr>
              <w:spacing w:after="0"/>
              <w:rPr>
                <w:sz w:val="20"/>
                <w:szCs w:val="20"/>
                <w:color w:val="auto"/>
              </w:rPr>
            </w:pPr>
          </w:p>
        </w:tc>
        <w:tc>
          <w:tcPr>
            <w:tcW w:w="380" w:type="dxa"/>
            <w:vAlign w:val="bottom"/>
            <w:shd w:val="clear" w:color="auto" w:fill="D3ECED"/>
          </w:tcPr>
          <w:p>
            <w:pPr>
              <w:spacing w:after="0"/>
              <w:rPr>
                <w:sz w:val="20"/>
                <w:szCs w:val="20"/>
                <w:color w:val="auto"/>
              </w:rPr>
            </w:pPr>
          </w:p>
        </w:tc>
        <w:tc>
          <w:tcPr>
            <w:tcW w:w="90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3,680,076</w:t>
            </w:r>
          </w:p>
        </w:tc>
        <w:tc>
          <w:tcPr>
            <w:tcW w:w="80" w:type="dxa"/>
            <w:vAlign w:val="bottom"/>
            <w:shd w:val="clear" w:color="auto" w:fill="D3ECED"/>
          </w:tcPr>
          <w:p>
            <w:pPr>
              <w:spacing w:after="0"/>
              <w:rPr>
                <w:sz w:val="20"/>
                <w:szCs w:val="20"/>
                <w:color w:val="auto"/>
              </w:rPr>
            </w:pPr>
          </w:p>
        </w:tc>
      </w:tr>
      <w:tr>
        <w:trPr>
          <w:trHeight w:val="230"/>
        </w:trPr>
        <w:tc>
          <w:tcPr>
            <w:tcW w:w="6020" w:type="dxa"/>
            <w:vAlign w:val="bottom"/>
            <w:tcBorders>
              <w:bottom w:val="single" w:sz="8" w:color="D3ECED"/>
            </w:tcBorders>
            <w:shd w:val="clear" w:color="auto" w:fill="FDFDFD"/>
          </w:tcPr>
          <w:p>
            <w:pPr>
              <w:spacing w:after="0"/>
              <w:rPr>
                <w:sz w:val="20"/>
                <w:szCs w:val="20"/>
                <w:color w:val="auto"/>
              </w:rPr>
            </w:pPr>
            <w:r>
              <w:rPr>
                <w:rFonts w:ascii="Arial" w:cs="Arial" w:eastAsia="Arial" w:hAnsi="Arial"/>
                <w:sz w:val="19"/>
                <w:szCs w:val="19"/>
                <w:color w:val="auto"/>
              </w:rPr>
              <w:t>Estimated ESPP shares to be issued</w:t>
            </w:r>
          </w:p>
        </w:tc>
        <w:tc>
          <w:tcPr>
            <w:tcW w:w="128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121,348</w:t>
            </w:r>
          </w:p>
        </w:tc>
        <w:tc>
          <w:tcPr>
            <w:tcW w:w="180" w:type="dxa"/>
            <w:vAlign w:val="bottom"/>
            <w:tcBorders>
              <w:bottom w:val="single" w:sz="8" w:color="D3ECED"/>
            </w:tcBorders>
            <w:shd w:val="clear" w:color="auto" w:fill="FDFDFD"/>
          </w:tcPr>
          <w:p>
            <w:pPr>
              <w:spacing w:after="0"/>
              <w:rPr>
                <w:sz w:val="20"/>
                <w:szCs w:val="20"/>
                <w:color w:val="auto"/>
              </w:rPr>
            </w:pPr>
          </w:p>
        </w:tc>
        <w:tc>
          <w:tcPr>
            <w:tcW w:w="380" w:type="dxa"/>
            <w:vAlign w:val="bottom"/>
            <w:tcBorders>
              <w:bottom w:val="single" w:sz="8" w:color="auto"/>
            </w:tcBorders>
            <w:shd w:val="clear" w:color="auto" w:fill="FDFDFD"/>
          </w:tcPr>
          <w:p>
            <w:pPr>
              <w:spacing w:after="0"/>
              <w:rPr>
                <w:sz w:val="20"/>
                <w:szCs w:val="20"/>
                <w:color w:val="auto"/>
              </w:rPr>
            </w:pPr>
          </w:p>
        </w:tc>
        <w:tc>
          <w:tcPr>
            <w:tcW w:w="90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254,385</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22"/>
        </w:trPr>
        <w:tc>
          <w:tcPr>
            <w:tcW w:w="6020" w:type="dxa"/>
            <w:vAlign w:val="bottom"/>
            <w:shd w:val="clear" w:color="auto" w:fill="D3ECED"/>
          </w:tcPr>
          <w:p>
            <w:pPr>
              <w:spacing w:after="0"/>
              <w:rPr>
                <w:sz w:val="20"/>
                <w:szCs w:val="20"/>
                <w:color w:val="auto"/>
              </w:rPr>
            </w:pPr>
            <w:r>
              <w:rPr>
                <w:rFonts w:ascii="Arial" w:cs="Arial" w:eastAsia="Arial" w:hAnsi="Arial"/>
                <w:sz w:val="19"/>
                <w:szCs w:val="19"/>
                <w:color w:val="auto"/>
              </w:rPr>
              <w:t>Total</w:t>
            </w:r>
          </w:p>
        </w:tc>
        <w:tc>
          <w:tcPr>
            <w:tcW w:w="128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17,770,021</w:t>
            </w:r>
          </w:p>
        </w:tc>
        <w:tc>
          <w:tcPr>
            <w:tcW w:w="180" w:type="dxa"/>
            <w:vAlign w:val="bottom"/>
            <w:shd w:val="clear" w:color="auto" w:fill="D3ECED"/>
          </w:tcPr>
          <w:p>
            <w:pPr>
              <w:spacing w:after="0"/>
              <w:rPr>
                <w:sz w:val="19"/>
                <w:szCs w:val="19"/>
                <w:color w:val="auto"/>
              </w:rPr>
            </w:pPr>
          </w:p>
        </w:tc>
        <w:tc>
          <w:tcPr>
            <w:tcW w:w="380" w:type="dxa"/>
            <w:vAlign w:val="bottom"/>
            <w:shd w:val="clear" w:color="auto" w:fill="D3ECED"/>
          </w:tcPr>
          <w:p>
            <w:pPr>
              <w:spacing w:after="0"/>
              <w:rPr>
                <w:sz w:val="19"/>
                <w:szCs w:val="19"/>
                <w:color w:val="auto"/>
              </w:rPr>
            </w:pPr>
          </w:p>
        </w:tc>
        <w:tc>
          <w:tcPr>
            <w:tcW w:w="9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90"/>
              </w:rPr>
              <w:t>15,880,516</w:t>
            </w:r>
          </w:p>
        </w:tc>
        <w:tc>
          <w:tcPr>
            <w:tcW w:w="80" w:type="dxa"/>
            <w:vAlign w:val="bottom"/>
            <w:shd w:val="clear" w:color="auto" w:fill="D3ECE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-13335</wp:posOffset>
            </wp:positionV>
            <wp:extent cx="1760220" cy="533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89">
                      <a:extLst>
                        <a:ext uri="{28A0092B-C50C-407E-A947-70E740481C1C}"/>
                      </a:extLst>
                    </a:blip>
                    <a:srcRect/>
                    <a:stretch>
                      <a:fillRect/>
                    </a:stretch>
                  </pic:blipFill>
                  <pic:spPr bwMode="auto">
                    <a:xfrm>
                      <a:off x="0" y="0"/>
                      <a:ext cx="1760220" cy="53340"/>
                    </a:xfrm>
                    <a:prstGeom prst="rect">
                      <a:avLst/>
                    </a:prstGeom>
                    <a:noFill/>
                  </pic:spPr>
                </pic:pic>
              </a:graphicData>
            </a:graphic>
          </wp:anchor>
        </w:drawing>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2240" w:h="15840" w:orient="portrait"/>
          <w:cols w:equalWidth="0" w:num="1">
            <w:col w:w="9360"/>
          </w:cols>
          <w:pgMar w:left="1440" w:top="1358" w:right="1440" w:bottom="624"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13. INCOME TAXES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9"/>
          <w:szCs w:val="19"/>
          <w:color w:val="auto"/>
        </w:rPr>
        <w:t>The components of the provision for income taxes are summarized as follows (in thousands):</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606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2260" w:type="dxa"/>
            <w:vAlign w:val="bottom"/>
            <w:tcBorders>
              <w:bottom w:val="single" w:sz="8" w:color="auto"/>
            </w:tcBorders>
            <w:gridSpan w:val="5"/>
            <w:shd w:val="clear" w:color="auto" w:fill="FDFDFD"/>
          </w:tcPr>
          <w:p>
            <w:pPr>
              <w:jc w:val="right"/>
              <w:ind w:right="85"/>
              <w:spacing w:after="0"/>
              <w:rPr>
                <w:sz w:val="20"/>
                <w:szCs w:val="20"/>
                <w:color w:val="auto"/>
              </w:rPr>
            </w:pPr>
            <w:r>
              <w:rPr>
                <w:rFonts w:ascii="Arial" w:cs="Arial" w:eastAsia="Arial" w:hAnsi="Arial"/>
                <w:sz w:val="15"/>
                <w:szCs w:val="15"/>
                <w:b w:val="1"/>
                <w:bCs w:val="1"/>
                <w:color w:val="auto"/>
              </w:rPr>
              <w:t>Year ended December 31,</w:t>
            </w:r>
          </w:p>
        </w:tc>
        <w:tc>
          <w:tcPr>
            <w:tcW w:w="34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r>
      <w:tr>
        <w:trPr>
          <w:trHeight w:val="176"/>
        </w:trPr>
        <w:tc>
          <w:tcPr>
            <w:tcW w:w="6060" w:type="dxa"/>
            <w:vAlign w:val="bottom"/>
            <w:shd w:val="clear" w:color="auto" w:fill="FDFDFD"/>
          </w:tcPr>
          <w:p>
            <w:pPr>
              <w:spacing w:after="0"/>
              <w:rPr>
                <w:sz w:val="15"/>
                <w:szCs w:val="15"/>
                <w:color w:val="auto"/>
              </w:rPr>
            </w:pPr>
          </w:p>
        </w:tc>
        <w:tc>
          <w:tcPr>
            <w:tcW w:w="820" w:type="dxa"/>
            <w:vAlign w:val="bottom"/>
            <w:gridSpan w:val="2"/>
            <w:shd w:val="clear" w:color="auto" w:fill="FDFDFD"/>
          </w:tcPr>
          <w:p>
            <w:pPr>
              <w:jc w:val="right"/>
              <w:spacing w:after="0"/>
              <w:rPr>
                <w:sz w:val="20"/>
                <w:szCs w:val="20"/>
                <w:color w:val="auto"/>
              </w:rPr>
            </w:pPr>
            <w:r>
              <w:rPr>
                <w:rFonts w:ascii="Arial" w:cs="Arial" w:eastAsia="Arial" w:hAnsi="Arial"/>
                <w:sz w:val="15"/>
                <w:szCs w:val="15"/>
                <w:b w:val="1"/>
                <w:bCs w:val="1"/>
                <w:color w:val="auto"/>
              </w:rPr>
              <w:t>2024</w:t>
            </w:r>
          </w:p>
        </w:tc>
        <w:tc>
          <w:tcPr>
            <w:tcW w:w="42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c>
          <w:tcPr>
            <w:tcW w:w="1040" w:type="dxa"/>
            <w:vAlign w:val="bottom"/>
            <w:gridSpan w:val="2"/>
            <w:shd w:val="clear" w:color="auto" w:fill="FDFDFD"/>
          </w:tcPr>
          <w:p>
            <w:pPr>
              <w:jc w:val="right"/>
              <w:ind w:right="45"/>
              <w:spacing w:after="0"/>
              <w:rPr>
                <w:sz w:val="20"/>
                <w:szCs w:val="20"/>
                <w:color w:val="auto"/>
              </w:rPr>
            </w:pPr>
            <w:r>
              <w:rPr>
                <w:rFonts w:ascii="Arial" w:cs="Arial" w:eastAsia="Arial" w:hAnsi="Arial"/>
                <w:sz w:val="15"/>
                <w:szCs w:val="15"/>
                <w:b w:val="1"/>
                <w:bCs w:val="1"/>
                <w:color w:val="auto"/>
              </w:rPr>
              <w:t>2023</w:t>
            </w:r>
          </w:p>
        </w:tc>
        <w:tc>
          <w:tcPr>
            <w:tcW w:w="340" w:type="dxa"/>
            <w:vAlign w:val="bottom"/>
            <w:shd w:val="clear" w:color="auto" w:fill="FDFDFD"/>
          </w:tcPr>
          <w:p>
            <w:pPr>
              <w:spacing w:after="0"/>
              <w:rPr>
                <w:sz w:val="15"/>
                <w:szCs w:val="15"/>
                <w:color w:val="auto"/>
              </w:rPr>
            </w:pPr>
          </w:p>
        </w:tc>
        <w:tc>
          <w:tcPr>
            <w:tcW w:w="80" w:type="dxa"/>
            <w:vAlign w:val="bottom"/>
            <w:shd w:val="clear" w:color="auto" w:fill="FDFDFD"/>
          </w:tcPr>
          <w:p>
            <w:pPr>
              <w:spacing w:after="0"/>
              <w:rPr>
                <w:sz w:val="15"/>
                <w:szCs w:val="15"/>
                <w:color w:val="auto"/>
              </w:rPr>
            </w:pPr>
          </w:p>
        </w:tc>
      </w:tr>
      <w:tr>
        <w:trPr>
          <w:trHeight w:val="220"/>
        </w:trPr>
        <w:tc>
          <w:tcPr>
            <w:tcW w:w="6060" w:type="dxa"/>
            <w:vAlign w:val="bottom"/>
            <w:tcBorders>
              <w:top w:val="single" w:sz="8" w:color="D3ECED"/>
            </w:tcBorders>
            <w:shd w:val="clear" w:color="auto" w:fill="D3ECED"/>
          </w:tcPr>
          <w:p>
            <w:pPr>
              <w:spacing w:after="0"/>
              <w:rPr>
                <w:sz w:val="20"/>
                <w:szCs w:val="20"/>
                <w:color w:val="auto"/>
              </w:rPr>
            </w:pPr>
            <w:r>
              <w:rPr>
                <w:rFonts w:ascii="Arial" w:cs="Arial" w:eastAsia="Arial" w:hAnsi="Arial"/>
                <w:sz w:val="19"/>
                <w:szCs w:val="19"/>
                <w:color w:val="auto"/>
              </w:rPr>
              <w:t>Current:</w:t>
            </w:r>
          </w:p>
        </w:tc>
        <w:tc>
          <w:tcPr>
            <w:tcW w:w="100" w:type="dxa"/>
            <w:vAlign w:val="bottom"/>
            <w:tcBorders>
              <w:top w:val="single" w:sz="8" w:color="auto"/>
            </w:tcBorders>
            <w:shd w:val="clear" w:color="auto" w:fill="D3ECED"/>
          </w:tcPr>
          <w:p>
            <w:pPr>
              <w:spacing w:after="0"/>
              <w:rPr>
                <w:sz w:val="19"/>
                <w:szCs w:val="19"/>
                <w:color w:val="auto"/>
              </w:rPr>
            </w:pPr>
          </w:p>
        </w:tc>
        <w:tc>
          <w:tcPr>
            <w:tcW w:w="720" w:type="dxa"/>
            <w:vAlign w:val="bottom"/>
            <w:tcBorders>
              <w:top w:val="single" w:sz="8" w:color="auto"/>
            </w:tcBorders>
            <w:shd w:val="clear" w:color="auto" w:fill="D3ECED"/>
          </w:tcPr>
          <w:p>
            <w:pPr>
              <w:spacing w:after="0"/>
              <w:rPr>
                <w:sz w:val="19"/>
                <w:szCs w:val="19"/>
                <w:color w:val="auto"/>
              </w:rPr>
            </w:pPr>
          </w:p>
        </w:tc>
        <w:tc>
          <w:tcPr>
            <w:tcW w:w="420" w:type="dxa"/>
            <w:vAlign w:val="bottom"/>
            <w:tcBorders>
              <w:top w:val="single" w:sz="8" w:color="auto"/>
            </w:tcBorders>
            <w:shd w:val="clear" w:color="auto" w:fill="D3ECED"/>
          </w:tcPr>
          <w:p>
            <w:pPr>
              <w:spacing w:after="0"/>
              <w:rPr>
                <w:sz w:val="19"/>
                <w:szCs w:val="19"/>
                <w:color w:val="auto"/>
              </w:rPr>
            </w:pPr>
          </w:p>
        </w:tc>
        <w:tc>
          <w:tcPr>
            <w:tcW w:w="80" w:type="dxa"/>
            <w:vAlign w:val="bottom"/>
            <w:tcBorders>
              <w:top w:val="single" w:sz="8" w:color="D3ECED"/>
            </w:tcBorders>
            <w:shd w:val="clear" w:color="auto" w:fill="D3ECED"/>
          </w:tcPr>
          <w:p>
            <w:pPr>
              <w:spacing w:after="0"/>
              <w:rPr>
                <w:sz w:val="19"/>
                <w:szCs w:val="19"/>
                <w:color w:val="auto"/>
              </w:rPr>
            </w:pPr>
          </w:p>
        </w:tc>
        <w:tc>
          <w:tcPr>
            <w:tcW w:w="140" w:type="dxa"/>
            <w:vAlign w:val="bottom"/>
            <w:tcBorders>
              <w:top w:val="single" w:sz="8" w:color="D3ECED"/>
            </w:tcBorders>
            <w:shd w:val="clear" w:color="auto" w:fill="D3ECED"/>
          </w:tcPr>
          <w:p>
            <w:pPr>
              <w:spacing w:after="0"/>
              <w:rPr>
                <w:sz w:val="19"/>
                <w:szCs w:val="19"/>
                <w:color w:val="auto"/>
              </w:rPr>
            </w:pPr>
          </w:p>
        </w:tc>
        <w:tc>
          <w:tcPr>
            <w:tcW w:w="900" w:type="dxa"/>
            <w:vAlign w:val="bottom"/>
            <w:tcBorders>
              <w:top w:val="single" w:sz="8" w:color="auto"/>
            </w:tcBorders>
            <w:shd w:val="clear" w:color="auto" w:fill="D3ECED"/>
          </w:tcPr>
          <w:p>
            <w:pPr>
              <w:spacing w:after="0"/>
              <w:rPr>
                <w:sz w:val="19"/>
                <w:szCs w:val="19"/>
                <w:color w:val="auto"/>
              </w:rPr>
            </w:pPr>
          </w:p>
        </w:tc>
        <w:tc>
          <w:tcPr>
            <w:tcW w:w="340" w:type="dxa"/>
            <w:vAlign w:val="bottom"/>
            <w:tcBorders>
              <w:top w:val="single" w:sz="8" w:color="auto"/>
            </w:tcBorders>
            <w:shd w:val="clear" w:color="auto" w:fill="D3ECED"/>
          </w:tcPr>
          <w:p>
            <w:pPr>
              <w:spacing w:after="0"/>
              <w:rPr>
                <w:sz w:val="19"/>
                <w:szCs w:val="19"/>
                <w:color w:val="auto"/>
              </w:rPr>
            </w:pPr>
          </w:p>
        </w:tc>
        <w:tc>
          <w:tcPr>
            <w:tcW w:w="80" w:type="dxa"/>
            <w:vAlign w:val="bottom"/>
            <w:tcBorders>
              <w:top w:val="single" w:sz="8" w:color="D3ECED"/>
            </w:tcBorders>
            <w:shd w:val="clear" w:color="auto" w:fill="D3ECED"/>
          </w:tcPr>
          <w:p>
            <w:pPr>
              <w:spacing w:after="0"/>
              <w:rPr>
                <w:sz w:val="19"/>
                <w:szCs w:val="19"/>
                <w:color w:val="auto"/>
              </w:rPr>
            </w:pPr>
          </w:p>
        </w:tc>
      </w:tr>
      <w:tr>
        <w:trPr>
          <w:trHeight w:val="230"/>
        </w:trPr>
        <w:tc>
          <w:tcPr>
            <w:tcW w:w="6060" w:type="dxa"/>
            <w:vAlign w:val="bottom"/>
            <w:shd w:val="clear" w:color="auto" w:fill="FDFDFD"/>
          </w:tcPr>
          <w:p>
            <w:pPr>
              <w:ind w:left="180"/>
              <w:spacing w:after="0"/>
              <w:rPr>
                <w:sz w:val="20"/>
                <w:szCs w:val="20"/>
                <w:color w:val="auto"/>
              </w:rPr>
            </w:pPr>
            <w:r>
              <w:rPr>
                <w:rFonts w:ascii="Arial" w:cs="Arial" w:eastAsia="Arial" w:hAnsi="Arial"/>
                <w:sz w:val="19"/>
                <w:szCs w:val="19"/>
                <w:color w:val="auto"/>
              </w:rPr>
              <w:t>Federal</w:t>
            </w:r>
          </w:p>
        </w:tc>
        <w:tc>
          <w:tcPr>
            <w:tcW w:w="100" w:type="dxa"/>
            <w:vAlign w:val="bottom"/>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shd w:val="clear" w:color="auto" w:fill="FDFDFD"/>
          </w:tcPr>
          <w:p>
            <w:pPr>
              <w:spacing w:after="0"/>
              <w:rPr>
                <w:sz w:val="20"/>
                <w:szCs w:val="20"/>
                <w:color w:val="auto"/>
              </w:rPr>
            </w:pPr>
          </w:p>
        </w:tc>
        <w:tc>
          <w:tcPr>
            <w:tcW w:w="4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900" w:type="dxa"/>
            <w:vAlign w:val="bottom"/>
            <w:shd w:val="clear" w:color="auto" w:fill="FDFDFD"/>
          </w:tcPr>
          <w:p>
            <w:pPr>
              <w:jc w:val="right"/>
              <w:ind w:right="705"/>
              <w:spacing w:after="0"/>
              <w:rPr>
                <w:sz w:val="20"/>
                <w:szCs w:val="20"/>
                <w:color w:val="auto"/>
              </w:rPr>
            </w:pPr>
            <w:r>
              <w:rPr>
                <w:rFonts w:ascii="Arial" w:cs="Arial" w:eastAsia="Arial" w:hAnsi="Arial"/>
                <w:sz w:val="19"/>
                <w:szCs w:val="19"/>
                <w:color w:val="auto"/>
                <w:w w:val="75"/>
              </w:rPr>
              <w:t>$</w:t>
            </w:r>
          </w:p>
        </w:tc>
        <w:tc>
          <w:tcPr>
            <w:tcW w:w="340" w:type="dxa"/>
            <w:vAlign w:val="bottom"/>
            <w:shd w:val="clear" w:color="auto" w:fill="FDFDFD"/>
          </w:tcPr>
          <w:p>
            <w:pPr>
              <w:ind w:left="140"/>
              <w:spacing w:after="0"/>
              <w:rPr>
                <w:sz w:val="20"/>
                <w:szCs w:val="20"/>
                <w:color w:val="auto"/>
              </w:rPr>
            </w:pPr>
            <w:r>
              <w:rPr>
                <w:rFonts w:ascii="Arial" w:cs="Arial" w:eastAsia="Arial" w:hAnsi="Arial"/>
                <w:sz w:val="19"/>
                <w:szCs w:val="19"/>
                <w:color w:val="auto"/>
                <w:w w:val="94"/>
              </w:rPr>
              <w:t>—</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shd w:val="clear" w:color="auto" w:fill="D3ECED"/>
          </w:tcPr>
          <w:p>
            <w:pPr>
              <w:ind w:left="180"/>
              <w:spacing w:after="0"/>
              <w:rPr>
                <w:sz w:val="20"/>
                <w:szCs w:val="20"/>
                <w:color w:val="auto"/>
              </w:rPr>
            </w:pPr>
            <w:r>
              <w:rPr>
                <w:rFonts w:ascii="Arial" w:cs="Arial" w:eastAsia="Arial" w:hAnsi="Arial"/>
                <w:sz w:val="19"/>
                <w:szCs w:val="19"/>
                <w:color w:val="auto"/>
              </w:rPr>
              <w:t>State</w:t>
            </w:r>
          </w:p>
        </w:tc>
        <w:tc>
          <w:tcPr>
            <w:tcW w:w="100" w:type="dxa"/>
            <w:vAlign w:val="bottom"/>
            <w:shd w:val="clear" w:color="auto" w:fill="D3ECED"/>
          </w:tcPr>
          <w:p>
            <w:pPr>
              <w:spacing w:after="0"/>
              <w:rPr>
                <w:sz w:val="20"/>
                <w:szCs w:val="20"/>
                <w:color w:val="auto"/>
              </w:rPr>
            </w:pPr>
          </w:p>
        </w:tc>
        <w:tc>
          <w:tcPr>
            <w:tcW w:w="720" w:type="dxa"/>
            <w:vAlign w:val="bottom"/>
            <w:shd w:val="clear" w:color="auto" w:fill="D3ECED"/>
          </w:tcPr>
          <w:p>
            <w:pPr>
              <w:spacing w:after="0"/>
              <w:rPr>
                <w:sz w:val="20"/>
                <w:szCs w:val="20"/>
                <w:color w:val="auto"/>
              </w:rPr>
            </w:pPr>
          </w:p>
        </w:tc>
        <w:tc>
          <w:tcPr>
            <w:tcW w:w="500" w:type="dxa"/>
            <w:vAlign w:val="bottom"/>
            <w:gridSpan w:val="2"/>
            <w:shd w:val="clear" w:color="auto" w:fill="D3ECED"/>
          </w:tcPr>
          <w:p>
            <w:pPr>
              <w:jc w:val="right"/>
              <w:ind w:right="100"/>
              <w:spacing w:after="0"/>
              <w:rPr>
                <w:sz w:val="20"/>
                <w:szCs w:val="20"/>
                <w:color w:val="auto"/>
              </w:rPr>
            </w:pPr>
            <w:r>
              <w:rPr>
                <w:rFonts w:ascii="Arial" w:cs="Arial" w:eastAsia="Arial" w:hAnsi="Arial"/>
                <w:sz w:val="19"/>
                <w:szCs w:val="19"/>
                <w:color w:val="auto"/>
              </w:rPr>
              <w:t>—</w:t>
            </w:r>
          </w:p>
        </w:tc>
        <w:tc>
          <w:tcPr>
            <w:tcW w:w="140" w:type="dxa"/>
            <w:vAlign w:val="bottom"/>
            <w:shd w:val="clear" w:color="auto" w:fill="D3ECED"/>
          </w:tcPr>
          <w:p>
            <w:pPr>
              <w:spacing w:after="0"/>
              <w:rPr>
                <w:sz w:val="20"/>
                <w:szCs w:val="20"/>
                <w:color w:val="auto"/>
              </w:rPr>
            </w:pPr>
          </w:p>
        </w:tc>
        <w:tc>
          <w:tcPr>
            <w:tcW w:w="900" w:type="dxa"/>
            <w:vAlign w:val="bottom"/>
            <w:shd w:val="clear" w:color="auto" w:fill="D3ECED"/>
          </w:tcPr>
          <w:p>
            <w:pPr>
              <w:spacing w:after="0"/>
              <w:rPr>
                <w:sz w:val="20"/>
                <w:szCs w:val="20"/>
                <w:color w:val="auto"/>
              </w:rPr>
            </w:pPr>
          </w:p>
        </w:tc>
        <w:tc>
          <w:tcPr>
            <w:tcW w:w="420" w:type="dxa"/>
            <w:vAlign w:val="bottom"/>
            <w:gridSpan w:val="2"/>
            <w:shd w:val="clear" w:color="auto" w:fill="D3ECED"/>
          </w:tcPr>
          <w:p>
            <w:pPr>
              <w:ind w:left="140"/>
              <w:spacing w:after="0"/>
              <w:rPr>
                <w:sz w:val="20"/>
                <w:szCs w:val="20"/>
                <w:color w:val="auto"/>
              </w:rPr>
            </w:pPr>
            <w:r>
              <w:rPr>
                <w:rFonts w:ascii="Arial" w:cs="Arial" w:eastAsia="Arial" w:hAnsi="Arial"/>
                <w:sz w:val="19"/>
                <w:szCs w:val="19"/>
                <w:color w:val="auto"/>
              </w:rPr>
              <w:t>—</w:t>
            </w:r>
          </w:p>
        </w:tc>
      </w:tr>
      <w:tr>
        <w:trPr>
          <w:trHeight w:val="230"/>
        </w:trPr>
        <w:tc>
          <w:tcPr>
            <w:tcW w:w="6060" w:type="dxa"/>
            <w:vAlign w:val="bottom"/>
            <w:shd w:val="clear" w:color="auto" w:fill="FDFDFD"/>
          </w:tcPr>
          <w:p>
            <w:pPr>
              <w:ind w:left="180"/>
              <w:spacing w:after="0"/>
              <w:rPr>
                <w:sz w:val="20"/>
                <w:szCs w:val="20"/>
                <w:color w:val="auto"/>
              </w:rPr>
            </w:pPr>
            <w:r>
              <w:rPr>
                <w:rFonts w:ascii="Arial" w:cs="Arial" w:eastAsia="Arial" w:hAnsi="Arial"/>
                <w:sz w:val="19"/>
                <w:szCs w:val="19"/>
                <w:color w:val="auto"/>
              </w:rPr>
              <w:t>Foreign</w:t>
            </w:r>
          </w:p>
        </w:tc>
        <w:tc>
          <w:tcPr>
            <w:tcW w:w="100" w:type="dxa"/>
            <w:vAlign w:val="bottom"/>
            <w:shd w:val="clear" w:color="auto" w:fill="FDFDFD"/>
          </w:tcPr>
          <w:p>
            <w:pPr>
              <w:spacing w:after="0"/>
              <w:rPr>
                <w:sz w:val="20"/>
                <w:szCs w:val="20"/>
                <w:color w:val="auto"/>
              </w:rPr>
            </w:pPr>
          </w:p>
        </w:tc>
        <w:tc>
          <w:tcPr>
            <w:tcW w:w="720" w:type="dxa"/>
            <w:vAlign w:val="bottom"/>
            <w:shd w:val="clear" w:color="auto" w:fill="FDFDFD"/>
          </w:tcPr>
          <w:p>
            <w:pPr>
              <w:spacing w:after="0"/>
              <w:rPr>
                <w:sz w:val="20"/>
                <w:szCs w:val="20"/>
                <w:color w:val="auto"/>
              </w:rPr>
            </w:pPr>
          </w:p>
        </w:tc>
        <w:tc>
          <w:tcPr>
            <w:tcW w:w="42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346</w:t>
            </w: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900" w:type="dxa"/>
            <w:vAlign w:val="bottom"/>
            <w:shd w:val="clear" w:color="auto" w:fill="FDFDFD"/>
          </w:tcPr>
          <w:p>
            <w:pPr>
              <w:spacing w:after="0"/>
              <w:rPr>
                <w:sz w:val="20"/>
                <w:szCs w:val="20"/>
                <w:color w:val="auto"/>
              </w:rPr>
            </w:pPr>
          </w:p>
        </w:tc>
        <w:tc>
          <w:tcPr>
            <w:tcW w:w="420" w:type="dxa"/>
            <w:vAlign w:val="bottom"/>
            <w:gridSpan w:val="2"/>
            <w:shd w:val="clear" w:color="auto" w:fill="FDFDFD"/>
          </w:tcPr>
          <w:p>
            <w:pPr>
              <w:ind w:left="140"/>
              <w:spacing w:after="0"/>
              <w:rPr>
                <w:sz w:val="20"/>
                <w:szCs w:val="20"/>
                <w:color w:val="auto"/>
              </w:rPr>
            </w:pPr>
            <w:r>
              <w:rPr>
                <w:rFonts w:ascii="Arial" w:cs="Arial" w:eastAsia="Arial" w:hAnsi="Arial"/>
                <w:sz w:val="19"/>
                <w:szCs w:val="19"/>
                <w:color w:val="auto"/>
              </w:rPr>
              <w:t>—</w:t>
            </w:r>
          </w:p>
        </w:tc>
      </w:tr>
      <w:tr>
        <w:trPr>
          <w:trHeight w:val="220"/>
        </w:trPr>
        <w:tc>
          <w:tcPr>
            <w:tcW w:w="6060" w:type="dxa"/>
            <w:vAlign w:val="bottom"/>
            <w:tcBorders>
              <w:top w:val="single" w:sz="8" w:color="D3ECED"/>
            </w:tcBorders>
            <w:shd w:val="clear" w:color="auto" w:fill="D3ECED"/>
          </w:tcPr>
          <w:p>
            <w:pPr>
              <w:spacing w:after="0"/>
              <w:rPr>
                <w:sz w:val="20"/>
                <w:szCs w:val="20"/>
                <w:color w:val="auto"/>
              </w:rPr>
            </w:pPr>
            <w:r>
              <w:rPr>
                <w:rFonts w:ascii="Arial" w:cs="Arial" w:eastAsia="Arial" w:hAnsi="Arial"/>
                <w:sz w:val="19"/>
                <w:szCs w:val="19"/>
                <w:color w:val="auto"/>
              </w:rPr>
              <w:t>Total current</w:t>
            </w:r>
          </w:p>
        </w:tc>
        <w:tc>
          <w:tcPr>
            <w:tcW w:w="100" w:type="dxa"/>
            <w:vAlign w:val="bottom"/>
            <w:tcBorders>
              <w:top w:val="single" w:sz="8" w:color="auto"/>
            </w:tcBorders>
            <w:shd w:val="clear" w:color="auto" w:fill="D3ECED"/>
          </w:tcPr>
          <w:p>
            <w:pPr>
              <w:spacing w:after="0"/>
              <w:rPr>
                <w:sz w:val="19"/>
                <w:szCs w:val="19"/>
                <w:color w:val="auto"/>
              </w:rPr>
            </w:pPr>
          </w:p>
        </w:tc>
        <w:tc>
          <w:tcPr>
            <w:tcW w:w="720" w:type="dxa"/>
            <w:vAlign w:val="bottom"/>
            <w:tcBorders>
              <w:top w:val="single" w:sz="8" w:color="auto"/>
            </w:tcBorders>
            <w:shd w:val="clear" w:color="auto" w:fill="D3ECED"/>
          </w:tcPr>
          <w:p>
            <w:pPr>
              <w:spacing w:after="0"/>
              <w:rPr>
                <w:sz w:val="19"/>
                <w:szCs w:val="19"/>
                <w:color w:val="auto"/>
              </w:rPr>
            </w:pPr>
          </w:p>
        </w:tc>
        <w:tc>
          <w:tcPr>
            <w:tcW w:w="42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346</w:t>
            </w:r>
          </w:p>
        </w:tc>
        <w:tc>
          <w:tcPr>
            <w:tcW w:w="80" w:type="dxa"/>
            <w:vAlign w:val="bottom"/>
            <w:tcBorders>
              <w:top w:val="single" w:sz="8" w:color="D3ECED"/>
            </w:tcBorders>
            <w:shd w:val="clear" w:color="auto" w:fill="D3ECED"/>
          </w:tcPr>
          <w:p>
            <w:pPr>
              <w:spacing w:after="0"/>
              <w:rPr>
                <w:sz w:val="19"/>
                <w:szCs w:val="19"/>
                <w:color w:val="auto"/>
              </w:rPr>
            </w:pPr>
          </w:p>
        </w:tc>
        <w:tc>
          <w:tcPr>
            <w:tcW w:w="140" w:type="dxa"/>
            <w:vAlign w:val="bottom"/>
            <w:tcBorders>
              <w:top w:val="single" w:sz="8" w:color="D3ECED"/>
            </w:tcBorders>
            <w:shd w:val="clear" w:color="auto" w:fill="D3ECED"/>
          </w:tcPr>
          <w:p>
            <w:pPr>
              <w:spacing w:after="0"/>
              <w:rPr>
                <w:sz w:val="19"/>
                <w:szCs w:val="19"/>
                <w:color w:val="auto"/>
              </w:rPr>
            </w:pPr>
          </w:p>
        </w:tc>
        <w:tc>
          <w:tcPr>
            <w:tcW w:w="900" w:type="dxa"/>
            <w:vAlign w:val="bottom"/>
            <w:tcBorders>
              <w:top w:val="single" w:sz="8" w:color="auto"/>
            </w:tcBorders>
            <w:shd w:val="clear" w:color="auto" w:fill="D3ECED"/>
          </w:tcPr>
          <w:p>
            <w:pPr>
              <w:spacing w:after="0"/>
              <w:rPr>
                <w:sz w:val="19"/>
                <w:szCs w:val="19"/>
                <w:color w:val="auto"/>
              </w:rPr>
            </w:pPr>
          </w:p>
        </w:tc>
        <w:tc>
          <w:tcPr>
            <w:tcW w:w="340" w:type="dxa"/>
            <w:vAlign w:val="bottom"/>
            <w:tcBorders>
              <w:top w:val="single" w:sz="8" w:color="auto"/>
            </w:tcBorders>
            <w:shd w:val="clear" w:color="auto" w:fill="D3ECED"/>
          </w:tcPr>
          <w:p>
            <w:pPr>
              <w:ind w:left="140"/>
              <w:spacing w:after="0"/>
              <w:rPr>
                <w:sz w:val="20"/>
                <w:szCs w:val="20"/>
                <w:color w:val="auto"/>
              </w:rPr>
            </w:pPr>
            <w:r>
              <w:rPr>
                <w:rFonts w:ascii="Arial" w:cs="Arial" w:eastAsia="Arial" w:hAnsi="Arial"/>
                <w:sz w:val="19"/>
                <w:szCs w:val="19"/>
                <w:color w:val="auto"/>
                <w:w w:val="94"/>
              </w:rPr>
              <w:t>—</w:t>
            </w:r>
          </w:p>
        </w:tc>
        <w:tc>
          <w:tcPr>
            <w:tcW w:w="80" w:type="dxa"/>
            <w:vAlign w:val="bottom"/>
            <w:tcBorders>
              <w:top w:val="single" w:sz="8" w:color="D3ECED"/>
            </w:tcBorders>
            <w:shd w:val="clear" w:color="auto" w:fill="D3ECED"/>
          </w:tcPr>
          <w:p>
            <w:pPr>
              <w:spacing w:after="0"/>
              <w:rPr>
                <w:sz w:val="19"/>
                <w:szCs w:val="19"/>
                <w:color w:val="auto"/>
              </w:rPr>
            </w:pPr>
          </w:p>
        </w:tc>
      </w:tr>
      <w:tr>
        <w:trPr>
          <w:trHeight w:val="230"/>
        </w:trPr>
        <w:tc>
          <w:tcPr>
            <w:tcW w:w="606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720" w:type="dxa"/>
            <w:vAlign w:val="bottom"/>
            <w:shd w:val="clear" w:color="auto" w:fill="FDFDFD"/>
          </w:tcPr>
          <w:p>
            <w:pPr>
              <w:spacing w:after="0"/>
              <w:rPr>
                <w:sz w:val="20"/>
                <w:szCs w:val="20"/>
                <w:color w:val="auto"/>
              </w:rPr>
            </w:pPr>
          </w:p>
        </w:tc>
        <w:tc>
          <w:tcPr>
            <w:tcW w:w="4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900" w:type="dxa"/>
            <w:vAlign w:val="bottom"/>
            <w:shd w:val="clear" w:color="auto" w:fill="FDFDFD"/>
          </w:tcPr>
          <w:p>
            <w:pPr>
              <w:spacing w:after="0"/>
              <w:rPr>
                <w:sz w:val="20"/>
                <w:szCs w:val="20"/>
                <w:color w:val="auto"/>
              </w:rPr>
            </w:pPr>
          </w:p>
        </w:tc>
        <w:tc>
          <w:tcPr>
            <w:tcW w:w="34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r>
      <w:tr>
        <w:trPr>
          <w:trHeight w:val="23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Deferred:</w:t>
            </w:r>
          </w:p>
        </w:tc>
        <w:tc>
          <w:tcPr>
            <w:tcW w:w="100" w:type="dxa"/>
            <w:vAlign w:val="bottom"/>
            <w:shd w:val="clear" w:color="auto" w:fill="D3ECED"/>
          </w:tcPr>
          <w:p>
            <w:pPr>
              <w:spacing w:after="0"/>
              <w:rPr>
                <w:sz w:val="20"/>
                <w:szCs w:val="20"/>
                <w:color w:val="auto"/>
              </w:rPr>
            </w:pPr>
          </w:p>
        </w:tc>
        <w:tc>
          <w:tcPr>
            <w:tcW w:w="720" w:type="dxa"/>
            <w:vAlign w:val="bottom"/>
            <w:shd w:val="clear" w:color="auto" w:fill="D3ECED"/>
          </w:tcPr>
          <w:p>
            <w:pPr>
              <w:spacing w:after="0"/>
              <w:rPr>
                <w:sz w:val="20"/>
                <w:szCs w:val="20"/>
                <w:color w:val="auto"/>
              </w:rPr>
            </w:pPr>
          </w:p>
        </w:tc>
        <w:tc>
          <w:tcPr>
            <w:tcW w:w="42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900" w:type="dxa"/>
            <w:vAlign w:val="bottom"/>
            <w:shd w:val="clear" w:color="auto" w:fill="D3ECED"/>
          </w:tcPr>
          <w:p>
            <w:pPr>
              <w:spacing w:after="0"/>
              <w:rPr>
                <w:sz w:val="20"/>
                <w:szCs w:val="20"/>
                <w:color w:val="auto"/>
              </w:rPr>
            </w:pPr>
          </w:p>
        </w:tc>
        <w:tc>
          <w:tcPr>
            <w:tcW w:w="34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r>
      <w:tr>
        <w:trPr>
          <w:trHeight w:val="230"/>
        </w:trPr>
        <w:tc>
          <w:tcPr>
            <w:tcW w:w="6060" w:type="dxa"/>
            <w:vAlign w:val="bottom"/>
            <w:shd w:val="clear" w:color="auto" w:fill="FDFDFD"/>
          </w:tcPr>
          <w:p>
            <w:pPr>
              <w:ind w:left="180"/>
              <w:spacing w:after="0"/>
              <w:rPr>
                <w:sz w:val="20"/>
                <w:szCs w:val="20"/>
                <w:color w:val="auto"/>
              </w:rPr>
            </w:pPr>
            <w:r>
              <w:rPr>
                <w:rFonts w:ascii="Arial" w:cs="Arial" w:eastAsia="Arial" w:hAnsi="Arial"/>
                <w:sz w:val="19"/>
                <w:szCs w:val="19"/>
                <w:color w:val="auto"/>
              </w:rPr>
              <w:t>Federal</w:t>
            </w:r>
          </w:p>
        </w:tc>
        <w:tc>
          <w:tcPr>
            <w:tcW w:w="100" w:type="dxa"/>
            <w:vAlign w:val="bottom"/>
            <w:shd w:val="clear" w:color="auto" w:fill="FDFDFD"/>
          </w:tcPr>
          <w:p>
            <w:pPr>
              <w:spacing w:after="0"/>
              <w:rPr>
                <w:sz w:val="20"/>
                <w:szCs w:val="20"/>
                <w:color w:val="auto"/>
              </w:rPr>
            </w:pPr>
          </w:p>
        </w:tc>
        <w:tc>
          <w:tcPr>
            <w:tcW w:w="720" w:type="dxa"/>
            <w:vAlign w:val="bottom"/>
            <w:shd w:val="clear" w:color="auto" w:fill="FDFDFD"/>
          </w:tcPr>
          <w:p>
            <w:pPr>
              <w:spacing w:after="0"/>
              <w:rPr>
                <w:sz w:val="20"/>
                <w:szCs w:val="20"/>
                <w:color w:val="auto"/>
              </w:rPr>
            </w:pPr>
          </w:p>
        </w:tc>
        <w:tc>
          <w:tcPr>
            <w:tcW w:w="500" w:type="dxa"/>
            <w:vAlign w:val="bottom"/>
            <w:gridSpan w:val="2"/>
            <w:shd w:val="clear" w:color="auto" w:fill="FDFDFD"/>
          </w:tcPr>
          <w:p>
            <w:pPr>
              <w:jc w:val="right"/>
              <w:ind w:right="100"/>
              <w:spacing w:after="0"/>
              <w:rPr>
                <w:sz w:val="20"/>
                <w:szCs w:val="20"/>
                <w:color w:val="auto"/>
              </w:rPr>
            </w:pPr>
            <w:r>
              <w:rPr>
                <w:rFonts w:ascii="Arial" w:cs="Arial" w:eastAsia="Arial" w:hAnsi="Arial"/>
                <w:sz w:val="19"/>
                <w:szCs w:val="19"/>
                <w:color w:val="auto"/>
              </w:rPr>
              <w:t>—</w:t>
            </w:r>
          </w:p>
        </w:tc>
        <w:tc>
          <w:tcPr>
            <w:tcW w:w="140" w:type="dxa"/>
            <w:vAlign w:val="bottom"/>
            <w:shd w:val="clear" w:color="auto" w:fill="FDFDFD"/>
          </w:tcPr>
          <w:p>
            <w:pPr>
              <w:spacing w:after="0"/>
              <w:rPr>
                <w:sz w:val="20"/>
                <w:szCs w:val="20"/>
                <w:color w:val="auto"/>
              </w:rPr>
            </w:pPr>
          </w:p>
        </w:tc>
        <w:tc>
          <w:tcPr>
            <w:tcW w:w="900" w:type="dxa"/>
            <w:vAlign w:val="bottom"/>
            <w:shd w:val="clear" w:color="auto" w:fill="FDFDFD"/>
          </w:tcPr>
          <w:p>
            <w:pPr>
              <w:spacing w:after="0"/>
              <w:rPr>
                <w:sz w:val="20"/>
                <w:szCs w:val="20"/>
                <w:color w:val="auto"/>
              </w:rPr>
            </w:pPr>
          </w:p>
        </w:tc>
        <w:tc>
          <w:tcPr>
            <w:tcW w:w="420" w:type="dxa"/>
            <w:vAlign w:val="bottom"/>
            <w:gridSpan w:val="2"/>
            <w:shd w:val="clear" w:color="auto" w:fill="FDFDFD"/>
          </w:tcPr>
          <w:p>
            <w:pPr>
              <w:ind w:left="140"/>
              <w:spacing w:after="0"/>
              <w:rPr>
                <w:sz w:val="20"/>
                <w:szCs w:val="20"/>
                <w:color w:val="auto"/>
              </w:rPr>
            </w:pPr>
            <w:r>
              <w:rPr>
                <w:rFonts w:ascii="Arial" w:cs="Arial" w:eastAsia="Arial" w:hAnsi="Arial"/>
                <w:sz w:val="19"/>
                <w:szCs w:val="19"/>
                <w:color w:val="auto"/>
              </w:rPr>
              <w:t>—</w:t>
            </w:r>
          </w:p>
        </w:tc>
      </w:tr>
      <w:tr>
        <w:trPr>
          <w:trHeight w:val="230"/>
        </w:trPr>
        <w:tc>
          <w:tcPr>
            <w:tcW w:w="6060" w:type="dxa"/>
            <w:vAlign w:val="bottom"/>
            <w:shd w:val="clear" w:color="auto" w:fill="D3ECED"/>
          </w:tcPr>
          <w:p>
            <w:pPr>
              <w:ind w:left="180"/>
              <w:spacing w:after="0"/>
              <w:rPr>
                <w:sz w:val="20"/>
                <w:szCs w:val="20"/>
                <w:color w:val="auto"/>
              </w:rPr>
            </w:pPr>
            <w:r>
              <w:rPr>
                <w:rFonts w:ascii="Arial" w:cs="Arial" w:eastAsia="Arial" w:hAnsi="Arial"/>
                <w:sz w:val="19"/>
                <w:szCs w:val="19"/>
                <w:color w:val="auto"/>
              </w:rPr>
              <w:t>State</w:t>
            </w:r>
          </w:p>
        </w:tc>
        <w:tc>
          <w:tcPr>
            <w:tcW w:w="100" w:type="dxa"/>
            <w:vAlign w:val="bottom"/>
            <w:shd w:val="clear" w:color="auto" w:fill="D3ECED"/>
          </w:tcPr>
          <w:p>
            <w:pPr>
              <w:spacing w:after="0"/>
              <w:rPr>
                <w:sz w:val="20"/>
                <w:szCs w:val="20"/>
                <w:color w:val="auto"/>
              </w:rPr>
            </w:pPr>
          </w:p>
        </w:tc>
        <w:tc>
          <w:tcPr>
            <w:tcW w:w="720" w:type="dxa"/>
            <w:vAlign w:val="bottom"/>
            <w:shd w:val="clear" w:color="auto" w:fill="D3ECED"/>
          </w:tcPr>
          <w:p>
            <w:pPr>
              <w:spacing w:after="0"/>
              <w:rPr>
                <w:sz w:val="20"/>
                <w:szCs w:val="20"/>
                <w:color w:val="auto"/>
              </w:rPr>
            </w:pPr>
          </w:p>
        </w:tc>
        <w:tc>
          <w:tcPr>
            <w:tcW w:w="500" w:type="dxa"/>
            <w:vAlign w:val="bottom"/>
            <w:gridSpan w:val="2"/>
            <w:shd w:val="clear" w:color="auto" w:fill="D3ECED"/>
          </w:tcPr>
          <w:p>
            <w:pPr>
              <w:jc w:val="right"/>
              <w:ind w:right="100"/>
              <w:spacing w:after="0"/>
              <w:rPr>
                <w:sz w:val="20"/>
                <w:szCs w:val="20"/>
                <w:color w:val="auto"/>
              </w:rPr>
            </w:pPr>
            <w:r>
              <w:rPr>
                <w:rFonts w:ascii="Arial" w:cs="Arial" w:eastAsia="Arial" w:hAnsi="Arial"/>
                <w:sz w:val="19"/>
                <w:szCs w:val="19"/>
                <w:color w:val="auto"/>
              </w:rPr>
              <w:t>—</w:t>
            </w:r>
          </w:p>
        </w:tc>
        <w:tc>
          <w:tcPr>
            <w:tcW w:w="140" w:type="dxa"/>
            <w:vAlign w:val="bottom"/>
            <w:shd w:val="clear" w:color="auto" w:fill="D3ECED"/>
          </w:tcPr>
          <w:p>
            <w:pPr>
              <w:spacing w:after="0"/>
              <w:rPr>
                <w:sz w:val="20"/>
                <w:szCs w:val="20"/>
                <w:color w:val="auto"/>
              </w:rPr>
            </w:pPr>
          </w:p>
        </w:tc>
        <w:tc>
          <w:tcPr>
            <w:tcW w:w="900" w:type="dxa"/>
            <w:vAlign w:val="bottom"/>
            <w:shd w:val="clear" w:color="auto" w:fill="D3ECED"/>
          </w:tcPr>
          <w:p>
            <w:pPr>
              <w:spacing w:after="0"/>
              <w:rPr>
                <w:sz w:val="20"/>
                <w:szCs w:val="20"/>
                <w:color w:val="auto"/>
              </w:rPr>
            </w:pPr>
          </w:p>
        </w:tc>
        <w:tc>
          <w:tcPr>
            <w:tcW w:w="420" w:type="dxa"/>
            <w:vAlign w:val="bottom"/>
            <w:gridSpan w:val="2"/>
            <w:shd w:val="clear" w:color="auto" w:fill="D3ECED"/>
          </w:tcPr>
          <w:p>
            <w:pPr>
              <w:ind w:left="140"/>
              <w:spacing w:after="0"/>
              <w:rPr>
                <w:sz w:val="20"/>
                <w:szCs w:val="20"/>
                <w:color w:val="auto"/>
              </w:rPr>
            </w:pPr>
            <w:r>
              <w:rPr>
                <w:rFonts w:ascii="Arial" w:cs="Arial" w:eastAsia="Arial" w:hAnsi="Arial"/>
                <w:sz w:val="19"/>
                <w:szCs w:val="19"/>
                <w:color w:val="auto"/>
              </w:rPr>
              <w:t>—</w:t>
            </w:r>
          </w:p>
        </w:tc>
      </w:tr>
      <w:tr>
        <w:trPr>
          <w:trHeight w:val="230"/>
        </w:trPr>
        <w:tc>
          <w:tcPr>
            <w:tcW w:w="6060" w:type="dxa"/>
            <w:vAlign w:val="bottom"/>
            <w:shd w:val="clear" w:color="auto" w:fill="FDFDFD"/>
          </w:tcPr>
          <w:p>
            <w:pPr>
              <w:ind w:left="180"/>
              <w:spacing w:after="0"/>
              <w:rPr>
                <w:sz w:val="20"/>
                <w:szCs w:val="20"/>
                <w:color w:val="auto"/>
              </w:rPr>
            </w:pPr>
            <w:r>
              <w:rPr>
                <w:rFonts w:ascii="Arial" w:cs="Arial" w:eastAsia="Arial" w:hAnsi="Arial"/>
                <w:sz w:val="19"/>
                <w:szCs w:val="19"/>
                <w:color w:val="auto"/>
              </w:rPr>
              <w:t>Foreign</w:t>
            </w:r>
          </w:p>
        </w:tc>
        <w:tc>
          <w:tcPr>
            <w:tcW w:w="100" w:type="dxa"/>
            <w:vAlign w:val="bottom"/>
            <w:shd w:val="clear" w:color="auto" w:fill="FDFDFD"/>
          </w:tcPr>
          <w:p>
            <w:pPr>
              <w:spacing w:after="0"/>
              <w:rPr>
                <w:sz w:val="20"/>
                <w:szCs w:val="20"/>
                <w:color w:val="auto"/>
              </w:rPr>
            </w:pPr>
          </w:p>
        </w:tc>
        <w:tc>
          <w:tcPr>
            <w:tcW w:w="720" w:type="dxa"/>
            <w:vAlign w:val="bottom"/>
            <w:shd w:val="clear" w:color="auto" w:fill="FDFDFD"/>
          </w:tcPr>
          <w:p>
            <w:pPr>
              <w:spacing w:after="0"/>
              <w:rPr>
                <w:sz w:val="20"/>
                <w:szCs w:val="20"/>
                <w:color w:val="auto"/>
              </w:rPr>
            </w:pPr>
          </w:p>
        </w:tc>
        <w:tc>
          <w:tcPr>
            <w:tcW w:w="420" w:type="dxa"/>
            <w:vAlign w:val="bottom"/>
            <w:shd w:val="clear" w:color="auto" w:fill="FDFDFD"/>
          </w:tcPr>
          <w:p>
            <w:pPr>
              <w:jc w:val="right"/>
              <w:spacing w:after="0"/>
              <w:rPr>
                <w:sz w:val="20"/>
                <w:szCs w:val="20"/>
                <w:color w:val="auto"/>
              </w:rPr>
            </w:pPr>
            <w:r>
              <w:rPr>
                <w:rFonts w:ascii="Arial" w:cs="Arial" w:eastAsia="Arial" w:hAnsi="Arial"/>
                <w:sz w:val="19"/>
                <w:szCs w:val="19"/>
                <w:color w:val="auto"/>
                <w:w w:val="90"/>
              </w:rPr>
              <w:t>(248)</w:t>
            </w: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900" w:type="dxa"/>
            <w:vAlign w:val="bottom"/>
            <w:shd w:val="clear" w:color="auto" w:fill="FDFDFD"/>
          </w:tcPr>
          <w:p>
            <w:pPr>
              <w:spacing w:after="0"/>
              <w:rPr>
                <w:sz w:val="20"/>
                <w:szCs w:val="20"/>
                <w:color w:val="auto"/>
              </w:rPr>
            </w:pPr>
          </w:p>
        </w:tc>
        <w:tc>
          <w:tcPr>
            <w:tcW w:w="420" w:type="dxa"/>
            <w:vAlign w:val="bottom"/>
            <w:gridSpan w:val="2"/>
            <w:shd w:val="clear" w:color="auto" w:fill="FDFDFD"/>
          </w:tcPr>
          <w:p>
            <w:pPr>
              <w:ind w:left="140"/>
              <w:spacing w:after="0"/>
              <w:rPr>
                <w:sz w:val="20"/>
                <w:szCs w:val="20"/>
                <w:color w:val="auto"/>
              </w:rPr>
            </w:pPr>
            <w:r>
              <w:rPr>
                <w:rFonts w:ascii="Arial" w:cs="Arial" w:eastAsia="Arial" w:hAnsi="Arial"/>
                <w:sz w:val="19"/>
                <w:szCs w:val="19"/>
                <w:color w:val="auto"/>
              </w:rPr>
              <w:t>—</w:t>
            </w:r>
          </w:p>
        </w:tc>
      </w:tr>
      <w:tr>
        <w:trPr>
          <w:trHeight w:val="220"/>
        </w:trPr>
        <w:tc>
          <w:tcPr>
            <w:tcW w:w="6060" w:type="dxa"/>
            <w:vAlign w:val="bottom"/>
            <w:tcBorders>
              <w:top w:val="single" w:sz="8" w:color="D3ECED"/>
            </w:tcBorders>
            <w:shd w:val="clear" w:color="auto" w:fill="D3ECED"/>
          </w:tcPr>
          <w:p>
            <w:pPr>
              <w:spacing w:after="0"/>
              <w:rPr>
                <w:sz w:val="20"/>
                <w:szCs w:val="20"/>
                <w:color w:val="auto"/>
              </w:rPr>
            </w:pPr>
            <w:r>
              <w:rPr>
                <w:rFonts w:ascii="Arial" w:cs="Arial" w:eastAsia="Arial" w:hAnsi="Arial"/>
                <w:sz w:val="19"/>
                <w:szCs w:val="19"/>
                <w:color w:val="auto"/>
              </w:rPr>
              <w:t>Total deferred</w:t>
            </w:r>
          </w:p>
        </w:tc>
        <w:tc>
          <w:tcPr>
            <w:tcW w:w="100" w:type="dxa"/>
            <w:vAlign w:val="bottom"/>
            <w:tcBorders>
              <w:top w:val="single" w:sz="8" w:color="auto"/>
            </w:tcBorders>
            <w:shd w:val="clear" w:color="auto" w:fill="D3ECED"/>
          </w:tcPr>
          <w:p>
            <w:pPr>
              <w:spacing w:after="0"/>
              <w:rPr>
                <w:sz w:val="19"/>
                <w:szCs w:val="19"/>
                <w:color w:val="auto"/>
              </w:rPr>
            </w:pPr>
          </w:p>
        </w:tc>
        <w:tc>
          <w:tcPr>
            <w:tcW w:w="720" w:type="dxa"/>
            <w:vAlign w:val="bottom"/>
            <w:tcBorders>
              <w:top w:val="single" w:sz="8" w:color="auto"/>
            </w:tcBorders>
            <w:shd w:val="clear" w:color="auto" w:fill="D3ECED"/>
          </w:tcPr>
          <w:p>
            <w:pPr>
              <w:spacing w:after="0"/>
              <w:rPr>
                <w:sz w:val="19"/>
                <w:szCs w:val="19"/>
                <w:color w:val="auto"/>
              </w:rPr>
            </w:pPr>
          </w:p>
        </w:tc>
        <w:tc>
          <w:tcPr>
            <w:tcW w:w="42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w w:val="90"/>
              </w:rPr>
              <w:t>(248)</w:t>
            </w:r>
          </w:p>
        </w:tc>
        <w:tc>
          <w:tcPr>
            <w:tcW w:w="80" w:type="dxa"/>
            <w:vAlign w:val="bottom"/>
            <w:tcBorders>
              <w:top w:val="single" w:sz="8" w:color="D3ECED"/>
            </w:tcBorders>
            <w:shd w:val="clear" w:color="auto" w:fill="D3ECED"/>
          </w:tcPr>
          <w:p>
            <w:pPr>
              <w:spacing w:after="0"/>
              <w:rPr>
                <w:sz w:val="19"/>
                <w:szCs w:val="19"/>
                <w:color w:val="auto"/>
              </w:rPr>
            </w:pPr>
          </w:p>
        </w:tc>
        <w:tc>
          <w:tcPr>
            <w:tcW w:w="140" w:type="dxa"/>
            <w:vAlign w:val="bottom"/>
            <w:tcBorders>
              <w:top w:val="single" w:sz="8" w:color="D3ECED"/>
            </w:tcBorders>
            <w:shd w:val="clear" w:color="auto" w:fill="D3ECED"/>
          </w:tcPr>
          <w:p>
            <w:pPr>
              <w:spacing w:after="0"/>
              <w:rPr>
                <w:sz w:val="19"/>
                <w:szCs w:val="19"/>
                <w:color w:val="auto"/>
              </w:rPr>
            </w:pPr>
          </w:p>
        </w:tc>
        <w:tc>
          <w:tcPr>
            <w:tcW w:w="900" w:type="dxa"/>
            <w:vAlign w:val="bottom"/>
            <w:tcBorders>
              <w:top w:val="single" w:sz="8" w:color="auto"/>
            </w:tcBorders>
            <w:shd w:val="clear" w:color="auto" w:fill="D3ECED"/>
          </w:tcPr>
          <w:p>
            <w:pPr>
              <w:spacing w:after="0"/>
              <w:rPr>
                <w:sz w:val="19"/>
                <w:szCs w:val="19"/>
                <w:color w:val="auto"/>
              </w:rPr>
            </w:pPr>
          </w:p>
        </w:tc>
        <w:tc>
          <w:tcPr>
            <w:tcW w:w="340" w:type="dxa"/>
            <w:vAlign w:val="bottom"/>
            <w:tcBorders>
              <w:top w:val="single" w:sz="8" w:color="auto"/>
            </w:tcBorders>
            <w:shd w:val="clear" w:color="auto" w:fill="D3ECED"/>
          </w:tcPr>
          <w:p>
            <w:pPr>
              <w:ind w:left="140"/>
              <w:spacing w:after="0"/>
              <w:rPr>
                <w:sz w:val="20"/>
                <w:szCs w:val="20"/>
                <w:color w:val="auto"/>
              </w:rPr>
            </w:pPr>
            <w:r>
              <w:rPr>
                <w:rFonts w:ascii="Arial" w:cs="Arial" w:eastAsia="Arial" w:hAnsi="Arial"/>
                <w:sz w:val="19"/>
                <w:szCs w:val="19"/>
                <w:color w:val="auto"/>
                <w:w w:val="94"/>
              </w:rPr>
              <w:t>—</w:t>
            </w:r>
          </w:p>
        </w:tc>
        <w:tc>
          <w:tcPr>
            <w:tcW w:w="80" w:type="dxa"/>
            <w:vAlign w:val="bottom"/>
            <w:tcBorders>
              <w:top w:val="single" w:sz="8" w:color="D3ECED"/>
            </w:tcBorders>
            <w:shd w:val="clear" w:color="auto" w:fill="D3ECED"/>
          </w:tcPr>
          <w:p>
            <w:pPr>
              <w:spacing w:after="0"/>
              <w:rPr>
                <w:sz w:val="19"/>
                <w:szCs w:val="19"/>
                <w:color w:val="auto"/>
              </w:rPr>
            </w:pPr>
          </w:p>
        </w:tc>
      </w:tr>
      <w:tr>
        <w:trPr>
          <w:trHeight w:val="230"/>
        </w:trPr>
        <w:tc>
          <w:tcPr>
            <w:tcW w:w="606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720" w:type="dxa"/>
            <w:vAlign w:val="bottom"/>
            <w:shd w:val="clear" w:color="auto" w:fill="FDFDFD"/>
          </w:tcPr>
          <w:p>
            <w:pPr>
              <w:spacing w:after="0"/>
              <w:rPr>
                <w:sz w:val="20"/>
                <w:szCs w:val="20"/>
                <w:color w:val="auto"/>
              </w:rPr>
            </w:pPr>
          </w:p>
        </w:tc>
        <w:tc>
          <w:tcPr>
            <w:tcW w:w="42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040" w:type="dxa"/>
            <w:vAlign w:val="bottom"/>
            <w:gridSpan w:val="2"/>
            <w:shd w:val="clear" w:color="auto" w:fill="FDFDFD"/>
          </w:tcPr>
          <w:p>
            <w:pPr>
              <w:spacing w:after="0"/>
              <w:rPr>
                <w:sz w:val="20"/>
                <w:szCs w:val="20"/>
                <w:color w:val="auto"/>
              </w:rPr>
            </w:pPr>
          </w:p>
        </w:tc>
        <w:tc>
          <w:tcPr>
            <w:tcW w:w="420" w:type="dxa"/>
            <w:vAlign w:val="bottom"/>
            <w:gridSpan w:val="2"/>
            <w:shd w:val="clear" w:color="auto" w:fill="FDFDFD"/>
          </w:tcPr>
          <w:p>
            <w:pPr>
              <w:spacing w:after="0"/>
              <w:rPr>
                <w:sz w:val="20"/>
                <w:szCs w:val="20"/>
                <w:color w:val="auto"/>
              </w:rPr>
            </w:pPr>
          </w:p>
        </w:tc>
      </w:tr>
      <w:tr>
        <w:trPr>
          <w:trHeight w:val="222"/>
        </w:trPr>
        <w:tc>
          <w:tcPr>
            <w:tcW w:w="6060" w:type="dxa"/>
            <w:vAlign w:val="bottom"/>
            <w:tcBorders>
              <w:top w:val="single" w:sz="8" w:color="D3ECED"/>
            </w:tcBorders>
            <w:shd w:val="clear" w:color="auto" w:fill="D3ECED"/>
          </w:tcPr>
          <w:p>
            <w:pPr>
              <w:spacing w:after="0"/>
              <w:rPr>
                <w:sz w:val="20"/>
                <w:szCs w:val="20"/>
                <w:color w:val="auto"/>
              </w:rPr>
            </w:pPr>
            <w:r>
              <w:rPr>
                <w:rFonts w:ascii="Arial" w:cs="Arial" w:eastAsia="Arial" w:hAnsi="Arial"/>
                <w:sz w:val="19"/>
                <w:szCs w:val="19"/>
                <w:color w:val="auto"/>
              </w:rPr>
              <w:t>Provision for income taxes</w:t>
            </w:r>
          </w:p>
        </w:tc>
        <w:tc>
          <w:tcPr>
            <w:tcW w:w="10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720" w:type="dxa"/>
            <w:vAlign w:val="bottom"/>
            <w:tcBorders>
              <w:top w:val="single" w:sz="8" w:color="auto"/>
            </w:tcBorders>
            <w:shd w:val="clear" w:color="auto" w:fill="D3ECED"/>
          </w:tcPr>
          <w:p>
            <w:pPr>
              <w:spacing w:after="0"/>
              <w:rPr>
                <w:sz w:val="19"/>
                <w:szCs w:val="19"/>
                <w:color w:val="auto"/>
              </w:rPr>
            </w:pPr>
          </w:p>
        </w:tc>
        <w:tc>
          <w:tcPr>
            <w:tcW w:w="420" w:type="dxa"/>
            <w:vAlign w:val="bottom"/>
            <w:tcBorders>
              <w:top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98</w:t>
            </w:r>
          </w:p>
        </w:tc>
        <w:tc>
          <w:tcPr>
            <w:tcW w:w="80" w:type="dxa"/>
            <w:vAlign w:val="bottom"/>
            <w:tcBorders>
              <w:top w:val="single" w:sz="8" w:color="D3ECED"/>
            </w:tcBorders>
            <w:shd w:val="clear" w:color="auto" w:fill="D3ECED"/>
          </w:tcPr>
          <w:p>
            <w:pPr>
              <w:spacing w:after="0"/>
              <w:rPr>
                <w:sz w:val="19"/>
                <w:szCs w:val="19"/>
                <w:color w:val="auto"/>
              </w:rPr>
            </w:pPr>
          </w:p>
        </w:tc>
        <w:tc>
          <w:tcPr>
            <w:tcW w:w="140" w:type="dxa"/>
            <w:vAlign w:val="bottom"/>
            <w:tcBorders>
              <w:top w:val="single" w:sz="8" w:color="D3ECED"/>
            </w:tcBorders>
            <w:shd w:val="clear" w:color="auto" w:fill="D3ECED"/>
          </w:tcPr>
          <w:p>
            <w:pPr>
              <w:spacing w:after="0"/>
              <w:rPr>
                <w:sz w:val="19"/>
                <w:szCs w:val="19"/>
                <w:color w:val="auto"/>
              </w:rPr>
            </w:pPr>
          </w:p>
        </w:tc>
        <w:tc>
          <w:tcPr>
            <w:tcW w:w="900" w:type="dxa"/>
            <w:vAlign w:val="bottom"/>
            <w:tcBorders>
              <w:top w:val="single" w:sz="8" w:color="auto"/>
            </w:tcBorders>
            <w:shd w:val="clear" w:color="auto" w:fill="D3ECED"/>
          </w:tcPr>
          <w:p>
            <w:pPr>
              <w:jc w:val="right"/>
              <w:ind w:right="705"/>
              <w:spacing w:after="0"/>
              <w:rPr>
                <w:sz w:val="20"/>
                <w:szCs w:val="20"/>
                <w:color w:val="auto"/>
              </w:rPr>
            </w:pPr>
            <w:r>
              <w:rPr>
                <w:rFonts w:ascii="Arial" w:cs="Arial" w:eastAsia="Arial" w:hAnsi="Arial"/>
                <w:sz w:val="19"/>
                <w:szCs w:val="19"/>
                <w:color w:val="auto"/>
                <w:w w:val="75"/>
                <w:shd w:val="clear" w:color="auto" w:fill="D3ECED"/>
              </w:rPr>
              <w:t>$</w:t>
            </w:r>
          </w:p>
        </w:tc>
        <w:tc>
          <w:tcPr>
            <w:tcW w:w="340" w:type="dxa"/>
            <w:vAlign w:val="bottom"/>
            <w:tcBorders>
              <w:top w:val="single" w:sz="8" w:color="auto"/>
            </w:tcBorders>
            <w:shd w:val="clear" w:color="auto" w:fill="D3ECED"/>
          </w:tcPr>
          <w:p>
            <w:pPr>
              <w:ind w:left="140"/>
              <w:spacing w:after="0"/>
              <w:rPr>
                <w:sz w:val="20"/>
                <w:szCs w:val="20"/>
                <w:color w:val="auto"/>
              </w:rPr>
            </w:pPr>
            <w:r>
              <w:rPr>
                <w:rFonts w:ascii="Arial" w:cs="Arial" w:eastAsia="Arial" w:hAnsi="Arial"/>
                <w:sz w:val="19"/>
                <w:szCs w:val="19"/>
                <w:color w:val="auto"/>
                <w:w w:val="94"/>
              </w:rPr>
              <w:t>—</w:t>
            </w:r>
          </w:p>
        </w:tc>
        <w:tc>
          <w:tcPr>
            <w:tcW w:w="80" w:type="dxa"/>
            <w:vAlign w:val="bottom"/>
            <w:tcBorders>
              <w:top w:val="single" w:sz="8" w:color="D3ECED"/>
            </w:tcBorders>
            <w:shd w:val="clear" w:color="auto" w:fill="D3ECE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-13335</wp:posOffset>
            </wp:positionV>
            <wp:extent cx="1740535" cy="520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90">
                      <a:extLst>
                        <a:ext uri="{28A0092B-C50C-407E-A947-70E740481C1C}"/>
                      </a:extLst>
                    </a:blip>
                    <a:srcRect/>
                    <a:stretch>
                      <a:fillRect/>
                    </a:stretch>
                  </pic:blipFill>
                  <pic:spPr bwMode="auto">
                    <a:xfrm>
                      <a:off x="0" y="0"/>
                      <a:ext cx="1740535" cy="52070"/>
                    </a:xfrm>
                    <a:prstGeom prst="rect">
                      <a:avLst/>
                    </a:prstGeom>
                    <a:noFill/>
                  </pic:spPr>
                </pic:pic>
              </a:graphicData>
            </a:graphic>
          </wp:anchor>
        </w:drawing>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the provision for income taxes to the actual income tax expense is as follows (in thousands):</w:t>
      </w:r>
    </w:p>
    <w:p>
      <w:pPr>
        <w:spacing w:after="0" w:line="268" w:lineRule="exact"/>
        <w:rPr>
          <w:sz w:val="20"/>
          <w:szCs w:val="20"/>
          <w:color w:val="auto"/>
        </w:rPr>
      </w:pPr>
    </w:p>
    <w:tbl>
      <w:tblPr>
        <w:tblLayout w:type="fixed"/>
        <w:tblInd w:w="260" w:type="dxa"/>
        <w:tblCellMar>
          <w:top w:w="0" w:type="dxa"/>
          <w:left w:w="0" w:type="dxa"/>
          <w:bottom w:w="0" w:type="dxa"/>
          <w:right w:w="0" w:type="dxa"/>
        </w:tblCellMar>
      </w:tblPr>
      <w:tr>
        <w:trPr>
          <w:trHeight w:val="189"/>
        </w:trPr>
        <w:tc>
          <w:tcPr>
            <w:tcW w:w="60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680" w:type="dxa"/>
            <w:vAlign w:val="bottom"/>
            <w:gridSpan w:val="5"/>
            <w:shd w:val="clear" w:color="auto" w:fill="FDFDFD"/>
          </w:tcPr>
          <w:p>
            <w:pPr>
              <w:ind w:left="400"/>
              <w:spacing w:after="0"/>
              <w:rPr>
                <w:sz w:val="20"/>
                <w:szCs w:val="20"/>
                <w:color w:val="auto"/>
              </w:rPr>
            </w:pPr>
            <w:r>
              <w:rPr>
                <w:rFonts w:ascii="Arial" w:cs="Arial" w:eastAsia="Arial" w:hAnsi="Arial"/>
                <w:sz w:val="15"/>
                <w:szCs w:val="15"/>
                <w:b w:val="1"/>
                <w:bCs w:val="1"/>
                <w:color w:val="auto"/>
              </w:rPr>
              <w:t>Year Ended December 31,</w:t>
            </w:r>
          </w:p>
        </w:tc>
      </w:tr>
      <w:tr>
        <w:trPr>
          <w:trHeight w:val="175"/>
        </w:trPr>
        <w:tc>
          <w:tcPr>
            <w:tcW w:w="6060" w:type="dxa"/>
            <w:vAlign w:val="bottom"/>
            <w:tcBorders>
              <w:top w:val="single" w:sz="8" w:color="FDFDFD"/>
              <w:bottom w:val="single" w:sz="8" w:color="D3ECED"/>
            </w:tcBorders>
            <w:shd w:val="clear" w:color="auto" w:fill="FDFDFD"/>
          </w:tcPr>
          <w:p>
            <w:pPr>
              <w:spacing w:after="0"/>
              <w:rPr>
                <w:sz w:val="15"/>
                <w:szCs w:val="15"/>
                <w:color w:val="auto"/>
              </w:rPr>
            </w:pPr>
          </w:p>
        </w:tc>
        <w:tc>
          <w:tcPr>
            <w:tcW w:w="100" w:type="dxa"/>
            <w:vAlign w:val="bottom"/>
            <w:tcBorders>
              <w:top w:val="single" w:sz="8" w:color="auto"/>
              <w:bottom w:val="single" w:sz="8" w:color="auto"/>
            </w:tcBorders>
            <w:shd w:val="clear" w:color="auto" w:fill="FDFDFD"/>
          </w:tcPr>
          <w:p>
            <w:pPr>
              <w:spacing w:after="0"/>
              <w:rPr>
                <w:sz w:val="15"/>
                <w:szCs w:val="15"/>
                <w:color w:val="auto"/>
              </w:rPr>
            </w:pPr>
          </w:p>
        </w:tc>
        <w:tc>
          <w:tcPr>
            <w:tcW w:w="1140" w:type="dxa"/>
            <w:vAlign w:val="bottom"/>
            <w:tcBorders>
              <w:top w:val="single" w:sz="8" w:color="auto"/>
              <w:bottom w:val="single" w:sz="8" w:color="auto"/>
            </w:tcBorders>
            <w:shd w:val="clear" w:color="auto" w:fill="FDFDFD"/>
          </w:tcPr>
          <w:p>
            <w:pPr>
              <w:jc w:val="right"/>
              <w:ind w:right="389"/>
              <w:spacing w:after="0"/>
              <w:rPr>
                <w:sz w:val="20"/>
                <w:szCs w:val="20"/>
                <w:color w:val="auto"/>
              </w:rPr>
            </w:pPr>
            <w:r>
              <w:rPr>
                <w:rFonts w:ascii="Arial" w:cs="Arial" w:eastAsia="Arial" w:hAnsi="Arial"/>
                <w:sz w:val="15"/>
                <w:szCs w:val="15"/>
                <w:b w:val="1"/>
                <w:bCs w:val="1"/>
                <w:color w:val="auto"/>
              </w:rPr>
              <w:t>2024</w:t>
            </w:r>
          </w:p>
        </w:tc>
        <w:tc>
          <w:tcPr>
            <w:tcW w:w="220" w:type="dxa"/>
            <w:vAlign w:val="bottom"/>
            <w:tcBorders>
              <w:top w:val="single" w:sz="8" w:color="auto"/>
              <w:bottom w:val="single" w:sz="8" w:color="D3ECED"/>
            </w:tcBorders>
            <w:shd w:val="clear" w:color="auto" w:fill="FDFDFD"/>
          </w:tcPr>
          <w:p>
            <w:pPr>
              <w:spacing w:after="0"/>
              <w:rPr>
                <w:sz w:val="15"/>
                <w:szCs w:val="15"/>
                <w:color w:val="auto"/>
              </w:rPr>
            </w:pPr>
          </w:p>
        </w:tc>
        <w:tc>
          <w:tcPr>
            <w:tcW w:w="100" w:type="dxa"/>
            <w:vAlign w:val="bottom"/>
            <w:tcBorders>
              <w:top w:val="single" w:sz="8" w:color="auto"/>
              <w:bottom w:val="single" w:sz="8" w:color="auto"/>
            </w:tcBorders>
            <w:shd w:val="clear" w:color="auto" w:fill="FDFDFD"/>
          </w:tcPr>
          <w:p>
            <w:pPr>
              <w:spacing w:after="0"/>
              <w:rPr>
                <w:sz w:val="15"/>
                <w:szCs w:val="15"/>
                <w:color w:val="auto"/>
              </w:rPr>
            </w:pPr>
          </w:p>
        </w:tc>
        <w:tc>
          <w:tcPr>
            <w:tcW w:w="1140" w:type="dxa"/>
            <w:vAlign w:val="bottom"/>
            <w:tcBorders>
              <w:top w:val="single" w:sz="8" w:color="auto"/>
              <w:bottom w:val="single" w:sz="8" w:color="auto"/>
            </w:tcBorders>
            <w:shd w:val="clear" w:color="auto" w:fill="FDFDFD"/>
          </w:tcPr>
          <w:p>
            <w:pPr>
              <w:jc w:val="right"/>
              <w:ind w:right="387"/>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FDFDFD"/>
              <w:bottom w:val="single" w:sz="8" w:color="D3ECED"/>
            </w:tcBorders>
            <w:shd w:val="clear" w:color="auto" w:fill="FDFDFD"/>
          </w:tcPr>
          <w:p>
            <w:pPr>
              <w:spacing w:after="0"/>
              <w:rPr>
                <w:sz w:val="15"/>
                <w:szCs w:val="15"/>
                <w:color w:val="auto"/>
              </w:rPr>
            </w:pPr>
          </w:p>
        </w:tc>
      </w:tr>
      <w:tr>
        <w:trPr>
          <w:trHeight w:val="22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Federal tax benefit at statutory rate</w:t>
            </w: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(18,166)</w:t>
            </w:r>
          </w:p>
        </w:tc>
        <w:tc>
          <w:tcPr>
            <w:tcW w:w="22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(18,118)</w:t>
            </w:r>
          </w:p>
        </w:tc>
        <w:tc>
          <w:tcPr>
            <w:tcW w:w="80" w:type="dxa"/>
            <w:vAlign w:val="bottom"/>
            <w:shd w:val="clear" w:color="auto" w:fill="D3ECED"/>
          </w:tcPr>
          <w:p>
            <w:pPr>
              <w:spacing w:after="0"/>
              <w:rPr>
                <w:sz w:val="19"/>
                <w:szCs w:val="19"/>
                <w:color w:val="auto"/>
              </w:rPr>
            </w:pPr>
          </w:p>
        </w:tc>
      </w:tr>
      <w:tr>
        <w:trPr>
          <w:trHeight w:val="230"/>
        </w:trPr>
        <w:tc>
          <w:tcPr>
            <w:tcW w:w="6060" w:type="dxa"/>
            <w:vAlign w:val="bottom"/>
            <w:shd w:val="clear" w:color="auto" w:fill="FDFDFD"/>
          </w:tcPr>
          <w:p>
            <w:pPr>
              <w:spacing w:after="0"/>
              <w:rPr>
                <w:sz w:val="20"/>
                <w:szCs w:val="20"/>
                <w:color w:val="auto"/>
              </w:rPr>
            </w:pPr>
            <w:r>
              <w:rPr>
                <w:rFonts w:ascii="Arial" w:cs="Arial" w:eastAsia="Arial" w:hAnsi="Arial"/>
                <w:sz w:val="19"/>
                <w:szCs w:val="19"/>
                <w:color w:val="auto"/>
              </w:rPr>
              <w:t>State taxes, net of federal benefit</w:t>
            </w: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(2,492)</w:t>
            </w:r>
          </w:p>
        </w:tc>
        <w:tc>
          <w:tcPr>
            <w:tcW w:w="22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(2,491)</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Change in valuation allowance</w:t>
            </w: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17,136</w:t>
            </w:r>
          </w:p>
        </w:tc>
        <w:tc>
          <w:tcPr>
            <w:tcW w:w="22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19,112</w:t>
            </w:r>
          </w:p>
        </w:tc>
        <w:tc>
          <w:tcPr>
            <w:tcW w:w="80" w:type="dxa"/>
            <w:vAlign w:val="bottom"/>
            <w:shd w:val="clear" w:color="auto" w:fill="D3ECED"/>
          </w:tcPr>
          <w:p>
            <w:pPr>
              <w:spacing w:after="0"/>
              <w:rPr>
                <w:sz w:val="20"/>
                <w:szCs w:val="20"/>
                <w:color w:val="auto"/>
              </w:rPr>
            </w:pPr>
          </w:p>
        </w:tc>
      </w:tr>
      <w:tr>
        <w:trPr>
          <w:trHeight w:val="230"/>
        </w:trPr>
        <w:tc>
          <w:tcPr>
            <w:tcW w:w="6060" w:type="dxa"/>
            <w:vAlign w:val="bottom"/>
            <w:shd w:val="clear" w:color="auto" w:fill="FDFDFD"/>
          </w:tcPr>
          <w:p>
            <w:pPr>
              <w:spacing w:after="0"/>
              <w:rPr>
                <w:sz w:val="20"/>
                <w:szCs w:val="20"/>
                <w:color w:val="auto"/>
              </w:rPr>
            </w:pPr>
            <w:r>
              <w:rPr>
                <w:rFonts w:ascii="Arial" w:cs="Arial" w:eastAsia="Arial" w:hAnsi="Arial"/>
                <w:sz w:val="19"/>
                <w:szCs w:val="19"/>
                <w:color w:val="auto"/>
              </w:rPr>
              <w:t>Stock-based compensation tax deduction over book expense</w:t>
            </w: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4,730</w:t>
            </w:r>
          </w:p>
        </w:tc>
        <w:tc>
          <w:tcPr>
            <w:tcW w:w="22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4,012</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Permanent differences</w:t>
            </w: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33</w:t>
            </w:r>
          </w:p>
        </w:tc>
        <w:tc>
          <w:tcPr>
            <w:tcW w:w="22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79</w:t>
            </w:r>
          </w:p>
        </w:tc>
        <w:tc>
          <w:tcPr>
            <w:tcW w:w="80" w:type="dxa"/>
            <w:vAlign w:val="bottom"/>
            <w:shd w:val="clear" w:color="auto" w:fill="D3ECED"/>
          </w:tcPr>
          <w:p>
            <w:pPr>
              <w:spacing w:after="0"/>
              <w:rPr>
                <w:sz w:val="20"/>
                <w:szCs w:val="20"/>
                <w:color w:val="auto"/>
              </w:rPr>
            </w:pPr>
          </w:p>
        </w:tc>
      </w:tr>
      <w:tr>
        <w:trPr>
          <w:trHeight w:val="230"/>
        </w:trPr>
        <w:tc>
          <w:tcPr>
            <w:tcW w:w="6060" w:type="dxa"/>
            <w:vAlign w:val="bottom"/>
            <w:shd w:val="clear" w:color="auto" w:fill="FDFDFD"/>
          </w:tcPr>
          <w:p>
            <w:pPr>
              <w:spacing w:after="0"/>
              <w:rPr>
                <w:sz w:val="20"/>
                <w:szCs w:val="20"/>
                <w:color w:val="auto"/>
              </w:rPr>
            </w:pPr>
            <w:r>
              <w:rPr>
                <w:rFonts w:ascii="Arial" w:cs="Arial" w:eastAsia="Arial" w:hAnsi="Arial"/>
                <w:sz w:val="19"/>
                <w:szCs w:val="19"/>
                <w:color w:val="auto"/>
              </w:rPr>
              <w:t>Research and development credits</w:t>
            </w: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(2,123)</w:t>
            </w:r>
          </w:p>
        </w:tc>
        <w:tc>
          <w:tcPr>
            <w:tcW w:w="22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(2,323)</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Executive compensation limitation</w:t>
            </w: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1,926</w:t>
            </w:r>
          </w:p>
        </w:tc>
        <w:tc>
          <w:tcPr>
            <w:tcW w:w="220" w:type="dxa"/>
            <w:vAlign w:val="bottom"/>
            <w:shd w:val="clear" w:color="auto" w:fill="D3ECED"/>
          </w:tcPr>
          <w:p>
            <w:pPr>
              <w:spacing w:after="0"/>
              <w:rPr>
                <w:sz w:val="20"/>
                <w:szCs w:val="20"/>
                <w:color w:val="auto"/>
              </w:rPr>
            </w:pP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384</w:t>
            </w:r>
          </w:p>
        </w:tc>
        <w:tc>
          <w:tcPr>
            <w:tcW w:w="80" w:type="dxa"/>
            <w:vAlign w:val="bottom"/>
            <w:shd w:val="clear" w:color="auto" w:fill="D3ECED"/>
          </w:tcPr>
          <w:p>
            <w:pPr>
              <w:spacing w:after="0"/>
              <w:rPr>
                <w:sz w:val="20"/>
                <w:szCs w:val="20"/>
                <w:color w:val="auto"/>
              </w:rPr>
            </w:pPr>
          </w:p>
        </w:tc>
      </w:tr>
      <w:tr>
        <w:trPr>
          <w:trHeight w:val="230"/>
        </w:trPr>
        <w:tc>
          <w:tcPr>
            <w:tcW w:w="6060" w:type="dxa"/>
            <w:vAlign w:val="bottom"/>
            <w:tcBorders>
              <w:bottom w:val="single" w:sz="8" w:color="D3ECED"/>
            </w:tcBorders>
            <w:shd w:val="clear" w:color="auto" w:fill="FDFDFD"/>
          </w:tcPr>
          <w:p>
            <w:pPr>
              <w:spacing w:after="0"/>
              <w:rPr>
                <w:sz w:val="20"/>
                <w:szCs w:val="20"/>
                <w:color w:val="auto"/>
              </w:rPr>
            </w:pPr>
            <w:r>
              <w:rPr>
                <w:rFonts w:ascii="Arial" w:cs="Arial" w:eastAsia="Arial" w:hAnsi="Arial"/>
                <w:sz w:val="19"/>
                <w:szCs w:val="19"/>
                <w:color w:val="auto"/>
              </w:rPr>
              <w:t>Other</w:t>
            </w:r>
          </w:p>
        </w:tc>
        <w:tc>
          <w:tcPr>
            <w:tcW w:w="100" w:type="dxa"/>
            <w:vAlign w:val="bottom"/>
            <w:tcBorders>
              <w:bottom w:val="single" w:sz="8" w:color="auto"/>
            </w:tcBorders>
            <w:shd w:val="clear" w:color="auto" w:fill="FDFDFD"/>
          </w:tcPr>
          <w:p>
            <w:pPr>
              <w:spacing w:after="0"/>
              <w:rPr>
                <w:sz w:val="20"/>
                <w:szCs w:val="20"/>
                <w:color w:val="auto"/>
              </w:rPr>
            </w:pPr>
          </w:p>
        </w:tc>
        <w:tc>
          <w:tcPr>
            <w:tcW w:w="11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(946)</w:t>
            </w:r>
          </w:p>
        </w:tc>
        <w:tc>
          <w:tcPr>
            <w:tcW w:w="220" w:type="dxa"/>
            <w:vAlign w:val="bottom"/>
            <w:tcBorders>
              <w:bottom w:val="single" w:sz="8" w:color="D3ECED"/>
            </w:tcBorders>
            <w:shd w:val="clear" w:color="auto" w:fill="FDFDFD"/>
          </w:tcPr>
          <w:p>
            <w:pPr>
              <w:spacing w:after="0"/>
              <w:rPr>
                <w:sz w:val="20"/>
                <w:szCs w:val="20"/>
                <w:color w:val="auto"/>
              </w:rPr>
            </w:pPr>
          </w:p>
        </w:tc>
        <w:tc>
          <w:tcPr>
            <w:tcW w:w="100" w:type="dxa"/>
            <w:vAlign w:val="bottom"/>
            <w:tcBorders>
              <w:bottom w:val="single" w:sz="8" w:color="auto"/>
            </w:tcBorders>
            <w:shd w:val="clear" w:color="auto" w:fill="FDFDFD"/>
          </w:tcPr>
          <w:p>
            <w:pPr>
              <w:spacing w:after="0"/>
              <w:rPr>
                <w:sz w:val="20"/>
                <w:szCs w:val="20"/>
                <w:color w:val="auto"/>
              </w:rPr>
            </w:pPr>
          </w:p>
        </w:tc>
        <w:tc>
          <w:tcPr>
            <w:tcW w:w="11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(655)</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22"/>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Provision for income taxes</w:t>
            </w: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98</w:t>
            </w:r>
          </w:p>
        </w:tc>
        <w:tc>
          <w:tcPr>
            <w:tcW w:w="220" w:type="dxa"/>
            <w:vAlign w:val="bottom"/>
            <w:shd w:val="clear" w:color="auto" w:fill="D3ECED"/>
          </w:tcPr>
          <w:p>
            <w:pPr>
              <w:spacing w:after="0"/>
              <w:rPr>
                <w:sz w:val="19"/>
                <w:szCs w:val="19"/>
                <w:color w:val="auto"/>
              </w:rPr>
            </w:pPr>
          </w:p>
        </w:tc>
        <w:tc>
          <w:tcPr>
            <w:tcW w:w="10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D3ECED"/>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-13335</wp:posOffset>
            </wp:positionV>
            <wp:extent cx="1740535" cy="533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91">
                      <a:extLst>
                        <a:ext uri="{28A0092B-C50C-407E-A947-70E740481C1C}"/>
                      </a:extLst>
                    </a:blip>
                    <a:srcRect/>
                    <a:stretch>
                      <a:fillRect/>
                    </a:stretch>
                  </pic:blipFill>
                  <pic:spPr bwMode="auto">
                    <a:xfrm>
                      <a:off x="0" y="0"/>
                      <a:ext cx="1740535" cy="53340"/>
                    </a:xfrm>
                    <a:prstGeom prst="rect">
                      <a:avLst/>
                    </a:prstGeom>
                    <a:noFill/>
                  </pic:spPr>
                </pic:pic>
              </a:graphicData>
            </a:graphic>
          </wp:anchor>
        </w:drawing>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ectPr>
          <w:pgSz w:w="12240" w:h="15840" w:orient="portrait"/>
          <w:cols w:equalWidth="0" w:num="1">
            <w:col w:w="9360"/>
          </w:cols>
          <w:pgMar w:left="1440" w:top="1358" w:right="1440" w:bottom="624"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520"/>
        <w:spacing w:after="0" w:line="299" w:lineRule="auto"/>
        <w:rPr>
          <w:sz w:val="20"/>
          <w:szCs w:val="20"/>
          <w:color w:val="auto"/>
        </w:rPr>
      </w:pPr>
      <w:r>
        <w:rPr>
          <w:rFonts w:ascii="Arial" w:cs="Arial" w:eastAsia="Arial" w:hAnsi="Arial"/>
          <w:sz w:val="19"/>
          <w:szCs w:val="19"/>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as of December 31, 2024 and 2023, are as follows (in thousands):</w:t>
      </w:r>
    </w:p>
    <w:p>
      <w:pPr>
        <w:spacing w:after="0" w:line="143"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606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auto"/>
            </w:tcBorders>
            <w:shd w:val="clear" w:color="auto" w:fill="FDFDFD"/>
          </w:tcPr>
          <w:p>
            <w:pPr>
              <w:spacing w:after="0"/>
              <w:rPr>
                <w:sz w:val="16"/>
                <w:szCs w:val="16"/>
                <w:color w:val="auto"/>
              </w:rPr>
            </w:pPr>
          </w:p>
        </w:tc>
        <w:tc>
          <w:tcPr>
            <w:tcW w:w="1760" w:type="dxa"/>
            <w:vAlign w:val="bottom"/>
            <w:tcBorders>
              <w:bottom w:val="single" w:sz="8" w:color="auto"/>
            </w:tcBorders>
            <w:gridSpan w:val="4"/>
            <w:shd w:val="clear" w:color="auto" w:fill="FDFDFD"/>
          </w:tcPr>
          <w:p>
            <w:pPr>
              <w:jc w:val="right"/>
              <w:spacing w:after="0"/>
              <w:rPr>
                <w:sz w:val="20"/>
                <w:szCs w:val="20"/>
                <w:color w:val="auto"/>
              </w:rPr>
            </w:pPr>
            <w:r>
              <w:rPr>
                <w:rFonts w:ascii="Arial" w:cs="Arial" w:eastAsia="Arial" w:hAnsi="Arial"/>
                <w:sz w:val="15"/>
                <w:szCs w:val="15"/>
                <w:b w:val="1"/>
                <w:bCs w:val="1"/>
                <w:color w:val="auto"/>
              </w:rPr>
              <w:t>December 31,</w:t>
            </w:r>
          </w:p>
        </w:tc>
        <w:tc>
          <w:tcPr>
            <w:tcW w:w="84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r>
      <w:tr>
        <w:trPr>
          <w:trHeight w:val="177"/>
        </w:trPr>
        <w:tc>
          <w:tcPr>
            <w:tcW w:w="6060" w:type="dxa"/>
            <w:vAlign w:val="bottom"/>
            <w:tcBorders>
              <w:bottom w:val="single" w:sz="8" w:color="D3ECED"/>
            </w:tcBorders>
            <w:shd w:val="clear" w:color="auto" w:fill="FDFDFD"/>
          </w:tcPr>
          <w:p>
            <w:pPr>
              <w:spacing w:after="0"/>
              <w:rPr>
                <w:sz w:val="15"/>
                <w:szCs w:val="15"/>
                <w:color w:val="auto"/>
              </w:rPr>
            </w:pPr>
          </w:p>
        </w:tc>
        <w:tc>
          <w:tcPr>
            <w:tcW w:w="100" w:type="dxa"/>
            <w:vAlign w:val="bottom"/>
            <w:tcBorders>
              <w:bottom w:val="single" w:sz="8" w:color="auto"/>
            </w:tcBorders>
            <w:shd w:val="clear" w:color="auto" w:fill="FDFDFD"/>
          </w:tcPr>
          <w:p>
            <w:pPr>
              <w:spacing w:after="0"/>
              <w:rPr>
                <w:sz w:val="15"/>
                <w:szCs w:val="15"/>
                <w:color w:val="auto"/>
              </w:rPr>
            </w:pPr>
          </w:p>
        </w:tc>
        <w:tc>
          <w:tcPr>
            <w:tcW w:w="1140" w:type="dxa"/>
            <w:vAlign w:val="bottom"/>
            <w:tcBorders>
              <w:bottom w:val="single" w:sz="8" w:color="auto"/>
            </w:tcBorders>
            <w:shd w:val="clear" w:color="auto" w:fill="FDFDFD"/>
          </w:tcPr>
          <w:p>
            <w:pPr>
              <w:jc w:val="right"/>
              <w:ind w:right="388"/>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D3ECED"/>
            </w:tcBorders>
            <w:shd w:val="clear" w:color="auto" w:fill="FDFDFD"/>
          </w:tcPr>
          <w:p>
            <w:pPr>
              <w:spacing w:after="0"/>
              <w:rPr>
                <w:sz w:val="15"/>
                <w:szCs w:val="15"/>
                <w:color w:val="auto"/>
              </w:rPr>
            </w:pPr>
          </w:p>
        </w:tc>
        <w:tc>
          <w:tcPr>
            <w:tcW w:w="140" w:type="dxa"/>
            <w:vAlign w:val="bottom"/>
            <w:tcBorders>
              <w:bottom w:val="single" w:sz="8" w:color="D3ECED"/>
            </w:tcBorders>
            <w:shd w:val="clear" w:color="auto" w:fill="FDFDFD"/>
          </w:tcPr>
          <w:p>
            <w:pPr>
              <w:spacing w:after="0"/>
              <w:rPr>
                <w:sz w:val="15"/>
                <w:szCs w:val="15"/>
                <w:color w:val="auto"/>
              </w:rPr>
            </w:pPr>
          </w:p>
        </w:tc>
        <w:tc>
          <w:tcPr>
            <w:tcW w:w="400" w:type="dxa"/>
            <w:vAlign w:val="bottom"/>
            <w:tcBorders>
              <w:bottom w:val="single" w:sz="8" w:color="auto"/>
            </w:tcBorders>
            <w:shd w:val="clear" w:color="auto" w:fill="FDFDFD"/>
          </w:tcPr>
          <w:p>
            <w:pPr>
              <w:spacing w:after="0"/>
              <w:rPr>
                <w:sz w:val="15"/>
                <w:szCs w:val="15"/>
                <w:color w:val="auto"/>
              </w:rPr>
            </w:pPr>
          </w:p>
        </w:tc>
        <w:tc>
          <w:tcPr>
            <w:tcW w:w="840" w:type="dxa"/>
            <w:vAlign w:val="bottom"/>
            <w:tcBorders>
              <w:bottom w:val="single" w:sz="8" w:color="auto"/>
            </w:tcBorders>
            <w:shd w:val="clear" w:color="auto" w:fill="FDFDFD"/>
          </w:tcPr>
          <w:p>
            <w:pPr>
              <w:jc w:val="right"/>
              <w:ind w:right="386"/>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D3ECED"/>
            </w:tcBorders>
            <w:shd w:val="clear" w:color="auto" w:fill="FDFDFD"/>
          </w:tcPr>
          <w:p>
            <w:pPr>
              <w:spacing w:after="0"/>
              <w:rPr>
                <w:sz w:val="15"/>
                <w:szCs w:val="15"/>
                <w:color w:val="auto"/>
              </w:rPr>
            </w:pPr>
          </w:p>
        </w:tc>
      </w:tr>
      <w:tr>
        <w:trPr>
          <w:trHeight w:val="22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Deferred tax assets:</w:t>
            </w:r>
          </w:p>
        </w:tc>
        <w:tc>
          <w:tcPr>
            <w:tcW w:w="100" w:type="dxa"/>
            <w:vAlign w:val="bottom"/>
            <w:shd w:val="clear" w:color="auto" w:fill="D3ECED"/>
          </w:tcPr>
          <w:p>
            <w:pPr>
              <w:spacing w:after="0"/>
              <w:rPr>
                <w:sz w:val="19"/>
                <w:szCs w:val="19"/>
                <w:color w:val="auto"/>
              </w:rPr>
            </w:pPr>
          </w:p>
        </w:tc>
        <w:tc>
          <w:tcPr>
            <w:tcW w:w="114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c>
          <w:tcPr>
            <w:tcW w:w="140" w:type="dxa"/>
            <w:vAlign w:val="bottom"/>
            <w:shd w:val="clear" w:color="auto" w:fill="D3ECED"/>
          </w:tcPr>
          <w:p>
            <w:pPr>
              <w:spacing w:after="0"/>
              <w:rPr>
                <w:sz w:val="19"/>
                <w:szCs w:val="19"/>
                <w:color w:val="auto"/>
              </w:rPr>
            </w:pPr>
          </w:p>
        </w:tc>
        <w:tc>
          <w:tcPr>
            <w:tcW w:w="400" w:type="dxa"/>
            <w:vAlign w:val="bottom"/>
            <w:shd w:val="clear" w:color="auto" w:fill="D3ECED"/>
          </w:tcPr>
          <w:p>
            <w:pPr>
              <w:spacing w:after="0"/>
              <w:rPr>
                <w:sz w:val="19"/>
                <w:szCs w:val="19"/>
                <w:color w:val="auto"/>
              </w:rPr>
            </w:pPr>
          </w:p>
        </w:tc>
        <w:tc>
          <w:tcPr>
            <w:tcW w:w="840" w:type="dxa"/>
            <w:vAlign w:val="bottom"/>
            <w:shd w:val="clear" w:color="auto" w:fill="D3ECED"/>
          </w:tcPr>
          <w:p>
            <w:pPr>
              <w:spacing w:after="0"/>
              <w:rPr>
                <w:sz w:val="19"/>
                <w:szCs w:val="19"/>
                <w:color w:val="auto"/>
              </w:rPr>
            </w:pPr>
          </w:p>
        </w:tc>
        <w:tc>
          <w:tcPr>
            <w:tcW w:w="80" w:type="dxa"/>
            <w:vAlign w:val="bottom"/>
            <w:shd w:val="clear" w:color="auto" w:fill="D3ECED"/>
          </w:tcPr>
          <w:p>
            <w:pPr>
              <w:spacing w:after="0"/>
              <w:rPr>
                <w:sz w:val="19"/>
                <w:szCs w:val="19"/>
                <w:color w:val="auto"/>
              </w:rPr>
            </w:pPr>
          </w:p>
        </w:tc>
      </w:tr>
      <w:tr>
        <w:trPr>
          <w:trHeight w:val="230"/>
        </w:trPr>
        <w:tc>
          <w:tcPr>
            <w:tcW w:w="6060" w:type="dxa"/>
            <w:vAlign w:val="bottom"/>
            <w:shd w:val="clear" w:color="auto" w:fill="FDFDFD"/>
          </w:tcPr>
          <w:p>
            <w:pPr>
              <w:ind w:left="180"/>
              <w:spacing w:after="0"/>
              <w:rPr>
                <w:sz w:val="20"/>
                <w:szCs w:val="20"/>
                <w:color w:val="auto"/>
              </w:rPr>
            </w:pPr>
            <w:r>
              <w:rPr>
                <w:rFonts w:ascii="Arial" w:cs="Arial" w:eastAsia="Arial" w:hAnsi="Arial"/>
                <w:sz w:val="19"/>
                <w:szCs w:val="19"/>
                <w:color w:val="auto"/>
              </w:rPr>
              <w:t>Net operating loss carryforwards</w:t>
            </w:r>
          </w:p>
        </w:tc>
        <w:tc>
          <w:tcPr>
            <w:tcW w:w="100" w:type="dxa"/>
            <w:vAlign w:val="bottom"/>
            <w:shd w:val="clear" w:color="auto" w:fill="FDFDFD"/>
          </w:tcPr>
          <w:p>
            <w:pPr>
              <w:jc w:val="right"/>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50,602</w:t>
            </w: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400" w:type="dxa"/>
            <w:vAlign w:val="bottom"/>
            <w:shd w:val="clear" w:color="auto" w:fill="FDFDFD"/>
          </w:tcPr>
          <w:p>
            <w:pPr>
              <w:jc w:val="right"/>
              <w:ind w:right="205"/>
              <w:spacing w:after="0"/>
              <w:rPr>
                <w:sz w:val="20"/>
                <w:szCs w:val="20"/>
                <w:color w:val="auto"/>
              </w:rPr>
            </w:pPr>
            <w:r>
              <w:rPr>
                <w:rFonts w:ascii="Arial" w:cs="Arial" w:eastAsia="Arial" w:hAnsi="Arial"/>
                <w:sz w:val="19"/>
                <w:szCs w:val="19"/>
                <w:color w:val="auto"/>
                <w:w w:val="75"/>
              </w:rPr>
              <w:t>$</w:t>
            </w: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41,212</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shd w:val="clear" w:color="auto" w:fill="D3ECED"/>
          </w:tcPr>
          <w:p>
            <w:pPr>
              <w:ind w:left="180"/>
              <w:spacing w:after="0"/>
              <w:rPr>
                <w:sz w:val="20"/>
                <w:szCs w:val="20"/>
                <w:color w:val="auto"/>
              </w:rPr>
            </w:pPr>
            <w:r>
              <w:rPr>
                <w:rFonts w:ascii="Arial" w:cs="Arial" w:eastAsia="Arial" w:hAnsi="Arial"/>
                <w:sz w:val="19"/>
                <w:szCs w:val="19"/>
                <w:color w:val="auto"/>
              </w:rPr>
              <w:t>Accruals and reserves</w:t>
            </w: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1,259</w:t>
            </w: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400" w:type="dxa"/>
            <w:vAlign w:val="bottom"/>
            <w:shd w:val="clear" w:color="auto" w:fill="D3ECED"/>
          </w:tcPr>
          <w:p>
            <w:pPr>
              <w:spacing w:after="0"/>
              <w:rPr>
                <w:sz w:val="20"/>
                <w:szCs w:val="20"/>
                <w:color w:val="auto"/>
              </w:rPr>
            </w:pP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1,296</w:t>
            </w:r>
          </w:p>
        </w:tc>
        <w:tc>
          <w:tcPr>
            <w:tcW w:w="80" w:type="dxa"/>
            <w:vAlign w:val="bottom"/>
            <w:shd w:val="clear" w:color="auto" w:fill="D3ECED"/>
          </w:tcPr>
          <w:p>
            <w:pPr>
              <w:spacing w:after="0"/>
              <w:rPr>
                <w:sz w:val="20"/>
                <w:szCs w:val="20"/>
                <w:color w:val="auto"/>
              </w:rPr>
            </w:pPr>
          </w:p>
        </w:tc>
      </w:tr>
      <w:tr>
        <w:trPr>
          <w:trHeight w:val="230"/>
        </w:trPr>
        <w:tc>
          <w:tcPr>
            <w:tcW w:w="6060" w:type="dxa"/>
            <w:vAlign w:val="bottom"/>
            <w:shd w:val="clear" w:color="auto" w:fill="FDFDFD"/>
          </w:tcPr>
          <w:p>
            <w:pPr>
              <w:ind w:left="180"/>
              <w:spacing w:after="0"/>
              <w:rPr>
                <w:sz w:val="20"/>
                <w:szCs w:val="20"/>
                <w:color w:val="auto"/>
              </w:rPr>
            </w:pPr>
            <w:r>
              <w:rPr>
                <w:rFonts w:ascii="Arial" w:cs="Arial" w:eastAsia="Arial" w:hAnsi="Arial"/>
                <w:sz w:val="19"/>
                <w:szCs w:val="19"/>
                <w:color w:val="auto"/>
              </w:rPr>
              <w:t>Research and development credits</w:t>
            </w: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8,538</w:t>
            </w: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400" w:type="dxa"/>
            <w:vAlign w:val="bottom"/>
            <w:shd w:val="clear" w:color="auto" w:fill="FDFDFD"/>
          </w:tcPr>
          <w:p>
            <w:pPr>
              <w:spacing w:after="0"/>
              <w:rPr>
                <w:sz w:val="20"/>
                <w:szCs w:val="20"/>
                <w:color w:val="auto"/>
              </w:rPr>
            </w:pP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6,415</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shd w:val="clear" w:color="auto" w:fill="D3ECED"/>
          </w:tcPr>
          <w:p>
            <w:pPr>
              <w:ind w:left="180"/>
              <w:spacing w:after="0"/>
              <w:rPr>
                <w:sz w:val="20"/>
                <w:szCs w:val="20"/>
                <w:color w:val="auto"/>
              </w:rPr>
            </w:pPr>
            <w:r>
              <w:rPr>
                <w:rFonts w:ascii="Arial" w:cs="Arial" w:eastAsia="Arial" w:hAnsi="Arial"/>
                <w:sz w:val="19"/>
                <w:szCs w:val="19"/>
                <w:color w:val="auto"/>
              </w:rPr>
              <w:t>Stock-based compensation</w:t>
            </w: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11,408</w:t>
            </w: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400" w:type="dxa"/>
            <w:vAlign w:val="bottom"/>
            <w:shd w:val="clear" w:color="auto" w:fill="D3ECED"/>
          </w:tcPr>
          <w:p>
            <w:pPr>
              <w:spacing w:after="0"/>
              <w:rPr>
                <w:sz w:val="20"/>
                <w:szCs w:val="20"/>
                <w:color w:val="auto"/>
              </w:rPr>
            </w:pP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11,348</w:t>
            </w:r>
          </w:p>
        </w:tc>
        <w:tc>
          <w:tcPr>
            <w:tcW w:w="80" w:type="dxa"/>
            <w:vAlign w:val="bottom"/>
            <w:shd w:val="clear" w:color="auto" w:fill="D3ECED"/>
          </w:tcPr>
          <w:p>
            <w:pPr>
              <w:spacing w:after="0"/>
              <w:rPr>
                <w:sz w:val="20"/>
                <w:szCs w:val="20"/>
                <w:color w:val="auto"/>
              </w:rPr>
            </w:pPr>
          </w:p>
        </w:tc>
      </w:tr>
      <w:tr>
        <w:trPr>
          <w:trHeight w:val="230"/>
        </w:trPr>
        <w:tc>
          <w:tcPr>
            <w:tcW w:w="6060" w:type="dxa"/>
            <w:vAlign w:val="bottom"/>
            <w:shd w:val="clear" w:color="auto" w:fill="FDFDFD"/>
          </w:tcPr>
          <w:p>
            <w:pPr>
              <w:ind w:left="180"/>
              <w:spacing w:after="0"/>
              <w:rPr>
                <w:sz w:val="20"/>
                <w:szCs w:val="20"/>
                <w:color w:val="auto"/>
              </w:rPr>
            </w:pPr>
            <w:r>
              <w:rPr>
                <w:rFonts w:ascii="Arial" w:cs="Arial" w:eastAsia="Arial" w:hAnsi="Arial"/>
                <w:sz w:val="19"/>
                <w:szCs w:val="19"/>
                <w:color w:val="auto"/>
              </w:rPr>
              <w:t>Lease liabilities</w:t>
            </w: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6,664</w:t>
            </w: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400" w:type="dxa"/>
            <w:vAlign w:val="bottom"/>
            <w:shd w:val="clear" w:color="auto" w:fill="FDFDFD"/>
          </w:tcPr>
          <w:p>
            <w:pPr>
              <w:spacing w:after="0"/>
              <w:rPr>
                <w:sz w:val="20"/>
                <w:szCs w:val="20"/>
                <w:color w:val="auto"/>
              </w:rPr>
            </w:pP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7,212</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shd w:val="clear" w:color="auto" w:fill="D3ECED"/>
          </w:tcPr>
          <w:p>
            <w:pPr>
              <w:ind w:left="180"/>
              <w:spacing w:after="0"/>
              <w:rPr>
                <w:sz w:val="20"/>
                <w:szCs w:val="20"/>
                <w:color w:val="auto"/>
              </w:rPr>
            </w:pPr>
            <w:r>
              <w:rPr>
                <w:rFonts w:ascii="Arial" w:cs="Arial" w:eastAsia="Arial" w:hAnsi="Arial"/>
                <w:sz w:val="19"/>
                <w:szCs w:val="19"/>
                <w:color w:val="auto"/>
              </w:rPr>
              <w:t>Capitalized research and experimentation</w:t>
            </w: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17,879</w:t>
            </w: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400" w:type="dxa"/>
            <w:vAlign w:val="bottom"/>
            <w:shd w:val="clear" w:color="auto" w:fill="D3ECED"/>
          </w:tcPr>
          <w:p>
            <w:pPr>
              <w:spacing w:after="0"/>
              <w:rPr>
                <w:sz w:val="20"/>
                <w:szCs w:val="20"/>
                <w:color w:val="auto"/>
              </w:rPr>
            </w:pP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13,502</w:t>
            </w:r>
          </w:p>
        </w:tc>
        <w:tc>
          <w:tcPr>
            <w:tcW w:w="80" w:type="dxa"/>
            <w:vAlign w:val="bottom"/>
            <w:shd w:val="clear" w:color="auto" w:fill="D3ECED"/>
          </w:tcPr>
          <w:p>
            <w:pPr>
              <w:spacing w:after="0"/>
              <w:rPr>
                <w:sz w:val="20"/>
                <w:szCs w:val="20"/>
                <w:color w:val="auto"/>
              </w:rPr>
            </w:pPr>
          </w:p>
        </w:tc>
      </w:tr>
      <w:tr>
        <w:trPr>
          <w:trHeight w:val="230"/>
        </w:trPr>
        <w:tc>
          <w:tcPr>
            <w:tcW w:w="6060" w:type="dxa"/>
            <w:vAlign w:val="bottom"/>
            <w:shd w:val="clear" w:color="auto" w:fill="FDFDFD"/>
          </w:tcPr>
          <w:p>
            <w:pPr>
              <w:ind w:left="180"/>
              <w:spacing w:after="0"/>
              <w:rPr>
                <w:sz w:val="20"/>
                <w:szCs w:val="20"/>
                <w:color w:val="auto"/>
              </w:rPr>
            </w:pPr>
            <w:r>
              <w:rPr>
                <w:rFonts w:ascii="Arial" w:cs="Arial" w:eastAsia="Arial" w:hAnsi="Arial"/>
                <w:sz w:val="19"/>
                <w:szCs w:val="19"/>
                <w:color w:val="auto"/>
              </w:rPr>
              <w:t>Fixed assets</w:t>
            </w: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269</w:t>
            </w: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400" w:type="dxa"/>
            <w:vAlign w:val="bottom"/>
            <w:shd w:val="clear" w:color="auto" w:fill="FDFDFD"/>
          </w:tcPr>
          <w:p>
            <w:pPr>
              <w:spacing w:after="0"/>
              <w:rPr>
                <w:sz w:val="20"/>
                <w:szCs w:val="20"/>
                <w:color w:val="auto"/>
              </w:rPr>
            </w:pP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FDFDFD"/>
          </w:tcPr>
          <w:p>
            <w:pPr>
              <w:spacing w:after="0"/>
              <w:rPr>
                <w:sz w:val="20"/>
                <w:szCs w:val="20"/>
                <w:color w:val="auto"/>
              </w:rPr>
            </w:pPr>
          </w:p>
        </w:tc>
      </w:tr>
      <w:tr>
        <w:trPr>
          <w:trHeight w:val="250"/>
        </w:trPr>
        <w:tc>
          <w:tcPr>
            <w:tcW w:w="6060" w:type="dxa"/>
            <w:vAlign w:val="bottom"/>
            <w:shd w:val="clear" w:color="auto" w:fill="D3ECED"/>
          </w:tcPr>
          <w:p>
            <w:pPr>
              <w:ind w:left="180"/>
              <w:spacing w:after="0"/>
              <w:rPr>
                <w:sz w:val="20"/>
                <w:szCs w:val="20"/>
                <w:color w:val="auto"/>
              </w:rPr>
            </w:pPr>
            <w:r>
              <w:rPr>
                <w:rFonts w:ascii="Arial" w:cs="Arial" w:eastAsia="Arial" w:hAnsi="Arial"/>
                <w:sz w:val="19"/>
                <w:szCs w:val="19"/>
                <w:color w:val="auto"/>
              </w:rPr>
              <w:t>Other</w:t>
            </w:r>
          </w:p>
        </w:tc>
        <w:tc>
          <w:tcPr>
            <w:tcW w:w="100" w:type="dxa"/>
            <w:vAlign w:val="bottom"/>
            <w:shd w:val="clear" w:color="auto" w:fill="D3ECED"/>
          </w:tcPr>
          <w:p>
            <w:pPr>
              <w:spacing w:after="0"/>
              <w:rPr>
                <w:sz w:val="21"/>
                <w:szCs w:val="21"/>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641</w:t>
            </w:r>
          </w:p>
        </w:tc>
        <w:tc>
          <w:tcPr>
            <w:tcW w:w="80" w:type="dxa"/>
            <w:vAlign w:val="bottom"/>
            <w:shd w:val="clear" w:color="auto" w:fill="D3ECED"/>
          </w:tcPr>
          <w:p>
            <w:pPr>
              <w:spacing w:after="0"/>
              <w:rPr>
                <w:sz w:val="21"/>
                <w:szCs w:val="21"/>
                <w:color w:val="auto"/>
              </w:rPr>
            </w:pPr>
          </w:p>
        </w:tc>
        <w:tc>
          <w:tcPr>
            <w:tcW w:w="140" w:type="dxa"/>
            <w:vAlign w:val="bottom"/>
            <w:shd w:val="clear" w:color="auto" w:fill="D3ECED"/>
          </w:tcPr>
          <w:p>
            <w:pPr>
              <w:spacing w:after="0"/>
              <w:rPr>
                <w:sz w:val="21"/>
                <w:szCs w:val="21"/>
                <w:color w:val="auto"/>
              </w:rPr>
            </w:pPr>
          </w:p>
        </w:tc>
        <w:tc>
          <w:tcPr>
            <w:tcW w:w="400" w:type="dxa"/>
            <w:vAlign w:val="bottom"/>
            <w:shd w:val="clear" w:color="auto" w:fill="D3ECED"/>
          </w:tcPr>
          <w:p>
            <w:pPr>
              <w:spacing w:after="0"/>
              <w:rPr>
                <w:sz w:val="21"/>
                <w:szCs w:val="21"/>
                <w:color w:val="auto"/>
              </w:rPr>
            </w:pPr>
          </w:p>
        </w:tc>
        <w:tc>
          <w:tcPr>
            <w:tcW w:w="920" w:type="dxa"/>
            <w:vAlign w:val="bottom"/>
            <w:gridSpan w:val="2"/>
            <w:shd w:val="clear" w:color="auto" w:fill="D3ECED"/>
          </w:tcPr>
          <w:p>
            <w:pPr>
              <w:jc w:val="right"/>
              <w:ind w:right="100"/>
              <w:spacing w:after="0"/>
              <w:rPr>
                <w:sz w:val="20"/>
                <w:szCs w:val="20"/>
                <w:color w:val="auto"/>
              </w:rPr>
            </w:pPr>
            <w:r>
              <w:rPr>
                <w:rFonts w:ascii="Arial" w:cs="Arial" w:eastAsia="Arial" w:hAnsi="Arial"/>
                <w:sz w:val="19"/>
                <w:szCs w:val="19"/>
                <w:color w:val="auto"/>
              </w:rPr>
              <w:t>—</w:t>
            </w:r>
          </w:p>
        </w:tc>
      </w:tr>
      <w:tr>
        <w:trPr>
          <w:trHeight w:val="200"/>
        </w:trPr>
        <w:tc>
          <w:tcPr>
            <w:tcW w:w="6060" w:type="dxa"/>
            <w:vAlign w:val="bottom"/>
            <w:tcBorders>
              <w:top w:val="single" w:sz="8" w:color="D3ECED"/>
            </w:tcBorders>
            <w:shd w:val="clear" w:color="auto" w:fill="FDFDFD"/>
          </w:tcPr>
          <w:p>
            <w:pPr>
              <w:ind w:left="280"/>
              <w:spacing w:after="0" w:line="200" w:lineRule="exact"/>
              <w:rPr>
                <w:sz w:val="20"/>
                <w:szCs w:val="20"/>
                <w:color w:val="auto"/>
              </w:rPr>
            </w:pPr>
            <w:r>
              <w:rPr>
                <w:rFonts w:ascii="Arial" w:cs="Arial" w:eastAsia="Arial" w:hAnsi="Arial"/>
                <w:sz w:val="19"/>
                <w:szCs w:val="19"/>
                <w:color w:val="auto"/>
              </w:rPr>
              <w:t>Gross deferred tax assets</w:t>
            </w:r>
          </w:p>
        </w:tc>
        <w:tc>
          <w:tcPr>
            <w:tcW w:w="100" w:type="dxa"/>
            <w:vAlign w:val="bottom"/>
            <w:tcBorders>
              <w:top w:val="single" w:sz="8" w:color="auto"/>
            </w:tcBorders>
            <w:shd w:val="clear" w:color="auto" w:fill="FDFDFD"/>
          </w:tcPr>
          <w:p>
            <w:pPr>
              <w:spacing w:after="0"/>
              <w:rPr>
                <w:sz w:val="17"/>
                <w:szCs w:val="17"/>
                <w:color w:val="auto"/>
              </w:rPr>
            </w:pPr>
          </w:p>
        </w:tc>
        <w:tc>
          <w:tcPr>
            <w:tcW w:w="1140" w:type="dxa"/>
            <w:vAlign w:val="bottom"/>
            <w:tcBorders>
              <w:top w:val="single" w:sz="8" w:color="auto"/>
            </w:tcBorders>
            <w:shd w:val="clear" w:color="auto" w:fill="FDFDFD"/>
          </w:tcPr>
          <w:p>
            <w:pPr>
              <w:jc w:val="right"/>
              <w:spacing w:after="0" w:line="200" w:lineRule="exact"/>
              <w:rPr>
                <w:sz w:val="20"/>
                <w:szCs w:val="20"/>
                <w:color w:val="auto"/>
              </w:rPr>
            </w:pPr>
            <w:r>
              <w:rPr>
                <w:rFonts w:ascii="Arial" w:cs="Arial" w:eastAsia="Arial" w:hAnsi="Arial"/>
                <w:sz w:val="19"/>
                <w:szCs w:val="19"/>
                <w:color w:val="auto"/>
              </w:rPr>
              <w:t>97,260</w:t>
            </w:r>
          </w:p>
        </w:tc>
        <w:tc>
          <w:tcPr>
            <w:tcW w:w="80" w:type="dxa"/>
            <w:vAlign w:val="bottom"/>
            <w:tcBorders>
              <w:top w:val="single" w:sz="8" w:color="D3ECED"/>
            </w:tcBorders>
            <w:shd w:val="clear" w:color="auto" w:fill="FDFDFD"/>
          </w:tcPr>
          <w:p>
            <w:pPr>
              <w:spacing w:after="0"/>
              <w:rPr>
                <w:sz w:val="17"/>
                <w:szCs w:val="17"/>
                <w:color w:val="auto"/>
              </w:rPr>
            </w:pPr>
          </w:p>
        </w:tc>
        <w:tc>
          <w:tcPr>
            <w:tcW w:w="140" w:type="dxa"/>
            <w:vAlign w:val="bottom"/>
            <w:tcBorders>
              <w:top w:val="single" w:sz="8" w:color="D3ECED"/>
            </w:tcBorders>
            <w:shd w:val="clear" w:color="auto" w:fill="FDFDFD"/>
          </w:tcPr>
          <w:p>
            <w:pPr>
              <w:spacing w:after="0"/>
              <w:rPr>
                <w:sz w:val="17"/>
                <w:szCs w:val="17"/>
                <w:color w:val="auto"/>
              </w:rPr>
            </w:pPr>
          </w:p>
        </w:tc>
        <w:tc>
          <w:tcPr>
            <w:tcW w:w="400" w:type="dxa"/>
            <w:vAlign w:val="bottom"/>
            <w:tcBorders>
              <w:top w:val="single" w:sz="8" w:color="auto"/>
            </w:tcBorders>
            <w:shd w:val="clear" w:color="auto" w:fill="FDFDFD"/>
          </w:tcPr>
          <w:p>
            <w:pPr>
              <w:spacing w:after="0"/>
              <w:rPr>
                <w:sz w:val="17"/>
                <w:szCs w:val="17"/>
                <w:color w:val="auto"/>
              </w:rPr>
            </w:pPr>
          </w:p>
        </w:tc>
        <w:tc>
          <w:tcPr>
            <w:tcW w:w="840" w:type="dxa"/>
            <w:vAlign w:val="bottom"/>
            <w:tcBorders>
              <w:top w:val="single" w:sz="8" w:color="auto"/>
            </w:tcBorders>
            <w:shd w:val="clear" w:color="auto" w:fill="FDFDFD"/>
          </w:tcPr>
          <w:p>
            <w:pPr>
              <w:jc w:val="right"/>
              <w:spacing w:after="0" w:line="200" w:lineRule="exact"/>
              <w:rPr>
                <w:sz w:val="20"/>
                <w:szCs w:val="20"/>
                <w:color w:val="auto"/>
              </w:rPr>
            </w:pPr>
            <w:r>
              <w:rPr>
                <w:rFonts w:ascii="Arial" w:cs="Arial" w:eastAsia="Arial" w:hAnsi="Arial"/>
                <w:sz w:val="19"/>
                <w:szCs w:val="19"/>
                <w:color w:val="auto"/>
              </w:rPr>
              <w:t>80,985</w:t>
            </w:r>
          </w:p>
        </w:tc>
        <w:tc>
          <w:tcPr>
            <w:tcW w:w="80" w:type="dxa"/>
            <w:vAlign w:val="bottom"/>
            <w:tcBorders>
              <w:top w:val="single" w:sz="8" w:color="D3ECED"/>
            </w:tcBorders>
            <w:shd w:val="clear" w:color="auto" w:fill="FDFDFD"/>
          </w:tcPr>
          <w:p>
            <w:pPr>
              <w:spacing w:after="0"/>
              <w:rPr>
                <w:sz w:val="17"/>
                <w:szCs w:val="17"/>
                <w:color w:val="auto"/>
              </w:rPr>
            </w:pPr>
          </w:p>
        </w:tc>
      </w:tr>
      <w:tr>
        <w:trPr>
          <w:trHeight w:val="230"/>
        </w:trPr>
        <w:tc>
          <w:tcPr>
            <w:tcW w:w="6060" w:type="dxa"/>
            <w:vAlign w:val="bottom"/>
            <w:shd w:val="clear" w:color="auto" w:fill="D3ECED"/>
          </w:tcPr>
          <w:p>
            <w:pPr>
              <w:ind w:left="280"/>
              <w:spacing w:after="0"/>
              <w:rPr>
                <w:sz w:val="20"/>
                <w:szCs w:val="20"/>
                <w:color w:val="auto"/>
              </w:rPr>
            </w:pPr>
            <w:r>
              <w:rPr>
                <w:rFonts w:ascii="Arial" w:cs="Arial" w:eastAsia="Arial" w:hAnsi="Arial"/>
                <w:sz w:val="19"/>
                <w:szCs w:val="19"/>
                <w:color w:val="auto"/>
              </w:rPr>
              <w:t>Valuation allowance</w:t>
            </w: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(91,163)</w:t>
            </w: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400" w:type="dxa"/>
            <w:vAlign w:val="bottom"/>
            <w:shd w:val="clear" w:color="auto" w:fill="D3ECED"/>
          </w:tcPr>
          <w:p>
            <w:pPr>
              <w:spacing w:after="0"/>
              <w:rPr>
                <w:sz w:val="20"/>
                <w:szCs w:val="20"/>
                <w:color w:val="auto"/>
              </w:rPr>
            </w:pP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(74,026)</w:t>
            </w:r>
          </w:p>
        </w:tc>
        <w:tc>
          <w:tcPr>
            <w:tcW w:w="80" w:type="dxa"/>
            <w:vAlign w:val="bottom"/>
            <w:shd w:val="clear" w:color="auto" w:fill="D3ECED"/>
          </w:tcPr>
          <w:p>
            <w:pPr>
              <w:spacing w:after="0"/>
              <w:rPr>
                <w:sz w:val="20"/>
                <w:szCs w:val="20"/>
                <w:color w:val="auto"/>
              </w:rPr>
            </w:pPr>
          </w:p>
        </w:tc>
      </w:tr>
      <w:tr>
        <w:trPr>
          <w:trHeight w:val="230"/>
        </w:trPr>
        <w:tc>
          <w:tcPr>
            <w:tcW w:w="6060" w:type="dxa"/>
            <w:vAlign w:val="bottom"/>
            <w:shd w:val="clear" w:color="auto" w:fill="FDFDFD"/>
          </w:tcPr>
          <w:p>
            <w:pPr>
              <w:spacing w:after="0"/>
              <w:rPr>
                <w:sz w:val="20"/>
                <w:szCs w:val="20"/>
                <w:color w:val="auto"/>
              </w:rPr>
            </w:pPr>
          </w:p>
        </w:tc>
        <w:tc>
          <w:tcPr>
            <w:tcW w:w="100" w:type="dxa"/>
            <w:vAlign w:val="bottom"/>
            <w:shd w:val="clear" w:color="auto" w:fill="FDFDFD"/>
          </w:tcPr>
          <w:p>
            <w:pPr>
              <w:spacing w:after="0"/>
              <w:rPr>
                <w:sz w:val="20"/>
                <w:szCs w:val="20"/>
                <w:color w:val="auto"/>
              </w:rPr>
            </w:pPr>
          </w:p>
        </w:tc>
        <w:tc>
          <w:tcPr>
            <w:tcW w:w="114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c>
          <w:tcPr>
            <w:tcW w:w="140" w:type="dxa"/>
            <w:vAlign w:val="bottom"/>
            <w:shd w:val="clear" w:color="auto" w:fill="FDFDFD"/>
          </w:tcPr>
          <w:p>
            <w:pPr>
              <w:spacing w:after="0"/>
              <w:rPr>
                <w:sz w:val="20"/>
                <w:szCs w:val="20"/>
                <w:color w:val="auto"/>
              </w:rPr>
            </w:pPr>
          </w:p>
        </w:tc>
        <w:tc>
          <w:tcPr>
            <w:tcW w:w="400" w:type="dxa"/>
            <w:vAlign w:val="bottom"/>
            <w:shd w:val="clear" w:color="auto" w:fill="FDFDFD"/>
          </w:tcPr>
          <w:p>
            <w:pPr>
              <w:spacing w:after="0"/>
              <w:rPr>
                <w:sz w:val="20"/>
                <w:szCs w:val="20"/>
                <w:color w:val="auto"/>
              </w:rPr>
            </w:pPr>
          </w:p>
        </w:tc>
        <w:tc>
          <w:tcPr>
            <w:tcW w:w="84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r>
      <w:tr>
        <w:trPr>
          <w:trHeight w:val="23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Deferred tax liabilities:</w:t>
            </w: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400" w:type="dxa"/>
            <w:vAlign w:val="bottom"/>
            <w:shd w:val="clear" w:color="auto" w:fill="D3ECED"/>
          </w:tcPr>
          <w:p>
            <w:pPr>
              <w:spacing w:after="0"/>
              <w:rPr>
                <w:sz w:val="20"/>
                <w:szCs w:val="20"/>
                <w:color w:val="auto"/>
              </w:rPr>
            </w:pPr>
          </w:p>
        </w:tc>
        <w:tc>
          <w:tcPr>
            <w:tcW w:w="84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r>
      <w:tr>
        <w:trPr>
          <w:trHeight w:val="230"/>
        </w:trPr>
        <w:tc>
          <w:tcPr>
            <w:tcW w:w="6060" w:type="dxa"/>
            <w:vAlign w:val="bottom"/>
            <w:shd w:val="clear" w:color="auto" w:fill="FDFDFD"/>
          </w:tcPr>
          <w:p>
            <w:pPr>
              <w:ind w:left="180"/>
              <w:spacing w:after="0"/>
              <w:rPr>
                <w:sz w:val="20"/>
                <w:szCs w:val="20"/>
                <w:color w:val="auto"/>
              </w:rPr>
            </w:pPr>
            <w:r>
              <w:rPr>
                <w:rFonts w:ascii="Arial" w:cs="Arial" w:eastAsia="Arial" w:hAnsi="Arial"/>
                <w:sz w:val="19"/>
                <w:szCs w:val="19"/>
                <w:color w:val="auto"/>
              </w:rPr>
              <w:t>Fixed assets</w:t>
            </w:r>
          </w:p>
        </w:tc>
        <w:tc>
          <w:tcPr>
            <w:tcW w:w="100" w:type="dxa"/>
            <w:vAlign w:val="bottom"/>
            <w:shd w:val="clear" w:color="auto" w:fill="FDFDFD"/>
          </w:tcPr>
          <w:p>
            <w:pPr>
              <w:spacing w:after="0"/>
              <w:rPr>
                <w:sz w:val="20"/>
                <w:szCs w:val="20"/>
                <w:color w:val="auto"/>
              </w:rPr>
            </w:pPr>
          </w:p>
        </w:tc>
        <w:tc>
          <w:tcPr>
            <w:tcW w:w="1220" w:type="dxa"/>
            <w:vAlign w:val="bottom"/>
            <w:gridSpan w:val="2"/>
            <w:shd w:val="clear" w:color="auto" w:fill="FDFDFD"/>
          </w:tcPr>
          <w:p>
            <w:pPr>
              <w:jc w:val="right"/>
              <w:ind w:right="100"/>
              <w:spacing w:after="0"/>
              <w:rPr>
                <w:sz w:val="20"/>
                <w:szCs w:val="20"/>
                <w:color w:val="auto"/>
              </w:rPr>
            </w:pPr>
            <w:r>
              <w:rPr>
                <w:rFonts w:ascii="Arial" w:cs="Arial" w:eastAsia="Arial" w:hAnsi="Arial"/>
                <w:sz w:val="19"/>
                <w:szCs w:val="19"/>
                <w:color w:val="auto"/>
              </w:rPr>
              <w:t>—</w:t>
            </w:r>
          </w:p>
        </w:tc>
        <w:tc>
          <w:tcPr>
            <w:tcW w:w="140" w:type="dxa"/>
            <w:vAlign w:val="bottom"/>
            <w:shd w:val="clear" w:color="auto" w:fill="FDFDFD"/>
          </w:tcPr>
          <w:p>
            <w:pPr>
              <w:spacing w:after="0"/>
              <w:rPr>
                <w:sz w:val="20"/>
                <w:szCs w:val="20"/>
                <w:color w:val="auto"/>
              </w:rPr>
            </w:pPr>
          </w:p>
        </w:tc>
        <w:tc>
          <w:tcPr>
            <w:tcW w:w="400" w:type="dxa"/>
            <w:vAlign w:val="bottom"/>
            <w:shd w:val="clear" w:color="auto" w:fill="FDFDFD"/>
          </w:tcPr>
          <w:p>
            <w:pPr>
              <w:spacing w:after="0"/>
              <w:rPr>
                <w:sz w:val="20"/>
                <w:szCs w:val="20"/>
                <w:color w:val="auto"/>
              </w:rPr>
            </w:pP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(411)</w:t>
            </w:r>
          </w:p>
        </w:tc>
        <w:tc>
          <w:tcPr>
            <w:tcW w:w="80" w:type="dxa"/>
            <w:vAlign w:val="bottom"/>
            <w:shd w:val="clear" w:color="auto" w:fill="FDFDFD"/>
          </w:tcPr>
          <w:p>
            <w:pPr>
              <w:spacing w:after="0"/>
              <w:rPr>
                <w:sz w:val="20"/>
                <w:szCs w:val="20"/>
                <w:color w:val="auto"/>
              </w:rPr>
            </w:pPr>
          </w:p>
        </w:tc>
      </w:tr>
      <w:tr>
        <w:trPr>
          <w:trHeight w:val="230"/>
        </w:trPr>
        <w:tc>
          <w:tcPr>
            <w:tcW w:w="6060" w:type="dxa"/>
            <w:vAlign w:val="bottom"/>
            <w:shd w:val="clear" w:color="auto" w:fill="D3ECED"/>
          </w:tcPr>
          <w:p>
            <w:pPr>
              <w:ind w:left="180"/>
              <w:spacing w:after="0"/>
              <w:rPr>
                <w:sz w:val="20"/>
                <w:szCs w:val="20"/>
                <w:color w:val="auto"/>
              </w:rPr>
            </w:pPr>
            <w:r>
              <w:rPr>
                <w:rFonts w:ascii="Arial" w:cs="Arial" w:eastAsia="Arial" w:hAnsi="Arial"/>
                <w:sz w:val="19"/>
                <w:szCs w:val="19"/>
                <w:color w:val="auto"/>
              </w:rPr>
              <w:t>Right-of-use assets</w:t>
            </w:r>
          </w:p>
        </w:tc>
        <w:tc>
          <w:tcPr>
            <w:tcW w:w="100" w:type="dxa"/>
            <w:vAlign w:val="bottom"/>
            <w:shd w:val="clear" w:color="auto" w:fill="D3ECED"/>
          </w:tcPr>
          <w:p>
            <w:pPr>
              <w:spacing w:after="0"/>
              <w:rPr>
                <w:sz w:val="20"/>
                <w:szCs w:val="20"/>
                <w:color w:val="auto"/>
              </w:rPr>
            </w:pPr>
          </w:p>
        </w:tc>
        <w:tc>
          <w:tcPr>
            <w:tcW w:w="11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(5,849)</w:t>
            </w:r>
          </w:p>
        </w:tc>
        <w:tc>
          <w:tcPr>
            <w:tcW w:w="80" w:type="dxa"/>
            <w:vAlign w:val="bottom"/>
            <w:shd w:val="clear" w:color="auto" w:fill="D3ECED"/>
          </w:tcPr>
          <w:p>
            <w:pPr>
              <w:spacing w:after="0"/>
              <w:rPr>
                <w:sz w:val="20"/>
                <w:szCs w:val="20"/>
                <w:color w:val="auto"/>
              </w:rPr>
            </w:pPr>
          </w:p>
        </w:tc>
        <w:tc>
          <w:tcPr>
            <w:tcW w:w="140" w:type="dxa"/>
            <w:vAlign w:val="bottom"/>
            <w:shd w:val="clear" w:color="auto" w:fill="D3ECED"/>
          </w:tcPr>
          <w:p>
            <w:pPr>
              <w:spacing w:after="0"/>
              <w:rPr>
                <w:sz w:val="20"/>
                <w:szCs w:val="20"/>
                <w:color w:val="auto"/>
              </w:rPr>
            </w:pPr>
          </w:p>
        </w:tc>
        <w:tc>
          <w:tcPr>
            <w:tcW w:w="400" w:type="dxa"/>
            <w:vAlign w:val="bottom"/>
            <w:shd w:val="clear" w:color="auto" w:fill="D3ECED"/>
          </w:tcPr>
          <w:p>
            <w:pPr>
              <w:spacing w:after="0"/>
              <w:rPr>
                <w:sz w:val="20"/>
                <w:szCs w:val="20"/>
                <w:color w:val="auto"/>
              </w:rPr>
            </w:pP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(6,426)</w:t>
            </w:r>
          </w:p>
        </w:tc>
        <w:tc>
          <w:tcPr>
            <w:tcW w:w="80" w:type="dxa"/>
            <w:vAlign w:val="bottom"/>
            <w:shd w:val="clear" w:color="auto" w:fill="D3ECED"/>
          </w:tcPr>
          <w:p>
            <w:pPr>
              <w:spacing w:after="0"/>
              <w:rPr>
                <w:sz w:val="20"/>
                <w:szCs w:val="20"/>
                <w:color w:val="auto"/>
              </w:rPr>
            </w:pPr>
          </w:p>
        </w:tc>
      </w:tr>
      <w:tr>
        <w:trPr>
          <w:trHeight w:val="230"/>
        </w:trPr>
        <w:tc>
          <w:tcPr>
            <w:tcW w:w="6060" w:type="dxa"/>
            <w:vAlign w:val="bottom"/>
            <w:tcBorders>
              <w:bottom w:val="single" w:sz="8" w:color="D3ECED"/>
            </w:tcBorders>
            <w:shd w:val="clear" w:color="auto" w:fill="FDFDFD"/>
          </w:tcPr>
          <w:p>
            <w:pPr>
              <w:ind w:left="180"/>
              <w:spacing w:after="0"/>
              <w:rPr>
                <w:sz w:val="20"/>
                <w:szCs w:val="20"/>
                <w:color w:val="auto"/>
              </w:rPr>
            </w:pPr>
            <w:r>
              <w:rPr>
                <w:rFonts w:ascii="Arial" w:cs="Arial" w:eastAsia="Arial" w:hAnsi="Arial"/>
                <w:sz w:val="19"/>
                <w:szCs w:val="19"/>
                <w:color w:val="auto"/>
              </w:rPr>
              <w:t>Other</w:t>
            </w:r>
          </w:p>
        </w:tc>
        <w:tc>
          <w:tcPr>
            <w:tcW w:w="100" w:type="dxa"/>
            <w:vAlign w:val="bottom"/>
            <w:tcBorders>
              <w:bottom w:val="single" w:sz="8" w:color="auto"/>
            </w:tcBorders>
            <w:shd w:val="clear" w:color="auto" w:fill="FDFDFD"/>
          </w:tcPr>
          <w:p>
            <w:pPr>
              <w:spacing w:after="0"/>
              <w:rPr>
                <w:sz w:val="20"/>
                <w:szCs w:val="20"/>
                <w:color w:val="auto"/>
              </w:rPr>
            </w:pPr>
          </w:p>
        </w:tc>
        <w:tc>
          <w:tcPr>
            <w:tcW w:w="11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bottom w:val="single" w:sz="8" w:color="D3ECED"/>
            </w:tcBorders>
            <w:shd w:val="clear" w:color="auto" w:fill="FDFDFD"/>
          </w:tcPr>
          <w:p>
            <w:pPr>
              <w:spacing w:after="0"/>
              <w:rPr>
                <w:sz w:val="20"/>
                <w:szCs w:val="20"/>
                <w:color w:val="auto"/>
              </w:rPr>
            </w:pPr>
          </w:p>
        </w:tc>
        <w:tc>
          <w:tcPr>
            <w:tcW w:w="140" w:type="dxa"/>
            <w:vAlign w:val="bottom"/>
            <w:tcBorders>
              <w:bottom w:val="single" w:sz="8" w:color="D3ECED"/>
            </w:tcBorders>
            <w:shd w:val="clear" w:color="auto" w:fill="FDFDFD"/>
          </w:tcPr>
          <w:p>
            <w:pPr>
              <w:spacing w:after="0"/>
              <w:rPr>
                <w:sz w:val="20"/>
                <w:szCs w:val="20"/>
                <w:color w:val="auto"/>
              </w:rPr>
            </w:pPr>
          </w:p>
        </w:tc>
        <w:tc>
          <w:tcPr>
            <w:tcW w:w="400" w:type="dxa"/>
            <w:vAlign w:val="bottom"/>
            <w:tcBorders>
              <w:bottom w:val="single" w:sz="8" w:color="auto"/>
            </w:tcBorders>
            <w:shd w:val="clear" w:color="auto" w:fill="FDFDFD"/>
          </w:tcPr>
          <w:p>
            <w:pPr>
              <w:spacing w:after="0"/>
              <w:rPr>
                <w:sz w:val="20"/>
                <w:szCs w:val="20"/>
                <w:color w:val="auto"/>
              </w:rPr>
            </w:pPr>
          </w:p>
        </w:tc>
        <w:tc>
          <w:tcPr>
            <w:tcW w:w="8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(122)</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45"/>
        </w:trPr>
        <w:tc>
          <w:tcPr>
            <w:tcW w:w="6060" w:type="dxa"/>
            <w:vAlign w:val="bottom"/>
            <w:tcBorders>
              <w:bottom w:val="single" w:sz="8" w:color="D3ECED"/>
            </w:tcBorders>
            <w:shd w:val="clear" w:color="auto" w:fill="D3ECED"/>
          </w:tcPr>
          <w:p>
            <w:pPr>
              <w:ind w:left="280"/>
              <w:spacing w:after="0"/>
              <w:rPr>
                <w:sz w:val="20"/>
                <w:szCs w:val="20"/>
                <w:color w:val="auto"/>
              </w:rPr>
            </w:pPr>
            <w:r>
              <w:rPr>
                <w:rFonts w:ascii="Arial" w:cs="Arial" w:eastAsia="Arial" w:hAnsi="Arial"/>
                <w:sz w:val="19"/>
                <w:szCs w:val="19"/>
                <w:color w:val="auto"/>
              </w:rPr>
              <w:t>Gross deferred tax liabilities</w:t>
            </w:r>
          </w:p>
        </w:tc>
        <w:tc>
          <w:tcPr>
            <w:tcW w:w="100" w:type="dxa"/>
            <w:vAlign w:val="bottom"/>
            <w:tcBorders>
              <w:bottom w:val="single" w:sz="8" w:color="auto"/>
            </w:tcBorders>
            <w:shd w:val="clear" w:color="auto" w:fill="D3ECED"/>
          </w:tcPr>
          <w:p>
            <w:pPr>
              <w:spacing w:after="0"/>
              <w:rPr>
                <w:sz w:val="20"/>
                <w:szCs w:val="20"/>
                <w:color w:val="auto"/>
              </w:rPr>
            </w:pPr>
          </w:p>
        </w:tc>
        <w:tc>
          <w:tcPr>
            <w:tcW w:w="11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(5,849)</w:t>
            </w:r>
          </w:p>
        </w:tc>
        <w:tc>
          <w:tcPr>
            <w:tcW w:w="80" w:type="dxa"/>
            <w:vAlign w:val="bottom"/>
            <w:tcBorders>
              <w:bottom w:val="single" w:sz="8" w:color="D3ECED"/>
            </w:tcBorders>
            <w:shd w:val="clear" w:color="auto" w:fill="D3ECED"/>
          </w:tcPr>
          <w:p>
            <w:pPr>
              <w:spacing w:after="0"/>
              <w:rPr>
                <w:sz w:val="20"/>
                <w:szCs w:val="20"/>
                <w:color w:val="auto"/>
              </w:rPr>
            </w:pPr>
          </w:p>
        </w:tc>
        <w:tc>
          <w:tcPr>
            <w:tcW w:w="140" w:type="dxa"/>
            <w:vAlign w:val="bottom"/>
            <w:tcBorders>
              <w:bottom w:val="single" w:sz="8" w:color="D3ECED"/>
            </w:tcBorders>
            <w:shd w:val="clear" w:color="auto" w:fill="D3ECED"/>
          </w:tcPr>
          <w:p>
            <w:pPr>
              <w:spacing w:after="0"/>
              <w:rPr>
                <w:sz w:val="20"/>
                <w:szCs w:val="20"/>
                <w:color w:val="auto"/>
              </w:rPr>
            </w:pPr>
          </w:p>
        </w:tc>
        <w:tc>
          <w:tcPr>
            <w:tcW w:w="400" w:type="dxa"/>
            <w:vAlign w:val="bottom"/>
            <w:tcBorders>
              <w:bottom w:val="single" w:sz="8" w:color="auto"/>
            </w:tcBorders>
            <w:shd w:val="clear" w:color="auto" w:fill="D3ECED"/>
          </w:tcPr>
          <w:p>
            <w:pPr>
              <w:spacing w:after="0"/>
              <w:rPr>
                <w:sz w:val="20"/>
                <w:szCs w:val="20"/>
                <w:color w:val="auto"/>
              </w:rPr>
            </w:pPr>
          </w:p>
        </w:tc>
        <w:tc>
          <w:tcPr>
            <w:tcW w:w="8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(6,959)</w:t>
            </w:r>
          </w:p>
        </w:tc>
        <w:tc>
          <w:tcPr>
            <w:tcW w:w="80" w:type="dxa"/>
            <w:vAlign w:val="bottom"/>
            <w:tcBorders>
              <w:bottom w:val="single" w:sz="8" w:color="D3ECED"/>
            </w:tcBorders>
            <w:shd w:val="clear" w:color="auto" w:fill="D3ECED"/>
          </w:tcPr>
          <w:p>
            <w:pPr>
              <w:spacing w:after="0"/>
              <w:rPr>
                <w:sz w:val="20"/>
                <w:szCs w:val="20"/>
                <w:color w:val="auto"/>
              </w:rPr>
            </w:pPr>
          </w:p>
        </w:tc>
      </w:tr>
      <w:tr>
        <w:trPr>
          <w:trHeight w:val="202"/>
        </w:trPr>
        <w:tc>
          <w:tcPr>
            <w:tcW w:w="6060" w:type="dxa"/>
            <w:vAlign w:val="bottom"/>
            <w:tcBorders>
              <w:top w:val="single" w:sz="8" w:color="FDFDFD"/>
            </w:tcBorders>
            <w:shd w:val="clear" w:color="auto" w:fill="FDFDFD"/>
          </w:tcPr>
          <w:p>
            <w:pPr>
              <w:ind w:left="180"/>
              <w:spacing w:after="0" w:line="203" w:lineRule="exact"/>
              <w:rPr>
                <w:sz w:val="20"/>
                <w:szCs w:val="20"/>
                <w:color w:val="auto"/>
              </w:rPr>
            </w:pPr>
            <w:r>
              <w:rPr>
                <w:rFonts w:ascii="Arial" w:cs="Arial" w:eastAsia="Arial" w:hAnsi="Arial"/>
                <w:sz w:val="19"/>
                <w:szCs w:val="19"/>
                <w:color w:val="auto"/>
              </w:rPr>
              <w:t>Total net deferred tax assets:</w:t>
            </w:r>
          </w:p>
        </w:tc>
        <w:tc>
          <w:tcPr>
            <w:tcW w:w="100" w:type="dxa"/>
            <w:vAlign w:val="bottom"/>
            <w:tcBorders>
              <w:top w:val="single" w:sz="8" w:color="auto"/>
            </w:tcBorders>
            <w:shd w:val="clear" w:color="auto" w:fill="FDFDFD"/>
          </w:tcPr>
          <w:p>
            <w:pPr>
              <w:jc w:val="right"/>
              <w:spacing w:after="0" w:line="203" w:lineRule="exact"/>
              <w:rPr>
                <w:sz w:val="20"/>
                <w:szCs w:val="20"/>
                <w:color w:val="auto"/>
              </w:rPr>
            </w:pPr>
            <w:r>
              <w:rPr>
                <w:rFonts w:ascii="Arial" w:cs="Arial" w:eastAsia="Arial" w:hAnsi="Arial"/>
                <w:sz w:val="19"/>
                <w:szCs w:val="19"/>
                <w:color w:val="auto"/>
                <w:highlight w:val="white"/>
                <w:w w:val="75"/>
              </w:rPr>
              <w:t>$</w:t>
            </w:r>
          </w:p>
        </w:tc>
        <w:tc>
          <w:tcPr>
            <w:tcW w:w="1140" w:type="dxa"/>
            <w:vAlign w:val="bottom"/>
            <w:tcBorders>
              <w:top w:val="single" w:sz="8" w:color="auto"/>
            </w:tcBorders>
            <w:shd w:val="clear" w:color="auto" w:fill="FDFDFD"/>
          </w:tcPr>
          <w:p>
            <w:pPr>
              <w:jc w:val="right"/>
              <w:spacing w:after="0" w:line="203" w:lineRule="exact"/>
              <w:rPr>
                <w:sz w:val="20"/>
                <w:szCs w:val="20"/>
                <w:color w:val="auto"/>
              </w:rPr>
            </w:pPr>
            <w:r>
              <w:rPr>
                <w:rFonts w:ascii="Arial" w:cs="Arial" w:eastAsia="Arial" w:hAnsi="Arial"/>
                <w:sz w:val="19"/>
                <w:szCs w:val="19"/>
                <w:color w:val="auto"/>
              </w:rPr>
              <w:t>248</w:t>
            </w:r>
          </w:p>
        </w:tc>
        <w:tc>
          <w:tcPr>
            <w:tcW w:w="80" w:type="dxa"/>
            <w:vAlign w:val="bottom"/>
            <w:tcBorders>
              <w:top w:val="single" w:sz="8" w:color="FDFDFD"/>
            </w:tcBorders>
            <w:shd w:val="clear" w:color="auto" w:fill="FDFDFD"/>
          </w:tcPr>
          <w:p>
            <w:pPr>
              <w:spacing w:after="0"/>
              <w:rPr>
                <w:sz w:val="17"/>
                <w:szCs w:val="17"/>
                <w:color w:val="auto"/>
              </w:rPr>
            </w:pPr>
          </w:p>
        </w:tc>
        <w:tc>
          <w:tcPr>
            <w:tcW w:w="140" w:type="dxa"/>
            <w:vAlign w:val="bottom"/>
            <w:tcBorders>
              <w:top w:val="single" w:sz="8" w:color="FDFDFD"/>
            </w:tcBorders>
            <w:shd w:val="clear" w:color="auto" w:fill="FDFDFD"/>
          </w:tcPr>
          <w:p>
            <w:pPr>
              <w:spacing w:after="0"/>
              <w:rPr>
                <w:sz w:val="17"/>
                <w:szCs w:val="17"/>
                <w:color w:val="auto"/>
              </w:rPr>
            </w:pPr>
          </w:p>
        </w:tc>
        <w:tc>
          <w:tcPr>
            <w:tcW w:w="400" w:type="dxa"/>
            <w:vAlign w:val="bottom"/>
            <w:tcBorders>
              <w:top w:val="single" w:sz="8" w:color="auto"/>
            </w:tcBorders>
            <w:shd w:val="clear" w:color="auto" w:fill="FDFDFD"/>
          </w:tcPr>
          <w:p>
            <w:pPr>
              <w:jc w:val="right"/>
              <w:ind w:right="205"/>
              <w:spacing w:after="0" w:line="203" w:lineRule="exact"/>
              <w:rPr>
                <w:sz w:val="20"/>
                <w:szCs w:val="20"/>
                <w:color w:val="auto"/>
              </w:rPr>
            </w:pPr>
            <w:r>
              <w:rPr>
                <w:rFonts w:ascii="Arial" w:cs="Arial" w:eastAsia="Arial" w:hAnsi="Arial"/>
                <w:sz w:val="19"/>
                <w:szCs w:val="19"/>
                <w:color w:val="auto"/>
                <w:highlight w:val="white"/>
                <w:w w:val="75"/>
              </w:rPr>
              <w:t>$</w:t>
            </w:r>
          </w:p>
        </w:tc>
        <w:tc>
          <w:tcPr>
            <w:tcW w:w="840" w:type="dxa"/>
            <w:vAlign w:val="bottom"/>
            <w:tcBorders>
              <w:top w:val="single" w:sz="8" w:color="auto"/>
            </w:tcBorders>
            <w:shd w:val="clear" w:color="auto" w:fill="FDFDFD"/>
          </w:tcPr>
          <w:p>
            <w:pPr>
              <w:jc w:val="right"/>
              <w:spacing w:after="0" w:line="203" w:lineRule="exact"/>
              <w:rPr>
                <w:sz w:val="20"/>
                <w:szCs w:val="20"/>
                <w:color w:val="auto"/>
              </w:rPr>
            </w:pPr>
            <w:r>
              <w:rPr>
                <w:rFonts w:ascii="Arial" w:cs="Arial" w:eastAsia="Arial" w:hAnsi="Arial"/>
                <w:sz w:val="19"/>
                <w:szCs w:val="19"/>
                <w:color w:val="auto"/>
              </w:rPr>
              <w:t>—</w:t>
            </w:r>
          </w:p>
        </w:tc>
        <w:tc>
          <w:tcPr>
            <w:tcW w:w="80" w:type="dxa"/>
            <w:vAlign w:val="bottom"/>
            <w:tcBorders>
              <w:top w:val="single" w:sz="8" w:color="FDFDFD"/>
            </w:tcBorders>
            <w:shd w:val="clear" w:color="auto" w:fill="FDFDFD"/>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-13335</wp:posOffset>
            </wp:positionV>
            <wp:extent cx="1740535" cy="520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92">
                      <a:extLst>
                        <a:ext uri="{28A0092B-C50C-407E-A947-70E740481C1C}"/>
                      </a:extLst>
                    </a:blip>
                    <a:srcRect/>
                    <a:stretch>
                      <a:fillRect/>
                    </a:stretch>
                  </pic:blipFill>
                  <pic:spPr bwMode="auto">
                    <a:xfrm>
                      <a:off x="0" y="0"/>
                      <a:ext cx="1740535" cy="52070"/>
                    </a:xfrm>
                    <a:prstGeom prst="rect">
                      <a:avLst/>
                    </a:prstGeom>
                    <a:noFill/>
                  </pic:spPr>
                </pic:pic>
              </a:graphicData>
            </a:graphic>
          </wp:anchor>
        </w:drawing>
      </w:r>
    </w:p>
    <w:p>
      <w:pPr>
        <w:spacing w:after="0" w:line="196" w:lineRule="exact"/>
        <w:rPr>
          <w:sz w:val="20"/>
          <w:szCs w:val="20"/>
          <w:color w:val="auto"/>
        </w:rPr>
      </w:pPr>
    </w:p>
    <w:p>
      <w:pPr>
        <w:ind w:left="260" w:right="320"/>
        <w:spacing w:after="0" w:line="307" w:lineRule="auto"/>
        <w:rPr>
          <w:sz w:val="20"/>
          <w:szCs w:val="20"/>
          <w:color w:val="auto"/>
        </w:rPr>
      </w:pPr>
      <w:r>
        <w:rPr>
          <w:rFonts w:ascii="Arial" w:cs="Arial" w:eastAsia="Arial" w:hAnsi="Arial"/>
          <w:sz w:val="18"/>
          <w:szCs w:val="18"/>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In the U.S, a significant piece of objective negative evidence evaluated was the cumulative loss incurred since the Company’s incorporation in 2017. Such objective evidence limits the ability to recognize the domestic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the Company’s projections for growth. For the years ended December 31, 2024 and 2023, the net changes in the net valuation allowance were an increase of $17.1 million and an increase of $19.0 million, respectively.</w:t>
      </w:r>
    </w:p>
    <w:p>
      <w:pPr>
        <w:spacing w:after="0" w:line="120" w:lineRule="exact"/>
        <w:rPr>
          <w:sz w:val="20"/>
          <w:szCs w:val="20"/>
          <w:color w:val="auto"/>
        </w:rPr>
      </w:pPr>
    </w:p>
    <w:p>
      <w:pPr>
        <w:ind w:left="260" w:right="540"/>
        <w:spacing w:after="0" w:line="344" w:lineRule="auto"/>
        <w:rPr>
          <w:sz w:val="20"/>
          <w:szCs w:val="20"/>
          <w:color w:val="auto"/>
        </w:rPr>
      </w:pPr>
      <w:r>
        <w:rPr>
          <w:rFonts w:ascii="Arial" w:cs="Arial" w:eastAsia="Arial" w:hAnsi="Arial"/>
          <w:sz w:val="17"/>
          <w:szCs w:val="17"/>
          <w:color w:val="auto"/>
        </w:rPr>
        <w:t>As of December 31, 2024 and 2023, the Company had federal net operating loss carryforwards of approximately $182.3 million and $148.1 million, respectively, which will carryforward indefinitely for federal tax purposes. At December 31, 2024 and 2023, the Company had state net operating loss carryforwards of approximately $185.7 million and $151.8 million, respectively, which will begin to expire in 2035 for state tax purposes.</w:t>
      </w:r>
    </w:p>
    <w:p>
      <w:pPr>
        <w:spacing w:after="0" w:line="90" w:lineRule="exact"/>
        <w:rPr>
          <w:sz w:val="20"/>
          <w:szCs w:val="20"/>
          <w:color w:val="auto"/>
        </w:rPr>
      </w:pPr>
    </w:p>
    <w:p>
      <w:pPr>
        <w:jc w:val="both"/>
        <w:ind w:left="260" w:right="600"/>
        <w:spacing w:after="0" w:line="299" w:lineRule="auto"/>
        <w:rPr>
          <w:sz w:val="20"/>
          <w:szCs w:val="20"/>
          <w:color w:val="auto"/>
        </w:rPr>
      </w:pPr>
      <w:r>
        <w:rPr>
          <w:rFonts w:ascii="Arial" w:cs="Arial" w:eastAsia="Arial" w:hAnsi="Arial"/>
          <w:sz w:val="19"/>
          <w:szCs w:val="19"/>
          <w:color w:val="auto"/>
        </w:rPr>
        <w:t>As of December 31, 2024 and 2023, the Company had federal research and development credit carryforwards of approximately $7.0 million and $5.1 million, respectively, which begin to expire in 2039 and state research and development credit carryforwards of approximately $5.5 million and $4.3 million, respectively, which will carry forward indefinitely.</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2240" w:h="15840" w:orient="portrait"/>
          <w:cols w:equalWidth="0" w:num="1">
            <w:col w:w="9360"/>
          </w:cols>
          <w:pgMar w:left="1440" w:top="1358" w:right="1440" w:bottom="624"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300"/>
        <w:spacing w:after="0" w:line="337" w:lineRule="auto"/>
        <w:rPr>
          <w:sz w:val="20"/>
          <w:szCs w:val="20"/>
          <w:color w:val="auto"/>
        </w:rPr>
      </w:pPr>
      <w:r>
        <w:rPr>
          <w:rFonts w:ascii="Arial" w:cs="Arial" w:eastAsia="Arial" w:hAnsi="Arial"/>
          <w:sz w:val="17"/>
          <w:szCs w:val="17"/>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concluded that while ownership changes occurred in 2018, 2020, and 2022, no tax attributes are expected to expire unutilized as a result of the Section 382 limitation.</w:t>
      </w:r>
    </w:p>
    <w:p>
      <w:pPr>
        <w:spacing w:after="0" w:line="100" w:lineRule="exact"/>
        <w:rPr>
          <w:sz w:val="20"/>
          <w:szCs w:val="20"/>
          <w:color w:val="auto"/>
        </w:rPr>
      </w:pPr>
    </w:p>
    <w:p>
      <w:pPr>
        <w:ind w:left="260" w:right="360"/>
        <w:spacing w:after="0" w:line="343" w:lineRule="auto"/>
        <w:rPr>
          <w:sz w:val="20"/>
          <w:szCs w:val="20"/>
          <w:color w:val="auto"/>
        </w:rPr>
      </w:pPr>
      <w:r>
        <w:rPr>
          <w:rFonts w:ascii="Arial" w:cs="Arial" w:eastAsia="Arial" w:hAnsi="Arial"/>
          <w:sz w:val="17"/>
          <w:szCs w:val="17"/>
          <w:color w:val="auto"/>
        </w:rPr>
        <w:t>As of December 31, 2024 and 2023, the Company had unrecognized tax benefits of approximately $3.1 million and $2.4 million, respectively. The amount of unrecognized tax benefits is not expected to significantly change over the next twelve months. No amounts, outside of valuation allowance, would impact the effective tax rate on the continuing operations. The beginning and ending unrecognized tax benefits amounts are as follows (in thousands):</w:t>
      </w:r>
    </w:p>
    <w:p>
      <w:pPr>
        <w:spacing w:after="0" w:line="116"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6060" w:type="dxa"/>
            <w:vAlign w:val="bottom"/>
            <w:tcBorders>
              <w:bottom w:val="single" w:sz="8" w:color="FDFDFD"/>
            </w:tcBorders>
            <w:shd w:val="clear" w:color="auto" w:fill="FDFDFD"/>
          </w:tcPr>
          <w:p>
            <w:pPr>
              <w:spacing w:after="0"/>
              <w:rPr>
                <w:sz w:val="16"/>
                <w:szCs w:val="16"/>
                <w:color w:val="auto"/>
              </w:rPr>
            </w:pPr>
          </w:p>
        </w:tc>
        <w:tc>
          <w:tcPr>
            <w:tcW w:w="780" w:type="dxa"/>
            <w:vAlign w:val="bottom"/>
            <w:tcBorders>
              <w:bottom w:val="single" w:sz="8" w:color="auto"/>
            </w:tcBorders>
            <w:shd w:val="clear" w:color="auto" w:fill="FDFDFD"/>
          </w:tcPr>
          <w:p>
            <w:pPr>
              <w:spacing w:after="0"/>
              <w:rPr>
                <w:sz w:val="16"/>
                <w:szCs w:val="16"/>
                <w:color w:val="auto"/>
              </w:rPr>
            </w:pPr>
          </w:p>
        </w:tc>
        <w:tc>
          <w:tcPr>
            <w:tcW w:w="1080" w:type="dxa"/>
            <w:vAlign w:val="bottom"/>
            <w:tcBorders>
              <w:bottom w:val="single" w:sz="8" w:color="auto"/>
            </w:tcBorders>
            <w:gridSpan w:val="3"/>
            <w:shd w:val="clear" w:color="auto" w:fill="FDFDFD"/>
          </w:tcPr>
          <w:p>
            <w:pPr>
              <w:jc w:val="right"/>
              <w:spacing w:after="0"/>
              <w:rPr>
                <w:sz w:val="20"/>
                <w:szCs w:val="20"/>
                <w:color w:val="auto"/>
              </w:rPr>
            </w:pPr>
            <w:r>
              <w:rPr>
                <w:rFonts w:ascii="Arial" w:cs="Arial" w:eastAsia="Arial" w:hAnsi="Arial"/>
                <w:sz w:val="15"/>
                <w:szCs w:val="15"/>
                <w:b w:val="1"/>
                <w:bCs w:val="1"/>
                <w:color w:val="auto"/>
              </w:rPr>
              <w:t>December 31,</w:t>
            </w:r>
          </w:p>
        </w:tc>
        <w:tc>
          <w:tcPr>
            <w:tcW w:w="840" w:type="dxa"/>
            <w:vAlign w:val="bottom"/>
            <w:tcBorders>
              <w:bottom w:val="single" w:sz="8" w:color="auto"/>
            </w:tcBorders>
            <w:shd w:val="clear" w:color="auto" w:fill="FDFDFD"/>
          </w:tcPr>
          <w:p>
            <w:pPr>
              <w:spacing w:after="0"/>
              <w:rPr>
                <w:sz w:val="16"/>
                <w:szCs w:val="16"/>
                <w:color w:val="auto"/>
              </w:rPr>
            </w:pPr>
          </w:p>
        </w:tc>
        <w:tc>
          <w:tcPr>
            <w:tcW w:w="80" w:type="dxa"/>
            <w:vAlign w:val="bottom"/>
            <w:tcBorders>
              <w:bottom w:val="single" w:sz="8" w:color="FDFDFD"/>
            </w:tcBorders>
            <w:shd w:val="clear" w:color="auto" w:fill="FDFDFD"/>
          </w:tcPr>
          <w:p>
            <w:pPr>
              <w:spacing w:after="0"/>
              <w:rPr>
                <w:sz w:val="16"/>
                <w:szCs w:val="16"/>
                <w:color w:val="auto"/>
              </w:rPr>
            </w:pPr>
          </w:p>
        </w:tc>
      </w:tr>
      <w:tr>
        <w:trPr>
          <w:trHeight w:val="177"/>
        </w:trPr>
        <w:tc>
          <w:tcPr>
            <w:tcW w:w="6060" w:type="dxa"/>
            <w:vAlign w:val="bottom"/>
            <w:tcBorders>
              <w:bottom w:val="single" w:sz="8" w:color="D3ECED"/>
            </w:tcBorders>
            <w:shd w:val="clear" w:color="auto" w:fill="FDFDFD"/>
          </w:tcPr>
          <w:p>
            <w:pPr>
              <w:spacing w:after="0"/>
              <w:rPr>
                <w:sz w:val="15"/>
                <w:szCs w:val="15"/>
                <w:color w:val="auto"/>
              </w:rPr>
            </w:pPr>
          </w:p>
        </w:tc>
        <w:tc>
          <w:tcPr>
            <w:tcW w:w="78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5"/>
                <w:szCs w:val="15"/>
                <w:b w:val="1"/>
                <w:bCs w:val="1"/>
                <w:color w:val="auto"/>
              </w:rPr>
              <w:t>2024</w:t>
            </w:r>
          </w:p>
        </w:tc>
        <w:tc>
          <w:tcPr>
            <w:tcW w:w="460" w:type="dxa"/>
            <w:vAlign w:val="bottom"/>
            <w:tcBorders>
              <w:bottom w:val="single" w:sz="8" w:color="auto"/>
            </w:tcBorders>
            <w:shd w:val="clear" w:color="auto" w:fill="FDFDFD"/>
          </w:tcPr>
          <w:p>
            <w:pPr>
              <w:spacing w:after="0"/>
              <w:rPr>
                <w:sz w:val="15"/>
                <w:szCs w:val="15"/>
                <w:color w:val="auto"/>
              </w:rPr>
            </w:pPr>
          </w:p>
        </w:tc>
        <w:tc>
          <w:tcPr>
            <w:tcW w:w="220" w:type="dxa"/>
            <w:vAlign w:val="bottom"/>
            <w:tcBorders>
              <w:bottom w:val="single" w:sz="8" w:color="D3ECED"/>
            </w:tcBorders>
            <w:shd w:val="clear" w:color="auto" w:fill="FDFDFD"/>
          </w:tcPr>
          <w:p>
            <w:pPr>
              <w:spacing w:after="0"/>
              <w:rPr>
                <w:sz w:val="15"/>
                <w:szCs w:val="15"/>
                <w:color w:val="auto"/>
              </w:rPr>
            </w:pPr>
          </w:p>
        </w:tc>
        <w:tc>
          <w:tcPr>
            <w:tcW w:w="400" w:type="dxa"/>
            <w:vAlign w:val="bottom"/>
            <w:tcBorders>
              <w:bottom w:val="single" w:sz="8" w:color="auto"/>
            </w:tcBorders>
            <w:shd w:val="clear" w:color="auto" w:fill="FDFDFD"/>
          </w:tcPr>
          <w:p>
            <w:pPr>
              <w:spacing w:after="0"/>
              <w:rPr>
                <w:sz w:val="15"/>
                <w:szCs w:val="15"/>
                <w:color w:val="auto"/>
              </w:rPr>
            </w:pPr>
          </w:p>
        </w:tc>
        <w:tc>
          <w:tcPr>
            <w:tcW w:w="840" w:type="dxa"/>
            <w:vAlign w:val="bottom"/>
            <w:tcBorders>
              <w:bottom w:val="single" w:sz="8" w:color="auto"/>
            </w:tcBorders>
            <w:shd w:val="clear" w:color="auto" w:fill="FDFDFD"/>
          </w:tcPr>
          <w:p>
            <w:pPr>
              <w:jc w:val="right"/>
              <w:ind w:right="389"/>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D3ECED"/>
            </w:tcBorders>
            <w:shd w:val="clear" w:color="auto" w:fill="FDFDFD"/>
          </w:tcPr>
          <w:p>
            <w:pPr>
              <w:spacing w:after="0"/>
              <w:rPr>
                <w:sz w:val="15"/>
                <w:szCs w:val="15"/>
                <w:color w:val="auto"/>
              </w:rPr>
            </w:pPr>
          </w:p>
        </w:tc>
      </w:tr>
      <w:tr>
        <w:trPr>
          <w:trHeight w:val="220"/>
        </w:trPr>
        <w:tc>
          <w:tcPr>
            <w:tcW w:w="6060" w:type="dxa"/>
            <w:vAlign w:val="bottom"/>
            <w:shd w:val="clear" w:color="auto" w:fill="D3ECED"/>
          </w:tcPr>
          <w:p>
            <w:pPr>
              <w:spacing w:after="0"/>
              <w:rPr>
                <w:sz w:val="20"/>
                <w:szCs w:val="20"/>
                <w:color w:val="auto"/>
              </w:rPr>
            </w:pPr>
            <w:r>
              <w:rPr>
                <w:rFonts w:ascii="Arial" w:cs="Arial" w:eastAsia="Arial" w:hAnsi="Arial"/>
                <w:sz w:val="19"/>
                <w:szCs w:val="19"/>
                <w:color w:val="auto"/>
              </w:rPr>
              <w:t>Beginning balance</w:t>
            </w:r>
          </w:p>
        </w:tc>
        <w:tc>
          <w:tcPr>
            <w:tcW w:w="780" w:type="dxa"/>
            <w:vAlign w:val="bottom"/>
            <w:shd w:val="clear" w:color="auto" w:fill="D3ECED"/>
          </w:tcPr>
          <w:p>
            <w:pPr>
              <w:jc w:val="right"/>
              <w:ind w:right="592"/>
              <w:spacing w:after="0"/>
              <w:rPr>
                <w:sz w:val="20"/>
                <w:szCs w:val="20"/>
                <w:color w:val="auto"/>
              </w:rPr>
            </w:pPr>
            <w:r>
              <w:rPr>
                <w:rFonts w:ascii="Arial" w:cs="Arial" w:eastAsia="Arial" w:hAnsi="Arial"/>
                <w:sz w:val="19"/>
                <w:szCs w:val="19"/>
                <w:color w:val="auto"/>
                <w:w w:val="75"/>
                <w:shd w:val="clear" w:color="auto" w:fill="D3ECED"/>
              </w:rPr>
              <w:t>$</w:t>
            </w:r>
          </w:p>
        </w:tc>
        <w:tc>
          <w:tcPr>
            <w:tcW w:w="460" w:type="dxa"/>
            <w:vAlign w:val="bottom"/>
            <w:shd w:val="clear" w:color="auto" w:fill="D3ECED"/>
          </w:tcPr>
          <w:p>
            <w:pPr>
              <w:jc w:val="right"/>
              <w:spacing w:after="0"/>
              <w:rPr>
                <w:sz w:val="20"/>
                <w:szCs w:val="20"/>
                <w:color w:val="auto"/>
              </w:rPr>
            </w:pPr>
            <w:r>
              <w:rPr>
                <w:rFonts w:ascii="Arial" w:cs="Arial" w:eastAsia="Arial" w:hAnsi="Arial"/>
                <w:sz w:val="19"/>
                <w:szCs w:val="19"/>
                <w:color w:val="auto"/>
                <w:w w:val="88"/>
              </w:rPr>
              <w:t>2,364</w:t>
            </w:r>
          </w:p>
        </w:tc>
        <w:tc>
          <w:tcPr>
            <w:tcW w:w="220" w:type="dxa"/>
            <w:vAlign w:val="bottom"/>
            <w:shd w:val="clear" w:color="auto" w:fill="D3ECED"/>
          </w:tcPr>
          <w:p>
            <w:pPr>
              <w:spacing w:after="0"/>
              <w:rPr>
                <w:sz w:val="19"/>
                <w:szCs w:val="19"/>
                <w:color w:val="auto"/>
              </w:rPr>
            </w:pPr>
          </w:p>
        </w:tc>
        <w:tc>
          <w:tcPr>
            <w:tcW w:w="400" w:type="dxa"/>
            <w:vAlign w:val="bottom"/>
            <w:shd w:val="clear" w:color="auto" w:fill="D3ECED"/>
          </w:tcPr>
          <w:p>
            <w:pPr>
              <w:jc w:val="right"/>
              <w:ind w:right="205"/>
              <w:spacing w:after="0"/>
              <w:rPr>
                <w:sz w:val="20"/>
                <w:szCs w:val="20"/>
                <w:color w:val="auto"/>
              </w:rPr>
            </w:pPr>
            <w:r>
              <w:rPr>
                <w:rFonts w:ascii="Arial" w:cs="Arial" w:eastAsia="Arial" w:hAnsi="Arial"/>
                <w:sz w:val="19"/>
                <w:szCs w:val="19"/>
                <w:color w:val="auto"/>
                <w:w w:val="75"/>
                <w:shd w:val="clear" w:color="auto" w:fill="D3ECED"/>
              </w:rPr>
              <w:t>$</w:t>
            </w:r>
          </w:p>
        </w:tc>
        <w:tc>
          <w:tcPr>
            <w:tcW w:w="8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1,586</w:t>
            </w:r>
          </w:p>
        </w:tc>
        <w:tc>
          <w:tcPr>
            <w:tcW w:w="80" w:type="dxa"/>
            <w:vAlign w:val="bottom"/>
            <w:shd w:val="clear" w:color="auto" w:fill="D3ECED"/>
          </w:tcPr>
          <w:p>
            <w:pPr>
              <w:spacing w:after="0"/>
              <w:rPr>
                <w:sz w:val="19"/>
                <w:szCs w:val="19"/>
                <w:color w:val="auto"/>
              </w:rPr>
            </w:pPr>
          </w:p>
        </w:tc>
      </w:tr>
      <w:tr>
        <w:trPr>
          <w:trHeight w:val="230"/>
        </w:trPr>
        <w:tc>
          <w:tcPr>
            <w:tcW w:w="6060" w:type="dxa"/>
            <w:vAlign w:val="bottom"/>
            <w:shd w:val="clear" w:color="auto" w:fill="FDFDFD"/>
          </w:tcPr>
          <w:p>
            <w:pPr>
              <w:spacing w:after="0"/>
              <w:rPr>
                <w:sz w:val="20"/>
                <w:szCs w:val="20"/>
                <w:color w:val="auto"/>
              </w:rPr>
            </w:pPr>
            <w:r>
              <w:rPr>
                <w:rFonts w:ascii="Arial" w:cs="Arial" w:eastAsia="Arial" w:hAnsi="Arial"/>
                <w:sz w:val="19"/>
                <w:szCs w:val="19"/>
                <w:color w:val="auto"/>
              </w:rPr>
              <w:t>Change related to prior year positions</w:t>
            </w:r>
          </w:p>
        </w:tc>
        <w:tc>
          <w:tcPr>
            <w:tcW w:w="780" w:type="dxa"/>
            <w:vAlign w:val="bottom"/>
            <w:shd w:val="clear" w:color="auto" w:fill="FDFDFD"/>
          </w:tcPr>
          <w:p>
            <w:pPr>
              <w:spacing w:after="0"/>
              <w:rPr>
                <w:sz w:val="20"/>
                <w:szCs w:val="20"/>
                <w:color w:val="auto"/>
              </w:rPr>
            </w:pPr>
          </w:p>
        </w:tc>
        <w:tc>
          <w:tcPr>
            <w:tcW w:w="4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w:t>
            </w:r>
          </w:p>
        </w:tc>
        <w:tc>
          <w:tcPr>
            <w:tcW w:w="220" w:type="dxa"/>
            <w:vAlign w:val="bottom"/>
            <w:shd w:val="clear" w:color="auto" w:fill="FDFDFD"/>
          </w:tcPr>
          <w:p>
            <w:pPr>
              <w:spacing w:after="0"/>
              <w:rPr>
                <w:sz w:val="20"/>
                <w:szCs w:val="20"/>
                <w:color w:val="auto"/>
              </w:rPr>
            </w:pPr>
          </w:p>
        </w:tc>
        <w:tc>
          <w:tcPr>
            <w:tcW w:w="400" w:type="dxa"/>
            <w:vAlign w:val="bottom"/>
            <w:shd w:val="clear" w:color="auto" w:fill="FDFDFD"/>
          </w:tcPr>
          <w:p>
            <w:pPr>
              <w:spacing w:after="0"/>
              <w:rPr>
                <w:sz w:val="20"/>
                <w:szCs w:val="20"/>
                <w:color w:val="auto"/>
              </w:rPr>
            </w:pPr>
          </w:p>
        </w:tc>
        <w:tc>
          <w:tcPr>
            <w:tcW w:w="8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26</w:t>
            </w:r>
          </w:p>
        </w:tc>
        <w:tc>
          <w:tcPr>
            <w:tcW w:w="80" w:type="dxa"/>
            <w:vAlign w:val="bottom"/>
            <w:shd w:val="clear" w:color="auto" w:fill="FDFDFD"/>
          </w:tcPr>
          <w:p>
            <w:pPr>
              <w:spacing w:after="0"/>
              <w:rPr>
                <w:sz w:val="20"/>
                <w:szCs w:val="20"/>
                <w:color w:val="auto"/>
              </w:rPr>
            </w:pPr>
          </w:p>
        </w:tc>
      </w:tr>
      <w:tr>
        <w:trPr>
          <w:trHeight w:val="255"/>
        </w:trPr>
        <w:tc>
          <w:tcPr>
            <w:tcW w:w="6060" w:type="dxa"/>
            <w:vAlign w:val="bottom"/>
            <w:tcBorders>
              <w:bottom w:val="single" w:sz="8" w:color="D3ECED"/>
            </w:tcBorders>
            <w:shd w:val="clear" w:color="auto" w:fill="D3ECED"/>
          </w:tcPr>
          <w:p>
            <w:pPr>
              <w:spacing w:after="0"/>
              <w:rPr>
                <w:sz w:val="20"/>
                <w:szCs w:val="20"/>
                <w:color w:val="auto"/>
              </w:rPr>
            </w:pPr>
            <w:r>
              <w:rPr>
                <w:rFonts w:ascii="Arial" w:cs="Arial" w:eastAsia="Arial" w:hAnsi="Arial"/>
                <w:sz w:val="19"/>
                <w:szCs w:val="19"/>
                <w:color w:val="auto"/>
              </w:rPr>
              <w:t>Change related to current year positions</w:t>
            </w:r>
          </w:p>
        </w:tc>
        <w:tc>
          <w:tcPr>
            <w:tcW w:w="780" w:type="dxa"/>
            <w:vAlign w:val="bottom"/>
            <w:tcBorders>
              <w:bottom w:val="single" w:sz="8" w:color="auto"/>
            </w:tcBorders>
            <w:shd w:val="clear" w:color="auto" w:fill="D3ECED"/>
          </w:tcPr>
          <w:p>
            <w:pPr>
              <w:spacing w:after="0"/>
              <w:rPr>
                <w:sz w:val="21"/>
                <w:szCs w:val="21"/>
                <w:color w:val="auto"/>
              </w:rPr>
            </w:pPr>
          </w:p>
        </w:tc>
        <w:tc>
          <w:tcPr>
            <w:tcW w:w="46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772</w:t>
            </w:r>
          </w:p>
        </w:tc>
        <w:tc>
          <w:tcPr>
            <w:tcW w:w="220" w:type="dxa"/>
            <w:vAlign w:val="bottom"/>
            <w:tcBorders>
              <w:bottom w:val="single" w:sz="8" w:color="D3ECED"/>
            </w:tcBorders>
            <w:shd w:val="clear" w:color="auto" w:fill="D3ECED"/>
          </w:tcPr>
          <w:p>
            <w:pPr>
              <w:spacing w:after="0"/>
              <w:rPr>
                <w:sz w:val="21"/>
                <w:szCs w:val="21"/>
                <w:color w:val="auto"/>
              </w:rPr>
            </w:pPr>
          </w:p>
        </w:tc>
        <w:tc>
          <w:tcPr>
            <w:tcW w:w="400" w:type="dxa"/>
            <w:vAlign w:val="bottom"/>
            <w:tcBorders>
              <w:bottom w:val="single" w:sz="8" w:color="auto"/>
            </w:tcBorders>
            <w:shd w:val="clear" w:color="auto" w:fill="D3ECED"/>
          </w:tcPr>
          <w:p>
            <w:pPr>
              <w:spacing w:after="0"/>
              <w:rPr>
                <w:sz w:val="21"/>
                <w:szCs w:val="21"/>
                <w:color w:val="auto"/>
              </w:rPr>
            </w:pPr>
          </w:p>
        </w:tc>
        <w:tc>
          <w:tcPr>
            <w:tcW w:w="8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752</w:t>
            </w:r>
          </w:p>
        </w:tc>
        <w:tc>
          <w:tcPr>
            <w:tcW w:w="80" w:type="dxa"/>
            <w:vAlign w:val="bottom"/>
            <w:tcBorders>
              <w:bottom w:val="single" w:sz="8" w:color="D3ECED"/>
            </w:tcBorders>
            <w:shd w:val="clear" w:color="auto" w:fill="D3ECED"/>
          </w:tcPr>
          <w:p>
            <w:pPr>
              <w:spacing w:after="0"/>
              <w:rPr>
                <w:sz w:val="21"/>
                <w:szCs w:val="21"/>
                <w:color w:val="auto"/>
              </w:rPr>
            </w:pPr>
          </w:p>
        </w:tc>
      </w:tr>
      <w:tr>
        <w:trPr>
          <w:trHeight w:val="200"/>
        </w:trPr>
        <w:tc>
          <w:tcPr>
            <w:tcW w:w="6060" w:type="dxa"/>
            <w:vAlign w:val="bottom"/>
            <w:tcBorders>
              <w:top w:val="single" w:sz="8" w:color="FDFDFD"/>
            </w:tcBorders>
            <w:shd w:val="clear" w:color="auto" w:fill="FDFDFD"/>
          </w:tcPr>
          <w:p>
            <w:pPr>
              <w:spacing w:after="0" w:line="200" w:lineRule="exact"/>
              <w:rPr>
                <w:sz w:val="20"/>
                <w:szCs w:val="20"/>
                <w:color w:val="auto"/>
              </w:rPr>
            </w:pPr>
            <w:r>
              <w:rPr>
                <w:rFonts w:ascii="Arial" w:cs="Arial" w:eastAsia="Arial" w:hAnsi="Arial"/>
                <w:sz w:val="19"/>
                <w:szCs w:val="19"/>
                <w:color w:val="auto"/>
              </w:rPr>
              <w:t>Ending balance</w:t>
            </w:r>
          </w:p>
        </w:tc>
        <w:tc>
          <w:tcPr>
            <w:tcW w:w="780" w:type="dxa"/>
            <w:vAlign w:val="bottom"/>
            <w:tcBorders>
              <w:top w:val="single" w:sz="8" w:color="auto"/>
            </w:tcBorders>
            <w:shd w:val="clear" w:color="auto" w:fill="FDFDFD"/>
          </w:tcPr>
          <w:p>
            <w:pPr>
              <w:jc w:val="right"/>
              <w:ind w:right="592"/>
              <w:spacing w:after="0" w:line="200" w:lineRule="exact"/>
              <w:rPr>
                <w:sz w:val="20"/>
                <w:szCs w:val="20"/>
                <w:color w:val="auto"/>
              </w:rPr>
            </w:pPr>
            <w:r>
              <w:rPr>
                <w:rFonts w:ascii="Arial" w:cs="Arial" w:eastAsia="Arial" w:hAnsi="Arial"/>
                <w:sz w:val="19"/>
                <w:szCs w:val="19"/>
                <w:color w:val="auto"/>
                <w:highlight w:val="white"/>
                <w:w w:val="75"/>
              </w:rPr>
              <w:t>$</w:t>
            </w:r>
          </w:p>
        </w:tc>
        <w:tc>
          <w:tcPr>
            <w:tcW w:w="460" w:type="dxa"/>
            <w:vAlign w:val="bottom"/>
            <w:tcBorders>
              <w:top w:val="single" w:sz="8" w:color="auto"/>
            </w:tcBorders>
            <w:shd w:val="clear" w:color="auto" w:fill="FDFDFD"/>
          </w:tcPr>
          <w:p>
            <w:pPr>
              <w:jc w:val="right"/>
              <w:spacing w:after="0" w:line="200" w:lineRule="exact"/>
              <w:rPr>
                <w:sz w:val="20"/>
                <w:szCs w:val="20"/>
                <w:color w:val="auto"/>
              </w:rPr>
            </w:pPr>
            <w:r>
              <w:rPr>
                <w:rFonts w:ascii="Arial" w:cs="Arial" w:eastAsia="Arial" w:hAnsi="Arial"/>
                <w:sz w:val="19"/>
                <w:szCs w:val="19"/>
                <w:color w:val="auto"/>
                <w:w w:val="88"/>
              </w:rPr>
              <w:t>3,136</w:t>
            </w:r>
          </w:p>
        </w:tc>
        <w:tc>
          <w:tcPr>
            <w:tcW w:w="220" w:type="dxa"/>
            <w:vAlign w:val="bottom"/>
            <w:tcBorders>
              <w:top w:val="single" w:sz="8" w:color="FDFDFD"/>
            </w:tcBorders>
            <w:shd w:val="clear" w:color="auto" w:fill="FDFDFD"/>
          </w:tcPr>
          <w:p>
            <w:pPr>
              <w:spacing w:after="0"/>
              <w:rPr>
                <w:sz w:val="17"/>
                <w:szCs w:val="17"/>
                <w:color w:val="auto"/>
              </w:rPr>
            </w:pPr>
          </w:p>
        </w:tc>
        <w:tc>
          <w:tcPr>
            <w:tcW w:w="400" w:type="dxa"/>
            <w:vAlign w:val="bottom"/>
            <w:tcBorders>
              <w:top w:val="single" w:sz="8" w:color="auto"/>
            </w:tcBorders>
            <w:shd w:val="clear" w:color="auto" w:fill="FDFDFD"/>
          </w:tcPr>
          <w:p>
            <w:pPr>
              <w:jc w:val="right"/>
              <w:ind w:right="205"/>
              <w:spacing w:after="0" w:line="200" w:lineRule="exact"/>
              <w:rPr>
                <w:sz w:val="20"/>
                <w:szCs w:val="20"/>
                <w:color w:val="auto"/>
              </w:rPr>
            </w:pPr>
            <w:r>
              <w:rPr>
                <w:rFonts w:ascii="Arial" w:cs="Arial" w:eastAsia="Arial" w:hAnsi="Arial"/>
                <w:sz w:val="19"/>
                <w:szCs w:val="19"/>
                <w:color w:val="auto"/>
                <w:highlight w:val="white"/>
                <w:w w:val="75"/>
              </w:rPr>
              <w:t>$</w:t>
            </w:r>
          </w:p>
        </w:tc>
        <w:tc>
          <w:tcPr>
            <w:tcW w:w="840" w:type="dxa"/>
            <w:vAlign w:val="bottom"/>
            <w:tcBorders>
              <w:top w:val="single" w:sz="8" w:color="auto"/>
            </w:tcBorders>
            <w:shd w:val="clear" w:color="auto" w:fill="FDFDFD"/>
          </w:tcPr>
          <w:p>
            <w:pPr>
              <w:jc w:val="right"/>
              <w:spacing w:after="0" w:line="200" w:lineRule="exact"/>
              <w:rPr>
                <w:sz w:val="20"/>
                <w:szCs w:val="20"/>
                <w:color w:val="auto"/>
              </w:rPr>
            </w:pPr>
            <w:r>
              <w:rPr>
                <w:rFonts w:ascii="Arial" w:cs="Arial" w:eastAsia="Arial" w:hAnsi="Arial"/>
                <w:sz w:val="19"/>
                <w:szCs w:val="19"/>
                <w:color w:val="auto"/>
              </w:rPr>
              <w:t>2,364</w:t>
            </w:r>
          </w:p>
        </w:tc>
        <w:tc>
          <w:tcPr>
            <w:tcW w:w="80" w:type="dxa"/>
            <w:vAlign w:val="bottom"/>
            <w:tcBorders>
              <w:top w:val="single" w:sz="8" w:color="FDFDFD"/>
            </w:tcBorders>
            <w:shd w:val="clear" w:color="auto" w:fill="FDFDFD"/>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-13335</wp:posOffset>
            </wp:positionV>
            <wp:extent cx="1740535" cy="533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93">
                      <a:extLst>
                        <a:ext uri="{28A0092B-C50C-407E-A947-70E740481C1C}"/>
                      </a:extLst>
                    </a:blip>
                    <a:srcRect/>
                    <a:stretch>
                      <a:fillRect/>
                    </a:stretch>
                  </pic:blipFill>
                  <pic:spPr bwMode="auto">
                    <a:xfrm>
                      <a:off x="0" y="0"/>
                      <a:ext cx="1740535" cy="53340"/>
                    </a:xfrm>
                    <a:prstGeom prst="rect">
                      <a:avLst/>
                    </a:prstGeom>
                    <a:noFill/>
                  </pic:spPr>
                </pic:pic>
              </a:graphicData>
            </a:graphic>
          </wp:anchor>
        </w:drawing>
      </w:r>
    </w:p>
    <w:p>
      <w:pPr>
        <w:spacing w:after="0" w:line="198" w:lineRule="exact"/>
        <w:rPr>
          <w:sz w:val="20"/>
          <w:szCs w:val="20"/>
          <w:color w:val="auto"/>
        </w:rPr>
      </w:pPr>
    </w:p>
    <w:p>
      <w:pPr>
        <w:ind w:left="260" w:right="360"/>
        <w:spacing w:after="0" w:line="305" w:lineRule="auto"/>
        <w:rPr>
          <w:sz w:val="20"/>
          <w:szCs w:val="20"/>
          <w:color w:val="auto"/>
        </w:rPr>
      </w:pPr>
      <w:r>
        <w:rPr>
          <w:rFonts w:ascii="Arial" w:cs="Arial" w:eastAsia="Arial" w:hAnsi="Arial"/>
          <w:sz w:val="19"/>
          <w:szCs w:val="19"/>
          <w:color w:val="auto"/>
        </w:rPr>
        <w:t>It is the Company’s policy to include penalties and interest expense related to income taxes as a component of other expense and interest expense, respectively, as necessary. Management determined that no accrual for interest and penalties was required as of December 31, 2024.</w:t>
      </w:r>
    </w:p>
    <w:p>
      <w:pPr>
        <w:spacing w:after="0" w:line="116" w:lineRule="exact"/>
        <w:rPr>
          <w:sz w:val="20"/>
          <w:szCs w:val="20"/>
          <w:color w:val="auto"/>
        </w:rPr>
      </w:pPr>
    </w:p>
    <w:p>
      <w:pPr>
        <w:ind w:left="260" w:right="480"/>
        <w:spacing w:after="0" w:line="329" w:lineRule="auto"/>
        <w:rPr>
          <w:sz w:val="20"/>
          <w:szCs w:val="20"/>
          <w:color w:val="auto"/>
        </w:rPr>
      </w:pPr>
      <w:r>
        <w:rPr>
          <w:rFonts w:ascii="Arial" w:cs="Arial" w:eastAsia="Arial" w:hAnsi="Arial"/>
          <w:sz w:val="18"/>
          <w:szCs w:val="18"/>
          <w:color w:val="auto"/>
        </w:rPr>
        <w:t>The Company files tax returns in the U.S., United Kingdom, and Germany. Domestic tax returns will remain open for examination by the federal and state taxing authorities for three and four years, respectively, from the date of utilization of any net operating loss carryforwards or research and development credits.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14. SEGMENT REPORTING</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manages its business activities on a consolidated basis and operates in one reportable segment.</w:t>
      </w:r>
    </w:p>
    <w:p>
      <w:pPr>
        <w:spacing w:after="0" w:line="236" w:lineRule="exact"/>
        <w:rPr>
          <w:sz w:val="20"/>
          <w:szCs w:val="20"/>
          <w:color w:val="auto"/>
        </w:rPr>
      </w:pPr>
    </w:p>
    <w:p>
      <w:pPr>
        <w:ind w:left="260" w:right="300"/>
        <w:spacing w:after="0" w:line="329" w:lineRule="auto"/>
        <w:rPr>
          <w:sz w:val="20"/>
          <w:szCs w:val="20"/>
          <w:color w:val="auto"/>
        </w:rPr>
      </w:pPr>
      <w:r>
        <w:rPr>
          <w:rFonts w:ascii="Arial" w:cs="Arial" w:eastAsia="Arial" w:hAnsi="Arial"/>
          <w:sz w:val="18"/>
          <w:szCs w:val="18"/>
          <w:color w:val="auto"/>
        </w:rPr>
        <w:t>The Company’s chief operating decision maker (CODM) is the chief executive officer. The CODM makes decisions on resource allocation, assesses performance of the business, and monitors budget versus actual results using net loss. The CODM does not evaluate operating segment using asset or liability information.</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2240" w:h="15840" w:orient="portrait"/>
          <w:cols w:equalWidth="0" w:num="1">
            <w:col w:w="9360"/>
          </w:cols>
          <w:pgMar w:left="1440" w:top="1358" w:right="1440" w:bottom="624"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19"/>
          <w:szCs w:val="19"/>
          <w:b w:val="1"/>
          <w:bCs w:val="1"/>
          <w:color w:val="auto"/>
        </w:rPr>
        <w:t>SEER,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3" w:lineRule="exact"/>
        <w:rPr>
          <w:sz w:val="20"/>
          <w:szCs w:val="20"/>
          <w:color w:val="auto"/>
        </w:rPr>
      </w:pPr>
    </w:p>
    <w:p>
      <w:pPr>
        <w:ind w:left="260" w:right="1080"/>
        <w:spacing w:after="0" w:line="324" w:lineRule="auto"/>
        <w:rPr>
          <w:sz w:val="20"/>
          <w:szCs w:val="20"/>
          <w:color w:val="auto"/>
        </w:rPr>
      </w:pPr>
      <w:r>
        <w:rPr>
          <w:rFonts w:ascii="Arial" w:cs="Arial" w:eastAsia="Arial" w:hAnsi="Arial"/>
          <w:sz w:val="19"/>
          <w:szCs w:val="19"/>
          <w:color w:val="auto"/>
        </w:rPr>
        <w:t>The following table sets forth information on segment net loss, including significant segment expenses (in thousands):</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87"/>
        </w:trPr>
        <w:tc>
          <w:tcPr>
            <w:tcW w:w="58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920" w:type="dxa"/>
            <w:vAlign w:val="bottom"/>
            <w:gridSpan w:val="5"/>
            <w:shd w:val="clear" w:color="auto" w:fill="FDFDFD"/>
          </w:tcPr>
          <w:p>
            <w:pPr>
              <w:jc w:val="center"/>
              <w:ind w:right="220"/>
              <w:spacing w:after="0"/>
              <w:rPr>
                <w:sz w:val="20"/>
                <w:szCs w:val="20"/>
                <w:color w:val="auto"/>
              </w:rPr>
            </w:pPr>
            <w:r>
              <w:rPr>
                <w:rFonts w:ascii="Arial" w:cs="Arial" w:eastAsia="Arial" w:hAnsi="Arial"/>
                <w:sz w:val="15"/>
                <w:szCs w:val="15"/>
                <w:b w:val="1"/>
                <w:bCs w:val="1"/>
                <w:color w:val="auto"/>
                <w:w w:val="92"/>
              </w:rPr>
              <w:t>Year Ended December 31,</w:t>
            </w:r>
          </w:p>
        </w:tc>
      </w:tr>
      <w:tr>
        <w:trPr>
          <w:trHeight w:val="177"/>
        </w:trPr>
        <w:tc>
          <w:tcPr>
            <w:tcW w:w="5800" w:type="dxa"/>
            <w:vAlign w:val="bottom"/>
            <w:tcBorders>
              <w:top w:val="single" w:sz="8" w:color="FDFDFD"/>
              <w:bottom w:val="single" w:sz="8" w:color="D3ECED"/>
            </w:tcBorders>
            <w:shd w:val="clear" w:color="auto" w:fill="FDFDFD"/>
          </w:tcPr>
          <w:p>
            <w:pPr>
              <w:spacing w:after="0"/>
              <w:rPr>
                <w:sz w:val="15"/>
                <w:szCs w:val="15"/>
                <w:color w:val="auto"/>
              </w:rPr>
            </w:pPr>
          </w:p>
        </w:tc>
        <w:tc>
          <w:tcPr>
            <w:tcW w:w="120" w:type="dxa"/>
            <w:vAlign w:val="bottom"/>
            <w:tcBorders>
              <w:top w:val="single" w:sz="8" w:color="auto"/>
              <w:bottom w:val="single" w:sz="8" w:color="auto"/>
            </w:tcBorders>
            <w:shd w:val="clear" w:color="auto" w:fill="FDFDFD"/>
          </w:tcPr>
          <w:p>
            <w:pPr>
              <w:spacing w:after="0"/>
              <w:rPr>
                <w:sz w:val="15"/>
                <w:szCs w:val="15"/>
                <w:color w:val="auto"/>
              </w:rPr>
            </w:pPr>
          </w:p>
        </w:tc>
        <w:tc>
          <w:tcPr>
            <w:tcW w:w="1060" w:type="dxa"/>
            <w:vAlign w:val="bottom"/>
            <w:tcBorders>
              <w:top w:val="single" w:sz="8" w:color="auto"/>
              <w:bottom w:val="single" w:sz="8" w:color="auto"/>
            </w:tcBorders>
            <w:shd w:val="clear" w:color="auto" w:fill="FDFDFD"/>
          </w:tcPr>
          <w:p>
            <w:pPr>
              <w:jc w:val="right"/>
              <w:ind w:right="347"/>
              <w:spacing w:after="0"/>
              <w:rPr>
                <w:sz w:val="20"/>
                <w:szCs w:val="20"/>
                <w:color w:val="auto"/>
              </w:rPr>
            </w:pPr>
            <w:r>
              <w:rPr>
                <w:rFonts w:ascii="Arial" w:cs="Arial" w:eastAsia="Arial" w:hAnsi="Arial"/>
                <w:sz w:val="15"/>
                <w:szCs w:val="15"/>
                <w:b w:val="1"/>
                <w:bCs w:val="1"/>
                <w:color w:val="auto"/>
              </w:rPr>
              <w:t>2024</w:t>
            </w:r>
          </w:p>
        </w:tc>
        <w:tc>
          <w:tcPr>
            <w:tcW w:w="220" w:type="dxa"/>
            <w:vAlign w:val="bottom"/>
            <w:tcBorders>
              <w:top w:val="single" w:sz="8" w:color="auto"/>
              <w:bottom w:val="single" w:sz="8" w:color="D3ECED"/>
            </w:tcBorders>
            <w:shd w:val="clear" w:color="auto" w:fill="FDFDFD"/>
          </w:tcPr>
          <w:p>
            <w:pPr>
              <w:spacing w:after="0"/>
              <w:rPr>
                <w:sz w:val="15"/>
                <w:szCs w:val="15"/>
                <w:color w:val="auto"/>
              </w:rPr>
            </w:pPr>
          </w:p>
        </w:tc>
        <w:tc>
          <w:tcPr>
            <w:tcW w:w="120" w:type="dxa"/>
            <w:vAlign w:val="bottom"/>
            <w:tcBorders>
              <w:top w:val="single" w:sz="8" w:color="auto"/>
              <w:bottom w:val="single" w:sz="8" w:color="auto"/>
            </w:tcBorders>
            <w:shd w:val="clear" w:color="auto" w:fill="FDFDFD"/>
          </w:tcPr>
          <w:p>
            <w:pPr>
              <w:spacing w:after="0"/>
              <w:rPr>
                <w:sz w:val="15"/>
                <w:szCs w:val="15"/>
                <w:color w:val="auto"/>
              </w:rPr>
            </w:pPr>
          </w:p>
        </w:tc>
        <w:tc>
          <w:tcPr>
            <w:tcW w:w="1440" w:type="dxa"/>
            <w:vAlign w:val="bottom"/>
            <w:tcBorders>
              <w:top w:val="single" w:sz="8" w:color="auto"/>
              <w:bottom w:val="single" w:sz="8" w:color="auto"/>
            </w:tcBorders>
            <w:shd w:val="clear" w:color="auto" w:fill="FDFDFD"/>
          </w:tcPr>
          <w:p>
            <w:pPr>
              <w:jc w:val="right"/>
              <w:ind w:right="546"/>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top w:val="single" w:sz="8" w:color="FDFDFD"/>
              <w:bottom w:val="single" w:sz="8" w:color="D3ECED"/>
            </w:tcBorders>
            <w:shd w:val="clear" w:color="auto" w:fill="FDFDFD"/>
          </w:tcPr>
          <w:p>
            <w:pPr>
              <w:spacing w:after="0"/>
              <w:rPr>
                <w:sz w:val="15"/>
                <w:szCs w:val="15"/>
                <w:color w:val="auto"/>
              </w:rPr>
            </w:pPr>
          </w:p>
        </w:tc>
      </w:tr>
      <w:tr>
        <w:trPr>
          <w:trHeight w:val="220"/>
        </w:trPr>
        <w:tc>
          <w:tcPr>
            <w:tcW w:w="5800" w:type="dxa"/>
            <w:vAlign w:val="bottom"/>
            <w:shd w:val="clear" w:color="auto" w:fill="D3ECED"/>
          </w:tcPr>
          <w:p>
            <w:pPr>
              <w:spacing w:after="0"/>
              <w:rPr>
                <w:sz w:val="20"/>
                <w:szCs w:val="20"/>
                <w:color w:val="auto"/>
              </w:rPr>
            </w:pPr>
            <w:r>
              <w:rPr>
                <w:rFonts w:ascii="Arial" w:cs="Arial" w:eastAsia="Arial" w:hAnsi="Arial"/>
                <w:sz w:val="19"/>
                <w:szCs w:val="19"/>
                <w:color w:val="auto"/>
              </w:rPr>
              <w:t>Revenue</w:t>
            </w:r>
          </w:p>
        </w:tc>
        <w:tc>
          <w:tcPr>
            <w:tcW w:w="120" w:type="dxa"/>
            <w:vAlign w:val="bottom"/>
            <w:shd w:val="clear" w:color="auto" w:fill="D3ECED"/>
          </w:tcPr>
          <w:p>
            <w:pPr>
              <w:jc w:val="right"/>
              <w:spacing w:after="0"/>
              <w:rPr>
                <w:sz w:val="20"/>
                <w:szCs w:val="20"/>
                <w:color w:val="auto"/>
              </w:rPr>
            </w:pPr>
            <w:r>
              <w:rPr>
                <w:rFonts w:ascii="Arial" w:cs="Arial" w:eastAsia="Arial" w:hAnsi="Arial"/>
                <w:sz w:val="19"/>
                <w:szCs w:val="19"/>
                <w:color w:val="auto"/>
                <w:w w:val="75"/>
                <w:shd w:val="clear" w:color="auto" w:fill="D3ECED"/>
              </w:rPr>
              <w:t>$</w:t>
            </w:r>
          </w:p>
        </w:tc>
        <w:tc>
          <w:tcPr>
            <w:tcW w:w="10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14,170</w:t>
            </w:r>
          </w:p>
        </w:tc>
        <w:tc>
          <w:tcPr>
            <w:tcW w:w="220" w:type="dxa"/>
            <w:vAlign w:val="bottom"/>
            <w:shd w:val="clear" w:color="auto" w:fill="D3ECED"/>
          </w:tcPr>
          <w:p>
            <w:pPr>
              <w:spacing w:after="0"/>
              <w:rPr>
                <w:sz w:val="19"/>
                <w:szCs w:val="19"/>
                <w:color w:val="auto"/>
              </w:rPr>
            </w:pPr>
          </w:p>
        </w:tc>
        <w:tc>
          <w:tcPr>
            <w:tcW w:w="120" w:type="dxa"/>
            <w:vAlign w:val="bottom"/>
            <w:shd w:val="clear" w:color="auto" w:fill="D3ECED"/>
          </w:tcPr>
          <w:p>
            <w:pPr>
              <w:jc w:val="center"/>
              <w:spacing w:after="0"/>
              <w:rPr>
                <w:sz w:val="20"/>
                <w:szCs w:val="20"/>
                <w:color w:val="auto"/>
              </w:rPr>
            </w:pPr>
            <w:r>
              <w:rPr>
                <w:rFonts w:ascii="Arial" w:cs="Arial" w:eastAsia="Arial" w:hAnsi="Arial"/>
                <w:sz w:val="19"/>
                <w:szCs w:val="19"/>
                <w:color w:val="auto"/>
                <w:w w:val="94"/>
                <w:shd w:val="clear" w:color="auto" w:fill="D3ECED"/>
              </w:rPr>
              <w:t>$</w:t>
            </w:r>
          </w:p>
        </w:tc>
        <w:tc>
          <w:tcPr>
            <w:tcW w:w="14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16,661</w:t>
            </w:r>
          </w:p>
        </w:tc>
        <w:tc>
          <w:tcPr>
            <w:tcW w:w="80" w:type="dxa"/>
            <w:vAlign w:val="bottom"/>
            <w:shd w:val="clear" w:color="auto" w:fill="D3ECED"/>
          </w:tcPr>
          <w:p>
            <w:pPr>
              <w:spacing w:after="0"/>
              <w:rPr>
                <w:sz w:val="19"/>
                <w:szCs w:val="19"/>
                <w:color w:val="auto"/>
              </w:rPr>
            </w:pPr>
          </w:p>
        </w:tc>
      </w:tr>
      <w:tr>
        <w:trPr>
          <w:trHeight w:val="230"/>
        </w:trPr>
        <w:tc>
          <w:tcPr>
            <w:tcW w:w="5800" w:type="dxa"/>
            <w:vAlign w:val="bottom"/>
            <w:tcBorders>
              <w:bottom w:val="single" w:sz="8" w:color="D3ECED"/>
            </w:tcBorders>
            <w:shd w:val="clear" w:color="auto" w:fill="FDFDFD"/>
          </w:tcPr>
          <w:p>
            <w:pPr>
              <w:spacing w:after="0"/>
              <w:rPr>
                <w:sz w:val="20"/>
                <w:szCs w:val="20"/>
                <w:color w:val="auto"/>
              </w:rPr>
            </w:pPr>
            <w:r>
              <w:rPr>
                <w:rFonts w:ascii="Arial" w:cs="Arial" w:eastAsia="Arial" w:hAnsi="Arial"/>
                <w:sz w:val="19"/>
                <w:szCs w:val="19"/>
                <w:color w:val="auto"/>
              </w:rPr>
              <w:t>Cost of revenue</w:t>
            </w:r>
          </w:p>
        </w:tc>
        <w:tc>
          <w:tcPr>
            <w:tcW w:w="120" w:type="dxa"/>
            <w:vAlign w:val="bottom"/>
            <w:tcBorders>
              <w:bottom w:val="single" w:sz="8" w:color="auto"/>
            </w:tcBorders>
            <w:shd w:val="clear" w:color="auto" w:fill="FDFDFD"/>
          </w:tcPr>
          <w:p>
            <w:pPr>
              <w:spacing w:after="0"/>
              <w:rPr>
                <w:sz w:val="20"/>
                <w:szCs w:val="20"/>
                <w:color w:val="auto"/>
              </w:rPr>
            </w:pPr>
          </w:p>
        </w:tc>
        <w:tc>
          <w:tcPr>
            <w:tcW w:w="106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7,115</w:t>
            </w:r>
          </w:p>
        </w:tc>
        <w:tc>
          <w:tcPr>
            <w:tcW w:w="220" w:type="dxa"/>
            <w:vAlign w:val="bottom"/>
            <w:tcBorders>
              <w:bottom w:val="single" w:sz="8" w:color="D3ECED"/>
            </w:tcBorders>
            <w:shd w:val="clear" w:color="auto" w:fill="FDFDFD"/>
          </w:tcPr>
          <w:p>
            <w:pPr>
              <w:spacing w:after="0"/>
              <w:rPr>
                <w:sz w:val="20"/>
                <w:szCs w:val="20"/>
                <w:color w:val="auto"/>
              </w:rPr>
            </w:pPr>
          </w:p>
        </w:tc>
        <w:tc>
          <w:tcPr>
            <w:tcW w:w="120" w:type="dxa"/>
            <w:vAlign w:val="bottom"/>
            <w:tcBorders>
              <w:bottom w:val="single" w:sz="8" w:color="auto"/>
            </w:tcBorders>
            <w:shd w:val="clear" w:color="auto" w:fill="FDFDFD"/>
          </w:tcPr>
          <w:p>
            <w:pPr>
              <w:spacing w:after="0"/>
              <w:rPr>
                <w:sz w:val="20"/>
                <w:szCs w:val="20"/>
                <w:color w:val="auto"/>
              </w:rPr>
            </w:pPr>
          </w:p>
        </w:tc>
        <w:tc>
          <w:tcPr>
            <w:tcW w:w="1440" w:type="dxa"/>
            <w:vAlign w:val="bottom"/>
            <w:tcBorders>
              <w:bottom w:val="single" w:sz="8" w:color="auto"/>
            </w:tcBorders>
            <w:shd w:val="clear" w:color="auto" w:fill="FDFDFD"/>
          </w:tcPr>
          <w:p>
            <w:pPr>
              <w:jc w:val="right"/>
              <w:spacing w:after="0"/>
              <w:rPr>
                <w:sz w:val="20"/>
                <w:szCs w:val="20"/>
                <w:color w:val="auto"/>
              </w:rPr>
            </w:pPr>
            <w:r>
              <w:rPr>
                <w:rFonts w:ascii="Arial" w:cs="Arial" w:eastAsia="Arial" w:hAnsi="Arial"/>
                <w:sz w:val="19"/>
                <w:szCs w:val="19"/>
                <w:color w:val="auto"/>
              </w:rPr>
              <w:t>8,155</w:t>
            </w:r>
          </w:p>
        </w:tc>
        <w:tc>
          <w:tcPr>
            <w:tcW w:w="80" w:type="dxa"/>
            <w:vAlign w:val="bottom"/>
            <w:tcBorders>
              <w:bottom w:val="single" w:sz="8" w:color="D3ECED"/>
            </w:tcBorders>
            <w:shd w:val="clear" w:color="auto" w:fill="FDFDFD"/>
          </w:tcPr>
          <w:p>
            <w:pPr>
              <w:spacing w:after="0"/>
              <w:rPr>
                <w:sz w:val="20"/>
                <w:szCs w:val="20"/>
                <w:color w:val="auto"/>
              </w:rPr>
            </w:pPr>
          </w:p>
        </w:tc>
      </w:tr>
      <w:tr>
        <w:trPr>
          <w:trHeight w:val="218"/>
        </w:trPr>
        <w:tc>
          <w:tcPr>
            <w:tcW w:w="5800" w:type="dxa"/>
            <w:vAlign w:val="bottom"/>
            <w:shd w:val="clear" w:color="auto" w:fill="D3ECED"/>
          </w:tcPr>
          <w:p>
            <w:pPr>
              <w:spacing w:after="0"/>
              <w:rPr>
                <w:sz w:val="20"/>
                <w:szCs w:val="20"/>
                <w:color w:val="auto"/>
              </w:rPr>
            </w:pPr>
            <w:r>
              <w:rPr>
                <w:rFonts w:ascii="Arial" w:cs="Arial" w:eastAsia="Arial" w:hAnsi="Arial"/>
                <w:sz w:val="19"/>
                <w:szCs w:val="19"/>
                <w:color w:val="auto"/>
              </w:rPr>
              <w:t>Gross profit</w:t>
            </w:r>
          </w:p>
        </w:tc>
        <w:tc>
          <w:tcPr>
            <w:tcW w:w="120" w:type="dxa"/>
            <w:vAlign w:val="bottom"/>
            <w:shd w:val="clear" w:color="auto" w:fill="D3ECED"/>
          </w:tcPr>
          <w:p>
            <w:pPr>
              <w:spacing w:after="0"/>
              <w:rPr>
                <w:sz w:val="18"/>
                <w:szCs w:val="18"/>
                <w:color w:val="auto"/>
              </w:rPr>
            </w:pPr>
          </w:p>
        </w:tc>
        <w:tc>
          <w:tcPr>
            <w:tcW w:w="10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7,055</w:t>
            </w:r>
          </w:p>
        </w:tc>
        <w:tc>
          <w:tcPr>
            <w:tcW w:w="220" w:type="dxa"/>
            <w:vAlign w:val="bottom"/>
            <w:shd w:val="clear" w:color="auto" w:fill="D3ECED"/>
          </w:tcPr>
          <w:p>
            <w:pPr>
              <w:spacing w:after="0"/>
              <w:rPr>
                <w:sz w:val="18"/>
                <w:szCs w:val="18"/>
                <w:color w:val="auto"/>
              </w:rPr>
            </w:pPr>
          </w:p>
        </w:tc>
        <w:tc>
          <w:tcPr>
            <w:tcW w:w="120" w:type="dxa"/>
            <w:vAlign w:val="bottom"/>
            <w:shd w:val="clear" w:color="auto" w:fill="D3ECED"/>
          </w:tcPr>
          <w:p>
            <w:pPr>
              <w:spacing w:after="0"/>
              <w:rPr>
                <w:sz w:val="18"/>
                <w:szCs w:val="18"/>
                <w:color w:val="auto"/>
              </w:rPr>
            </w:pPr>
          </w:p>
        </w:tc>
        <w:tc>
          <w:tcPr>
            <w:tcW w:w="14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8,506</w:t>
            </w:r>
          </w:p>
        </w:tc>
        <w:tc>
          <w:tcPr>
            <w:tcW w:w="80" w:type="dxa"/>
            <w:vAlign w:val="bottom"/>
            <w:shd w:val="clear" w:color="auto" w:fill="D3ECED"/>
          </w:tcPr>
          <w:p>
            <w:pPr>
              <w:spacing w:after="0"/>
              <w:rPr>
                <w:sz w:val="18"/>
                <w:szCs w:val="18"/>
                <w:color w:val="auto"/>
              </w:rPr>
            </w:pPr>
          </w:p>
        </w:tc>
      </w:tr>
      <w:tr>
        <w:trPr>
          <w:trHeight w:val="230"/>
        </w:trPr>
        <w:tc>
          <w:tcPr>
            <w:tcW w:w="5800" w:type="dxa"/>
            <w:vAlign w:val="bottom"/>
            <w:shd w:val="clear" w:color="auto" w:fill="FDFDFD"/>
          </w:tcPr>
          <w:p>
            <w:pPr>
              <w:spacing w:after="0"/>
              <w:rPr>
                <w:sz w:val="20"/>
                <w:szCs w:val="20"/>
                <w:color w:val="auto"/>
              </w:rPr>
            </w:pPr>
            <w:r>
              <w:rPr>
                <w:rFonts w:ascii="Arial" w:cs="Arial" w:eastAsia="Arial" w:hAnsi="Arial"/>
                <w:sz w:val="19"/>
                <w:szCs w:val="19"/>
                <w:color w:val="auto"/>
              </w:rPr>
              <w:t>Operating expenses:</w:t>
            </w:r>
          </w:p>
        </w:tc>
        <w:tc>
          <w:tcPr>
            <w:tcW w:w="120" w:type="dxa"/>
            <w:vAlign w:val="bottom"/>
            <w:shd w:val="clear" w:color="auto" w:fill="FDFDFD"/>
          </w:tcPr>
          <w:p>
            <w:pPr>
              <w:spacing w:after="0"/>
              <w:rPr>
                <w:sz w:val="20"/>
                <w:szCs w:val="20"/>
                <w:color w:val="auto"/>
              </w:rPr>
            </w:pPr>
          </w:p>
        </w:tc>
        <w:tc>
          <w:tcPr>
            <w:tcW w:w="1060" w:type="dxa"/>
            <w:vAlign w:val="bottom"/>
            <w:shd w:val="clear" w:color="auto" w:fill="FDFDFD"/>
          </w:tcPr>
          <w:p>
            <w:pPr>
              <w:spacing w:after="0"/>
              <w:rPr>
                <w:sz w:val="20"/>
                <w:szCs w:val="20"/>
                <w:color w:val="auto"/>
              </w:rPr>
            </w:pPr>
          </w:p>
        </w:tc>
        <w:tc>
          <w:tcPr>
            <w:tcW w:w="22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1440" w:type="dxa"/>
            <w:vAlign w:val="bottom"/>
            <w:shd w:val="clear" w:color="auto" w:fill="FDFDFD"/>
          </w:tcPr>
          <w:p>
            <w:pPr>
              <w:spacing w:after="0"/>
              <w:rPr>
                <w:sz w:val="20"/>
                <w:szCs w:val="20"/>
                <w:color w:val="auto"/>
              </w:rPr>
            </w:pPr>
          </w:p>
        </w:tc>
        <w:tc>
          <w:tcPr>
            <w:tcW w:w="80" w:type="dxa"/>
            <w:vAlign w:val="bottom"/>
            <w:shd w:val="clear" w:color="auto" w:fill="FDFDFD"/>
          </w:tcPr>
          <w:p>
            <w:pPr>
              <w:spacing w:after="0"/>
              <w:rPr>
                <w:sz w:val="20"/>
                <w:szCs w:val="20"/>
                <w:color w:val="auto"/>
              </w:rPr>
            </w:pPr>
          </w:p>
        </w:tc>
      </w:tr>
      <w:tr>
        <w:trPr>
          <w:trHeight w:val="230"/>
        </w:trPr>
        <w:tc>
          <w:tcPr>
            <w:tcW w:w="5800" w:type="dxa"/>
            <w:vAlign w:val="bottom"/>
            <w:shd w:val="clear" w:color="auto" w:fill="D3ECED"/>
          </w:tcPr>
          <w:p>
            <w:pPr>
              <w:ind w:left="180"/>
              <w:spacing w:after="0"/>
              <w:rPr>
                <w:sz w:val="20"/>
                <w:szCs w:val="20"/>
                <w:color w:val="auto"/>
              </w:rPr>
            </w:pPr>
            <w:r>
              <w:rPr>
                <w:rFonts w:ascii="Arial" w:cs="Arial" w:eastAsia="Arial" w:hAnsi="Arial"/>
                <w:sz w:val="19"/>
                <w:szCs w:val="19"/>
                <w:color w:val="auto"/>
              </w:rPr>
              <w:t>Compensation expenses</w:t>
            </w:r>
          </w:p>
        </w:tc>
        <w:tc>
          <w:tcPr>
            <w:tcW w:w="120" w:type="dxa"/>
            <w:vAlign w:val="bottom"/>
            <w:shd w:val="clear" w:color="auto" w:fill="D3ECED"/>
          </w:tcPr>
          <w:p>
            <w:pPr>
              <w:spacing w:after="0"/>
              <w:rPr>
                <w:sz w:val="20"/>
                <w:szCs w:val="20"/>
                <w:color w:val="auto"/>
              </w:rPr>
            </w:pPr>
          </w:p>
        </w:tc>
        <w:tc>
          <w:tcPr>
            <w:tcW w:w="10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36,774</w:t>
            </w:r>
          </w:p>
        </w:tc>
        <w:tc>
          <w:tcPr>
            <w:tcW w:w="22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14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41,278</w:t>
            </w:r>
          </w:p>
        </w:tc>
        <w:tc>
          <w:tcPr>
            <w:tcW w:w="80" w:type="dxa"/>
            <w:vAlign w:val="bottom"/>
            <w:shd w:val="clear" w:color="auto" w:fill="D3ECED"/>
          </w:tcPr>
          <w:p>
            <w:pPr>
              <w:spacing w:after="0"/>
              <w:rPr>
                <w:sz w:val="20"/>
                <w:szCs w:val="20"/>
                <w:color w:val="auto"/>
              </w:rPr>
            </w:pPr>
          </w:p>
        </w:tc>
      </w:tr>
      <w:tr>
        <w:trPr>
          <w:trHeight w:val="230"/>
        </w:trPr>
        <w:tc>
          <w:tcPr>
            <w:tcW w:w="5800" w:type="dxa"/>
            <w:vAlign w:val="bottom"/>
            <w:shd w:val="clear" w:color="auto" w:fill="FDFDFD"/>
          </w:tcPr>
          <w:p>
            <w:pPr>
              <w:ind w:left="180"/>
              <w:spacing w:after="0"/>
              <w:rPr>
                <w:sz w:val="20"/>
                <w:szCs w:val="20"/>
                <w:color w:val="auto"/>
              </w:rPr>
            </w:pPr>
            <w:r>
              <w:rPr>
                <w:rFonts w:ascii="Arial" w:cs="Arial" w:eastAsia="Arial" w:hAnsi="Arial"/>
                <w:sz w:val="19"/>
                <w:szCs w:val="19"/>
                <w:color w:val="auto"/>
              </w:rPr>
              <w:t>Stock-based compensation</w:t>
            </w:r>
          </w:p>
        </w:tc>
        <w:tc>
          <w:tcPr>
            <w:tcW w:w="120" w:type="dxa"/>
            <w:vAlign w:val="bottom"/>
            <w:shd w:val="clear" w:color="auto" w:fill="FDFDFD"/>
          </w:tcPr>
          <w:p>
            <w:pPr>
              <w:spacing w:after="0"/>
              <w:rPr>
                <w:sz w:val="20"/>
                <w:szCs w:val="20"/>
                <w:color w:val="auto"/>
              </w:rPr>
            </w:pPr>
          </w:p>
        </w:tc>
        <w:tc>
          <w:tcPr>
            <w:tcW w:w="10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28,207</w:t>
            </w:r>
          </w:p>
        </w:tc>
        <w:tc>
          <w:tcPr>
            <w:tcW w:w="22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14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34,425</w:t>
            </w:r>
          </w:p>
        </w:tc>
        <w:tc>
          <w:tcPr>
            <w:tcW w:w="80" w:type="dxa"/>
            <w:vAlign w:val="bottom"/>
            <w:shd w:val="clear" w:color="auto" w:fill="FDFDFD"/>
          </w:tcPr>
          <w:p>
            <w:pPr>
              <w:spacing w:after="0"/>
              <w:rPr>
                <w:sz w:val="20"/>
                <w:szCs w:val="20"/>
                <w:color w:val="auto"/>
              </w:rPr>
            </w:pPr>
          </w:p>
        </w:tc>
      </w:tr>
      <w:tr>
        <w:trPr>
          <w:trHeight w:val="233"/>
        </w:trPr>
        <w:tc>
          <w:tcPr>
            <w:tcW w:w="5800" w:type="dxa"/>
            <w:vAlign w:val="bottom"/>
            <w:shd w:val="clear" w:color="auto" w:fill="D3ECED"/>
          </w:tcPr>
          <w:p>
            <w:pPr>
              <w:ind w:left="180"/>
              <w:spacing w:after="0"/>
              <w:rPr>
                <w:sz w:val="20"/>
                <w:szCs w:val="20"/>
                <w:color w:val="auto"/>
              </w:rPr>
            </w:pPr>
            <w:r>
              <w:rPr>
                <w:rFonts w:ascii="Arial" w:cs="Arial" w:eastAsia="Arial" w:hAnsi="Arial"/>
                <w:sz w:val="19"/>
                <w:szCs w:val="19"/>
                <w:color w:val="auto"/>
              </w:rPr>
              <w:t>Professional expenses</w:t>
            </w:r>
          </w:p>
        </w:tc>
        <w:tc>
          <w:tcPr>
            <w:tcW w:w="120" w:type="dxa"/>
            <w:vAlign w:val="bottom"/>
            <w:shd w:val="clear" w:color="auto" w:fill="D3ECED"/>
          </w:tcPr>
          <w:p>
            <w:pPr>
              <w:spacing w:after="0"/>
              <w:rPr>
                <w:sz w:val="20"/>
                <w:szCs w:val="20"/>
                <w:color w:val="auto"/>
              </w:rPr>
            </w:pPr>
          </w:p>
        </w:tc>
        <w:tc>
          <w:tcPr>
            <w:tcW w:w="10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15,032</w:t>
            </w:r>
          </w:p>
        </w:tc>
        <w:tc>
          <w:tcPr>
            <w:tcW w:w="22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14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9,423</w:t>
            </w:r>
          </w:p>
        </w:tc>
        <w:tc>
          <w:tcPr>
            <w:tcW w:w="80" w:type="dxa"/>
            <w:vAlign w:val="bottom"/>
            <w:shd w:val="clear" w:color="auto" w:fill="D3ECED"/>
          </w:tcPr>
          <w:p>
            <w:pPr>
              <w:spacing w:after="0"/>
              <w:rPr>
                <w:sz w:val="20"/>
                <w:szCs w:val="20"/>
                <w:color w:val="auto"/>
              </w:rPr>
            </w:pPr>
          </w:p>
        </w:tc>
      </w:tr>
      <w:tr>
        <w:trPr>
          <w:trHeight w:val="230"/>
        </w:trPr>
        <w:tc>
          <w:tcPr>
            <w:tcW w:w="5800" w:type="dxa"/>
            <w:vAlign w:val="bottom"/>
            <w:shd w:val="clear" w:color="auto" w:fill="FDFDFD"/>
          </w:tcPr>
          <w:p>
            <w:pPr>
              <w:ind w:left="180"/>
              <w:spacing w:after="0"/>
              <w:rPr>
                <w:sz w:val="20"/>
                <w:szCs w:val="20"/>
                <w:color w:val="auto"/>
              </w:rPr>
            </w:pPr>
            <w:r>
              <w:rPr>
                <w:rFonts w:ascii="Arial" w:cs="Arial" w:eastAsia="Arial" w:hAnsi="Arial"/>
                <w:sz w:val="19"/>
                <w:szCs w:val="19"/>
                <w:color w:val="auto"/>
              </w:rPr>
              <w:t>Business expenses</w:t>
            </w:r>
          </w:p>
        </w:tc>
        <w:tc>
          <w:tcPr>
            <w:tcW w:w="120" w:type="dxa"/>
            <w:vAlign w:val="bottom"/>
            <w:shd w:val="clear" w:color="auto" w:fill="FDFDFD"/>
          </w:tcPr>
          <w:p>
            <w:pPr>
              <w:spacing w:after="0"/>
              <w:rPr>
                <w:sz w:val="20"/>
                <w:szCs w:val="20"/>
                <w:color w:val="auto"/>
              </w:rPr>
            </w:pPr>
          </w:p>
        </w:tc>
        <w:tc>
          <w:tcPr>
            <w:tcW w:w="10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9,852</w:t>
            </w:r>
          </w:p>
        </w:tc>
        <w:tc>
          <w:tcPr>
            <w:tcW w:w="22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14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11,997</w:t>
            </w:r>
          </w:p>
        </w:tc>
        <w:tc>
          <w:tcPr>
            <w:tcW w:w="80" w:type="dxa"/>
            <w:vAlign w:val="bottom"/>
            <w:shd w:val="clear" w:color="auto" w:fill="FDFDFD"/>
          </w:tcPr>
          <w:p>
            <w:pPr>
              <w:spacing w:after="0"/>
              <w:rPr>
                <w:sz w:val="20"/>
                <w:szCs w:val="20"/>
                <w:color w:val="auto"/>
              </w:rPr>
            </w:pPr>
          </w:p>
        </w:tc>
      </w:tr>
      <w:tr>
        <w:trPr>
          <w:trHeight w:val="230"/>
        </w:trPr>
        <w:tc>
          <w:tcPr>
            <w:tcW w:w="5800" w:type="dxa"/>
            <w:vAlign w:val="bottom"/>
            <w:shd w:val="clear" w:color="auto" w:fill="D3ECED"/>
          </w:tcPr>
          <w:p>
            <w:pPr>
              <w:ind w:left="180"/>
              <w:spacing w:after="0"/>
              <w:rPr>
                <w:sz w:val="20"/>
                <w:szCs w:val="20"/>
                <w:color w:val="auto"/>
              </w:rPr>
            </w:pPr>
            <w:r>
              <w:rPr>
                <w:rFonts w:ascii="Arial" w:cs="Arial" w:eastAsia="Arial" w:hAnsi="Arial"/>
                <w:sz w:val="19"/>
                <w:szCs w:val="19"/>
                <w:color w:val="auto"/>
              </w:rPr>
              <w:t>Facility expenses</w:t>
            </w:r>
          </w:p>
        </w:tc>
        <w:tc>
          <w:tcPr>
            <w:tcW w:w="120" w:type="dxa"/>
            <w:vAlign w:val="bottom"/>
            <w:shd w:val="clear" w:color="auto" w:fill="D3ECED"/>
          </w:tcPr>
          <w:p>
            <w:pPr>
              <w:spacing w:after="0"/>
              <w:rPr>
                <w:sz w:val="20"/>
                <w:szCs w:val="20"/>
                <w:color w:val="auto"/>
              </w:rPr>
            </w:pPr>
          </w:p>
        </w:tc>
        <w:tc>
          <w:tcPr>
            <w:tcW w:w="10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6,379</w:t>
            </w:r>
          </w:p>
        </w:tc>
        <w:tc>
          <w:tcPr>
            <w:tcW w:w="22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14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5,500</w:t>
            </w:r>
          </w:p>
        </w:tc>
        <w:tc>
          <w:tcPr>
            <w:tcW w:w="80" w:type="dxa"/>
            <w:vAlign w:val="bottom"/>
            <w:shd w:val="clear" w:color="auto" w:fill="D3ECED"/>
          </w:tcPr>
          <w:p>
            <w:pPr>
              <w:spacing w:after="0"/>
              <w:rPr>
                <w:sz w:val="20"/>
                <w:szCs w:val="20"/>
                <w:color w:val="auto"/>
              </w:rPr>
            </w:pPr>
          </w:p>
        </w:tc>
      </w:tr>
      <w:tr>
        <w:trPr>
          <w:trHeight w:val="230"/>
        </w:trPr>
        <w:tc>
          <w:tcPr>
            <w:tcW w:w="5800" w:type="dxa"/>
            <w:vAlign w:val="bottom"/>
            <w:shd w:val="clear" w:color="auto" w:fill="FDFDFD"/>
          </w:tcPr>
          <w:p>
            <w:pPr>
              <w:ind w:left="180"/>
              <w:spacing w:after="0"/>
              <w:rPr>
                <w:sz w:val="20"/>
                <w:szCs w:val="20"/>
                <w:color w:val="auto"/>
              </w:rPr>
            </w:pPr>
            <w:r>
              <w:rPr>
                <w:rFonts w:ascii="Arial" w:cs="Arial" w:eastAsia="Arial" w:hAnsi="Arial"/>
                <w:sz w:val="19"/>
                <w:szCs w:val="19"/>
                <w:color w:val="auto"/>
              </w:rPr>
              <w:t>Depreciation and amortization</w:t>
            </w:r>
          </w:p>
        </w:tc>
        <w:tc>
          <w:tcPr>
            <w:tcW w:w="120" w:type="dxa"/>
            <w:vAlign w:val="bottom"/>
            <w:shd w:val="clear" w:color="auto" w:fill="FDFDFD"/>
          </w:tcPr>
          <w:p>
            <w:pPr>
              <w:spacing w:after="0"/>
              <w:rPr>
                <w:sz w:val="20"/>
                <w:szCs w:val="20"/>
                <w:color w:val="auto"/>
              </w:rPr>
            </w:pPr>
          </w:p>
        </w:tc>
        <w:tc>
          <w:tcPr>
            <w:tcW w:w="10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5,836</w:t>
            </w:r>
          </w:p>
        </w:tc>
        <w:tc>
          <w:tcPr>
            <w:tcW w:w="22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14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5,352</w:t>
            </w:r>
          </w:p>
        </w:tc>
        <w:tc>
          <w:tcPr>
            <w:tcW w:w="80" w:type="dxa"/>
            <w:vAlign w:val="bottom"/>
            <w:shd w:val="clear" w:color="auto" w:fill="FDFDFD"/>
          </w:tcPr>
          <w:p>
            <w:pPr>
              <w:spacing w:after="0"/>
              <w:rPr>
                <w:sz w:val="20"/>
                <w:szCs w:val="20"/>
                <w:color w:val="auto"/>
              </w:rPr>
            </w:pPr>
          </w:p>
        </w:tc>
      </w:tr>
      <w:tr>
        <w:trPr>
          <w:trHeight w:val="255"/>
        </w:trPr>
        <w:tc>
          <w:tcPr>
            <w:tcW w:w="5800" w:type="dxa"/>
            <w:vAlign w:val="bottom"/>
            <w:tcBorders>
              <w:bottom w:val="single" w:sz="8" w:color="D3ECED"/>
            </w:tcBorders>
            <w:shd w:val="clear" w:color="auto" w:fill="D3ECED"/>
          </w:tcPr>
          <w:p>
            <w:pPr>
              <w:ind w:left="180"/>
              <w:spacing w:after="0"/>
              <w:rPr>
                <w:sz w:val="20"/>
                <w:szCs w:val="20"/>
                <w:color w:val="auto"/>
              </w:rPr>
            </w:pPr>
            <w:r>
              <w:rPr>
                <w:rFonts w:ascii="Arial" w:cs="Arial" w:eastAsia="Arial" w:hAnsi="Arial"/>
                <w:sz w:val="19"/>
                <w:szCs w:val="19"/>
                <w:color w:val="auto"/>
              </w:rPr>
              <w:t xml:space="preserve">Other </w:t>
            </w:r>
            <w:r>
              <w:rPr>
                <w:rFonts w:ascii="Arial" w:cs="Arial" w:eastAsia="Arial" w:hAnsi="Arial"/>
                <w:sz w:val="9"/>
                <w:szCs w:val="9"/>
                <w:color w:val="auto"/>
              </w:rPr>
              <w:t>(1)</w:t>
            </w:r>
          </w:p>
        </w:tc>
        <w:tc>
          <w:tcPr>
            <w:tcW w:w="120" w:type="dxa"/>
            <w:vAlign w:val="bottom"/>
            <w:tcBorders>
              <w:bottom w:val="single" w:sz="8" w:color="auto"/>
            </w:tcBorders>
            <w:shd w:val="clear" w:color="auto" w:fill="D3ECED"/>
          </w:tcPr>
          <w:p>
            <w:pPr>
              <w:spacing w:after="0"/>
              <w:rPr>
                <w:sz w:val="21"/>
                <w:szCs w:val="21"/>
                <w:color w:val="auto"/>
              </w:rPr>
            </w:pPr>
          </w:p>
        </w:tc>
        <w:tc>
          <w:tcPr>
            <w:tcW w:w="106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5,076</w:t>
            </w:r>
          </w:p>
        </w:tc>
        <w:tc>
          <w:tcPr>
            <w:tcW w:w="220" w:type="dxa"/>
            <w:vAlign w:val="bottom"/>
            <w:tcBorders>
              <w:bottom w:val="single" w:sz="8" w:color="D3ECED"/>
            </w:tcBorders>
            <w:shd w:val="clear" w:color="auto" w:fill="D3ECED"/>
          </w:tcPr>
          <w:p>
            <w:pPr>
              <w:spacing w:after="0"/>
              <w:rPr>
                <w:sz w:val="21"/>
                <w:szCs w:val="21"/>
                <w:color w:val="auto"/>
              </w:rPr>
            </w:pPr>
          </w:p>
        </w:tc>
        <w:tc>
          <w:tcPr>
            <w:tcW w:w="120" w:type="dxa"/>
            <w:vAlign w:val="bottom"/>
            <w:tcBorders>
              <w:bottom w:val="single" w:sz="8" w:color="auto"/>
            </w:tcBorders>
            <w:shd w:val="clear" w:color="auto" w:fill="D3ECED"/>
          </w:tcPr>
          <w:p>
            <w:pPr>
              <w:spacing w:after="0"/>
              <w:rPr>
                <w:sz w:val="21"/>
                <w:szCs w:val="21"/>
                <w:color w:val="auto"/>
              </w:rPr>
            </w:pPr>
          </w:p>
        </w:tc>
        <w:tc>
          <w:tcPr>
            <w:tcW w:w="1440" w:type="dxa"/>
            <w:vAlign w:val="bottom"/>
            <w:tcBorders>
              <w:bottom w:val="single" w:sz="8" w:color="auto"/>
            </w:tcBorders>
            <w:shd w:val="clear" w:color="auto" w:fill="D3ECED"/>
          </w:tcPr>
          <w:p>
            <w:pPr>
              <w:jc w:val="right"/>
              <w:spacing w:after="0"/>
              <w:rPr>
                <w:sz w:val="20"/>
                <w:szCs w:val="20"/>
                <w:color w:val="auto"/>
              </w:rPr>
            </w:pPr>
            <w:r>
              <w:rPr>
                <w:rFonts w:ascii="Arial" w:cs="Arial" w:eastAsia="Arial" w:hAnsi="Arial"/>
                <w:sz w:val="19"/>
                <w:szCs w:val="19"/>
                <w:color w:val="auto"/>
              </w:rPr>
              <w:t>3,994</w:t>
            </w:r>
          </w:p>
        </w:tc>
        <w:tc>
          <w:tcPr>
            <w:tcW w:w="80" w:type="dxa"/>
            <w:vAlign w:val="bottom"/>
            <w:tcBorders>
              <w:bottom w:val="single" w:sz="8" w:color="D3ECED"/>
            </w:tcBorders>
            <w:shd w:val="clear" w:color="auto" w:fill="D3ECED"/>
          </w:tcPr>
          <w:p>
            <w:pPr>
              <w:spacing w:after="0"/>
              <w:rPr>
                <w:sz w:val="21"/>
                <w:szCs w:val="21"/>
                <w:color w:val="auto"/>
              </w:rPr>
            </w:pPr>
          </w:p>
        </w:tc>
      </w:tr>
      <w:tr>
        <w:trPr>
          <w:trHeight w:val="198"/>
        </w:trPr>
        <w:tc>
          <w:tcPr>
            <w:tcW w:w="5800" w:type="dxa"/>
            <w:vAlign w:val="bottom"/>
            <w:tcBorders>
              <w:top w:val="single" w:sz="8" w:color="FDFDFD"/>
            </w:tcBorders>
            <w:shd w:val="clear" w:color="auto" w:fill="FDFDFD"/>
          </w:tcPr>
          <w:p>
            <w:pPr>
              <w:ind w:left="380"/>
              <w:spacing w:after="0" w:line="198" w:lineRule="exact"/>
              <w:rPr>
                <w:sz w:val="20"/>
                <w:szCs w:val="20"/>
                <w:color w:val="auto"/>
              </w:rPr>
            </w:pPr>
            <w:r>
              <w:rPr>
                <w:rFonts w:ascii="Arial" w:cs="Arial" w:eastAsia="Arial" w:hAnsi="Arial"/>
                <w:sz w:val="19"/>
                <w:szCs w:val="19"/>
                <w:color w:val="auto"/>
              </w:rPr>
              <w:t>Total operating expenses</w:t>
            </w:r>
          </w:p>
        </w:tc>
        <w:tc>
          <w:tcPr>
            <w:tcW w:w="120" w:type="dxa"/>
            <w:vAlign w:val="bottom"/>
            <w:tcBorders>
              <w:top w:val="single" w:sz="8" w:color="auto"/>
            </w:tcBorders>
            <w:shd w:val="clear" w:color="auto" w:fill="FDFDFD"/>
          </w:tcPr>
          <w:p>
            <w:pPr>
              <w:spacing w:after="0"/>
              <w:rPr>
                <w:sz w:val="17"/>
                <w:szCs w:val="17"/>
                <w:color w:val="auto"/>
              </w:rPr>
            </w:pPr>
          </w:p>
        </w:tc>
        <w:tc>
          <w:tcPr>
            <w:tcW w:w="1060" w:type="dxa"/>
            <w:vAlign w:val="bottom"/>
            <w:tcBorders>
              <w:top w:val="single" w:sz="8" w:color="auto"/>
            </w:tcBorders>
            <w:shd w:val="clear" w:color="auto" w:fill="FDFDFD"/>
          </w:tcPr>
          <w:p>
            <w:pPr>
              <w:jc w:val="right"/>
              <w:spacing w:after="0" w:line="198" w:lineRule="exact"/>
              <w:rPr>
                <w:sz w:val="20"/>
                <w:szCs w:val="20"/>
                <w:color w:val="auto"/>
              </w:rPr>
            </w:pPr>
            <w:r>
              <w:rPr>
                <w:rFonts w:ascii="Arial" w:cs="Arial" w:eastAsia="Arial" w:hAnsi="Arial"/>
                <w:sz w:val="19"/>
                <w:szCs w:val="19"/>
                <w:color w:val="auto"/>
              </w:rPr>
              <w:t>107,156</w:t>
            </w:r>
          </w:p>
        </w:tc>
        <w:tc>
          <w:tcPr>
            <w:tcW w:w="220" w:type="dxa"/>
            <w:vAlign w:val="bottom"/>
            <w:tcBorders>
              <w:top w:val="single" w:sz="8" w:color="FDFDFD"/>
            </w:tcBorders>
            <w:shd w:val="clear" w:color="auto" w:fill="FDFDFD"/>
          </w:tcPr>
          <w:p>
            <w:pPr>
              <w:spacing w:after="0"/>
              <w:rPr>
                <w:sz w:val="17"/>
                <w:szCs w:val="17"/>
                <w:color w:val="auto"/>
              </w:rPr>
            </w:pPr>
          </w:p>
        </w:tc>
        <w:tc>
          <w:tcPr>
            <w:tcW w:w="120" w:type="dxa"/>
            <w:vAlign w:val="bottom"/>
            <w:tcBorders>
              <w:top w:val="single" w:sz="8" w:color="auto"/>
            </w:tcBorders>
            <w:shd w:val="clear" w:color="auto" w:fill="FDFDFD"/>
          </w:tcPr>
          <w:p>
            <w:pPr>
              <w:spacing w:after="0"/>
              <w:rPr>
                <w:sz w:val="17"/>
                <w:szCs w:val="17"/>
                <w:color w:val="auto"/>
              </w:rPr>
            </w:pPr>
          </w:p>
        </w:tc>
        <w:tc>
          <w:tcPr>
            <w:tcW w:w="1440" w:type="dxa"/>
            <w:vAlign w:val="bottom"/>
            <w:tcBorders>
              <w:top w:val="single" w:sz="8" w:color="auto"/>
            </w:tcBorders>
            <w:shd w:val="clear" w:color="auto" w:fill="FDFDFD"/>
          </w:tcPr>
          <w:p>
            <w:pPr>
              <w:jc w:val="right"/>
              <w:spacing w:after="0" w:line="198" w:lineRule="exact"/>
              <w:rPr>
                <w:sz w:val="20"/>
                <w:szCs w:val="20"/>
                <w:color w:val="auto"/>
              </w:rPr>
            </w:pPr>
            <w:r>
              <w:rPr>
                <w:rFonts w:ascii="Arial" w:cs="Arial" w:eastAsia="Arial" w:hAnsi="Arial"/>
                <w:sz w:val="19"/>
                <w:szCs w:val="19"/>
                <w:color w:val="auto"/>
              </w:rPr>
              <w:t>111,969</w:t>
            </w:r>
          </w:p>
        </w:tc>
        <w:tc>
          <w:tcPr>
            <w:tcW w:w="80" w:type="dxa"/>
            <w:vAlign w:val="bottom"/>
            <w:tcBorders>
              <w:top w:val="single" w:sz="8" w:color="FDFDFD"/>
            </w:tcBorders>
            <w:shd w:val="clear" w:color="auto" w:fill="FDFDFD"/>
          </w:tcPr>
          <w:p>
            <w:pPr>
              <w:spacing w:after="0"/>
              <w:rPr>
                <w:sz w:val="17"/>
                <w:szCs w:val="17"/>
                <w:color w:val="auto"/>
              </w:rPr>
            </w:pPr>
          </w:p>
        </w:tc>
      </w:tr>
      <w:tr>
        <w:trPr>
          <w:trHeight w:val="233"/>
        </w:trPr>
        <w:tc>
          <w:tcPr>
            <w:tcW w:w="580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1060" w:type="dxa"/>
            <w:vAlign w:val="bottom"/>
            <w:shd w:val="clear" w:color="auto" w:fill="D3ECED"/>
          </w:tcPr>
          <w:p>
            <w:pPr>
              <w:spacing w:after="0"/>
              <w:rPr>
                <w:sz w:val="20"/>
                <w:szCs w:val="20"/>
                <w:color w:val="auto"/>
              </w:rPr>
            </w:pPr>
          </w:p>
        </w:tc>
        <w:tc>
          <w:tcPr>
            <w:tcW w:w="22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1440" w:type="dxa"/>
            <w:vAlign w:val="bottom"/>
            <w:shd w:val="clear" w:color="auto" w:fill="D3ECED"/>
          </w:tcPr>
          <w:p>
            <w:pPr>
              <w:spacing w:after="0"/>
              <w:rPr>
                <w:sz w:val="20"/>
                <w:szCs w:val="20"/>
                <w:color w:val="auto"/>
              </w:rPr>
            </w:pPr>
          </w:p>
        </w:tc>
        <w:tc>
          <w:tcPr>
            <w:tcW w:w="80" w:type="dxa"/>
            <w:vAlign w:val="bottom"/>
            <w:shd w:val="clear" w:color="auto" w:fill="D3ECED"/>
          </w:tcPr>
          <w:p>
            <w:pPr>
              <w:spacing w:after="0"/>
              <w:rPr>
                <w:sz w:val="20"/>
                <w:szCs w:val="20"/>
                <w:color w:val="auto"/>
              </w:rPr>
            </w:pPr>
          </w:p>
        </w:tc>
      </w:tr>
      <w:tr>
        <w:trPr>
          <w:trHeight w:val="230"/>
        </w:trPr>
        <w:tc>
          <w:tcPr>
            <w:tcW w:w="5800" w:type="dxa"/>
            <w:vAlign w:val="bottom"/>
            <w:shd w:val="clear" w:color="auto" w:fill="FDFDFD"/>
          </w:tcPr>
          <w:p>
            <w:pPr>
              <w:spacing w:after="0"/>
              <w:rPr>
                <w:sz w:val="20"/>
                <w:szCs w:val="20"/>
                <w:color w:val="auto"/>
              </w:rPr>
            </w:pPr>
            <w:r>
              <w:rPr>
                <w:rFonts w:ascii="Arial" w:cs="Arial" w:eastAsia="Arial" w:hAnsi="Arial"/>
                <w:sz w:val="19"/>
                <w:szCs w:val="19"/>
                <w:color w:val="auto"/>
              </w:rPr>
              <w:t>Interest income</w:t>
            </w:r>
          </w:p>
        </w:tc>
        <w:tc>
          <w:tcPr>
            <w:tcW w:w="120" w:type="dxa"/>
            <w:vAlign w:val="bottom"/>
            <w:shd w:val="clear" w:color="auto" w:fill="FDFDFD"/>
          </w:tcPr>
          <w:p>
            <w:pPr>
              <w:spacing w:after="0"/>
              <w:rPr>
                <w:sz w:val="20"/>
                <w:szCs w:val="20"/>
                <w:color w:val="auto"/>
              </w:rPr>
            </w:pPr>
          </w:p>
        </w:tc>
        <w:tc>
          <w:tcPr>
            <w:tcW w:w="10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16,666</w:t>
            </w:r>
          </w:p>
        </w:tc>
        <w:tc>
          <w:tcPr>
            <w:tcW w:w="22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14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17,764</w:t>
            </w:r>
          </w:p>
        </w:tc>
        <w:tc>
          <w:tcPr>
            <w:tcW w:w="80" w:type="dxa"/>
            <w:vAlign w:val="bottom"/>
            <w:shd w:val="clear" w:color="auto" w:fill="FDFDFD"/>
          </w:tcPr>
          <w:p>
            <w:pPr>
              <w:spacing w:after="0"/>
              <w:rPr>
                <w:sz w:val="20"/>
                <w:szCs w:val="20"/>
                <w:color w:val="auto"/>
              </w:rPr>
            </w:pPr>
          </w:p>
        </w:tc>
      </w:tr>
      <w:tr>
        <w:trPr>
          <w:trHeight w:val="230"/>
        </w:trPr>
        <w:tc>
          <w:tcPr>
            <w:tcW w:w="5800" w:type="dxa"/>
            <w:vAlign w:val="bottom"/>
            <w:shd w:val="clear" w:color="auto" w:fill="D3ECED"/>
          </w:tcPr>
          <w:p>
            <w:pPr>
              <w:spacing w:after="0"/>
              <w:rPr>
                <w:sz w:val="20"/>
                <w:szCs w:val="20"/>
                <w:color w:val="auto"/>
              </w:rPr>
            </w:pPr>
            <w:r>
              <w:rPr>
                <w:rFonts w:ascii="Arial" w:cs="Arial" w:eastAsia="Arial" w:hAnsi="Arial"/>
                <w:sz w:val="19"/>
                <w:szCs w:val="19"/>
                <w:color w:val="auto"/>
              </w:rPr>
              <w:t>Loss on equity method investment</w:t>
            </w:r>
          </w:p>
        </w:tc>
        <w:tc>
          <w:tcPr>
            <w:tcW w:w="120" w:type="dxa"/>
            <w:vAlign w:val="bottom"/>
            <w:shd w:val="clear" w:color="auto" w:fill="D3ECED"/>
          </w:tcPr>
          <w:p>
            <w:pPr>
              <w:spacing w:after="0"/>
              <w:rPr>
                <w:sz w:val="20"/>
                <w:szCs w:val="20"/>
                <w:color w:val="auto"/>
              </w:rPr>
            </w:pPr>
          </w:p>
        </w:tc>
        <w:tc>
          <w:tcPr>
            <w:tcW w:w="10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(2,649)</w:t>
            </w:r>
          </w:p>
        </w:tc>
        <w:tc>
          <w:tcPr>
            <w:tcW w:w="220" w:type="dxa"/>
            <w:vAlign w:val="bottom"/>
            <w:shd w:val="clear" w:color="auto" w:fill="D3ECED"/>
          </w:tcPr>
          <w:p>
            <w:pPr>
              <w:spacing w:after="0"/>
              <w:rPr>
                <w:sz w:val="20"/>
                <w:szCs w:val="20"/>
                <w:color w:val="auto"/>
              </w:rPr>
            </w:pPr>
          </w:p>
        </w:tc>
        <w:tc>
          <w:tcPr>
            <w:tcW w:w="120" w:type="dxa"/>
            <w:vAlign w:val="bottom"/>
            <w:shd w:val="clear" w:color="auto" w:fill="D3ECED"/>
          </w:tcPr>
          <w:p>
            <w:pPr>
              <w:spacing w:after="0"/>
              <w:rPr>
                <w:sz w:val="20"/>
                <w:szCs w:val="20"/>
                <w:color w:val="auto"/>
              </w:rPr>
            </w:pPr>
          </w:p>
        </w:tc>
        <w:tc>
          <w:tcPr>
            <w:tcW w:w="1440" w:type="dxa"/>
            <w:vAlign w:val="bottom"/>
            <w:shd w:val="clear" w:color="auto" w:fill="D3ECED"/>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D3ECED"/>
          </w:tcPr>
          <w:p>
            <w:pPr>
              <w:spacing w:after="0"/>
              <w:rPr>
                <w:sz w:val="20"/>
                <w:szCs w:val="20"/>
                <w:color w:val="auto"/>
              </w:rPr>
            </w:pPr>
          </w:p>
        </w:tc>
      </w:tr>
      <w:tr>
        <w:trPr>
          <w:trHeight w:val="230"/>
        </w:trPr>
        <w:tc>
          <w:tcPr>
            <w:tcW w:w="5800" w:type="dxa"/>
            <w:vAlign w:val="bottom"/>
            <w:shd w:val="clear" w:color="auto" w:fill="FDFDFD"/>
          </w:tcPr>
          <w:p>
            <w:pPr>
              <w:spacing w:after="0"/>
              <w:rPr>
                <w:sz w:val="20"/>
                <w:szCs w:val="20"/>
                <w:color w:val="auto"/>
              </w:rPr>
            </w:pPr>
            <w:r>
              <w:rPr>
                <w:rFonts w:ascii="Arial" w:cs="Arial" w:eastAsia="Arial" w:hAnsi="Arial"/>
                <w:sz w:val="19"/>
                <w:szCs w:val="19"/>
                <w:color w:val="auto"/>
              </w:rPr>
              <w:t>Other expense</w:t>
            </w:r>
          </w:p>
        </w:tc>
        <w:tc>
          <w:tcPr>
            <w:tcW w:w="120" w:type="dxa"/>
            <w:vAlign w:val="bottom"/>
            <w:shd w:val="clear" w:color="auto" w:fill="FDFDFD"/>
          </w:tcPr>
          <w:p>
            <w:pPr>
              <w:spacing w:after="0"/>
              <w:rPr>
                <w:sz w:val="20"/>
                <w:szCs w:val="20"/>
                <w:color w:val="auto"/>
              </w:rPr>
            </w:pPr>
          </w:p>
        </w:tc>
        <w:tc>
          <w:tcPr>
            <w:tcW w:w="1060" w:type="dxa"/>
            <w:vAlign w:val="bottom"/>
            <w:shd w:val="clear" w:color="auto" w:fill="FDFDFD"/>
          </w:tcPr>
          <w:p>
            <w:pPr>
              <w:jc w:val="right"/>
              <w:spacing w:after="0"/>
              <w:rPr>
                <w:sz w:val="20"/>
                <w:szCs w:val="20"/>
                <w:color w:val="auto"/>
              </w:rPr>
            </w:pPr>
            <w:r>
              <w:rPr>
                <w:rFonts w:ascii="Arial" w:cs="Arial" w:eastAsia="Arial" w:hAnsi="Arial"/>
                <w:sz w:val="19"/>
                <w:szCs w:val="19"/>
                <w:color w:val="auto"/>
              </w:rPr>
              <w:t>(417)</w:t>
            </w:r>
          </w:p>
        </w:tc>
        <w:tc>
          <w:tcPr>
            <w:tcW w:w="220" w:type="dxa"/>
            <w:vAlign w:val="bottom"/>
            <w:shd w:val="clear" w:color="auto" w:fill="FDFDFD"/>
          </w:tcPr>
          <w:p>
            <w:pPr>
              <w:spacing w:after="0"/>
              <w:rPr>
                <w:sz w:val="20"/>
                <w:szCs w:val="20"/>
                <w:color w:val="auto"/>
              </w:rPr>
            </w:pPr>
          </w:p>
        </w:tc>
        <w:tc>
          <w:tcPr>
            <w:tcW w:w="120" w:type="dxa"/>
            <w:vAlign w:val="bottom"/>
            <w:shd w:val="clear" w:color="auto" w:fill="FDFDFD"/>
          </w:tcPr>
          <w:p>
            <w:pPr>
              <w:spacing w:after="0"/>
              <w:rPr>
                <w:sz w:val="20"/>
                <w:szCs w:val="20"/>
                <w:color w:val="auto"/>
              </w:rPr>
            </w:pPr>
          </w:p>
        </w:tc>
        <w:tc>
          <w:tcPr>
            <w:tcW w:w="1440" w:type="dxa"/>
            <w:vAlign w:val="bottom"/>
            <w:shd w:val="clear" w:color="auto" w:fill="FDFDFD"/>
          </w:tcPr>
          <w:p>
            <w:pPr>
              <w:jc w:val="right"/>
              <w:spacing w:after="0"/>
              <w:rPr>
                <w:sz w:val="20"/>
                <w:szCs w:val="20"/>
                <w:color w:val="auto"/>
              </w:rPr>
            </w:pPr>
            <w:r>
              <w:rPr>
                <w:rFonts w:ascii="Arial" w:cs="Arial" w:eastAsia="Arial" w:hAnsi="Arial"/>
                <w:sz w:val="19"/>
                <w:szCs w:val="19"/>
                <w:color w:val="auto"/>
              </w:rPr>
              <w:t>(578)</w:t>
            </w:r>
          </w:p>
        </w:tc>
        <w:tc>
          <w:tcPr>
            <w:tcW w:w="80" w:type="dxa"/>
            <w:vAlign w:val="bottom"/>
            <w:shd w:val="clear" w:color="auto" w:fill="FDFDFD"/>
          </w:tcPr>
          <w:p>
            <w:pPr>
              <w:spacing w:after="0"/>
              <w:rPr>
                <w:sz w:val="20"/>
                <w:szCs w:val="20"/>
                <w:color w:val="auto"/>
              </w:rPr>
            </w:pPr>
          </w:p>
        </w:tc>
      </w:tr>
      <w:tr>
        <w:trPr>
          <w:trHeight w:val="286"/>
        </w:trPr>
        <w:tc>
          <w:tcPr>
            <w:tcW w:w="5800" w:type="dxa"/>
            <w:vAlign w:val="bottom"/>
            <w:shd w:val="clear" w:color="auto" w:fill="D3ECED"/>
          </w:tcPr>
          <w:p>
            <w:pPr>
              <w:spacing w:after="0"/>
              <w:rPr>
                <w:sz w:val="20"/>
                <w:szCs w:val="20"/>
                <w:color w:val="auto"/>
              </w:rPr>
            </w:pPr>
            <w:r>
              <w:rPr>
                <w:rFonts w:ascii="Arial" w:cs="Arial" w:eastAsia="Arial" w:hAnsi="Arial"/>
                <w:sz w:val="19"/>
                <w:szCs w:val="19"/>
                <w:color w:val="auto"/>
              </w:rPr>
              <w:t>Provision for income taxes</w:t>
            </w:r>
          </w:p>
        </w:tc>
        <w:tc>
          <w:tcPr>
            <w:tcW w:w="120" w:type="dxa"/>
            <w:vAlign w:val="bottom"/>
            <w:shd w:val="clear" w:color="auto" w:fill="D3ECED"/>
          </w:tcPr>
          <w:p>
            <w:pPr>
              <w:spacing w:after="0"/>
              <w:rPr>
                <w:sz w:val="24"/>
                <w:szCs w:val="24"/>
                <w:color w:val="auto"/>
              </w:rPr>
            </w:pPr>
          </w:p>
        </w:tc>
        <w:tc>
          <w:tcPr>
            <w:tcW w:w="1060" w:type="dxa"/>
            <w:vAlign w:val="bottom"/>
            <w:shd w:val="clear" w:color="auto" w:fill="D3ECED"/>
          </w:tcPr>
          <w:p>
            <w:pPr>
              <w:jc w:val="right"/>
              <w:spacing w:after="0"/>
              <w:rPr>
                <w:sz w:val="20"/>
                <w:szCs w:val="20"/>
                <w:color w:val="auto"/>
              </w:rPr>
            </w:pPr>
            <w:r>
              <w:rPr>
                <w:rFonts w:ascii="Arial" w:cs="Arial" w:eastAsia="Arial" w:hAnsi="Arial"/>
                <w:sz w:val="19"/>
                <w:szCs w:val="19"/>
                <w:color w:val="auto"/>
              </w:rPr>
              <w:t>98</w:t>
            </w:r>
          </w:p>
        </w:tc>
        <w:tc>
          <w:tcPr>
            <w:tcW w:w="220" w:type="dxa"/>
            <w:vAlign w:val="bottom"/>
            <w:shd w:val="clear" w:color="auto" w:fill="D3ECED"/>
          </w:tcPr>
          <w:p>
            <w:pPr>
              <w:spacing w:after="0"/>
              <w:rPr>
                <w:sz w:val="24"/>
                <w:szCs w:val="24"/>
                <w:color w:val="auto"/>
              </w:rPr>
            </w:pPr>
          </w:p>
        </w:tc>
        <w:tc>
          <w:tcPr>
            <w:tcW w:w="120" w:type="dxa"/>
            <w:vAlign w:val="bottom"/>
            <w:shd w:val="clear" w:color="auto" w:fill="D3ECED"/>
          </w:tcPr>
          <w:p>
            <w:pPr>
              <w:spacing w:after="0"/>
              <w:rPr>
                <w:sz w:val="24"/>
                <w:szCs w:val="24"/>
                <w:color w:val="auto"/>
              </w:rPr>
            </w:pPr>
          </w:p>
        </w:tc>
        <w:tc>
          <w:tcPr>
            <w:tcW w:w="1520" w:type="dxa"/>
            <w:vAlign w:val="bottom"/>
            <w:gridSpan w:val="2"/>
            <w:shd w:val="clear" w:color="auto" w:fill="D3ECED"/>
          </w:tcPr>
          <w:p>
            <w:pPr>
              <w:jc w:val="right"/>
              <w:ind w:right="100"/>
              <w:spacing w:after="0"/>
              <w:rPr>
                <w:sz w:val="20"/>
                <w:szCs w:val="20"/>
                <w:color w:val="auto"/>
              </w:rPr>
            </w:pPr>
            <w:r>
              <w:rPr>
                <w:rFonts w:ascii="Arial" w:cs="Arial" w:eastAsia="Arial" w:hAnsi="Arial"/>
                <w:sz w:val="19"/>
                <w:szCs w:val="19"/>
                <w:color w:val="auto"/>
              </w:rPr>
              <w:t>—</w:t>
            </w:r>
          </w:p>
        </w:tc>
      </w:tr>
      <w:tr>
        <w:trPr>
          <w:trHeight w:val="202"/>
        </w:trPr>
        <w:tc>
          <w:tcPr>
            <w:tcW w:w="5800" w:type="dxa"/>
            <w:vAlign w:val="bottom"/>
            <w:tcBorders>
              <w:top w:val="single" w:sz="8" w:color="D3ECED"/>
            </w:tcBorders>
            <w:shd w:val="clear" w:color="auto" w:fill="FDFDFD"/>
          </w:tcPr>
          <w:p>
            <w:pPr>
              <w:spacing w:after="0" w:line="203" w:lineRule="exact"/>
              <w:rPr>
                <w:sz w:val="20"/>
                <w:szCs w:val="20"/>
                <w:color w:val="auto"/>
              </w:rPr>
            </w:pPr>
            <w:r>
              <w:rPr>
                <w:rFonts w:ascii="Arial" w:cs="Arial" w:eastAsia="Arial" w:hAnsi="Arial"/>
                <w:sz w:val="19"/>
                <w:szCs w:val="19"/>
                <w:color w:val="auto"/>
              </w:rPr>
              <w:t>Net loss</w:t>
            </w:r>
          </w:p>
        </w:tc>
        <w:tc>
          <w:tcPr>
            <w:tcW w:w="120" w:type="dxa"/>
            <w:vAlign w:val="bottom"/>
            <w:tcBorders>
              <w:top w:val="single" w:sz="8" w:color="auto"/>
            </w:tcBorders>
            <w:shd w:val="clear" w:color="auto" w:fill="FDFDFD"/>
          </w:tcPr>
          <w:p>
            <w:pPr>
              <w:jc w:val="right"/>
              <w:spacing w:after="0" w:line="203" w:lineRule="exact"/>
              <w:rPr>
                <w:sz w:val="20"/>
                <w:szCs w:val="20"/>
                <w:color w:val="auto"/>
              </w:rPr>
            </w:pPr>
            <w:r>
              <w:rPr>
                <w:rFonts w:ascii="Arial" w:cs="Arial" w:eastAsia="Arial" w:hAnsi="Arial"/>
                <w:sz w:val="19"/>
                <w:szCs w:val="19"/>
                <w:color w:val="auto"/>
                <w:highlight w:val="white"/>
                <w:w w:val="75"/>
              </w:rPr>
              <w:t>$</w:t>
            </w:r>
          </w:p>
        </w:tc>
        <w:tc>
          <w:tcPr>
            <w:tcW w:w="1060" w:type="dxa"/>
            <w:vAlign w:val="bottom"/>
            <w:tcBorders>
              <w:top w:val="single" w:sz="8" w:color="auto"/>
            </w:tcBorders>
            <w:shd w:val="clear" w:color="auto" w:fill="FDFDFD"/>
          </w:tcPr>
          <w:p>
            <w:pPr>
              <w:jc w:val="right"/>
              <w:spacing w:after="0" w:line="203" w:lineRule="exact"/>
              <w:rPr>
                <w:sz w:val="20"/>
                <w:szCs w:val="20"/>
                <w:color w:val="auto"/>
              </w:rPr>
            </w:pPr>
            <w:r>
              <w:rPr>
                <w:rFonts w:ascii="Arial" w:cs="Arial" w:eastAsia="Arial" w:hAnsi="Arial"/>
                <w:sz w:val="19"/>
                <w:szCs w:val="19"/>
                <w:color w:val="auto"/>
              </w:rPr>
              <w:t>(86,599)</w:t>
            </w:r>
          </w:p>
        </w:tc>
        <w:tc>
          <w:tcPr>
            <w:tcW w:w="220" w:type="dxa"/>
            <w:vAlign w:val="bottom"/>
            <w:tcBorders>
              <w:top w:val="single" w:sz="8" w:color="D3ECED"/>
            </w:tcBorders>
            <w:shd w:val="clear" w:color="auto" w:fill="FDFDFD"/>
          </w:tcPr>
          <w:p>
            <w:pPr>
              <w:spacing w:after="0"/>
              <w:rPr>
                <w:sz w:val="17"/>
                <w:szCs w:val="17"/>
                <w:color w:val="auto"/>
              </w:rPr>
            </w:pPr>
          </w:p>
        </w:tc>
        <w:tc>
          <w:tcPr>
            <w:tcW w:w="120" w:type="dxa"/>
            <w:vAlign w:val="bottom"/>
            <w:tcBorders>
              <w:top w:val="single" w:sz="8" w:color="auto"/>
            </w:tcBorders>
            <w:shd w:val="clear" w:color="auto" w:fill="FDFDFD"/>
          </w:tcPr>
          <w:p>
            <w:pPr>
              <w:jc w:val="center"/>
              <w:spacing w:after="0" w:line="203" w:lineRule="exact"/>
              <w:rPr>
                <w:sz w:val="20"/>
                <w:szCs w:val="20"/>
                <w:color w:val="auto"/>
              </w:rPr>
            </w:pPr>
            <w:r>
              <w:rPr>
                <w:rFonts w:ascii="Arial" w:cs="Arial" w:eastAsia="Arial" w:hAnsi="Arial"/>
                <w:sz w:val="19"/>
                <w:szCs w:val="19"/>
                <w:color w:val="auto"/>
                <w:highlight w:val="white"/>
                <w:w w:val="94"/>
              </w:rPr>
              <w:t>$</w:t>
            </w:r>
          </w:p>
        </w:tc>
        <w:tc>
          <w:tcPr>
            <w:tcW w:w="1440" w:type="dxa"/>
            <w:vAlign w:val="bottom"/>
            <w:tcBorders>
              <w:top w:val="single" w:sz="8" w:color="auto"/>
            </w:tcBorders>
            <w:shd w:val="clear" w:color="auto" w:fill="FDFDFD"/>
          </w:tcPr>
          <w:p>
            <w:pPr>
              <w:jc w:val="right"/>
              <w:spacing w:after="0" w:line="203" w:lineRule="exact"/>
              <w:rPr>
                <w:sz w:val="20"/>
                <w:szCs w:val="20"/>
                <w:color w:val="auto"/>
              </w:rPr>
            </w:pPr>
            <w:r>
              <w:rPr>
                <w:rFonts w:ascii="Arial" w:cs="Arial" w:eastAsia="Arial" w:hAnsi="Arial"/>
                <w:sz w:val="19"/>
                <w:szCs w:val="19"/>
                <w:color w:val="auto"/>
              </w:rPr>
              <w:t>(86,277)</w:t>
            </w:r>
          </w:p>
        </w:tc>
        <w:tc>
          <w:tcPr>
            <w:tcW w:w="80" w:type="dxa"/>
            <w:vAlign w:val="bottom"/>
            <w:tcBorders>
              <w:top w:val="single" w:sz="8" w:color="D3ECED"/>
            </w:tcBorders>
            <w:shd w:val="clear" w:color="auto" w:fill="FDFDFD"/>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-13335</wp:posOffset>
            </wp:positionV>
            <wp:extent cx="1900555" cy="520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94">
                      <a:extLst>
                        <a:ext uri="{28A0092B-C50C-407E-A947-70E740481C1C}"/>
                      </a:extLst>
                    </a:blip>
                    <a:srcRect/>
                    <a:stretch>
                      <a:fillRect/>
                    </a:stretch>
                  </pic:blipFill>
                  <pic:spPr bwMode="auto">
                    <a:xfrm>
                      <a:off x="0" y="0"/>
                      <a:ext cx="1900555" cy="52070"/>
                    </a:xfrm>
                    <a:prstGeom prst="rect">
                      <a:avLst/>
                    </a:prstGeom>
                    <a:noFill/>
                  </pic:spPr>
                </pic:pic>
              </a:graphicData>
            </a:graphic>
          </wp:anchor>
        </w:drawing>
      </w:r>
    </w:p>
    <w:p>
      <w:pPr>
        <w:spacing w:after="0" w:line="291" w:lineRule="exact"/>
        <w:rPr>
          <w:sz w:val="20"/>
          <w:szCs w:val="20"/>
          <w:color w:val="auto"/>
        </w:rPr>
      </w:pPr>
    </w:p>
    <w:p>
      <w:pPr>
        <w:ind w:left="540" w:hanging="281"/>
        <w:spacing w:after="0"/>
        <w:tabs>
          <w:tab w:leader="none" w:pos="540" w:val="left"/>
        </w:tabs>
        <w:numPr>
          <w:ilvl w:val="0"/>
          <w:numId w:val="13"/>
        </w:numPr>
        <w:rPr>
          <w:rFonts w:ascii="Arial" w:cs="Arial" w:eastAsia="Arial" w:hAnsi="Arial"/>
          <w:sz w:val="9"/>
          <w:szCs w:val="9"/>
          <w:color w:val="auto"/>
        </w:rPr>
      </w:pPr>
      <w:r>
        <w:rPr>
          <w:rFonts w:ascii="Arial" w:cs="Arial" w:eastAsia="Arial" w:hAnsi="Arial"/>
          <w:sz w:val="15"/>
          <w:szCs w:val="15"/>
          <w:color w:val="auto"/>
        </w:rPr>
        <w:t>Other includes laboratory expenses, travel expenses, and allocated costs.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As of December 31, 2024, long-lived assets were primarily located in the United States.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15. SUBSEQUENT EVENTS</w:t>
      </w:r>
    </w:p>
    <w:p>
      <w:pPr>
        <w:spacing w:after="0" w:line="213" w:lineRule="exact"/>
        <w:rPr>
          <w:sz w:val="20"/>
          <w:szCs w:val="20"/>
          <w:color w:val="auto"/>
        </w:rPr>
      </w:pPr>
    </w:p>
    <w:p>
      <w:pPr>
        <w:ind w:left="260" w:right="300"/>
        <w:spacing w:after="0" w:line="295" w:lineRule="auto"/>
        <w:rPr>
          <w:sz w:val="20"/>
          <w:szCs w:val="20"/>
          <w:color w:val="auto"/>
        </w:rPr>
      </w:pPr>
      <w:r>
        <w:rPr>
          <w:rFonts w:ascii="Arial" w:cs="Arial" w:eastAsia="Arial" w:hAnsi="Arial"/>
          <w:sz w:val="19"/>
          <w:szCs w:val="19"/>
          <w:color w:val="auto"/>
        </w:rPr>
        <w:t>The Company evaluated subsequent events from December 31, 2024, the date of these consolidated financial statements, through March 3, 2025, which represents the date the consolidated financial statements were available to be issued for events requiring recording or disclosure in the consolidated financial statements for the year ended December 31, 2024. The Company concluded that no events have occurred that would require recognition or disclosure in the consolidated financial statements.</w:t>
      </w:r>
    </w:p>
    <w:p>
      <w:pPr>
        <w:sectPr>
          <w:pgSz w:w="12240" w:h="15840" w:orient="portrait"/>
          <w:cols w:equalWidth="0" w:num="1">
            <w:col w:w="9360"/>
          </w:cols>
          <w:pgMar w:left="1440" w:top="1358" w:right="1440" w:bottom="6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2240" w:h="15840" w:orient="portrait"/>
          <w:cols w:equalWidth="0" w:num="1">
            <w:col w:w="9360"/>
          </w:cols>
          <w:pgMar w:left="1440" w:top="1358" w:right="1440" w:bottom="624" w:gutter="0" w:footer="0" w:header="0"/>
          <w:type w:val="continuous"/>
        </w:sectPr>
      </w:pPr>
    </w:p>
    <w:bookmarkStart w:id="143" w:name="page144"/>
    <w:bookmarkEnd w:id="143"/>
    <w:p>
      <w:pPr>
        <w:spacing w:after="0" w:line="35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None.</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Item 9A. Controls and Procedures</w:t>
      </w:r>
    </w:p>
    <w:p>
      <w:pPr>
        <w:spacing w:after="0" w:line="21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213" w:lineRule="exact"/>
        <w:rPr>
          <w:sz w:val="20"/>
          <w:szCs w:val="20"/>
          <w:color w:val="auto"/>
        </w:rPr>
      </w:pPr>
    </w:p>
    <w:p>
      <w:pPr>
        <w:ind w:left="140" w:right="340"/>
        <w:spacing w:after="0" w:line="30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December 31, 2024,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Management’s Annual Report on Internal Control over Financial Reporting</w:t>
      </w:r>
    </w:p>
    <w:p>
      <w:pPr>
        <w:spacing w:after="0" w:line="213" w:lineRule="exact"/>
        <w:rPr>
          <w:sz w:val="20"/>
          <w:szCs w:val="20"/>
          <w:color w:val="auto"/>
        </w:rPr>
      </w:pPr>
    </w:p>
    <w:p>
      <w:pPr>
        <w:ind w:left="140" w:right="320"/>
        <w:spacing w:after="0" w:line="31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system is designed to provide reasonable assurance regarding the preparation and fair presentation of externally-reported consolidated financial statements in accordance with generally accepted accounting principles in the United States (U.S. GAAP). As discussed above, internal control systems, no matter how well designed, have inherent limitations and can provide only reasonable assurance that their objectives have been met.</w:t>
      </w:r>
    </w:p>
    <w:p>
      <w:pPr>
        <w:spacing w:after="0" w:line="116" w:lineRule="exact"/>
        <w:rPr>
          <w:sz w:val="20"/>
          <w:szCs w:val="20"/>
          <w:color w:val="auto"/>
        </w:rPr>
      </w:pPr>
    </w:p>
    <w:p>
      <w:pPr>
        <w:ind w:left="140" w:right="340"/>
        <w:spacing w:after="0" w:line="316" w:lineRule="auto"/>
        <w:rPr>
          <w:sz w:val="20"/>
          <w:szCs w:val="20"/>
          <w:color w:val="auto"/>
        </w:rPr>
      </w:pPr>
      <w:r>
        <w:rPr>
          <w:rFonts w:ascii="Arial" w:cs="Arial" w:eastAsia="Arial" w:hAnsi="Arial"/>
          <w:sz w:val="18"/>
          <w:szCs w:val="18"/>
          <w:color w:val="auto"/>
        </w:rPr>
        <w:t>As of December 31, 2024, our management conducted an evaluation, under the supervision and with the participation of our CEO and CFO, of the effectiveness of our internal control over financial reporting based upon the framework in the Internal Control - Integrated Framework (2013), issued by the Committee of Sponsoring Organizations of the Treadway Commission. Based upon that evaluation, our CEO and CFO concluded that our internal control over financial reporting was effective as of December 31, 2024.</w:t>
      </w:r>
    </w:p>
    <w:p>
      <w:pPr>
        <w:spacing w:after="0" w:line="109" w:lineRule="exact"/>
        <w:rPr>
          <w:sz w:val="20"/>
          <w:szCs w:val="20"/>
          <w:color w:val="auto"/>
        </w:rPr>
      </w:pPr>
    </w:p>
    <w:p>
      <w:pPr>
        <w:ind w:left="140" w:right="300"/>
        <w:spacing w:after="0" w:line="326" w:lineRule="auto"/>
        <w:rPr>
          <w:sz w:val="20"/>
          <w:szCs w:val="20"/>
          <w:color w:val="auto"/>
        </w:rPr>
      </w:pPr>
      <w:r>
        <w:rPr>
          <w:rFonts w:ascii="Arial" w:cs="Arial" w:eastAsia="Arial" w:hAnsi="Arial"/>
          <w:sz w:val="19"/>
          <w:szCs w:val="19"/>
          <w:color w:val="auto"/>
        </w:rPr>
        <w:t>We are a smaller reporting company, and therefore our independent registered public accounting firm has not issued a report on the effectiveness of internal control over financial reporting.</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137</w:t>
      </w:r>
    </w:p>
    <w:p>
      <w:pPr>
        <w:sectPr>
          <w:pgSz w:w="12240" w:h="15840" w:orient="portrait"/>
          <w:cols w:equalWidth="0" w:num="1">
            <w:col w:w="9360"/>
          </w:cols>
          <w:pgMar w:left="1440" w:top="1440" w:right="1440" w:bottom="610" w:gutter="0" w:footer="0" w:header="0"/>
          <w:type w:val="continuous"/>
        </w:sectPr>
      </w:pPr>
    </w:p>
    <w:bookmarkStart w:id="144" w:name="page145"/>
    <w:bookmarkEnd w:id="144"/>
    <w:p>
      <w:pPr>
        <w:spacing w:after="0" w:line="350"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Inherent Limitations on Effectiveness of Controls</w:t>
      </w:r>
    </w:p>
    <w:p>
      <w:pPr>
        <w:spacing w:after="0" w:line="215" w:lineRule="exact"/>
        <w:rPr>
          <w:sz w:val="20"/>
          <w:szCs w:val="20"/>
          <w:color w:val="auto"/>
        </w:rPr>
      </w:pPr>
    </w:p>
    <w:p>
      <w:pPr>
        <w:ind w:left="140" w:right="280"/>
        <w:spacing w:after="0" w:line="325" w:lineRule="auto"/>
        <w:rPr>
          <w:sz w:val="20"/>
          <w:szCs w:val="20"/>
          <w:color w:val="auto"/>
        </w:rPr>
      </w:pPr>
      <w:r>
        <w:rPr>
          <w:rFonts w:ascii="Arial" w:cs="Arial" w:eastAsia="Arial" w:hAnsi="Arial"/>
          <w:sz w:val="17"/>
          <w:szCs w:val="17"/>
          <w:color w:val="auto"/>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15" w:lineRule="exact"/>
        <w:rPr>
          <w:sz w:val="20"/>
          <w:szCs w:val="20"/>
          <w:color w:val="auto"/>
        </w:rPr>
      </w:pPr>
    </w:p>
    <w:p>
      <w:pPr>
        <w:ind w:left="140" w:right="620"/>
        <w:spacing w:after="0" w:line="305" w:lineRule="auto"/>
        <w:rPr>
          <w:sz w:val="20"/>
          <w:szCs w:val="20"/>
          <w:color w:val="auto"/>
        </w:rPr>
      </w:pPr>
      <w:r>
        <w:rPr>
          <w:rFonts w:ascii="Arial" w:cs="Arial" w:eastAsia="Arial" w:hAnsi="Arial"/>
          <w:sz w:val="19"/>
          <w:szCs w:val="19"/>
          <w:color w:val="auto"/>
        </w:rPr>
        <w:t>There have been no changes in our internal control over financial reporting that occurred during the year ended December 31, 2024 that have materially affected, or are reasonably likely to materially affect, our internal control over financial reporting.</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Item 9B. Other Information</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Insider Trading Arrangements</w:t>
      </w:r>
    </w:p>
    <w:p>
      <w:pPr>
        <w:spacing w:after="0" w:line="209" w:lineRule="exact"/>
        <w:rPr>
          <w:sz w:val="20"/>
          <w:szCs w:val="20"/>
          <w:color w:val="auto"/>
        </w:rPr>
      </w:pPr>
    </w:p>
    <w:p>
      <w:pPr>
        <w:ind w:left="140" w:right="340"/>
        <w:spacing w:after="0" w:line="305" w:lineRule="auto"/>
        <w:rPr>
          <w:sz w:val="20"/>
          <w:szCs w:val="20"/>
          <w:color w:val="auto"/>
        </w:rPr>
      </w:pPr>
      <w:r>
        <w:rPr>
          <w:rFonts w:ascii="Arial" w:cs="Arial" w:eastAsia="Arial" w:hAnsi="Arial"/>
          <w:sz w:val="19"/>
          <w:szCs w:val="19"/>
          <w:color w:val="auto"/>
        </w:rPr>
        <w:t>No officers or directors, as defined in Rule 16a-1(f) under the Exchange Act, adopted or terminated a “Rule 10b5-1 trading arrangement” or “non-Rule 10b5-1 trading arrangement,” each as defined in Regulation S-K Item 408, during the last fiscal quarter.</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Item 9C. Disclosure Regarding Foreign Jurisdictions that Prevent Inspections</w:t>
      </w:r>
    </w:p>
    <w:p>
      <w:pPr>
        <w:spacing w:after="0" w:line="21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None.</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138</w:t>
      </w:r>
    </w:p>
    <w:p>
      <w:pPr>
        <w:sectPr>
          <w:pgSz w:w="12240" w:h="15840" w:orient="portrait"/>
          <w:cols w:equalWidth="0" w:num="1">
            <w:col w:w="9360"/>
          </w:cols>
          <w:pgMar w:left="1440" w:top="1440" w:right="1440" w:bottom="610" w:gutter="0" w:footer="0" w:header="0"/>
          <w:type w:val="continuous"/>
        </w:sectPr>
      </w:pPr>
    </w:p>
    <w:bookmarkStart w:id="145" w:name="page146"/>
    <w:bookmarkEnd w:id="145"/>
    <w:p>
      <w:pPr>
        <w:spacing w:after="0" w:line="350"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PART III.</w:t>
      </w:r>
    </w:p>
    <w:p>
      <w:pPr>
        <w:spacing w:after="0" w:line="213"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213" w:lineRule="exact"/>
        <w:rPr>
          <w:sz w:val="20"/>
          <w:szCs w:val="20"/>
          <w:color w:val="auto"/>
        </w:rPr>
      </w:pPr>
    </w:p>
    <w:p>
      <w:pPr>
        <w:ind w:left="140" w:right="420"/>
        <w:spacing w:after="0" w:line="332" w:lineRule="auto"/>
        <w:rPr>
          <w:sz w:val="20"/>
          <w:szCs w:val="20"/>
          <w:color w:val="auto"/>
        </w:rPr>
      </w:pPr>
      <w:r>
        <w:rPr>
          <w:rFonts w:ascii="Arial" w:cs="Arial" w:eastAsia="Arial" w:hAnsi="Arial"/>
          <w:sz w:val="17"/>
          <w:szCs w:val="17"/>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Annual Report.</w:t>
      </w:r>
    </w:p>
    <w:p>
      <w:pPr>
        <w:spacing w:after="0" w:line="99" w:lineRule="exact"/>
        <w:rPr>
          <w:sz w:val="20"/>
          <w:szCs w:val="20"/>
          <w:color w:val="auto"/>
        </w:rPr>
      </w:pPr>
    </w:p>
    <w:p>
      <w:pPr>
        <w:ind w:left="140" w:right="320"/>
        <w:spacing w:after="0" w:line="299" w:lineRule="auto"/>
        <w:rPr>
          <w:sz w:val="20"/>
          <w:szCs w:val="20"/>
          <w:color w:val="auto"/>
        </w:rPr>
      </w:pPr>
      <w:r>
        <w:rPr>
          <w:rFonts w:ascii="Arial" w:cs="Arial" w:eastAsia="Arial" w:hAnsi="Arial"/>
          <w:sz w:val="19"/>
          <w:szCs w:val="19"/>
          <w:color w:val="auto"/>
        </w:rPr>
        <w:t>The remaining information required under this item is incorporated herein by reference to our definitive proxy statement (the “Proxy Statement”) pursuant to Regulation 14A under the Securities Exchange Act of 1934, as amended, which Proxy Statement is expected to be filed with Securities and Exchange Commission not later than 120 days after the close of our fiscal year ended December 31, 2024.</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Item 11. Executive Compensation</w:t>
      </w:r>
    </w:p>
    <w:p>
      <w:pPr>
        <w:spacing w:after="0" w:line="21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Item 14. Principal Accounting Fees and Services</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139</w:t>
      </w:r>
    </w:p>
    <w:p>
      <w:pPr>
        <w:sectPr>
          <w:pgSz w:w="12240" w:h="15840" w:orient="portrait"/>
          <w:cols w:equalWidth="0" w:num="1">
            <w:col w:w="9360"/>
          </w:cols>
          <w:pgMar w:left="1440" w:top="1440" w:right="1440" w:bottom="610" w:gutter="0" w:footer="0" w:header="0"/>
          <w:type w:val="continuous"/>
        </w:sectPr>
      </w:pPr>
    </w:p>
    <w:bookmarkStart w:id="146" w:name="page147"/>
    <w:bookmarkEnd w:id="146"/>
    <w:p>
      <w:pPr>
        <w:spacing w:after="0" w:line="350" w:lineRule="exact"/>
        <w:rPr>
          <w:sz w:val="20"/>
          <w:szCs w:val="20"/>
          <w:color w:val="auto"/>
        </w:rPr>
      </w:pPr>
    </w:p>
    <w:p>
      <w:pPr>
        <w:ind w:left="4200"/>
        <w:spacing w:after="0"/>
        <w:rPr>
          <w:sz w:val="20"/>
          <w:szCs w:val="20"/>
          <w:color w:val="auto"/>
        </w:rPr>
      </w:pPr>
      <w:r>
        <w:rPr>
          <w:rFonts w:ascii="Arial" w:cs="Arial" w:eastAsia="Arial" w:hAnsi="Arial"/>
          <w:sz w:val="19"/>
          <w:szCs w:val="19"/>
          <w:b w:val="1"/>
          <w:bCs w:val="1"/>
          <w:color w:val="auto"/>
        </w:rPr>
        <w:t>PART IV.</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Item 15. Exhibits and Financial Statement Schedules</w:t>
      </w:r>
    </w:p>
    <w:p>
      <w:pPr>
        <w:spacing w:after="0" w:line="258"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following documents are filed as part of this Annual Report:</w:t>
      </w:r>
    </w:p>
    <w:p>
      <w:pPr>
        <w:spacing w:after="0" w:line="254" w:lineRule="exact"/>
        <w:rPr>
          <w:sz w:val="20"/>
          <w:szCs w:val="20"/>
          <w:color w:val="auto"/>
        </w:rPr>
      </w:pPr>
    </w:p>
    <w:p>
      <w:pPr>
        <w:ind w:left="1160" w:right="320" w:hanging="678"/>
        <w:spacing w:after="0" w:line="374" w:lineRule="auto"/>
        <w:tabs>
          <w:tab w:leader="none" w:pos="11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Financial Statements: The financial statements filed as part of this Annual Report are included in Part II, Item 8 of this Annual Report.</w:t>
      </w:r>
    </w:p>
    <w:p>
      <w:pPr>
        <w:spacing w:after="0" w:line="95" w:lineRule="exact"/>
        <w:rPr>
          <w:rFonts w:ascii="Arial" w:cs="Arial" w:eastAsia="Arial" w:hAnsi="Arial"/>
          <w:sz w:val="19"/>
          <w:szCs w:val="19"/>
          <w:color w:val="auto"/>
        </w:rPr>
      </w:pPr>
    </w:p>
    <w:p>
      <w:pPr>
        <w:ind w:left="1160" w:right="420" w:hanging="678"/>
        <w:spacing w:after="0" w:line="354" w:lineRule="auto"/>
        <w:tabs>
          <w:tab w:leader="none" w:pos="11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Financial Statement Schedules: Financial statement schedules have been omitted in this Annual Report because they are not applicable, not required under the instructions or the information requested is set forth in the financial statements or related notes thereto.</w:t>
      </w:r>
    </w:p>
    <w:p>
      <w:pPr>
        <w:spacing w:after="0" w:line="114" w:lineRule="exact"/>
        <w:rPr>
          <w:rFonts w:ascii="Arial" w:cs="Arial" w:eastAsia="Arial" w:hAnsi="Arial"/>
          <w:sz w:val="19"/>
          <w:szCs w:val="19"/>
          <w:color w:val="auto"/>
        </w:rPr>
      </w:pPr>
    </w:p>
    <w:p>
      <w:pPr>
        <w:ind w:left="1160" w:right="260" w:hanging="678"/>
        <w:spacing w:after="0" w:line="346" w:lineRule="auto"/>
        <w:tabs>
          <w:tab w:leader="none" w:pos="11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Exhibits: The list of exhibits filed with this Annual Report on Form 10-K is set forth in the Exhibit Index preceding the signature page and is incorporated herein by reference or filed with this Annual Report on Form 10-K, in each case as indicated therein (numbered in accordance with Item 601 of Regulation S-K).</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660" w:type="dxa"/>
            <w:vAlign w:val="bottom"/>
          </w:tcPr>
          <w:p>
            <w:pPr>
              <w:jc w:val="center"/>
              <w:ind w:right="12"/>
              <w:spacing w:after="0"/>
              <w:rPr>
                <w:sz w:val="20"/>
                <w:szCs w:val="20"/>
                <w:color w:val="auto"/>
              </w:rPr>
            </w:pPr>
            <w:r>
              <w:rPr>
                <w:rFonts w:ascii="Arial" w:cs="Arial" w:eastAsia="Arial" w:hAnsi="Arial"/>
                <w:sz w:val="15"/>
                <w:szCs w:val="15"/>
                <w:b w:val="1"/>
                <w:bCs w:val="1"/>
                <w:color w:val="auto"/>
                <w:w w:val="95"/>
              </w:rPr>
              <w:t>Exhibit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tcPr>
          <w:p>
            <w:pPr>
              <w:jc w:val="center"/>
              <w:ind w:right="32"/>
              <w:spacing w:after="0"/>
              <w:rPr>
                <w:sz w:val="20"/>
                <w:szCs w:val="20"/>
                <w:color w:val="auto"/>
              </w:rPr>
            </w:pPr>
            <w:r>
              <w:rPr>
                <w:rFonts w:ascii="Arial" w:cs="Arial" w:eastAsia="Arial" w:hAnsi="Arial"/>
                <w:sz w:val="15"/>
                <w:szCs w:val="15"/>
                <w:b w:val="1"/>
                <w:bCs w:val="1"/>
                <w:color w:val="auto"/>
                <w:w w:val="95"/>
              </w:rPr>
              <w:t>Number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16"/>
          </w:tcPr>
          <w:p>
            <w:pPr>
              <w:ind w:left="860"/>
              <w:spacing w:after="0"/>
              <w:rPr>
                <w:sz w:val="20"/>
                <w:szCs w:val="20"/>
                <w:color w:val="auto"/>
              </w:rPr>
            </w:pPr>
            <w:r>
              <w:rPr>
                <w:rFonts w:ascii="Arial" w:cs="Arial" w:eastAsia="Arial" w:hAnsi="Arial"/>
                <w:sz w:val="15"/>
                <w:szCs w:val="15"/>
                <w:b w:val="1"/>
                <w:bCs w:val="1"/>
                <w:color w:val="auto"/>
              </w:rPr>
              <w:t>Description</w:t>
            </w:r>
          </w:p>
        </w:tc>
        <w:tc>
          <w:tcPr>
            <w:tcW w:w="640" w:type="dxa"/>
            <w:vAlign w:val="bottom"/>
          </w:tcPr>
          <w:p>
            <w:pPr>
              <w:jc w:val="center"/>
              <w:spacing w:after="0"/>
              <w:rPr>
                <w:sz w:val="20"/>
                <w:szCs w:val="20"/>
                <w:color w:val="auto"/>
              </w:rPr>
            </w:pPr>
            <w:r>
              <w:rPr>
                <w:rFonts w:ascii="Arial" w:cs="Arial" w:eastAsia="Arial" w:hAnsi="Arial"/>
                <w:sz w:val="15"/>
                <w:szCs w:val="15"/>
                <w:b w:val="1"/>
                <w:bCs w:val="1"/>
                <w:color w:val="auto"/>
                <w:w w:val="95"/>
              </w:rPr>
              <w:t>Form</w:t>
            </w:r>
          </w:p>
        </w:tc>
        <w:tc>
          <w:tcPr>
            <w:tcW w:w="1200" w:type="dxa"/>
            <w:vAlign w:val="bottom"/>
          </w:tcPr>
          <w:p>
            <w:pPr>
              <w:ind w:left="360"/>
              <w:spacing w:after="0"/>
              <w:rPr>
                <w:sz w:val="20"/>
                <w:szCs w:val="20"/>
                <w:color w:val="auto"/>
              </w:rPr>
            </w:pPr>
            <w:r>
              <w:rPr>
                <w:rFonts w:ascii="Arial" w:cs="Arial" w:eastAsia="Arial" w:hAnsi="Arial"/>
                <w:sz w:val="15"/>
                <w:szCs w:val="15"/>
                <w:b w:val="1"/>
                <w:bCs w:val="1"/>
                <w:color w:val="auto"/>
              </w:rPr>
              <w:t>File No.</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Exhibit</w:t>
            </w:r>
          </w:p>
        </w:tc>
        <w:tc>
          <w:tcPr>
            <w:tcW w:w="980" w:type="dxa"/>
            <w:vAlign w:val="bottom"/>
          </w:tcPr>
          <w:p>
            <w:pPr>
              <w:ind w:left="220"/>
              <w:spacing w:after="0"/>
              <w:rPr>
                <w:sz w:val="20"/>
                <w:szCs w:val="20"/>
                <w:color w:val="auto"/>
              </w:rPr>
            </w:pPr>
            <w:r>
              <w:rPr>
                <w:rFonts w:ascii="Arial" w:cs="Arial" w:eastAsia="Arial" w:hAnsi="Arial"/>
                <w:sz w:val="15"/>
                <w:szCs w:val="15"/>
                <w:b w:val="1"/>
                <w:bCs w:val="1"/>
                <w:color w:val="auto"/>
                <w:w w:val="96"/>
              </w:rPr>
              <w:t>Filing Date</w:t>
            </w:r>
          </w:p>
        </w:tc>
        <w:tc>
          <w:tcPr>
            <w:tcW w:w="0" w:type="dxa"/>
            <w:vAlign w:val="bottom"/>
          </w:tcPr>
          <w:p>
            <w:pPr>
              <w:spacing w:after="0"/>
              <w:rPr>
                <w:sz w:val="1"/>
                <w:szCs w:val="1"/>
                <w:color w:val="auto"/>
              </w:rPr>
            </w:pPr>
          </w:p>
        </w:tc>
      </w:tr>
      <w:tr>
        <w:trPr>
          <w:trHeight w:val="381"/>
        </w:trPr>
        <w:tc>
          <w:tcPr>
            <w:tcW w:w="660" w:type="dxa"/>
            <w:vAlign w:val="bottom"/>
          </w:tcPr>
          <w:p>
            <w:pPr>
              <w:jc w:val="center"/>
              <w:ind w:right="32"/>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19"/>
          </w:tcPr>
          <w:p>
            <w:pPr>
              <w:spacing w:after="0"/>
              <w:rPr>
                <w:sz w:val="20"/>
                <w:szCs w:val="20"/>
                <w:color w:val="auto"/>
              </w:rPr>
            </w:pPr>
            <w:r>
              <w:rPr>
                <w:rFonts w:ascii="Arial" w:cs="Arial" w:eastAsia="Arial" w:hAnsi="Arial"/>
                <w:sz w:val="18"/>
                <w:szCs w:val="18"/>
                <w:color w:val="001377"/>
                <w:w w:val="92"/>
              </w:rPr>
              <w:t>Amended and Restated Certificate of Incorporation of the</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001-39747</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980" w:type="dxa"/>
            <w:vAlign w:val="bottom"/>
          </w:tcPr>
          <w:p>
            <w:pPr>
              <w:jc w:val="center"/>
              <w:ind w:left="91"/>
              <w:spacing w:after="0"/>
              <w:rPr>
                <w:sz w:val="20"/>
                <w:szCs w:val="20"/>
                <w:color w:val="auto"/>
              </w:rPr>
            </w:pPr>
            <w:r>
              <w:rPr>
                <w:rFonts w:ascii="Arial" w:cs="Arial" w:eastAsia="Arial" w:hAnsi="Arial"/>
                <w:sz w:val="18"/>
                <w:szCs w:val="18"/>
                <w:color w:val="auto"/>
                <w:w w:val="89"/>
              </w:rPr>
              <w:t>12/8/2020</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top w:val="single" w:sz="8" w:color="001377"/>
            </w:tcBorders>
            <w:gridSpan w:val="16"/>
          </w:tcPr>
          <w:p>
            <w:pPr>
              <w:spacing w:after="0"/>
              <w:rPr>
                <w:sz w:val="20"/>
                <w:szCs w:val="20"/>
                <w:color w:val="auto"/>
              </w:rPr>
            </w:pPr>
            <w:r>
              <w:rPr>
                <w:rFonts w:ascii="Arial" w:cs="Arial" w:eastAsia="Arial" w:hAnsi="Arial"/>
                <w:sz w:val="18"/>
                <w:szCs w:val="18"/>
                <w:color w:val="001377"/>
              </w:rPr>
              <w:t>Registrant</w:t>
            </w:r>
            <w:r>
              <w:rPr>
                <w:rFonts w:ascii="Arial" w:cs="Arial" w:eastAsia="Arial" w:hAnsi="Arial"/>
                <w:sz w:val="18"/>
                <w:szCs w:val="18"/>
                <w:color w:val="000000"/>
              </w:rPr>
              <w:t>.</w:t>
            </w:r>
          </w:p>
        </w:tc>
        <w:tc>
          <w:tcPr>
            <w:tcW w:w="100" w:type="dxa"/>
            <w:vAlign w:val="bottom"/>
            <w:gridSpan w:val="3"/>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1377"/>
          </w:tcPr>
          <w:p>
            <w:pPr>
              <w:spacing w:after="0" w:line="20" w:lineRule="exact"/>
              <w:rPr>
                <w:sz w:val="1"/>
                <w:szCs w:val="1"/>
                <w:color w:val="auto"/>
              </w:rPr>
            </w:pPr>
          </w:p>
        </w:tc>
        <w:tc>
          <w:tcPr>
            <w:tcW w:w="340" w:type="dxa"/>
            <w:vAlign w:val="bottom"/>
            <w:shd w:val="clear" w:color="auto" w:fill="00137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001-39747</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980" w:type="dxa"/>
            <w:vAlign w:val="bottom"/>
            <w:vMerge w:val="restart"/>
          </w:tcPr>
          <w:p>
            <w:pPr>
              <w:jc w:val="center"/>
              <w:ind w:left="91"/>
              <w:spacing w:after="0"/>
              <w:rPr>
                <w:sz w:val="20"/>
                <w:szCs w:val="20"/>
                <w:color w:val="auto"/>
              </w:rPr>
            </w:pPr>
            <w:r>
              <w:rPr>
                <w:rFonts w:ascii="Arial" w:cs="Arial" w:eastAsia="Arial" w:hAnsi="Arial"/>
                <w:sz w:val="18"/>
                <w:szCs w:val="18"/>
                <w:color w:val="auto"/>
                <w:w w:val="89"/>
              </w:rPr>
              <w:t>6/16/2023</w:t>
            </w:r>
          </w:p>
        </w:tc>
        <w:tc>
          <w:tcPr>
            <w:tcW w:w="0" w:type="dxa"/>
            <w:vAlign w:val="bottom"/>
          </w:tcPr>
          <w:p>
            <w:pPr>
              <w:spacing w:after="0" w:line="20" w:lineRule="exact"/>
              <w:rPr>
                <w:sz w:val="1"/>
                <w:szCs w:val="1"/>
                <w:color w:val="auto"/>
              </w:rPr>
            </w:pPr>
          </w:p>
        </w:tc>
      </w:tr>
      <w:tr>
        <w:trPr>
          <w:trHeight w:val="434"/>
        </w:trPr>
        <w:tc>
          <w:tcPr>
            <w:tcW w:w="660" w:type="dxa"/>
            <w:vAlign w:val="bottom"/>
          </w:tcPr>
          <w:p>
            <w:pPr>
              <w:jc w:val="center"/>
              <w:ind w:right="32"/>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19"/>
          </w:tcPr>
          <w:p>
            <w:pPr>
              <w:spacing w:after="0"/>
              <w:rPr>
                <w:sz w:val="20"/>
                <w:szCs w:val="20"/>
                <w:color w:val="auto"/>
              </w:rPr>
            </w:pPr>
            <w:r>
              <w:rPr>
                <w:rFonts w:ascii="Arial" w:cs="Arial" w:eastAsia="Arial" w:hAnsi="Arial"/>
                <w:sz w:val="18"/>
                <w:szCs w:val="18"/>
                <w:color w:val="001377"/>
                <w:w w:val="91"/>
              </w:rPr>
              <w:t>Amendment to the Amended and Restatement Certificate</w:t>
            </w:r>
          </w:p>
        </w:tc>
        <w:tc>
          <w:tcPr>
            <w:tcW w:w="6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00" w:type="dxa"/>
            <w:vAlign w:val="bottom"/>
            <w:tcBorders>
              <w:top w:val="single" w:sz="8" w:color="001377"/>
            </w:tcBorders>
            <w:gridSpan w:val="15"/>
          </w:tcPr>
          <w:p>
            <w:pPr>
              <w:spacing w:after="0" w:line="187" w:lineRule="exact"/>
              <w:rPr>
                <w:sz w:val="20"/>
                <w:szCs w:val="20"/>
                <w:color w:val="auto"/>
              </w:rPr>
            </w:pPr>
            <w:r>
              <w:rPr>
                <w:rFonts w:ascii="Arial" w:cs="Arial" w:eastAsia="Arial" w:hAnsi="Arial"/>
                <w:sz w:val="18"/>
                <w:szCs w:val="18"/>
                <w:color w:val="001377"/>
              </w:rPr>
              <w:t>of Incorporation of the Company.</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jc w:val="center"/>
              <w:ind w:right="32"/>
              <w:spacing w:after="0"/>
              <w:rPr>
                <w:sz w:val="20"/>
                <w:szCs w:val="20"/>
                <w:color w:val="auto"/>
              </w:rPr>
            </w:pPr>
            <w:r>
              <w:rPr>
                <w:rFonts w:ascii="Arial" w:cs="Arial" w:eastAsia="Arial" w:hAnsi="Arial"/>
                <w:sz w:val="18"/>
                <w:szCs w:val="18"/>
                <w:color w:val="auto"/>
                <w:w w:val="87"/>
              </w:rPr>
              <w:t>3.3</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1377"/>
          </w:tcPr>
          <w:p>
            <w:pPr>
              <w:spacing w:after="0" w:line="20" w:lineRule="exact"/>
              <w:rPr>
                <w:sz w:val="1"/>
                <w:szCs w:val="1"/>
                <w:color w:val="auto"/>
              </w:rPr>
            </w:pPr>
          </w:p>
        </w:tc>
        <w:tc>
          <w:tcPr>
            <w:tcW w:w="460" w:type="dxa"/>
            <w:vAlign w:val="bottom"/>
            <w:gridSpan w:val="2"/>
            <w:shd w:val="clear" w:color="auto" w:fill="001377"/>
          </w:tcPr>
          <w:p>
            <w:pPr>
              <w:spacing w:after="0" w:line="20" w:lineRule="exact"/>
              <w:rPr>
                <w:sz w:val="1"/>
                <w:szCs w:val="1"/>
                <w:color w:val="auto"/>
              </w:rPr>
            </w:pPr>
          </w:p>
        </w:tc>
        <w:tc>
          <w:tcPr>
            <w:tcW w:w="1560" w:type="dxa"/>
            <w:vAlign w:val="bottom"/>
            <w:shd w:val="clear" w:color="auto" w:fill="00137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001-39747</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980" w:type="dxa"/>
            <w:vAlign w:val="bottom"/>
            <w:vMerge w:val="restart"/>
          </w:tcPr>
          <w:p>
            <w:pPr>
              <w:jc w:val="center"/>
              <w:ind w:left="91"/>
              <w:spacing w:after="0"/>
              <w:rPr>
                <w:sz w:val="20"/>
                <w:szCs w:val="20"/>
                <w:color w:val="auto"/>
              </w:rPr>
            </w:pPr>
            <w:r>
              <w:rPr>
                <w:rFonts w:ascii="Arial" w:cs="Arial" w:eastAsia="Arial" w:hAnsi="Arial"/>
                <w:sz w:val="18"/>
                <w:szCs w:val="18"/>
                <w:color w:val="auto"/>
                <w:w w:val="89"/>
              </w:rPr>
              <w:t>6/16/2023</w:t>
            </w:r>
          </w:p>
        </w:tc>
        <w:tc>
          <w:tcPr>
            <w:tcW w:w="0" w:type="dxa"/>
            <w:vAlign w:val="bottom"/>
          </w:tcPr>
          <w:p>
            <w:pPr>
              <w:spacing w:after="0" w:line="20" w:lineRule="exact"/>
              <w:rPr>
                <w:sz w:val="1"/>
                <w:szCs w:val="1"/>
                <w:color w:val="auto"/>
              </w:rPr>
            </w:pPr>
          </w:p>
        </w:tc>
      </w:tr>
      <w:tr>
        <w:trPr>
          <w:trHeight w:val="434"/>
        </w:trPr>
        <w:tc>
          <w:tcPr>
            <w:tcW w:w="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tcBorders>
              <w:bottom w:val="single" w:sz="8" w:color="001377"/>
            </w:tcBorders>
            <w:gridSpan w:val="9"/>
          </w:tcPr>
          <w:p>
            <w:pPr>
              <w:spacing w:after="0"/>
              <w:rPr>
                <w:sz w:val="20"/>
                <w:szCs w:val="20"/>
                <w:color w:val="auto"/>
              </w:rPr>
            </w:pPr>
            <w:r>
              <w:rPr>
                <w:rFonts w:ascii="Arial" w:cs="Arial" w:eastAsia="Arial" w:hAnsi="Arial"/>
                <w:sz w:val="18"/>
                <w:szCs w:val="18"/>
                <w:color w:val="001377"/>
                <w:w w:val="89"/>
              </w:rPr>
              <w:t>Amended and Restated Bylaws of the Registrant.</w:t>
            </w:r>
          </w:p>
        </w:tc>
        <w:tc>
          <w:tcPr>
            <w:tcW w:w="700" w:type="dxa"/>
            <w:vAlign w:val="bottom"/>
            <w:gridSpan w:val="11"/>
          </w:tcPr>
          <w:p>
            <w:pPr>
              <w:spacing w:after="0"/>
              <w:rPr>
                <w:sz w:val="24"/>
                <w:szCs w:val="24"/>
                <w:color w:val="auto"/>
              </w:rPr>
            </w:pPr>
          </w:p>
        </w:tc>
        <w:tc>
          <w:tcPr>
            <w:tcW w:w="6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60" w:type="dxa"/>
            <w:vAlign w:val="bottom"/>
          </w:tcPr>
          <w:p>
            <w:pPr>
              <w:jc w:val="center"/>
              <w:ind w:right="32"/>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4240" w:type="dxa"/>
            <w:vAlign w:val="bottom"/>
            <w:gridSpan w:val="20"/>
          </w:tcPr>
          <w:p>
            <w:pPr>
              <w:spacing w:after="0"/>
              <w:rPr>
                <w:sz w:val="20"/>
                <w:szCs w:val="20"/>
                <w:color w:val="auto"/>
              </w:rPr>
            </w:pPr>
            <w:r>
              <w:rPr>
                <w:rFonts w:ascii="Arial" w:cs="Arial" w:eastAsia="Arial" w:hAnsi="Arial"/>
                <w:sz w:val="18"/>
                <w:szCs w:val="18"/>
                <w:color w:val="001377"/>
              </w:rPr>
              <w:t>Form of common stock certificate of the Registrant.</w:t>
            </w: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333-250035</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980" w:type="dxa"/>
            <w:vAlign w:val="bottom"/>
          </w:tcPr>
          <w:p>
            <w:pPr>
              <w:jc w:val="center"/>
              <w:ind w:left="71"/>
              <w:spacing w:after="0"/>
              <w:rPr>
                <w:sz w:val="20"/>
                <w:szCs w:val="20"/>
                <w:color w:val="auto"/>
              </w:rPr>
            </w:pPr>
            <w:r>
              <w:rPr>
                <w:rFonts w:ascii="Arial" w:cs="Arial" w:eastAsia="Arial" w:hAnsi="Arial"/>
                <w:sz w:val="18"/>
                <w:szCs w:val="18"/>
                <w:color w:val="auto"/>
                <w:w w:val="90"/>
              </w:rPr>
              <w:t>11/12/2020</w:t>
            </w:r>
          </w:p>
        </w:tc>
        <w:tc>
          <w:tcPr>
            <w:tcW w:w="0" w:type="dxa"/>
            <w:vAlign w:val="bottom"/>
          </w:tcPr>
          <w:p>
            <w:pPr>
              <w:spacing w:after="0"/>
              <w:rPr>
                <w:sz w:val="1"/>
                <w:szCs w:val="1"/>
                <w:color w:val="auto"/>
              </w:rPr>
            </w:pPr>
          </w:p>
        </w:tc>
      </w:tr>
      <w:tr>
        <w:trPr>
          <w:trHeight w:val="434"/>
        </w:trPr>
        <w:tc>
          <w:tcPr>
            <w:tcW w:w="660" w:type="dxa"/>
            <w:vAlign w:val="bottom"/>
          </w:tcPr>
          <w:p>
            <w:pPr>
              <w:jc w:val="center"/>
              <w:ind w:right="32"/>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3720" w:type="dxa"/>
            <w:vAlign w:val="bottom"/>
            <w:tcBorders>
              <w:top w:val="single" w:sz="8" w:color="001377"/>
            </w:tcBorders>
            <w:gridSpan w:val="12"/>
          </w:tcPr>
          <w:p>
            <w:pPr>
              <w:spacing w:after="0"/>
              <w:rPr>
                <w:sz w:val="20"/>
                <w:szCs w:val="20"/>
                <w:color w:val="auto"/>
              </w:rPr>
            </w:pPr>
            <w:r>
              <w:rPr>
                <w:rFonts w:ascii="Arial" w:cs="Arial" w:eastAsia="Arial" w:hAnsi="Arial"/>
                <w:sz w:val="18"/>
                <w:szCs w:val="18"/>
                <w:color w:val="001377"/>
                <w:w w:val="91"/>
              </w:rPr>
              <w:t>Description of the Registrant’s securities registered</w:t>
            </w:r>
          </w:p>
        </w:tc>
        <w:tc>
          <w:tcPr>
            <w:tcW w:w="520" w:type="dxa"/>
            <w:vAlign w:val="bottom"/>
            <w:gridSpan w:val="8"/>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center"/>
              <w:ind w:lef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1377"/>
          </w:tcPr>
          <w:p>
            <w:pPr>
              <w:spacing w:after="0" w:line="20" w:lineRule="exact"/>
              <w:rPr>
                <w:sz w:val="1"/>
                <w:szCs w:val="1"/>
                <w:color w:val="auto"/>
              </w:rPr>
            </w:pPr>
          </w:p>
        </w:tc>
        <w:tc>
          <w:tcPr>
            <w:tcW w:w="460" w:type="dxa"/>
            <w:vAlign w:val="bottom"/>
            <w:gridSpan w:val="2"/>
            <w:shd w:val="clear" w:color="auto" w:fill="001377"/>
          </w:tcPr>
          <w:p>
            <w:pPr>
              <w:spacing w:after="0" w:line="20" w:lineRule="exact"/>
              <w:rPr>
                <w:sz w:val="1"/>
                <w:szCs w:val="1"/>
                <w:color w:val="auto"/>
              </w:rPr>
            </w:pPr>
          </w:p>
        </w:tc>
        <w:tc>
          <w:tcPr>
            <w:tcW w:w="1600" w:type="dxa"/>
            <w:vAlign w:val="bottom"/>
            <w:gridSpan w:val="2"/>
            <w:shd w:val="clear" w:color="auto" w:fill="001377"/>
          </w:tcPr>
          <w:p>
            <w:pPr>
              <w:spacing w:after="0" w:line="20" w:lineRule="exact"/>
              <w:rPr>
                <w:sz w:val="1"/>
                <w:szCs w:val="1"/>
                <w:color w:val="auto"/>
              </w:rPr>
            </w:pPr>
          </w:p>
        </w:tc>
        <w:tc>
          <w:tcPr>
            <w:tcW w:w="760" w:type="dxa"/>
            <w:vAlign w:val="bottom"/>
            <w:shd w:val="clear" w:color="auto" w:fill="001377"/>
          </w:tcPr>
          <w:p>
            <w:pPr>
              <w:spacing w:after="0" w:line="20" w:lineRule="exact"/>
              <w:rPr>
                <w:sz w:val="1"/>
                <w:szCs w:val="1"/>
                <w:color w:val="auto"/>
              </w:rPr>
            </w:pPr>
          </w:p>
        </w:tc>
        <w:tc>
          <w:tcPr>
            <w:tcW w:w="300" w:type="dxa"/>
            <w:vAlign w:val="bottom"/>
            <w:shd w:val="clear" w:color="auto" w:fill="001377"/>
          </w:tcPr>
          <w:p>
            <w:pPr>
              <w:spacing w:after="0" w:line="20" w:lineRule="exact"/>
              <w:rPr>
                <w:sz w:val="1"/>
                <w:szCs w:val="1"/>
                <w:color w:val="auto"/>
              </w:rPr>
            </w:pPr>
          </w:p>
        </w:tc>
        <w:tc>
          <w:tcPr>
            <w:tcW w:w="60" w:type="dxa"/>
            <w:vAlign w:val="bottom"/>
            <w:gridSpan w:val="2"/>
            <w:shd w:val="clear" w:color="auto" w:fill="001377"/>
          </w:tcPr>
          <w:p>
            <w:pPr>
              <w:spacing w:after="0" w:line="20" w:lineRule="exact"/>
              <w:rPr>
                <w:sz w:val="1"/>
                <w:szCs w:val="1"/>
                <w:color w:val="auto"/>
              </w:rPr>
            </w:pPr>
          </w:p>
        </w:tc>
        <w:tc>
          <w:tcPr>
            <w:tcW w:w="100" w:type="dxa"/>
            <w:vAlign w:val="bottom"/>
            <w:shd w:val="clear" w:color="auto" w:fill="00137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tcBorders>
              <w:bottom w:val="single" w:sz="8" w:color="001377"/>
            </w:tcBorders>
            <w:gridSpan w:val="13"/>
          </w:tcPr>
          <w:p>
            <w:pPr>
              <w:spacing w:after="0"/>
              <w:rPr>
                <w:sz w:val="20"/>
                <w:szCs w:val="20"/>
                <w:color w:val="auto"/>
              </w:rPr>
            </w:pPr>
            <w:r>
              <w:rPr>
                <w:rFonts w:ascii="Arial" w:cs="Arial" w:eastAsia="Arial" w:hAnsi="Arial"/>
                <w:sz w:val="18"/>
                <w:szCs w:val="18"/>
                <w:color w:val="001377"/>
                <w:w w:val="89"/>
              </w:rPr>
              <w:t>pursuant to Section 12 of the Securities Exchange Act of</w:t>
            </w:r>
          </w:p>
        </w:tc>
        <w:tc>
          <w:tcPr>
            <w:tcW w:w="160" w:type="dxa"/>
            <w:vAlign w:val="bottom"/>
            <w:gridSpan w:val="6"/>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0" w:type="dxa"/>
            <w:vAlign w:val="bottom"/>
          </w:tcPr>
          <w:p>
            <w:pPr>
              <w:spacing w:after="0"/>
              <w:rPr>
                <w:sz w:val="18"/>
                <w:szCs w:val="18"/>
                <w:color w:val="auto"/>
              </w:rPr>
            </w:pPr>
          </w:p>
        </w:tc>
        <w:tc>
          <w:tcPr>
            <w:tcW w:w="880" w:type="dxa"/>
            <w:vAlign w:val="bottom"/>
            <w:gridSpan w:val="4"/>
          </w:tcPr>
          <w:p>
            <w:pPr>
              <w:ind w:left="140"/>
              <w:spacing w:after="0"/>
              <w:rPr>
                <w:sz w:val="20"/>
                <w:szCs w:val="20"/>
                <w:color w:val="auto"/>
              </w:rPr>
            </w:pPr>
            <w:r>
              <w:rPr>
                <w:rFonts w:ascii="Arial" w:cs="Arial" w:eastAsia="Arial" w:hAnsi="Arial"/>
                <w:sz w:val="18"/>
                <w:szCs w:val="18"/>
                <w:color w:val="001377"/>
              </w:rPr>
              <w:t>1934.</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shd w:val="clear" w:color="auto" w:fill="00137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333-250035</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980" w:type="dxa"/>
            <w:vAlign w:val="bottom"/>
            <w:vMerge w:val="restart"/>
          </w:tcPr>
          <w:p>
            <w:pPr>
              <w:jc w:val="center"/>
              <w:ind w:left="71"/>
              <w:spacing w:after="0"/>
              <w:rPr>
                <w:sz w:val="20"/>
                <w:szCs w:val="20"/>
                <w:color w:val="auto"/>
              </w:rPr>
            </w:pPr>
            <w:r>
              <w:rPr>
                <w:rFonts w:ascii="Arial" w:cs="Arial" w:eastAsia="Arial" w:hAnsi="Arial"/>
                <w:sz w:val="18"/>
                <w:szCs w:val="18"/>
                <w:color w:val="auto"/>
                <w:w w:val="90"/>
              </w:rPr>
              <w:t>11/12/2020</w:t>
            </w:r>
          </w:p>
        </w:tc>
        <w:tc>
          <w:tcPr>
            <w:tcW w:w="0" w:type="dxa"/>
            <w:vAlign w:val="bottom"/>
          </w:tcPr>
          <w:p>
            <w:pPr>
              <w:spacing w:after="0" w:line="20" w:lineRule="exact"/>
              <w:rPr>
                <w:sz w:val="1"/>
                <w:szCs w:val="1"/>
                <w:color w:val="auto"/>
              </w:rPr>
            </w:pPr>
          </w:p>
        </w:tc>
      </w:tr>
      <w:tr>
        <w:trPr>
          <w:trHeight w:val="424"/>
        </w:trPr>
        <w:tc>
          <w:tcPr>
            <w:tcW w:w="660" w:type="dxa"/>
            <w:vAlign w:val="bottom"/>
          </w:tcPr>
          <w:p>
            <w:pPr>
              <w:jc w:val="center"/>
              <w:ind w:right="32"/>
              <w:spacing w:after="0"/>
              <w:rPr>
                <w:sz w:val="20"/>
                <w:szCs w:val="20"/>
                <w:color w:val="auto"/>
              </w:rPr>
            </w:pPr>
            <w:r>
              <w:rPr>
                <w:rFonts w:ascii="Arial" w:cs="Arial" w:eastAsia="Arial" w:hAnsi="Arial"/>
                <w:sz w:val="18"/>
                <w:szCs w:val="18"/>
                <w:color w:val="auto"/>
                <w:w w:val="92"/>
              </w:rPr>
              <w:t>10.1+</w:t>
            </w:r>
          </w:p>
        </w:tc>
        <w:tc>
          <w:tcPr>
            <w:tcW w:w="4380" w:type="dxa"/>
            <w:vAlign w:val="bottom"/>
            <w:gridSpan w:val="21"/>
          </w:tcPr>
          <w:p>
            <w:pPr>
              <w:ind w:left="140"/>
              <w:spacing w:after="0"/>
              <w:rPr>
                <w:sz w:val="20"/>
                <w:szCs w:val="20"/>
                <w:color w:val="auto"/>
              </w:rPr>
            </w:pPr>
            <w:r>
              <w:rPr>
                <w:rFonts w:ascii="Arial" w:cs="Arial" w:eastAsia="Arial" w:hAnsi="Arial"/>
                <w:sz w:val="18"/>
                <w:szCs w:val="18"/>
                <w:color w:val="001377"/>
              </w:rPr>
              <w:t>Form of Indemnification Agreement between the</w:t>
            </w:r>
          </w:p>
        </w:tc>
        <w:tc>
          <w:tcPr>
            <w:tcW w:w="6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1377"/>
          </w:tcPr>
          <w:p>
            <w:pPr>
              <w:spacing w:after="0" w:line="20" w:lineRule="exact"/>
              <w:rPr>
                <w:sz w:val="1"/>
                <w:szCs w:val="1"/>
                <w:color w:val="auto"/>
              </w:rPr>
            </w:pPr>
          </w:p>
        </w:tc>
        <w:tc>
          <w:tcPr>
            <w:tcW w:w="1600" w:type="dxa"/>
            <w:vAlign w:val="bottom"/>
            <w:gridSpan w:val="2"/>
            <w:shd w:val="clear" w:color="auto" w:fill="001377"/>
          </w:tcPr>
          <w:p>
            <w:pPr>
              <w:spacing w:after="0" w:line="20" w:lineRule="exact"/>
              <w:rPr>
                <w:sz w:val="1"/>
                <w:szCs w:val="1"/>
                <w:color w:val="auto"/>
              </w:rPr>
            </w:pPr>
          </w:p>
        </w:tc>
        <w:tc>
          <w:tcPr>
            <w:tcW w:w="760" w:type="dxa"/>
            <w:vAlign w:val="bottom"/>
            <w:shd w:val="clear" w:color="auto" w:fill="001377"/>
          </w:tcPr>
          <w:p>
            <w:pPr>
              <w:spacing w:after="0" w:line="20" w:lineRule="exact"/>
              <w:rPr>
                <w:sz w:val="1"/>
                <w:szCs w:val="1"/>
                <w:color w:val="auto"/>
              </w:rPr>
            </w:pPr>
          </w:p>
        </w:tc>
        <w:tc>
          <w:tcPr>
            <w:tcW w:w="300" w:type="dxa"/>
            <w:vAlign w:val="bottom"/>
            <w:shd w:val="clear" w:color="auto" w:fill="00137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tcBorders>
              <w:bottom w:val="single" w:sz="8" w:color="001377"/>
            </w:tcBorders>
            <w:gridSpan w:val="18"/>
          </w:tcPr>
          <w:p>
            <w:pPr>
              <w:spacing w:after="0"/>
              <w:rPr>
                <w:sz w:val="20"/>
                <w:szCs w:val="20"/>
                <w:color w:val="auto"/>
              </w:rPr>
            </w:pPr>
            <w:r>
              <w:rPr>
                <w:rFonts w:ascii="Arial" w:cs="Arial" w:eastAsia="Arial" w:hAnsi="Arial"/>
                <w:sz w:val="18"/>
                <w:szCs w:val="18"/>
                <w:color w:val="001377"/>
                <w:w w:val="89"/>
              </w:rPr>
              <w:t>Registrant and each of its directors and executive officers.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660" w:type="dxa"/>
            <w:vAlign w:val="bottom"/>
          </w:tcPr>
          <w:p>
            <w:pPr>
              <w:jc w:val="center"/>
              <w:ind w:right="32"/>
              <w:spacing w:after="0"/>
              <w:rPr>
                <w:sz w:val="20"/>
                <w:szCs w:val="20"/>
                <w:color w:val="auto"/>
              </w:rPr>
            </w:pPr>
            <w:r>
              <w:rPr>
                <w:rFonts w:ascii="Arial" w:cs="Arial" w:eastAsia="Arial" w:hAnsi="Arial"/>
                <w:sz w:val="18"/>
                <w:szCs w:val="18"/>
                <w:color w:val="auto"/>
                <w:w w:val="92"/>
              </w:rPr>
              <w:t>10.2+</w:t>
            </w:r>
          </w:p>
        </w:tc>
        <w:tc>
          <w:tcPr>
            <w:tcW w:w="140" w:type="dxa"/>
            <w:vAlign w:val="bottom"/>
          </w:tcPr>
          <w:p>
            <w:pPr>
              <w:spacing w:after="0"/>
              <w:rPr>
                <w:sz w:val="24"/>
                <w:szCs w:val="24"/>
                <w:color w:val="auto"/>
              </w:rPr>
            </w:pPr>
          </w:p>
        </w:tc>
        <w:tc>
          <w:tcPr>
            <w:tcW w:w="4100" w:type="dxa"/>
            <w:vAlign w:val="bottom"/>
            <w:tcBorders>
              <w:bottom w:val="single" w:sz="8" w:color="001377"/>
            </w:tcBorders>
            <w:gridSpan w:val="15"/>
          </w:tcPr>
          <w:p>
            <w:pPr>
              <w:spacing w:after="0"/>
              <w:rPr>
                <w:sz w:val="20"/>
                <w:szCs w:val="20"/>
                <w:color w:val="auto"/>
              </w:rPr>
            </w:pPr>
            <w:r>
              <w:rPr>
                <w:rFonts w:ascii="Arial" w:cs="Arial" w:eastAsia="Arial" w:hAnsi="Arial"/>
                <w:sz w:val="18"/>
                <w:szCs w:val="18"/>
                <w:color w:val="001377"/>
                <w:w w:val="89"/>
              </w:rPr>
              <w:t>2020 Equity Incentive Plan and related form agreements.</w:t>
            </w:r>
          </w:p>
        </w:tc>
        <w:tc>
          <w:tcPr>
            <w:tcW w:w="140" w:type="dxa"/>
            <w:vAlign w:val="bottom"/>
            <w:gridSpan w:val="5"/>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333-250035</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980" w:type="dxa"/>
            <w:vAlign w:val="bottom"/>
          </w:tcPr>
          <w:p>
            <w:pPr>
              <w:jc w:val="center"/>
              <w:ind w:left="71"/>
              <w:spacing w:after="0"/>
              <w:rPr>
                <w:sz w:val="20"/>
                <w:szCs w:val="20"/>
                <w:color w:val="auto"/>
              </w:rPr>
            </w:pPr>
            <w:r>
              <w:rPr>
                <w:rFonts w:ascii="Arial" w:cs="Arial" w:eastAsia="Arial" w:hAnsi="Arial"/>
                <w:sz w:val="18"/>
                <w:szCs w:val="18"/>
                <w:color w:val="auto"/>
                <w:w w:val="90"/>
              </w:rPr>
              <w:t>11/30/2020</w:t>
            </w:r>
          </w:p>
        </w:tc>
        <w:tc>
          <w:tcPr>
            <w:tcW w:w="0" w:type="dxa"/>
            <w:vAlign w:val="bottom"/>
          </w:tcPr>
          <w:p>
            <w:pPr>
              <w:spacing w:after="0"/>
              <w:rPr>
                <w:sz w:val="1"/>
                <w:szCs w:val="1"/>
                <w:color w:val="auto"/>
              </w:rPr>
            </w:pPr>
          </w:p>
        </w:tc>
      </w:tr>
      <w:tr>
        <w:trPr>
          <w:trHeight w:val="434"/>
        </w:trPr>
        <w:tc>
          <w:tcPr>
            <w:tcW w:w="660" w:type="dxa"/>
            <w:vAlign w:val="bottom"/>
          </w:tcPr>
          <w:p>
            <w:pPr>
              <w:jc w:val="center"/>
              <w:ind w:right="32"/>
              <w:spacing w:after="0"/>
              <w:rPr>
                <w:sz w:val="20"/>
                <w:szCs w:val="20"/>
                <w:color w:val="auto"/>
              </w:rPr>
            </w:pPr>
            <w:r>
              <w:rPr>
                <w:rFonts w:ascii="Arial" w:cs="Arial" w:eastAsia="Arial" w:hAnsi="Arial"/>
                <w:sz w:val="18"/>
                <w:szCs w:val="18"/>
                <w:color w:val="auto"/>
                <w:w w:val="92"/>
              </w:rPr>
              <w:t>10.3+</w:t>
            </w:r>
          </w:p>
        </w:tc>
        <w:tc>
          <w:tcPr>
            <w:tcW w:w="140" w:type="dxa"/>
            <w:vAlign w:val="bottom"/>
          </w:tcPr>
          <w:p>
            <w:pPr>
              <w:spacing w:after="0"/>
              <w:rPr>
                <w:sz w:val="24"/>
                <w:szCs w:val="24"/>
                <w:color w:val="auto"/>
              </w:rPr>
            </w:pPr>
          </w:p>
        </w:tc>
        <w:tc>
          <w:tcPr>
            <w:tcW w:w="4240" w:type="dxa"/>
            <w:vAlign w:val="bottom"/>
            <w:gridSpan w:val="20"/>
          </w:tcPr>
          <w:p>
            <w:pPr>
              <w:spacing w:after="0"/>
              <w:rPr>
                <w:sz w:val="20"/>
                <w:szCs w:val="20"/>
                <w:color w:val="auto"/>
              </w:rPr>
            </w:pPr>
            <w:r>
              <w:rPr>
                <w:rFonts w:ascii="Arial" w:cs="Arial" w:eastAsia="Arial" w:hAnsi="Arial"/>
                <w:sz w:val="18"/>
                <w:szCs w:val="18"/>
                <w:color w:val="001377"/>
                <w:w w:val="93"/>
              </w:rPr>
              <w:t>2017 Stock Incentive Plan and related form agreements.</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center"/>
              <w:ind w:lef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4"/>
            <w:shd w:val="clear" w:color="auto" w:fill="001377"/>
          </w:tcPr>
          <w:p>
            <w:pPr>
              <w:spacing w:after="0" w:line="20" w:lineRule="exact"/>
              <w:rPr>
                <w:sz w:val="1"/>
                <w:szCs w:val="1"/>
                <w:color w:val="auto"/>
              </w:rPr>
            </w:pPr>
          </w:p>
        </w:tc>
        <w:tc>
          <w:tcPr>
            <w:tcW w:w="1600" w:type="dxa"/>
            <w:vAlign w:val="bottom"/>
            <w:gridSpan w:val="2"/>
            <w:shd w:val="clear" w:color="auto" w:fill="001377"/>
          </w:tcPr>
          <w:p>
            <w:pPr>
              <w:spacing w:after="0" w:line="20" w:lineRule="exact"/>
              <w:rPr>
                <w:sz w:val="1"/>
                <w:szCs w:val="1"/>
                <w:color w:val="auto"/>
              </w:rPr>
            </w:pPr>
          </w:p>
        </w:tc>
        <w:tc>
          <w:tcPr>
            <w:tcW w:w="760" w:type="dxa"/>
            <w:vAlign w:val="bottom"/>
            <w:shd w:val="clear" w:color="auto" w:fill="001377"/>
          </w:tcPr>
          <w:p>
            <w:pPr>
              <w:spacing w:after="0" w:line="20" w:lineRule="exact"/>
              <w:rPr>
                <w:sz w:val="1"/>
                <w:szCs w:val="1"/>
                <w:color w:val="auto"/>
              </w:rPr>
            </w:pPr>
          </w:p>
        </w:tc>
        <w:tc>
          <w:tcPr>
            <w:tcW w:w="360" w:type="dxa"/>
            <w:vAlign w:val="bottom"/>
            <w:gridSpan w:val="3"/>
            <w:shd w:val="clear" w:color="auto" w:fill="001377"/>
          </w:tcPr>
          <w:p>
            <w:pPr>
              <w:spacing w:after="0" w:line="20" w:lineRule="exact"/>
              <w:rPr>
                <w:sz w:val="1"/>
                <w:szCs w:val="1"/>
                <w:color w:val="auto"/>
              </w:rPr>
            </w:pPr>
          </w:p>
        </w:tc>
        <w:tc>
          <w:tcPr>
            <w:tcW w:w="440" w:type="dxa"/>
            <w:vAlign w:val="bottom"/>
            <w:tcBorders>
              <w:right w:val="single" w:sz="8" w:color="001377"/>
            </w:tcBorders>
            <w:gridSpan w:val="3"/>
            <w:shd w:val="clear" w:color="auto" w:fill="00137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7"/>
              </w:rPr>
              <w:t>S-1/A</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333-250035</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5"/>
              </w:rPr>
              <w:t>10.4</w:t>
            </w:r>
          </w:p>
        </w:tc>
        <w:tc>
          <w:tcPr>
            <w:tcW w:w="980" w:type="dxa"/>
            <w:vAlign w:val="bottom"/>
            <w:vMerge w:val="restart"/>
          </w:tcPr>
          <w:p>
            <w:pPr>
              <w:jc w:val="center"/>
              <w:ind w:left="71"/>
              <w:spacing w:after="0"/>
              <w:rPr>
                <w:sz w:val="20"/>
                <w:szCs w:val="20"/>
                <w:color w:val="auto"/>
              </w:rPr>
            </w:pPr>
            <w:r>
              <w:rPr>
                <w:rFonts w:ascii="Arial" w:cs="Arial" w:eastAsia="Arial" w:hAnsi="Arial"/>
                <w:sz w:val="18"/>
                <w:szCs w:val="18"/>
                <w:color w:val="auto"/>
                <w:w w:val="90"/>
              </w:rPr>
              <w:t>11/30/2020</w:t>
            </w:r>
          </w:p>
        </w:tc>
        <w:tc>
          <w:tcPr>
            <w:tcW w:w="0" w:type="dxa"/>
            <w:vAlign w:val="bottom"/>
          </w:tcPr>
          <w:p>
            <w:pPr>
              <w:spacing w:after="0" w:line="20" w:lineRule="exact"/>
              <w:rPr>
                <w:sz w:val="1"/>
                <w:szCs w:val="1"/>
                <w:color w:val="auto"/>
              </w:rPr>
            </w:pPr>
          </w:p>
        </w:tc>
      </w:tr>
      <w:tr>
        <w:trPr>
          <w:trHeight w:val="434"/>
        </w:trPr>
        <w:tc>
          <w:tcPr>
            <w:tcW w:w="660" w:type="dxa"/>
            <w:vAlign w:val="bottom"/>
          </w:tcPr>
          <w:p>
            <w:pPr>
              <w:jc w:val="center"/>
              <w:ind w:right="32"/>
              <w:spacing w:after="0"/>
              <w:rPr>
                <w:sz w:val="20"/>
                <w:szCs w:val="20"/>
                <w:color w:val="auto"/>
              </w:rPr>
            </w:pPr>
            <w:r>
              <w:rPr>
                <w:rFonts w:ascii="Arial" w:cs="Arial" w:eastAsia="Arial" w:hAnsi="Arial"/>
                <w:sz w:val="18"/>
                <w:szCs w:val="18"/>
                <w:color w:val="auto"/>
                <w:w w:val="92"/>
              </w:rPr>
              <w:t>10.4+</w:t>
            </w:r>
          </w:p>
        </w:tc>
        <w:tc>
          <w:tcPr>
            <w:tcW w:w="4380" w:type="dxa"/>
            <w:vAlign w:val="bottom"/>
            <w:gridSpan w:val="21"/>
          </w:tcPr>
          <w:p>
            <w:pPr>
              <w:ind w:left="140"/>
              <w:spacing w:after="0"/>
              <w:rPr>
                <w:sz w:val="20"/>
                <w:szCs w:val="20"/>
                <w:color w:val="auto"/>
              </w:rPr>
            </w:pPr>
            <w:r>
              <w:rPr>
                <w:rFonts w:ascii="Arial" w:cs="Arial" w:eastAsia="Arial" w:hAnsi="Arial"/>
                <w:sz w:val="18"/>
                <w:szCs w:val="18"/>
                <w:color w:val="001377"/>
              </w:rPr>
              <w:t>2020 RSU Equity Incentive Plan and related form</w:t>
            </w:r>
          </w:p>
        </w:tc>
        <w:tc>
          <w:tcPr>
            <w:tcW w:w="6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tcBorders>
              <w:top w:val="single" w:sz="8" w:color="001377"/>
            </w:tcBorders>
            <w:gridSpan w:val="9"/>
          </w:tcPr>
          <w:p>
            <w:pPr>
              <w:spacing w:after="0"/>
              <w:rPr>
                <w:sz w:val="20"/>
                <w:szCs w:val="20"/>
                <w:color w:val="auto"/>
              </w:rPr>
            </w:pPr>
            <w:r>
              <w:rPr>
                <w:rFonts w:ascii="Arial" w:cs="Arial" w:eastAsia="Arial" w:hAnsi="Arial"/>
                <w:sz w:val="18"/>
                <w:szCs w:val="18"/>
                <w:color w:val="001377"/>
              </w:rPr>
              <w:t>agreements.</w:t>
            </w:r>
          </w:p>
        </w:tc>
        <w:tc>
          <w:tcPr>
            <w:tcW w:w="660" w:type="dxa"/>
            <w:vAlign w:val="bottom"/>
            <w:gridSpan w:val="10"/>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1377"/>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5"/>
              </w:rPr>
              <w:t>S-8</w:t>
            </w:r>
          </w:p>
        </w:tc>
        <w:tc>
          <w:tcPr>
            <w:tcW w:w="1200" w:type="dxa"/>
            <w:vAlign w:val="bottom"/>
            <w:vMerge w:val="restart"/>
          </w:tcPr>
          <w:p>
            <w:pPr>
              <w:jc w:val="center"/>
              <w:spacing w:after="0"/>
              <w:rPr>
                <w:sz w:val="20"/>
                <w:szCs w:val="20"/>
                <w:color w:val="auto"/>
              </w:rPr>
            </w:pPr>
            <w:r>
              <w:rPr>
                <w:rFonts w:ascii="Arial" w:cs="Arial" w:eastAsia="Arial" w:hAnsi="Arial"/>
                <w:sz w:val="19"/>
                <w:szCs w:val="19"/>
                <w:color w:val="auto"/>
                <w:w w:val="90"/>
              </w:rPr>
              <w:t>333-270351</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7"/>
              </w:rPr>
              <w:t>4.3</w:t>
            </w:r>
          </w:p>
        </w:tc>
        <w:tc>
          <w:tcPr>
            <w:tcW w:w="980" w:type="dxa"/>
            <w:vAlign w:val="bottom"/>
            <w:vMerge w:val="restart"/>
          </w:tcPr>
          <w:p>
            <w:pPr>
              <w:jc w:val="center"/>
              <w:ind w:left="91"/>
              <w:spacing w:after="0"/>
              <w:rPr>
                <w:sz w:val="20"/>
                <w:szCs w:val="20"/>
                <w:color w:val="auto"/>
              </w:rPr>
            </w:pPr>
            <w:r>
              <w:rPr>
                <w:rFonts w:ascii="Arial" w:cs="Arial" w:eastAsia="Arial" w:hAnsi="Arial"/>
                <w:sz w:val="18"/>
                <w:szCs w:val="18"/>
                <w:color w:val="auto"/>
                <w:w w:val="91"/>
              </w:rPr>
              <w:t>3/8/2023</w:t>
            </w:r>
          </w:p>
        </w:tc>
        <w:tc>
          <w:tcPr>
            <w:tcW w:w="0" w:type="dxa"/>
            <w:vAlign w:val="bottom"/>
          </w:tcPr>
          <w:p>
            <w:pPr>
              <w:spacing w:after="0" w:line="20" w:lineRule="exact"/>
              <w:rPr>
                <w:sz w:val="1"/>
                <w:szCs w:val="1"/>
                <w:color w:val="auto"/>
              </w:rPr>
            </w:pPr>
          </w:p>
        </w:tc>
      </w:tr>
      <w:tr>
        <w:trPr>
          <w:trHeight w:val="434"/>
        </w:trPr>
        <w:tc>
          <w:tcPr>
            <w:tcW w:w="660" w:type="dxa"/>
            <w:vAlign w:val="bottom"/>
          </w:tcPr>
          <w:p>
            <w:pPr>
              <w:jc w:val="center"/>
              <w:ind w:right="32"/>
              <w:spacing w:after="0"/>
              <w:rPr>
                <w:sz w:val="20"/>
                <w:szCs w:val="20"/>
                <w:color w:val="auto"/>
              </w:rPr>
            </w:pPr>
            <w:r>
              <w:rPr>
                <w:rFonts w:ascii="Arial" w:cs="Arial" w:eastAsia="Arial" w:hAnsi="Arial"/>
                <w:sz w:val="18"/>
                <w:szCs w:val="18"/>
                <w:color w:val="auto"/>
                <w:w w:val="92"/>
              </w:rPr>
              <w:t>10.5+</w:t>
            </w:r>
          </w:p>
        </w:tc>
        <w:tc>
          <w:tcPr>
            <w:tcW w:w="140" w:type="dxa"/>
            <w:vAlign w:val="bottom"/>
          </w:tcPr>
          <w:p>
            <w:pPr>
              <w:spacing w:after="0"/>
              <w:rPr>
                <w:sz w:val="24"/>
                <w:szCs w:val="24"/>
                <w:color w:val="auto"/>
              </w:rPr>
            </w:pPr>
          </w:p>
        </w:tc>
        <w:tc>
          <w:tcPr>
            <w:tcW w:w="4240" w:type="dxa"/>
            <w:vAlign w:val="bottom"/>
            <w:gridSpan w:val="20"/>
          </w:tcPr>
          <w:p>
            <w:pPr>
              <w:spacing w:after="0"/>
              <w:rPr>
                <w:sz w:val="20"/>
                <w:szCs w:val="20"/>
                <w:color w:val="auto"/>
              </w:rPr>
            </w:pPr>
            <w:r>
              <w:rPr>
                <w:rFonts w:ascii="Arial" w:cs="Arial" w:eastAsia="Arial" w:hAnsi="Arial"/>
                <w:sz w:val="18"/>
                <w:szCs w:val="18"/>
                <w:color w:val="001377"/>
                <w:w w:val="93"/>
              </w:rPr>
              <w:t>Amended and Restated 2020 Employee Stock Purchase</w:t>
            </w:r>
          </w:p>
        </w:tc>
        <w:tc>
          <w:tcPr>
            <w:tcW w:w="6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0" w:type="dxa"/>
            <w:vAlign w:val="bottom"/>
            <w:tcBorders>
              <w:top w:val="single" w:sz="8" w:color="001377"/>
            </w:tcBorders>
            <w:gridSpan w:val="12"/>
          </w:tcPr>
          <w:p>
            <w:pPr>
              <w:spacing w:after="0"/>
              <w:rPr>
                <w:sz w:val="20"/>
                <w:szCs w:val="20"/>
                <w:color w:val="auto"/>
              </w:rPr>
            </w:pPr>
            <w:r>
              <w:rPr>
                <w:rFonts w:ascii="Arial" w:cs="Arial" w:eastAsia="Arial" w:hAnsi="Arial"/>
                <w:sz w:val="18"/>
                <w:szCs w:val="18"/>
                <w:color w:val="001377"/>
              </w:rPr>
              <w:t>Plan and related form agreements.</w:t>
            </w:r>
          </w:p>
        </w:tc>
        <w:tc>
          <w:tcPr>
            <w:tcW w:w="220" w:type="dxa"/>
            <w:vAlign w:val="bottom"/>
            <w:gridSpan w:val="7"/>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shd w:val="clear" w:color="auto" w:fill="00137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7"/>
              </w:rPr>
              <w:t>S-1/A</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333-250035</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5"/>
              </w:rPr>
              <w:t>10.7</w:t>
            </w:r>
          </w:p>
        </w:tc>
        <w:tc>
          <w:tcPr>
            <w:tcW w:w="980" w:type="dxa"/>
            <w:vAlign w:val="bottom"/>
            <w:vMerge w:val="restart"/>
          </w:tcPr>
          <w:p>
            <w:pPr>
              <w:jc w:val="center"/>
              <w:ind w:left="71"/>
              <w:spacing w:after="0"/>
              <w:rPr>
                <w:sz w:val="20"/>
                <w:szCs w:val="20"/>
                <w:color w:val="auto"/>
              </w:rPr>
            </w:pPr>
            <w:r>
              <w:rPr>
                <w:rFonts w:ascii="Arial" w:cs="Arial" w:eastAsia="Arial" w:hAnsi="Arial"/>
                <w:sz w:val="18"/>
                <w:szCs w:val="18"/>
                <w:color w:val="auto"/>
                <w:w w:val="90"/>
              </w:rPr>
              <w:t>11/30/2020</w:t>
            </w:r>
          </w:p>
        </w:tc>
        <w:tc>
          <w:tcPr>
            <w:tcW w:w="0" w:type="dxa"/>
            <w:vAlign w:val="bottom"/>
          </w:tcPr>
          <w:p>
            <w:pPr>
              <w:spacing w:after="0" w:line="20" w:lineRule="exact"/>
              <w:rPr>
                <w:sz w:val="1"/>
                <w:szCs w:val="1"/>
                <w:color w:val="auto"/>
              </w:rPr>
            </w:pPr>
          </w:p>
        </w:tc>
      </w:tr>
      <w:tr>
        <w:trPr>
          <w:trHeight w:val="434"/>
        </w:trPr>
        <w:tc>
          <w:tcPr>
            <w:tcW w:w="660" w:type="dxa"/>
            <w:vAlign w:val="bottom"/>
          </w:tcPr>
          <w:p>
            <w:pPr>
              <w:jc w:val="center"/>
              <w:ind w:right="32"/>
              <w:spacing w:after="0"/>
              <w:rPr>
                <w:sz w:val="20"/>
                <w:szCs w:val="20"/>
                <w:color w:val="auto"/>
              </w:rPr>
            </w:pPr>
            <w:r>
              <w:rPr>
                <w:rFonts w:ascii="Arial" w:cs="Arial" w:eastAsia="Arial" w:hAnsi="Arial"/>
                <w:sz w:val="18"/>
                <w:szCs w:val="18"/>
                <w:color w:val="auto"/>
                <w:w w:val="92"/>
              </w:rPr>
              <w:t>10.6+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19"/>
          </w:tcPr>
          <w:p>
            <w:pPr>
              <w:spacing w:after="0"/>
              <w:rPr>
                <w:sz w:val="20"/>
                <w:szCs w:val="20"/>
                <w:color w:val="auto"/>
              </w:rPr>
            </w:pPr>
            <w:r>
              <w:rPr>
                <w:rFonts w:ascii="Arial" w:cs="Arial" w:eastAsia="Arial" w:hAnsi="Arial"/>
                <w:sz w:val="18"/>
                <w:szCs w:val="18"/>
                <w:color w:val="001377"/>
                <w:w w:val="92"/>
              </w:rPr>
              <w:t>Confirmatory Offer Letter between the Registrant and Dr.</w:t>
            </w:r>
          </w:p>
        </w:tc>
        <w:tc>
          <w:tcPr>
            <w:tcW w:w="6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tcBorders>
              <w:top w:val="single" w:sz="8" w:color="001377"/>
              <w:bottom w:val="single" w:sz="8" w:color="001377"/>
            </w:tcBorders>
            <w:gridSpan w:val="6"/>
          </w:tcPr>
          <w:p>
            <w:pPr>
              <w:spacing w:after="0"/>
              <w:rPr>
                <w:sz w:val="20"/>
                <w:szCs w:val="20"/>
                <w:color w:val="auto"/>
              </w:rPr>
            </w:pPr>
            <w:r>
              <w:rPr>
                <w:rFonts w:ascii="Arial" w:cs="Arial" w:eastAsia="Arial" w:hAnsi="Arial"/>
                <w:sz w:val="18"/>
                <w:szCs w:val="18"/>
                <w:color w:val="001377"/>
                <w:w w:val="89"/>
              </w:rPr>
              <w:t>Omid Farokhzad, dated November 30, 2020.</w:t>
            </w:r>
          </w:p>
        </w:tc>
        <w:tc>
          <w:tcPr>
            <w:tcW w:w="940" w:type="dxa"/>
            <w:vAlign w:val="bottom"/>
            <w:tcBorders>
              <w:top w:val="single" w:sz="8" w:color="001377"/>
            </w:tcBorders>
            <w:gridSpan w:val="11"/>
          </w:tcPr>
          <w:p>
            <w:pPr>
              <w:spacing w:after="0"/>
              <w:rPr>
                <w:sz w:val="19"/>
                <w:szCs w:val="19"/>
                <w:color w:val="auto"/>
              </w:rPr>
            </w:pPr>
          </w:p>
        </w:tc>
        <w:tc>
          <w:tcPr>
            <w:tcW w:w="8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-4317365</wp:posOffset>
            </wp:positionV>
            <wp:extent cx="3303270"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95">
                      <a:extLst>
                        <a:ext uri="{28A0092B-C50C-407E-A947-70E740481C1C}"/>
                      </a:extLst>
                    </a:blip>
                    <a:srcRect/>
                    <a:stretch>
                      <a:fillRect/>
                    </a:stretch>
                  </pic:blipFill>
                  <pic:spPr bwMode="auto">
                    <a:xfrm>
                      <a:off x="0" y="0"/>
                      <a:ext cx="3303270" cy="39370"/>
                    </a:xfrm>
                    <a:prstGeom prst="rect">
                      <a:avLst/>
                    </a:prstGeom>
                    <a:noFill/>
                  </pic:spPr>
                </pic:pic>
              </a:graphicData>
            </a:graphic>
          </wp:anchor>
        </w:drawing>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140</w:t>
      </w:r>
    </w:p>
    <w:p>
      <w:pPr>
        <w:sectPr>
          <w:pgSz w:w="12240" w:h="15840" w:orient="portrait"/>
          <w:cols w:equalWidth="0" w:num="1">
            <w:col w:w="9360"/>
          </w:cols>
          <w:pgMar w:left="1440" w:top="1440" w:right="1440" w:bottom="610" w:gutter="0" w:footer="0" w:header="0"/>
          <w:type w:val="continuous"/>
        </w:sectPr>
      </w:pPr>
    </w:p>
    <w:bookmarkStart w:id="147" w:name="page148"/>
    <w:bookmarkEnd w:id="147"/>
    <w:p>
      <w:pPr>
        <w:spacing w:after="0" w:line="340"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2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4240" w:type="dxa"/>
            <w:vAlign w:val="bottom"/>
            <w:gridSpan w:val="25"/>
          </w:tcPr>
          <w:p>
            <w:pPr>
              <w:spacing w:after="0"/>
              <w:rPr>
                <w:sz w:val="20"/>
                <w:szCs w:val="20"/>
                <w:color w:val="auto"/>
              </w:rPr>
            </w:pPr>
            <w:r>
              <w:rPr>
                <w:rFonts w:ascii="Arial" w:cs="Arial" w:eastAsia="Arial" w:hAnsi="Arial"/>
                <w:sz w:val="18"/>
                <w:szCs w:val="18"/>
                <w:color w:val="001377"/>
                <w:w w:val="99"/>
              </w:rPr>
              <w:t>Confirmatory Offer Letter between the Registrant and</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333-250035</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11/30/2020</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Borders>
              <w:top w:val="single" w:sz="8" w:color="001377"/>
              <w:bottom w:val="single" w:sz="8" w:color="001377"/>
            </w:tcBorders>
            <w:gridSpan w:val="9"/>
          </w:tcPr>
          <w:p>
            <w:pPr>
              <w:spacing w:after="0"/>
              <w:rPr>
                <w:sz w:val="20"/>
                <w:szCs w:val="20"/>
                <w:color w:val="auto"/>
              </w:rPr>
            </w:pPr>
            <w:r>
              <w:rPr>
                <w:rFonts w:ascii="Arial" w:cs="Arial" w:eastAsia="Arial" w:hAnsi="Arial"/>
                <w:sz w:val="18"/>
                <w:szCs w:val="18"/>
                <w:color w:val="001377"/>
                <w:w w:val="90"/>
              </w:rPr>
              <w:t>David Horn, dated November 30, 2020.</w:t>
            </w:r>
          </w:p>
        </w:tc>
        <w:tc>
          <w:tcPr>
            <w:tcW w:w="1020" w:type="dxa"/>
            <w:vAlign w:val="bottom"/>
            <w:tcBorders>
              <w:top w:val="single" w:sz="8" w:color="001377"/>
            </w:tcBorders>
            <w:gridSpan w:val="7"/>
          </w:tcPr>
          <w:p>
            <w:pPr>
              <w:spacing w:after="0"/>
              <w:rPr>
                <w:sz w:val="19"/>
                <w:szCs w:val="19"/>
                <w:color w:val="auto"/>
              </w:rPr>
            </w:pPr>
          </w:p>
        </w:tc>
        <w:tc>
          <w:tcPr>
            <w:tcW w:w="360" w:type="dxa"/>
            <w:vAlign w:val="bottom"/>
            <w:gridSpan w:val="9"/>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720" w:type="dxa"/>
            <w:vAlign w:val="bottom"/>
          </w:tcPr>
          <w:p>
            <w:pPr>
              <w:jc w:val="center"/>
              <w:ind w:right="10"/>
              <w:spacing w:after="0"/>
              <w:rPr>
                <w:sz w:val="20"/>
                <w:szCs w:val="20"/>
                <w:color w:val="auto"/>
              </w:rPr>
            </w:pPr>
            <w:r>
              <w:rPr>
                <w:rFonts w:ascii="Arial" w:cs="Arial" w:eastAsia="Arial" w:hAnsi="Arial"/>
                <w:sz w:val="18"/>
                <w:szCs w:val="18"/>
                <w:color w:val="auto"/>
                <w:w w:val="92"/>
              </w:rPr>
              <w:t>10.8+</w:t>
            </w:r>
          </w:p>
        </w:tc>
        <w:tc>
          <w:tcPr>
            <w:tcW w:w="120" w:type="dxa"/>
            <w:vAlign w:val="bottom"/>
          </w:tcPr>
          <w:p>
            <w:pPr>
              <w:spacing w:after="0"/>
              <w:rPr>
                <w:sz w:val="24"/>
                <w:szCs w:val="24"/>
                <w:color w:val="auto"/>
              </w:rPr>
            </w:pPr>
          </w:p>
        </w:tc>
        <w:tc>
          <w:tcPr>
            <w:tcW w:w="3660" w:type="dxa"/>
            <w:vAlign w:val="bottom"/>
            <w:tcBorders>
              <w:bottom w:val="single" w:sz="8" w:color="001377"/>
            </w:tcBorders>
            <w:gridSpan w:val="14"/>
          </w:tcPr>
          <w:p>
            <w:pPr>
              <w:spacing w:after="0"/>
              <w:rPr>
                <w:sz w:val="20"/>
                <w:szCs w:val="20"/>
                <w:color w:val="auto"/>
              </w:rPr>
            </w:pPr>
            <w:r>
              <w:rPr>
                <w:rFonts w:ascii="Arial" w:cs="Arial" w:eastAsia="Arial" w:hAnsi="Arial"/>
                <w:sz w:val="18"/>
                <w:szCs w:val="18"/>
                <w:color w:val="001377"/>
                <w:w w:val="89"/>
              </w:rPr>
              <w:t>CEO Change in Control and Severance Agreement</w:t>
            </w:r>
          </w:p>
        </w:tc>
        <w:tc>
          <w:tcPr>
            <w:tcW w:w="580" w:type="dxa"/>
            <w:vAlign w:val="bottom"/>
            <w:gridSpan w:val="11"/>
          </w:tcPr>
          <w:p>
            <w:pPr>
              <w:spacing w:after="0"/>
              <w:rPr>
                <w:sz w:val="24"/>
                <w:szCs w:val="24"/>
                <w:color w:val="auto"/>
              </w:rPr>
            </w:pP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333-250035</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11/30/2020</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Borders>
              <w:bottom w:val="single" w:sz="8" w:color="001377"/>
            </w:tcBorders>
            <w:gridSpan w:val="19"/>
          </w:tcPr>
          <w:p>
            <w:pPr>
              <w:spacing w:after="0"/>
              <w:rPr>
                <w:sz w:val="20"/>
                <w:szCs w:val="20"/>
                <w:color w:val="auto"/>
              </w:rPr>
            </w:pPr>
            <w:r>
              <w:rPr>
                <w:rFonts w:ascii="Arial" w:cs="Arial" w:eastAsia="Arial" w:hAnsi="Arial"/>
                <w:sz w:val="18"/>
                <w:szCs w:val="18"/>
                <w:color w:val="001377"/>
                <w:w w:val="89"/>
              </w:rPr>
              <w:t>between the Registrant and Dr. Omid Farokhzad, dated</w:t>
            </w:r>
          </w:p>
        </w:tc>
        <w:tc>
          <w:tcPr>
            <w:tcW w:w="260" w:type="dxa"/>
            <w:vAlign w:val="bottom"/>
            <w:gridSpan w:val="6"/>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001377"/>
            </w:tcBorders>
            <w:gridSpan w:val="2"/>
          </w:tcPr>
          <w:p>
            <w:pPr>
              <w:spacing w:after="0"/>
              <w:rPr>
                <w:sz w:val="20"/>
                <w:szCs w:val="20"/>
                <w:color w:val="auto"/>
              </w:rPr>
            </w:pPr>
            <w:r>
              <w:rPr>
                <w:rFonts w:ascii="Arial" w:cs="Arial" w:eastAsia="Arial" w:hAnsi="Arial"/>
                <w:sz w:val="18"/>
                <w:szCs w:val="18"/>
                <w:color w:val="001377"/>
                <w:w w:val="89"/>
              </w:rPr>
              <w:t>November 30, 2020.</w:t>
            </w:r>
          </w:p>
        </w:tc>
        <w:tc>
          <w:tcPr>
            <w:tcW w:w="2760" w:type="dxa"/>
            <w:vAlign w:val="bottom"/>
            <w:gridSpan w:val="23"/>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720" w:type="dxa"/>
            <w:vAlign w:val="bottom"/>
          </w:tcPr>
          <w:p>
            <w:pPr>
              <w:jc w:val="center"/>
              <w:ind w:right="10"/>
              <w:spacing w:after="0"/>
              <w:rPr>
                <w:sz w:val="20"/>
                <w:szCs w:val="20"/>
                <w:color w:val="auto"/>
              </w:rPr>
            </w:pPr>
            <w:r>
              <w:rPr>
                <w:rFonts w:ascii="Arial" w:cs="Arial" w:eastAsia="Arial" w:hAnsi="Arial"/>
                <w:sz w:val="18"/>
                <w:szCs w:val="18"/>
                <w:color w:val="auto"/>
                <w:w w:val="92"/>
              </w:rPr>
              <w:t>10.9+</w:t>
            </w:r>
          </w:p>
        </w:tc>
        <w:tc>
          <w:tcPr>
            <w:tcW w:w="120" w:type="dxa"/>
            <w:vAlign w:val="bottom"/>
          </w:tcPr>
          <w:p>
            <w:pPr>
              <w:spacing w:after="0"/>
              <w:rPr>
                <w:sz w:val="24"/>
                <w:szCs w:val="24"/>
                <w:color w:val="auto"/>
              </w:rPr>
            </w:pPr>
          </w:p>
        </w:tc>
        <w:tc>
          <w:tcPr>
            <w:tcW w:w="4240" w:type="dxa"/>
            <w:vAlign w:val="bottom"/>
            <w:gridSpan w:val="25"/>
          </w:tcPr>
          <w:p>
            <w:pPr>
              <w:spacing w:after="0"/>
              <w:rPr>
                <w:sz w:val="20"/>
                <w:szCs w:val="20"/>
                <w:color w:val="auto"/>
              </w:rPr>
            </w:pPr>
            <w:r>
              <w:rPr>
                <w:rFonts w:ascii="Arial" w:cs="Arial" w:eastAsia="Arial" w:hAnsi="Arial"/>
                <w:sz w:val="18"/>
                <w:szCs w:val="18"/>
                <w:color w:val="001377"/>
              </w:rPr>
              <w:t>Executive Incentive Compensation Plan</w:t>
            </w:r>
            <w:r>
              <w:rPr>
                <w:rFonts w:ascii="Arial" w:cs="Arial" w:eastAsia="Arial" w:hAnsi="Arial"/>
                <w:sz w:val="18"/>
                <w:szCs w:val="18"/>
                <w:color w:val="000000"/>
              </w:rPr>
              <w:t>.</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333-250035</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10.11</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11/30/2020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1377"/>
          </w:tcPr>
          <w:p>
            <w:pPr>
              <w:spacing w:after="0" w:line="20" w:lineRule="exact"/>
              <w:rPr>
                <w:sz w:val="1"/>
                <w:szCs w:val="1"/>
                <w:color w:val="auto"/>
              </w:rPr>
            </w:pPr>
          </w:p>
        </w:tc>
        <w:tc>
          <w:tcPr>
            <w:tcW w:w="320" w:type="dxa"/>
            <w:vAlign w:val="bottom"/>
            <w:gridSpan w:val="2"/>
            <w:shd w:val="clear" w:color="auto" w:fill="001377"/>
          </w:tcPr>
          <w:p>
            <w:pPr>
              <w:spacing w:after="0" w:line="20" w:lineRule="exact"/>
              <w:rPr>
                <w:sz w:val="1"/>
                <w:szCs w:val="1"/>
                <w:color w:val="auto"/>
              </w:rPr>
            </w:pPr>
          </w:p>
        </w:tc>
        <w:tc>
          <w:tcPr>
            <w:tcW w:w="160" w:type="dxa"/>
            <w:vAlign w:val="bottom"/>
            <w:shd w:val="clear" w:color="auto" w:fill="001377"/>
          </w:tcPr>
          <w:p>
            <w:pPr>
              <w:spacing w:after="0" w:line="20" w:lineRule="exact"/>
              <w:rPr>
                <w:sz w:val="1"/>
                <w:szCs w:val="1"/>
                <w:color w:val="auto"/>
              </w:rPr>
            </w:pPr>
          </w:p>
        </w:tc>
        <w:tc>
          <w:tcPr>
            <w:tcW w:w="400" w:type="dxa"/>
            <w:vAlign w:val="bottom"/>
            <w:shd w:val="clear" w:color="auto" w:fill="001377"/>
          </w:tcPr>
          <w:p>
            <w:pPr>
              <w:spacing w:after="0" w:line="20" w:lineRule="exact"/>
              <w:rPr>
                <w:sz w:val="1"/>
                <w:szCs w:val="1"/>
                <w:color w:val="auto"/>
              </w:rPr>
            </w:pPr>
          </w:p>
        </w:tc>
        <w:tc>
          <w:tcPr>
            <w:tcW w:w="140" w:type="dxa"/>
            <w:vAlign w:val="bottom"/>
            <w:shd w:val="clear" w:color="auto" w:fill="001377"/>
          </w:tcPr>
          <w:p>
            <w:pPr>
              <w:spacing w:after="0" w:line="20" w:lineRule="exact"/>
              <w:rPr>
                <w:sz w:val="1"/>
                <w:szCs w:val="1"/>
                <w:color w:val="auto"/>
              </w:rPr>
            </w:pPr>
          </w:p>
        </w:tc>
        <w:tc>
          <w:tcPr>
            <w:tcW w:w="120" w:type="dxa"/>
            <w:vAlign w:val="bottom"/>
            <w:shd w:val="clear" w:color="auto" w:fill="001377"/>
          </w:tcPr>
          <w:p>
            <w:pPr>
              <w:spacing w:after="0" w:line="20" w:lineRule="exact"/>
              <w:rPr>
                <w:sz w:val="1"/>
                <w:szCs w:val="1"/>
                <w:color w:val="auto"/>
              </w:rPr>
            </w:pPr>
          </w:p>
        </w:tc>
        <w:tc>
          <w:tcPr>
            <w:tcW w:w="120" w:type="dxa"/>
            <w:vAlign w:val="bottom"/>
            <w:shd w:val="clear" w:color="auto" w:fill="001377"/>
          </w:tcPr>
          <w:p>
            <w:pPr>
              <w:spacing w:after="0" w:line="20" w:lineRule="exact"/>
              <w:rPr>
                <w:sz w:val="1"/>
                <w:szCs w:val="1"/>
                <w:color w:val="auto"/>
              </w:rPr>
            </w:pPr>
          </w:p>
        </w:tc>
        <w:tc>
          <w:tcPr>
            <w:tcW w:w="220" w:type="dxa"/>
            <w:vAlign w:val="bottom"/>
            <w:tcBorders>
              <w:right w:val="single" w:sz="8" w:color="001377"/>
            </w:tcBorders>
            <w:gridSpan w:val="2"/>
            <w:shd w:val="clear" w:color="auto" w:fill="00137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20" w:type="dxa"/>
            <w:vAlign w:val="bottom"/>
          </w:tcPr>
          <w:p>
            <w:pPr>
              <w:jc w:val="center"/>
              <w:ind w:right="10"/>
              <w:spacing w:after="0"/>
              <w:rPr>
                <w:sz w:val="20"/>
                <w:szCs w:val="20"/>
                <w:color w:val="auto"/>
              </w:rPr>
            </w:pPr>
            <w:r>
              <w:rPr>
                <w:rFonts w:ascii="Arial" w:cs="Arial" w:eastAsia="Arial" w:hAnsi="Arial"/>
                <w:sz w:val="18"/>
                <w:szCs w:val="18"/>
                <w:color w:val="auto"/>
                <w:w w:val="90"/>
              </w:rPr>
              <w:t>10.10#</w:t>
            </w:r>
          </w:p>
        </w:tc>
        <w:tc>
          <w:tcPr>
            <w:tcW w:w="120" w:type="dxa"/>
            <w:vAlign w:val="bottom"/>
          </w:tcPr>
          <w:p>
            <w:pPr>
              <w:spacing w:after="0"/>
              <w:rPr>
                <w:sz w:val="24"/>
                <w:szCs w:val="24"/>
                <w:color w:val="auto"/>
              </w:rPr>
            </w:pPr>
          </w:p>
        </w:tc>
        <w:tc>
          <w:tcPr>
            <w:tcW w:w="4240" w:type="dxa"/>
            <w:vAlign w:val="bottom"/>
            <w:gridSpan w:val="25"/>
          </w:tcPr>
          <w:p>
            <w:pPr>
              <w:spacing w:after="0"/>
              <w:rPr>
                <w:sz w:val="20"/>
                <w:szCs w:val="20"/>
                <w:color w:val="auto"/>
              </w:rPr>
            </w:pPr>
            <w:r>
              <w:rPr>
                <w:rFonts w:ascii="Arial" w:cs="Arial" w:eastAsia="Arial" w:hAnsi="Arial"/>
                <w:sz w:val="18"/>
                <w:szCs w:val="18"/>
                <w:color w:val="001377"/>
                <w:w w:val="92"/>
              </w:rPr>
              <w:t>Umbrella Development &amp; Supply Agreement between the</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333-250035</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11/12/2020</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tcBorders>
              <w:top w:val="single" w:sz="8" w:color="001377"/>
            </w:tcBorders>
            <w:gridSpan w:val="24"/>
          </w:tcPr>
          <w:p>
            <w:pPr>
              <w:spacing w:after="0"/>
              <w:rPr>
                <w:sz w:val="20"/>
                <w:szCs w:val="20"/>
                <w:color w:val="auto"/>
              </w:rPr>
            </w:pPr>
            <w:r>
              <w:rPr>
                <w:rFonts w:ascii="Arial" w:cs="Arial" w:eastAsia="Arial" w:hAnsi="Arial"/>
                <w:sz w:val="18"/>
                <w:szCs w:val="18"/>
                <w:color w:val="001377"/>
                <w:w w:val="91"/>
              </w:rPr>
              <w:t>Registrant and Hamilton Company, dated March 9, 2020.</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720" w:type="dxa"/>
            <w:vAlign w:val="bottom"/>
          </w:tcPr>
          <w:p>
            <w:pPr>
              <w:jc w:val="center"/>
              <w:ind w:right="10"/>
              <w:spacing w:after="0"/>
              <w:rPr>
                <w:sz w:val="20"/>
                <w:szCs w:val="20"/>
                <w:color w:val="auto"/>
              </w:rPr>
            </w:pPr>
            <w:r>
              <w:rPr>
                <w:rFonts w:ascii="Arial" w:cs="Arial" w:eastAsia="Arial" w:hAnsi="Arial"/>
                <w:sz w:val="18"/>
                <w:szCs w:val="18"/>
                <w:color w:val="auto"/>
                <w:w w:val="90"/>
              </w:rPr>
              <w:t>10.11#</w:t>
            </w:r>
          </w:p>
        </w:tc>
        <w:tc>
          <w:tcPr>
            <w:tcW w:w="120" w:type="dxa"/>
            <w:vAlign w:val="bottom"/>
          </w:tcPr>
          <w:p>
            <w:pPr>
              <w:spacing w:after="0"/>
              <w:rPr>
                <w:sz w:val="24"/>
                <w:szCs w:val="24"/>
                <w:color w:val="auto"/>
              </w:rPr>
            </w:pPr>
          </w:p>
        </w:tc>
        <w:tc>
          <w:tcPr>
            <w:tcW w:w="3560" w:type="dxa"/>
            <w:vAlign w:val="bottom"/>
            <w:tcBorders>
              <w:top w:val="single" w:sz="8" w:color="001377"/>
              <w:bottom w:val="single" w:sz="8" w:color="001377"/>
            </w:tcBorders>
            <w:gridSpan w:val="13"/>
          </w:tcPr>
          <w:p>
            <w:pPr>
              <w:spacing w:after="0"/>
              <w:rPr>
                <w:sz w:val="20"/>
                <w:szCs w:val="20"/>
                <w:color w:val="auto"/>
              </w:rPr>
            </w:pPr>
            <w:r>
              <w:rPr>
                <w:rFonts w:ascii="Arial" w:cs="Arial" w:eastAsia="Arial" w:hAnsi="Arial"/>
                <w:sz w:val="18"/>
                <w:szCs w:val="18"/>
                <w:color w:val="001377"/>
                <w:w w:val="89"/>
              </w:rPr>
              <w:t>Exclusive Patent License Agreement between the</w:t>
            </w:r>
          </w:p>
        </w:tc>
        <w:tc>
          <w:tcPr>
            <w:tcW w:w="560" w:type="dxa"/>
            <w:vAlign w:val="bottom"/>
            <w:tcBorders>
              <w:top w:val="single" w:sz="8" w:color="001377"/>
            </w:tcBorders>
            <w:gridSpan w:val="8"/>
          </w:tcPr>
          <w:p>
            <w:pPr>
              <w:spacing w:after="0"/>
              <w:rPr>
                <w:sz w:val="24"/>
                <w:szCs w:val="24"/>
                <w:color w:val="auto"/>
              </w:rPr>
            </w:pPr>
          </w:p>
        </w:tc>
        <w:tc>
          <w:tcPr>
            <w:tcW w:w="120" w:type="dxa"/>
            <w:vAlign w:val="bottom"/>
            <w:gridSpan w:val="4"/>
          </w:tcPr>
          <w:p>
            <w:pPr>
              <w:spacing w:after="0"/>
              <w:rPr>
                <w:sz w:val="24"/>
                <w:szCs w:val="24"/>
                <w:color w:val="auto"/>
              </w:rPr>
            </w:pP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333-250035</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11/12/2020</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40" w:type="dxa"/>
            <w:vAlign w:val="bottom"/>
            <w:gridSpan w:val="25"/>
          </w:tcPr>
          <w:p>
            <w:pPr>
              <w:spacing w:after="0"/>
              <w:rPr>
                <w:sz w:val="20"/>
                <w:szCs w:val="20"/>
                <w:color w:val="auto"/>
              </w:rPr>
            </w:pPr>
            <w:r>
              <w:rPr>
                <w:rFonts w:ascii="Arial" w:cs="Arial" w:eastAsia="Arial" w:hAnsi="Arial"/>
                <w:sz w:val="18"/>
                <w:szCs w:val="18"/>
                <w:color w:val="001377"/>
                <w:w w:val="92"/>
              </w:rPr>
              <w:t>Registrant and The Brigham and Women’s Hospital, Inc.,</w:t>
            </w: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Borders>
              <w:top w:val="single" w:sz="8" w:color="001377"/>
              <w:bottom w:val="single" w:sz="8" w:color="001377"/>
            </w:tcBorders>
            <w:gridSpan w:val="4"/>
          </w:tcPr>
          <w:p>
            <w:pPr>
              <w:spacing w:after="0"/>
              <w:rPr>
                <w:sz w:val="20"/>
                <w:szCs w:val="20"/>
                <w:color w:val="auto"/>
              </w:rPr>
            </w:pPr>
            <w:r>
              <w:rPr>
                <w:rFonts w:ascii="Arial" w:cs="Arial" w:eastAsia="Arial" w:hAnsi="Arial"/>
                <w:sz w:val="18"/>
                <w:szCs w:val="18"/>
                <w:color w:val="001377"/>
                <w:w w:val="88"/>
              </w:rPr>
              <w:t>dated December 18, 2017.</w:t>
            </w:r>
          </w:p>
        </w:tc>
        <w:tc>
          <w:tcPr>
            <w:tcW w:w="2240" w:type="dxa"/>
            <w:vAlign w:val="bottom"/>
            <w:tcBorders>
              <w:top w:val="single" w:sz="8" w:color="001377"/>
            </w:tcBorders>
            <w:gridSpan w:val="18"/>
          </w:tcPr>
          <w:p>
            <w:pPr>
              <w:spacing w:after="0"/>
              <w:rPr>
                <w:sz w:val="19"/>
                <w:szCs w:val="19"/>
                <w:color w:val="auto"/>
              </w:rPr>
            </w:pPr>
          </w:p>
        </w:tc>
        <w:tc>
          <w:tcPr>
            <w:tcW w:w="100" w:type="dxa"/>
            <w:vAlign w:val="bottom"/>
            <w:gridSpan w:val="3"/>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720" w:type="dxa"/>
            <w:vAlign w:val="bottom"/>
          </w:tcPr>
          <w:p>
            <w:pPr>
              <w:jc w:val="center"/>
              <w:ind w:right="10"/>
              <w:spacing w:after="0"/>
              <w:rPr>
                <w:sz w:val="20"/>
                <w:szCs w:val="20"/>
                <w:color w:val="auto"/>
              </w:rPr>
            </w:pPr>
            <w:r>
              <w:rPr>
                <w:rFonts w:ascii="Arial" w:cs="Arial" w:eastAsia="Arial" w:hAnsi="Arial"/>
                <w:sz w:val="18"/>
                <w:szCs w:val="18"/>
                <w:color w:val="auto"/>
                <w:w w:val="89"/>
              </w:rPr>
              <w:t>10.12+</w:t>
            </w:r>
          </w:p>
        </w:tc>
        <w:tc>
          <w:tcPr>
            <w:tcW w:w="120" w:type="dxa"/>
            <w:vAlign w:val="bottom"/>
          </w:tcPr>
          <w:p>
            <w:pPr>
              <w:spacing w:after="0"/>
              <w:rPr>
                <w:sz w:val="24"/>
                <w:szCs w:val="24"/>
                <w:color w:val="auto"/>
              </w:rPr>
            </w:pPr>
          </w:p>
        </w:tc>
        <w:tc>
          <w:tcPr>
            <w:tcW w:w="3980" w:type="dxa"/>
            <w:vAlign w:val="bottom"/>
            <w:tcBorders>
              <w:bottom w:val="single" w:sz="8" w:color="001377"/>
            </w:tcBorders>
            <w:gridSpan w:val="19"/>
          </w:tcPr>
          <w:p>
            <w:pPr>
              <w:spacing w:after="0"/>
              <w:rPr>
                <w:sz w:val="20"/>
                <w:szCs w:val="20"/>
                <w:color w:val="auto"/>
              </w:rPr>
            </w:pPr>
            <w:r>
              <w:rPr>
                <w:rFonts w:ascii="Arial" w:cs="Arial" w:eastAsia="Arial" w:hAnsi="Arial"/>
                <w:sz w:val="18"/>
                <w:szCs w:val="18"/>
                <w:color w:val="001377"/>
                <w:w w:val="90"/>
              </w:rPr>
              <w:t>Outside Director Compensation Policy (as amended on</w:t>
            </w:r>
          </w:p>
        </w:tc>
        <w:tc>
          <w:tcPr>
            <w:tcW w:w="26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center"/>
              <w:ind w:lef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40" w:type="dxa"/>
            <w:vAlign w:val="bottom"/>
            <w:gridSpan w:val="25"/>
          </w:tcPr>
          <w:p>
            <w:pPr>
              <w:spacing w:after="0"/>
              <w:rPr>
                <w:sz w:val="20"/>
                <w:szCs w:val="20"/>
                <w:color w:val="auto"/>
              </w:rPr>
            </w:pPr>
            <w:r>
              <w:rPr>
                <w:rFonts w:ascii="Arial" w:cs="Arial" w:eastAsia="Arial" w:hAnsi="Arial"/>
                <w:sz w:val="18"/>
                <w:szCs w:val="18"/>
                <w:color w:val="001377"/>
              </w:rPr>
              <w:t>February 26, 2025).</w:t>
            </w: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137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vMerge w:val="restart"/>
          </w:tcPr>
          <w:p>
            <w:pPr>
              <w:jc w:val="center"/>
              <w:ind w:right="10"/>
              <w:spacing w:after="0"/>
              <w:rPr>
                <w:sz w:val="20"/>
                <w:szCs w:val="20"/>
                <w:color w:val="auto"/>
              </w:rPr>
            </w:pPr>
            <w:r>
              <w:rPr>
                <w:rFonts w:ascii="Arial" w:cs="Arial" w:eastAsia="Arial" w:hAnsi="Arial"/>
                <w:sz w:val="18"/>
                <w:szCs w:val="18"/>
                <w:color w:val="auto"/>
                <w:w w:val="89"/>
              </w:rPr>
              <w:t>10-Q</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001-39747</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1020" w:type="dxa"/>
            <w:vAlign w:val="bottom"/>
            <w:vMerge w:val="restart"/>
          </w:tcPr>
          <w:p>
            <w:pPr>
              <w:jc w:val="center"/>
              <w:ind w:left="130"/>
              <w:spacing w:after="0"/>
              <w:rPr>
                <w:sz w:val="20"/>
                <w:szCs w:val="20"/>
                <w:color w:val="auto"/>
              </w:rPr>
            </w:pPr>
            <w:r>
              <w:rPr>
                <w:rFonts w:ascii="Arial" w:cs="Arial" w:eastAsia="Arial" w:hAnsi="Arial"/>
                <w:sz w:val="18"/>
                <w:szCs w:val="18"/>
                <w:color w:val="auto"/>
                <w:w w:val="89"/>
              </w:rPr>
              <w:t>11/7/2023</w:t>
            </w:r>
          </w:p>
        </w:tc>
        <w:tc>
          <w:tcPr>
            <w:tcW w:w="0" w:type="dxa"/>
            <w:vAlign w:val="bottom"/>
          </w:tcPr>
          <w:p>
            <w:pPr>
              <w:spacing w:after="0" w:line="20" w:lineRule="exact"/>
              <w:rPr>
                <w:sz w:val="1"/>
                <w:szCs w:val="1"/>
                <w:color w:val="auto"/>
              </w:rPr>
            </w:pPr>
          </w:p>
        </w:tc>
      </w:tr>
      <w:tr>
        <w:trPr>
          <w:trHeight w:val="474"/>
        </w:trPr>
        <w:tc>
          <w:tcPr>
            <w:tcW w:w="720" w:type="dxa"/>
            <w:vAlign w:val="bottom"/>
          </w:tcPr>
          <w:p>
            <w:pPr>
              <w:jc w:val="center"/>
              <w:ind w:right="10"/>
              <w:spacing w:after="0"/>
              <w:rPr>
                <w:sz w:val="20"/>
                <w:szCs w:val="20"/>
                <w:color w:val="auto"/>
              </w:rPr>
            </w:pPr>
            <w:r>
              <w:rPr>
                <w:rFonts w:ascii="Arial" w:cs="Arial" w:eastAsia="Arial" w:hAnsi="Arial"/>
                <w:sz w:val="18"/>
                <w:szCs w:val="18"/>
                <w:color w:val="auto"/>
                <w:w w:val="89"/>
              </w:rPr>
              <w:t>10.13+</w:t>
            </w:r>
          </w:p>
        </w:tc>
        <w:tc>
          <w:tcPr>
            <w:tcW w:w="4360" w:type="dxa"/>
            <w:vAlign w:val="bottom"/>
            <w:gridSpan w:val="26"/>
          </w:tcPr>
          <w:p>
            <w:pPr>
              <w:ind w:left="120"/>
              <w:spacing w:after="0"/>
              <w:rPr>
                <w:sz w:val="20"/>
                <w:szCs w:val="20"/>
                <w:color w:val="auto"/>
              </w:rPr>
            </w:pPr>
            <w:r>
              <w:rPr>
                <w:rFonts w:ascii="Arial" w:cs="Arial" w:eastAsia="Arial" w:hAnsi="Arial"/>
                <w:sz w:val="18"/>
                <w:szCs w:val="18"/>
                <w:color w:val="001377"/>
                <w:w w:val="96"/>
              </w:rPr>
              <w:t>Key Executive Change in Control and Severance Plan,</w:t>
            </w:r>
          </w:p>
        </w:tc>
        <w:tc>
          <w:tcPr>
            <w:tcW w:w="66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001377"/>
              <w:bottom w:val="single" w:sz="8" w:color="001377"/>
            </w:tcBorders>
            <w:gridSpan w:val="12"/>
          </w:tcPr>
          <w:p>
            <w:pPr>
              <w:spacing w:after="0"/>
              <w:rPr>
                <w:sz w:val="20"/>
                <w:szCs w:val="20"/>
                <w:color w:val="auto"/>
              </w:rPr>
            </w:pPr>
            <w:r>
              <w:rPr>
                <w:rFonts w:ascii="Arial" w:cs="Arial" w:eastAsia="Arial" w:hAnsi="Arial"/>
                <w:sz w:val="18"/>
                <w:szCs w:val="18"/>
                <w:color w:val="001377"/>
                <w:w w:val="90"/>
              </w:rPr>
              <w:t>and form of Participation Agreement thereunder.</w:t>
            </w:r>
          </w:p>
        </w:tc>
        <w:tc>
          <w:tcPr>
            <w:tcW w:w="400" w:type="dxa"/>
            <w:vAlign w:val="bottom"/>
            <w:tcBorders>
              <w:top w:val="single" w:sz="8" w:color="001377"/>
            </w:tcBorders>
            <w:gridSpan w:val="5"/>
          </w:tcPr>
          <w:p>
            <w:pPr>
              <w:spacing w:after="0"/>
              <w:rPr>
                <w:sz w:val="19"/>
                <w:szCs w:val="19"/>
                <w:color w:val="auto"/>
              </w:rPr>
            </w:pPr>
          </w:p>
        </w:tc>
        <w:tc>
          <w:tcPr>
            <w:tcW w:w="320" w:type="dxa"/>
            <w:vAlign w:val="bottom"/>
            <w:gridSpan w:val="8"/>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720" w:type="dxa"/>
            <w:vAlign w:val="bottom"/>
          </w:tcPr>
          <w:p>
            <w:pPr>
              <w:jc w:val="center"/>
              <w:ind w:right="10"/>
              <w:spacing w:after="0"/>
              <w:rPr>
                <w:sz w:val="20"/>
                <w:szCs w:val="20"/>
                <w:color w:val="auto"/>
              </w:rPr>
            </w:pPr>
            <w:r>
              <w:rPr>
                <w:rFonts w:ascii="Arial" w:cs="Arial" w:eastAsia="Arial" w:hAnsi="Arial"/>
                <w:sz w:val="19"/>
                <w:szCs w:val="19"/>
                <w:color w:val="auto"/>
                <w:w w:val="91"/>
              </w:rPr>
              <w:t>19.1</w:t>
            </w:r>
          </w:p>
        </w:tc>
        <w:tc>
          <w:tcPr>
            <w:tcW w:w="120" w:type="dxa"/>
            <w:vAlign w:val="bottom"/>
          </w:tcPr>
          <w:p>
            <w:pPr>
              <w:spacing w:after="0"/>
              <w:rPr>
                <w:sz w:val="24"/>
                <w:szCs w:val="24"/>
                <w:color w:val="auto"/>
              </w:rPr>
            </w:pPr>
          </w:p>
        </w:tc>
        <w:tc>
          <w:tcPr>
            <w:tcW w:w="4240" w:type="dxa"/>
            <w:vAlign w:val="bottom"/>
            <w:gridSpan w:val="25"/>
          </w:tcPr>
          <w:p>
            <w:pPr>
              <w:spacing w:after="0"/>
              <w:rPr>
                <w:sz w:val="20"/>
                <w:szCs w:val="20"/>
                <w:color w:val="auto"/>
              </w:rPr>
            </w:pPr>
            <w:r>
              <w:rPr>
                <w:rFonts w:ascii="Arial" w:cs="Arial" w:eastAsia="Arial" w:hAnsi="Arial"/>
                <w:sz w:val="19"/>
                <w:szCs w:val="19"/>
                <w:color w:val="001377"/>
              </w:rPr>
              <w:t>Insider Trading Policy.</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4"/>
              </w:rPr>
              <w:t>10-K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001-39747</w:t>
            </w:r>
          </w:p>
        </w:tc>
        <w:tc>
          <w:tcPr>
            <w:tcW w:w="760" w:type="dxa"/>
            <w:vAlign w:val="bottom"/>
          </w:tcPr>
          <w:p>
            <w:pPr>
              <w:jc w:val="center"/>
              <w:spacing w:after="0"/>
              <w:rPr>
                <w:sz w:val="20"/>
                <w:szCs w:val="20"/>
                <w:color w:val="auto"/>
              </w:rPr>
            </w:pPr>
            <w:r>
              <w:rPr>
                <w:rFonts w:ascii="Arial" w:cs="Arial" w:eastAsia="Arial" w:hAnsi="Arial"/>
                <w:sz w:val="19"/>
                <w:szCs w:val="19"/>
                <w:color w:val="auto"/>
                <w:w w:val="91"/>
              </w:rPr>
              <w:t>19.1</w:t>
            </w: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1"/>
              </w:rPr>
              <w:t>3/4/2024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3"/>
            <w:shd w:val="clear" w:color="auto" w:fill="00137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vMerge w:val="restart"/>
          </w:tcPr>
          <w:p>
            <w:pPr>
              <w:jc w:val="center"/>
              <w:ind w:left="110"/>
              <w:spacing w:after="0"/>
              <w:rPr>
                <w:sz w:val="20"/>
                <w:szCs w:val="20"/>
                <w:color w:val="auto"/>
              </w:rPr>
            </w:pPr>
            <w:r>
              <w:rPr>
                <w:rFonts w:ascii="Arial" w:cs="Arial" w:eastAsia="Arial" w:hAnsi="Arial"/>
                <w:sz w:val="19"/>
                <w:szCs w:val="19"/>
                <w:color w:val="auto"/>
              </w:rPr>
              <w:t>*</w:t>
            </w:r>
          </w:p>
        </w:tc>
        <w:tc>
          <w:tcPr>
            <w:tcW w:w="0" w:type="dxa"/>
            <w:vAlign w:val="bottom"/>
          </w:tcPr>
          <w:p>
            <w:pPr>
              <w:spacing w:after="0" w:line="20" w:lineRule="exact"/>
              <w:rPr>
                <w:sz w:val="1"/>
                <w:szCs w:val="1"/>
                <w:color w:val="auto"/>
              </w:rPr>
            </w:pPr>
          </w:p>
        </w:tc>
      </w:tr>
      <w:tr>
        <w:trPr>
          <w:trHeight w:val="465"/>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91"/>
              </w:rPr>
              <w:t>21.1</w:t>
            </w:r>
          </w:p>
        </w:tc>
        <w:tc>
          <w:tcPr>
            <w:tcW w:w="4360" w:type="dxa"/>
            <w:vAlign w:val="bottom"/>
            <w:gridSpan w:val="26"/>
          </w:tcPr>
          <w:p>
            <w:pPr>
              <w:ind w:left="120"/>
              <w:spacing w:after="0"/>
              <w:rPr>
                <w:sz w:val="20"/>
                <w:szCs w:val="20"/>
                <w:color w:val="auto"/>
              </w:rPr>
            </w:pPr>
            <w:r>
              <w:rPr>
                <w:rFonts w:ascii="Arial" w:cs="Arial" w:eastAsia="Arial" w:hAnsi="Arial"/>
                <w:sz w:val="18"/>
                <w:szCs w:val="18"/>
                <w:color w:val="001377"/>
              </w:rPr>
              <w:t>List of Subsidiaries of the Registrant.</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5"/>
            <w:shd w:val="clear" w:color="auto" w:fill="001377"/>
          </w:tcPr>
          <w:p>
            <w:pPr>
              <w:spacing w:after="0" w:line="20" w:lineRule="exact"/>
              <w:rPr>
                <w:sz w:val="1"/>
                <w:szCs w:val="1"/>
                <w:color w:val="auto"/>
              </w:rPr>
            </w:pPr>
          </w:p>
        </w:tc>
        <w:tc>
          <w:tcPr>
            <w:tcW w:w="140" w:type="dxa"/>
            <w:vAlign w:val="bottom"/>
            <w:shd w:val="clear" w:color="auto" w:fill="001377"/>
          </w:tcPr>
          <w:p>
            <w:pPr>
              <w:spacing w:after="0" w:line="20" w:lineRule="exact"/>
              <w:rPr>
                <w:sz w:val="1"/>
                <w:szCs w:val="1"/>
                <w:color w:val="auto"/>
              </w:rPr>
            </w:pPr>
          </w:p>
        </w:tc>
        <w:tc>
          <w:tcPr>
            <w:tcW w:w="120" w:type="dxa"/>
            <w:vAlign w:val="bottom"/>
            <w:shd w:val="clear" w:color="auto" w:fill="001377"/>
          </w:tcPr>
          <w:p>
            <w:pPr>
              <w:spacing w:after="0" w:line="20" w:lineRule="exact"/>
              <w:rPr>
                <w:sz w:val="1"/>
                <w:szCs w:val="1"/>
                <w:color w:val="auto"/>
              </w:rPr>
            </w:pPr>
          </w:p>
        </w:tc>
        <w:tc>
          <w:tcPr>
            <w:tcW w:w="120" w:type="dxa"/>
            <w:vAlign w:val="bottom"/>
            <w:shd w:val="clear" w:color="auto" w:fill="00137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20" w:type="dxa"/>
            <w:vAlign w:val="bottom"/>
          </w:tcPr>
          <w:p>
            <w:pPr>
              <w:jc w:val="right"/>
              <w:ind w:right="15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240" w:type="dxa"/>
            <w:vAlign w:val="bottom"/>
            <w:gridSpan w:val="25"/>
          </w:tcPr>
          <w:p>
            <w:pPr>
              <w:spacing w:after="0"/>
              <w:rPr>
                <w:sz w:val="20"/>
                <w:szCs w:val="20"/>
                <w:color w:val="auto"/>
              </w:rPr>
            </w:pPr>
            <w:r>
              <w:rPr>
                <w:rFonts w:ascii="Arial" w:cs="Arial" w:eastAsia="Arial" w:hAnsi="Arial"/>
                <w:sz w:val="18"/>
                <w:szCs w:val="18"/>
                <w:color w:val="001377"/>
              </w:rPr>
              <w:t>Consent of Deloitte &amp; Touche LLP, independent</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center"/>
              <w:ind w:lef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Borders>
              <w:top w:val="single" w:sz="8" w:color="001377"/>
              <w:bottom w:val="single" w:sz="8" w:color="001377"/>
            </w:tcBorders>
            <w:gridSpan w:val="6"/>
          </w:tcPr>
          <w:p>
            <w:pPr>
              <w:spacing w:after="0" w:line="187" w:lineRule="exact"/>
              <w:rPr>
                <w:sz w:val="20"/>
                <w:szCs w:val="20"/>
                <w:color w:val="auto"/>
              </w:rPr>
            </w:pPr>
            <w:r>
              <w:rPr>
                <w:rFonts w:ascii="Arial" w:cs="Arial" w:eastAsia="Arial" w:hAnsi="Arial"/>
                <w:sz w:val="18"/>
                <w:szCs w:val="18"/>
                <w:color w:val="001377"/>
                <w:w w:val="91"/>
              </w:rPr>
              <w:t>registered public accounting firm.</w:t>
            </w:r>
          </w:p>
        </w:tc>
        <w:tc>
          <w:tcPr>
            <w:tcW w:w="1060" w:type="dxa"/>
            <w:vAlign w:val="bottom"/>
            <w:tcBorders>
              <w:top w:val="single" w:sz="8" w:color="001377"/>
            </w:tcBorders>
            <w:gridSpan w:val="5"/>
          </w:tcPr>
          <w:p>
            <w:pPr>
              <w:spacing w:after="0"/>
              <w:rPr>
                <w:sz w:val="16"/>
                <w:szCs w:val="16"/>
                <w:color w:val="auto"/>
              </w:rPr>
            </w:pPr>
          </w:p>
        </w:tc>
        <w:tc>
          <w:tcPr>
            <w:tcW w:w="180" w:type="dxa"/>
            <w:vAlign w:val="bottom"/>
            <w:gridSpan w:val="4"/>
          </w:tcPr>
          <w:p>
            <w:pPr>
              <w:spacing w:after="0"/>
              <w:rPr>
                <w:sz w:val="16"/>
                <w:szCs w:val="16"/>
                <w:color w:val="auto"/>
              </w:rPr>
            </w:pPr>
          </w:p>
        </w:tc>
        <w:tc>
          <w:tcPr>
            <w:tcW w:w="2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8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91"/>
              </w:rPr>
              <w:t>31.1</w:t>
            </w:r>
          </w:p>
        </w:tc>
        <w:tc>
          <w:tcPr>
            <w:tcW w:w="4360" w:type="dxa"/>
            <w:vAlign w:val="bottom"/>
            <w:gridSpan w:val="26"/>
          </w:tcPr>
          <w:p>
            <w:pPr>
              <w:ind w:left="120"/>
              <w:spacing w:after="0"/>
              <w:rPr>
                <w:sz w:val="20"/>
                <w:szCs w:val="20"/>
                <w:color w:val="auto"/>
              </w:rPr>
            </w:pPr>
            <w:r>
              <w:rPr>
                <w:rFonts w:ascii="Arial" w:cs="Arial" w:eastAsia="Arial" w:hAnsi="Arial"/>
                <w:sz w:val="18"/>
                <w:szCs w:val="18"/>
                <w:color w:val="001377"/>
                <w:w w:val="98"/>
              </w:rPr>
              <w:t>Certification of Principal Executive Officer Pursuant to</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center"/>
              <w:ind w:lef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Borders>
              <w:top w:val="single" w:sz="8" w:color="001377"/>
            </w:tcBorders>
            <w:gridSpan w:val="19"/>
          </w:tcPr>
          <w:p>
            <w:pPr>
              <w:spacing w:after="0"/>
              <w:rPr>
                <w:sz w:val="20"/>
                <w:szCs w:val="20"/>
                <w:color w:val="auto"/>
              </w:rPr>
            </w:pPr>
            <w:r>
              <w:rPr>
                <w:rFonts w:ascii="Arial" w:cs="Arial" w:eastAsia="Arial" w:hAnsi="Arial"/>
                <w:sz w:val="18"/>
                <w:szCs w:val="18"/>
                <w:color w:val="001377"/>
                <w:w w:val="96"/>
              </w:rPr>
              <w:t>Rules 13a-14(a) and 15d-14(a) under the Securities</w:t>
            </w:r>
          </w:p>
        </w:tc>
        <w:tc>
          <w:tcPr>
            <w:tcW w:w="260" w:type="dxa"/>
            <w:vAlign w:val="bottom"/>
            <w:gridSpan w:val="6"/>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5"/>
            <w:shd w:val="clear" w:color="auto" w:fill="001377"/>
          </w:tcPr>
          <w:p>
            <w:pPr>
              <w:spacing w:after="0" w:line="20" w:lineRule="exact"/>
              <w:rPr>
                <w:sz w:val="1"/>
                <w:szCs w:val="1"/>
                <w:color w:val="auto"/>
              </w:rPr>
            </w:pPr>
          </w:p>
        </w:tc>
        <w:tc>
          <w:tcPr>
            <w:tcW w:w="260" w:type="dxa"/>
            <w:vAlign w:val="bottom"/>
            <w:gridSpan w:val="2"/>
            <w:shd w:val="clear" w:color="auto" w:fill="001377"/>
          </w:tcPr>
          <w:p>
            <w:pPr>
              <w:spacing w:after="0" w:line="20" w:lineRule="exact"/>
              <w:rPr>
                <w:sz w:val="1"/>
                <w:szCs w:val="1"/>
                <w:color w:val="auto"/>
              </w:rPr>
            </w:pPr>
          </w:p>
        </w:tc>
        <w:tc>
          <w:tcPr>
            <w:tcW w:w="340" w:type="dxa"/>
            <w:vAlign w:val="bottom"/>
            <w:tcBorders>
              <w:right w:val="single" w:sz="8" w:color="001377"/>
            </w:tcBorders>
            <w:gridSpan w:val="3"/>
            <w:shd w:val="clear" w:color="auto" w:fill="001377"/>
          </w:tcPr>
          <w:p>
            <w:pPr>
              <w:spacing w:after="0" w:line="20" w:lineRule="exact"/>
              <w:rPr>
                <w:sz w:val="1"/>
                <w:szCs w:val="1"/>
                <w:color w:val="auto"/>
              </w:rPr>
            </w:pPr>
          </w:p>
        </w:tc>
        <w:tc>
          <w:tcPr>
            <w:tcW w:w="780" w:type="dxa"/>
            <w:vAlign w:val="bottom"/>
            <w:gridSpan w:val="5"/>
            <w:shd w:val="clear" w:color="auto" w:fill="00137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60" w:type="dxa"/>
            <w:vAlign w:val="bottom"/>
            <w:tcBorders>
              <w:bottom w:val="single" w:sz="8" w:color="001377"/>
            </w:tcBorders>
            <w:gridSpan w:val="18"/>
          </w:tcPr>
          <w:p>
            <w:pPr>
              <w:spacing w:after="0"/>
              <w:rPr>
                <w:sz w:val="20"/>
                <w:szCs w:val="20"/>
                <w:color w:val="auto"/>
              </w:rPr>
            </w:pPr>
            <w:r>
              <w:rPr>
                <w:rFonts w:ascii="Arial" w:cs="Arial" w:eastAsia="Arial" w:hAnsi="Arial"/>
                <w:sz w:val="18"/>
                <w:szCs w:val="18"/>
                <w:color w:val="001377"/>
                <w:w w:val="89"/>
              </w:rPr>
              <w:t>Exchange Act of 1934, as Adopted Pursuant to Section</w:t>
            </w:r>
          </w:p>
        </w:tc>
        <w:tc>
          <w:tcPr>
            <w:tcW w:w="280" w:type="dxa"/>
            <w:vAlign w:val="bottom"/>
            <w:gridSpan w:val="7"/>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Borders>
              <w:bottom w:val="single" w:sz="8" w:color="001377"/>
            </w:tcBorders>
            <w:gridSpan w:val="10"/>
          </w:tcPr>
          <w:p>
            <w:pPr>
              <w:spacing w:after="0"/>
              <w:rPr>
                <w:sz w:val="20"/>
                <w:szCs w:val="20"/>
                <w:color w:val="auto"/>
              </w:rPr>
            </w:pPr>
            <w:r>
              <w:rPr>
                <w:rFonts w:ascii="Arial" w:cs="Arial" w:eastAsia="Arial" w:hAnsi="Arial"/>
                <w:sz w:val="18"/>
                <w:szCs w:val="18"/>
                <w:color w:val="001377"/>
                <w:w w:val="90"/>
              </w:rPr>
              <w:t>302 of the Sarbanes-Oxley Act of 2002.</w:t>
            </w:r>
          </w:p>
        </w:tc>
        <w:tc>
          <w:tcPr>
            <w:tcW w:w="1340" w:type="dxa"/>
            <w:vAlign w:val="bottom"/>
            <w:gridSpan w:val="15"/>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91"/>
              </w:rPr>
              <w:t>31.2</w:t>
            </w:r>
          </w:p>
        </w:tc>
        <w:tc>
          <w:tcPr>
            <w:tcW w:w="4360" w:type="dxa"/>
            <w:vAlign w:val="bottom"/>
            <w:gridSpan w:val="26"/>
          </w:tcPr>
          <w:p>
            <w:pPr>
              <w:ind w:left="120"/>
              <w:spacing w:after="0"/>
              <w:rPr>
                <w:sz w:val="20"/>
                <w:szCs w:val="20"/>
                <w:color w:val="auto"/>
              </w:rPr>
            </w:pPr>
            <w:r>
              <w:rPr>
                <w:rFonts w:ascii="Arial" w:cs="Arial" w:eastAsia="Arial" w:hAnsi="Arial"/>
                <w:sz w:val="18"/>
                <w:szCs w:val="18"/>
                <w:color w:val="001377"/>
              </w:rPr>
              <w:t>Certification of Principal Financial Officer Pursuant to</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center"/>
              <w:ind w:lef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Borders>
              <w:top w:val="single" w:sz="8" w:color="001377"/>
            </w:tcBorders>
            <w:gridSpan w:val="17"/>
          </w:tcPr>
          <w:p>
            <w:pPr>
              <w:spacing w:after="0"/>
              <w:rPr>
                <w:sz w:val="20"/>
                <w:szCs w:val="20"/>
                <w:color w:val="auto"/>
              </w:rPr>
            </w:pPr>
            <w:r>
              <w:rPr>
                <w:rFonts w:ascii="Arial" w:cs="Arial" w:eastAsia="Arial" w:hAnsi="Arial"/>
                <w:sz w:val="18"/>
                <w:szCs w:val="18"/>
                <w:color w:val="001377"/>
                <w:w w:val="94"/>
              </w:rPr>
              <w:t>Rules 13a-14(a) and 15d-14(a) under the Securities</w:t>
            </w:r>
          </w:p>
        </w:tc>
        <w:tc>
          <w:tcPr>
            <w:tcW w:w="320" w:type="dxa"/>
            <w:vAlign w:val="bottom"/>
            <w:gridSpan w:val="8"/>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5"/>
            <w:shd w:val="clear" w:color="auto" w:fill="001377"/>
          </w:tcPr>
          <w:p>
            <w:pPr>
              <w:spacing w:after="0" w:line="20" w:lineRule="exact"/>
              <w:rPr>
                <w:sz w:val="1"/>
                <w:szCs w:val="1"/>
                <w:color w:val="auto"/>
              </w:rPr>
            </w:pPr>
          </w:p>
        </w:tc>
        <w:tc>
          <w:tcPr>
            <w:tcW w:w="260" w:type="dxa"/>
            <w:vAlign w:val="bottom"/>
            <w:gridSpan w:val="2"/>
            <w:shd w:val="clear" w:color="auto" w:fill="001377"/>
          </w:tcPr>
          <w:p>
            <w:pPr>
              <w:spacing w:after="0" w:line="20" w:lineRule="exact"/>
              <w:rPr>
                <w:sz w:val="1"/>
                <w:szCs w:val="1"/>
                <w:color w:val="auto"/>
              </w:rPr>
            </w:pPr>
          </w:p>
        </w:tc>
        <w:tc>
          <w:tcPr>
            <w:tcW w:w="1120" w:type="dxa"/>
            <w:vAlign w:val="bottom"/>
            <w:gridSpan w:val="8"/>
            <w:shd w:val="clear" w:color="auto" w:fill="001377"/>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60" w:type="dxa"/>
            <w:vAlign w:val="bottom"/>
            <w:tcBorders>
              <w:bottom w:val="single" w:sz="8" w:color="001377"/>
            </w:tcBorders>
            <w:gridSpan w:val="18"/>
          </w:tcPr>
          <w:p>
            <w:pPr>
              <w:spacing w:after="0"/>
              <w:rPr>
                <w:sz w:val="20"/>
                <w:szCs w:val="20"/>
                <w:color w:val="auto"/>
              </w:rPr>
            </w:pPr>
            <w:r>
              <w:rPr>
                <w:rFonts w:ascii="Arial" w:cs="Arial" w:eastAsia="Arial" w:hAnsi="Arial"/>
                <w:sz w:val="18"/>
                <w:szCs w:val="18"/>
                <w:color w:val="001377"/>
                <w:w w:val="89"/>
              </w:rPr>
              <w:t>Exchange Act of 1934, as Adopted Pursuant to Section</w:t>
            </w:r>
          </w:p>
        </w:tc>
        <w:tc>
          <w:tcPr>
            <w:tcW w:w="280" w:type="dxa"/>
            <w:vAlign w:val="bottom"/>
            <w:gridSpan w:val="7"/>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Borders>
              <w:bottom w:val="single" w:sz="8" w:color="001377"/>
            </w:tcBorders>
            <w:gridSpan w:val="10"/>
          </w:tcPr>
          <w:p>
            <w:pPr>
              <w:spacing w:after="0"/>
              <w:rPr>
                <w:sz w:val="20"/>
                <w:szCs w:val="20"/>
                <w:color w:val="auto"/>
              </w:rPr>
            </w:pPr>
            <w:r>
              <w:rPr>
                <w:rFonts w:ascii="Arial" w:cs="Arial" w:eastAsia="Arial" w:hAnsi="Arial"/>
                <w:sz w:val="18"/>
                <w:szCs w:val="18"/>
                <w:color w:val="001377"/>
                <w:w w:val="90"/>
              </w:rPr>
              <w:t>302 of the Sarbanes-Oxley Act of 2002.</w:t>
            </w:r>
          </w:p>
        </w:tc>
        <w:tc>
          <w:tcPr>
            <w:tcW w:w="1340" w:type="dxa"/>
            <w:vAlign w:val="bottom"/>
            <w:gridSpan w:val="15"/>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32.1†</w:t>
            </w:r>
          </w:p>
        </w:tc>
        <w:tc>
          <w:tcPr>
            <w:tcW w:w="4360" w:type="dxa"/>
            <w:vAlign w:val="bottom"/>
            <w:gridSpan w:val="26"/>
          </w:tcPr>
          <w:p>
            <w:pPr>
              <w:ind w:left="120"/>
              <w:spacing w:after="0"/>
              <w:rPr>
                <w:sz w:val="20"/>
                <w:szCs w:val="20"/>
                <w:color w:val="auto"/>
              </w:rPr>
            </w:pPr>
            <w:r>
              <w:rPr>
                <w:rFonts w:ascii="Arial" w:cs="Arial" w:eastAsia="Arial" w:hAnsi="Arial"/>
                <w:sz w:val="18"/>
                <w:szCs w:val="18"/>
                <w:color w:val="001377"/>
                <w:w w:val="98"/>
              </w:rPr>
              <w:t>Certification of Principal Executive Officer Pursuant to</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center"/>
              <w:ind w:lef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5"/>
            <w:shd w:val="clear" w:color="auto" w:fill="001377"/>
          </w:tcPr>
          <w:p>
            <w:pPr>
              <w:spacing w:after="0" w:line="20" w:lineRule="exact"/>
              <w:rPr>
                <w:sz w:val="1"/>
                <w:szCs w:val="1"/>
                <w:color w:val="auto"/>
              </w:rPr>
            </w:pPr>
          </w:p>
        </w:tc>
        <w:tc>
          <w:tcPr>
            <w:tcW w:w="260" w:type="dxa"/>
            <w:vAlign w:val="bottom"/>
            <w:gridSpan w:val="2"/>
            <w:shd w:val="clear" w:color="auto" w:fill="001377"/>
          </w:tcPr>
          <w:p>
            <w:pPr>
              <w:spacing w:after="0" w:line="20" w:lineRule="exact"/>
              <w:rPr>
                <w:sz w:val="1"/>
                <w:szCs w:val="1"/>
                <w:color w:val="auto"/>
              </w:rPr>
            </w:pPr>
          </w:p>
        </w:tc>
        <w:tc>
          <w:tcPr>
            <w:tcW w:w="1420" w:type="dxa"/>
            <w:vAlign w:val="bottom"/>
            <w:gridSpan w:val="12"/>
            <w:shd w:val="clear" w:color="auto" w:fill="00137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40" w:type="dxa"/>
            <w:vAlign w:val="bottom"/>
            <w:gridSpan w:val="25"/>
          </w:tcPr>
          <w:p>
            <w:pPr>
              <w:spacing w:after="0"/>
              <w:rPr>
                <w:sz w:val="20"/>
                <w:szCs w:val="20"/>
                <w:color w:val="auto"/>
              </w:rPr>
            </w:pPr>
            <w:r>
              <w:rPr>
                <w:rFonts w:ascii="Arial" w:cs="Arial" w:eastAsia="Arial" w:hAnsi="Arial"/>
                <w:sz w:val="18"/>
                <w:szCs w:val="18"/>
                <w:color w:val="001377"/>
                <w:w w:val="93"/>
              </w:rPr>
              <w:t>18 U.S.C. Section 1350, as Adopted Pursuant to Section</w:t>
            </w: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Borders>
              <w:top w:val="single" w:sz="8" w:color="001377"/>
              <w:bottom w:val="single" w:sz="8" w:color="001377"/>
            </w:tcBorders>
            <w:gridSpan w:val="10"/>
          </w:tcPr>
          <w:p>
            <w:pPr>
              <w:spacing w:after="0"/>
              <w:rPr>
                <w:sz w:val="20"/>
                <w:szCs w:val="20"/>
                <w:color w:val="auto"/>
              </w:rPr>
            </w:pPr>
            <w:r>
              <w:rPr>
                <w:rFonts w:ascii="Arial" w:cs="Arial" w:eastAsia="Arial" w:hAnsi="Arial"/>
                <w:sz w:val="18"/>
                <w:szCs w:val="18"/>
                <w:color w:val="001377"/>
                <w:w w:val="90"/>
              </w:rPr>
              <w:t>906 of the Sarbanes-Oxley Act of 2002.</w:t>
            </w:r>
          </w:p>
        </w:tc>
        <w:tc>
          <w:tcPr>
            <w:tcW w:w="1140" w:type="dxa"/>
            <w:vAlign w:val="bottom"/>
            <w:tcBorders>
              <w:top w:val="single" w:sz="8" w:color="001377"/>
            </w:tcBorders>
            <w:gridSpan w:val="10"/>
          </w:tcPr>
          <w:p>
            <w:pPr>
              <w:spacing w:after="0"/>
              <w:rPr>
                <w:sz w:val="19"/>
                <w:szCs w:val="19"/>
                <w:color w:val="auto"/>
              </w:rPr>
            </w:pPr>
          </w:p>
        </w:tc>
        <w:tc>
          <w:tcPr>
            <w:tcW w:w="200" w:type="dxa"/>
            <w:vAlign w:val="bottom"/>
            <w:gridSpan w:val="5"/>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720" w:type="dxa"/>
            <w:vAlign w:val="bottom"/>
          </w:tcPr>
          <w:p>
            <w:pPr>
              <w:jc w:val="center"/>
              <w:ind w:right="30"/>
              <w:spacing w:after="0"/>
              <w:rPr>
                <w:sz w:val="20"/>
                <w:szCs w:val="20"/>
                <w:color w:val="auto"/>
              </w:rPr>
            </w:pPr>
            <w:r>
              <w:rPr>
                <w:rFonts w:ascii="Arial" w:cs="Arial" w:eastAsia="Arial" w:hAnsi="Arial"/>
                <w:sz w:val="18"/>
                <w:szCs w:val="18"/>
                <w:color w:val="auto"/>
                <w:w w:val="88"/>
              </w:rPr>
              <w:t>32.2†</w:t>
            </w:r>
          </w:p>
        </w:tc>
        <w:tc>
          <w:tcPr>
            <w:tcW w:w="120" w:type="dxa"/>
            <w:vAlign w:val="bottom"/>
          </w:tcPr>
          <w:p>
            <w:pPr>
              <w:spacing w:after="0"/>
              <w:rPr>
                <w:sz w:val="24"/>
                <w:szCs w:val="24"/>
                <w:color w:val="auto"/>
              </w:rPr>
            </w:pPr>
          </w:p>
        </w:tc>
        <w:tc>
          <w:tcPr>
            <w:tcW w:w="4160" w:type="dxa"/>
            <w:vAlign w:val="bottom"/>
            <w:tcBorders>
              <w:bottom w:val="single" w:sz="8" w:color="001377"/>
            </w:tcBorders>
            <w:gridSpan w:val="23"/>
          </w:tcPr>
          <w:p>
            <w:pPr>
              <w:spacing w:after="0"/>
              <w:rPr>
                <w:sz w:val="20"/>
                <w:szCs w:val="20"/>
                <w:color w:val="auto"/>
              </w:rPr>
            </w:pPr>
            <w:r>
              <w:rPr>
                <w:rFonts w:ascii="Arial" w:cs="Arial" w:eastAsia="Arial" w:hAnsi="Arial"/>
                <w:sz w:val="18"/>
                <w:szCs w:val="18"/>
                <w:color w:val="001377"/>
                <w:w w:val="92"/>
              </w:rPr>
              <w:t>Certification of Principal Financial Officer Pursuant to 18</w:t>
            </w:r>
          </w:p>
        </w:tc>
        <w:tc>
          <w:tcPr>
            <w:tcW w:w="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center"/>
              <w:ind w:lef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40" w:type="dxa"/>
            <w:vAlign w:val="bottom"/>
            <w:gridSpan w:val="25"/>
          </w:tcPr>
          <w:p>
            <w:pPr>
              <w:spacing w:after="0"/>
              <w:rPr>
                <w:sz w:val="20"/>
                <w:szCs w:val="20"/>
                <w:color w:val="auto"/>
              </w:rPr>
            </w:pPr>
            <w:r>
              <w:rPr>
                <w:rFonts w:ascii="Arial" w:cs="Arial" w:eastAsia="Arial" w:hAnsi="Arial"/>
                <w:sz w:val="18"/>
                <w:szCs w:val="18"/>
                <w:color w:val="001377"/>
                <w:w w:val="91"/>
              </w:rPr>
              <w:t>U.S.C. Section 1350, as Adopted Pursuant to Section 906</w:t>
            </w: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tcBorders>
              <w:top w:val="single" w:sz="8" w:color="001377"/>
              <w:bottom w:val="single" w:sz="8" w:color="001377"/>
            </w:tcBorders>
            <w:gridSpan w:val="7"/>
          </w:tcPr>
          <w:p>
            <w:pPr>
              <w:spacing w:after="0"/>
              <w:rPr>
                <w:sz w:val="20"/>
                <w:szCs w:val="20"/>
                <w:color w:val="auto"/>
              </w:rPr>
            </w:pPr>
            <w:r>
              <w:rPr>
                <w:rFonts w:ascii="Arial" w:cs="Arial" w:eastAsia="Arial" w:hAnsi="Arial"/>
                <w:sz w:val="18"/>
                <w:szCs w:val="18"/>
                <w:color w:val="001377"/>
                <w:w w:val="90"/>
              </w:rPr>
              <w:t>of the Sarbanes-Oxley Act of 2002.</w:t>
            </w:r>
          </w:p>
        </w:tc>
        <w:tc>
          <w:tcPr>
            <w:tcW w:w="1560" w:type="dxa"/>
            <w:vAlign w:val="bottom"/>
            <w:tcBorders>
              <w:top w:val="single" w:sz="8" w:color="001377"/>
            </w:tcBorders>
            <w:gridSpan w:val="14"/>
          </w:tcPr>
          <w:p>
            <w:pPr>
              <w:spacing w:after="0"/>
              <w:rPr>
                <w:sz w:val="19"/>
                <w:szCs w:val="19"/>
                <w:color w:val="auto"/>
              </w:rPr>
            </w:pPr>
          </w:p>
        </w:tc>
        <w:tc>
          <w:tcPr>
            <w:tcW w:w="120" w:type="dxa"/>
            <w:vAlign w:val="bottom"/>
            <w:gridSpan w:val="4"/>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72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97.1</w:t>
            </w:r>
          </w:p>
        </w:tc>
        <w:tc>
          <w:tcPr>
            <w:tcW w:w="120" w:type="dxa"/>
            <w:vAlign w:val="bottom"/>
            <w:vMerge w:val="restart"/>
          </w:tcPr>
          <w:p>
            <w:pPr>
              <w:spacing w:after="0"/>
              <w:rPr>
                <w:sz w:val="24"/>
                <w:szCs w:val="24"/>
                <w:color w:val="auto"/>
              </w:rPr>
            </w:pPr>
          </w:p>
        </w:tc>
        <w:tc>
          <w:tcPr>
            <w:tcW w:w="2300" w:type="dxa"/>
            <w:vAlign w:val="bottom"/>
            <w:tcBorders>
              <w:bottom w:val="single" w:sz="8" w:color="001377"/>
            </w:tcBorders>
            <w:gridSpan w:val="5"/>
          </w:tcPr>
          <w:p>
            <w:pPr>
              <w:spacing w:after="0"/>
              <w:rPr>
                <w:sz w:val="20"/>
                <w:szCs w:val="20"/>
                <w:color w:val="auto"/>
              </w:rPr>
            </w:pPr>
            <w:r>
              <w:rPr>
                <w:rFonts w:ascii="Arial" w:cs="Arial" w:eastAsia="Arial" w:hAnsi="Arial"/>
                <w:sz w:val="18"/>
                <w:szCs w:val="18"/>
                <w:color w:val="001377"/>
                <w:w w:val="90"/>
              </w:rPr>
              <w:t>Compensation Clawback Policy</w:t>
            </w:r>
          </w:p>
        </w:tc>
        <w:tc>
          <w:tcPr>
            <w:tcW w:w="1940" w:type="dxa"/>
            <w:vAlign w:val="bottom"/>
            <w:gridSpan w:val="20"/>
            <w:vMerge w:val="restart"/>
          </w:tcPr>
          <w:p>
            <w:pPr>
              <w:spacing w:after="0"/>
              <w:rPr>
                <w:sz w:val="24"/>
                <w:szCs w:val="24"/>
                <w:color w:val="auto"/>
              </w:rPr>
            </w:pPr>
          </w:p>
        </w:tc>
        <w:tc>
          <w:tcPr>
            <w:tcW w:w="6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10-K</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001-39747</w:t>
            </w:r>
          </w:p>
        </w:tc>
        <w:tc>
          <w:tcPr>
            <w:tcW w:w="760" w:type="dxa"/>
            <w:vAlign w:val="bottom"/>
            <w:vMerge w:val="restart"/>
          </w:tcPr>
          <w:p>
            <w:pPr>
              <w:jc w:val="center"/>
              <w:spacing w:after="0"/>
              <w:rPr>
                <w:sz w:val="20"/>
                <w:szCs w:val="20"/>
                <w:color w:val="auto"/>
              </w:rPr>
            </w:pPr>
            <w:r>
              <w:rPr>
                <w:rFonts w:ascii="Arial" w:cs="Arial" w:eastAsia="Arial" w:hAnsi="Arial"/>
                <w:sz w:val="19"/>
                <w:szCs w:val="19"/>
                <w:color w:val="auto"/>
                <w:w w:val="91"/>
              </w:rPr>
              <w:t>97.1</w:t>
            </w:r>
          </w:p>
        </w:tc>
        <w:tc>
          <w:tcPr>
            <w:tcW w:w="1020" w:type="dxa"/>
            <w:vAlign w:val="bottom"/>
            <w:vMerge w:val="restart"/>
          </w:tcPr>
          <w:p>
            <w:pPr>
              <w:jc w:val="center"/>
              <w:ind w:left="130"/>
              <w:spacing w:after="0"/>
              <w:rPr>
                <w:sz w:val="20"/>
                <w:szCs w:val="20"/>
                <w:color w:val="auto"/>
              </w:rPr>
            </w:pPr>
            <w:r>
              <w:rPr>
                <w:rFonts w:ascii="Arial" w:cs="Arial" w:eastAsia="Arial" w:hAnsi="Arial"/>
                <w:sz w:val="18"/>
                <w:szCs w:val="18"/>
                <w:color w:val="auto"/>
                <w:w w:val="91"/>
              </w:rPr>
              <w:t>3/4/2024</w:t>
            </w:r>
          </w:p>
        </w:tc>
        <w:tc>
          <w:tcPr>
            <w:tcW w:w="0" w:type="dxa"/>
            <w:vAlign w:val="bottom"/>
          </w:tcPr>
          <w:p>
            <w:pPr>
              <w:spacing w:after="0"/>
              <w:rPr>
                <w:sz w:val="1"/>
                <w:szCs w:val="1"/>
                <w:color w:val="auto"/>
              </w:rPr>
            </w:pPr>
          </w:p>
        </w:tc>
      </w:tr>
      <w:tr>
        <w:trPr>
          <w:trHeight w:val="60"/>
        </w:trPr>
        <w:tc>
          <w:tcPr>
            <w:tcW w:w="7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300" w:type="dxa"/>
            <w:vAlign w:val="bottom"/>
            <w:gridSpan w:val="5"/>
          </w:tcPr>
          <w:p>
            <w:pPr>
              <w:spacing w:after="0"/>
              <w:rPr>
                <w:sz w:val="5"/>
                <w:szCs w:val="5"/>
                <w:color w:val="auto"/>
              </w:rPr>
            </w:pPr>
          </w:p>
        </w:tc>
        <w:tc>
          <w:tcPr>
            <w:tcW w:w="1940" w:type="dxa"/>
            <w:vAlign w:val="bottom"/>
            <w:gridSpan w:val="20"/>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4240" w:type="dxa"/>
            <w:vAlign w:val="bottom"/>
            <w:gridSpan w:val="25"/>
          </w:tcPr>
          <w:p>
            <w:pPr>
              <w:spacing w:after="0"/>
              <w:rPr>
                <w:sz w:val="20"/>
                <w:szCs w:val="20"/>
                <w:color w:val="auto"/>
              </w:rPr>
            </w:pPr>
            <w:r>
              <w:rPr>
                <w:rFonts w:ascii="Arial" w:cs="Arial" w:eastAsia="Arial" w:hAnsi="Arial"/>
                <w:sz w:val="18"/>
                <w:szCs w:val="18"/>
                <w:color w:val="auto"/>
              </w:rPr>
              <w:t>Inline XBRL Instance Document</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141</w:t>
      </w:r>
    </w:p>
    <w:p>
      <w:pPr>
        <w:sectPr>
          <w:pgSz w:w="12240" w:h="15840" w:orient="portrait"/>
          <w:cols w:equalWidth="0" w:num="1">
            <w:col w:w="9360"/>
          </w:cols>
          <w:pgMar w:left="1440" w:top="1440" w:right="1440" w:bottom="610" w:gutter="0" w:footer="0" w:header="0"/>
          <w:type w:val="continuous"/>
        </w:sectPr>
      </w:pPr>
    </w:p>
    <w:bookmarkStart w:id="148" w:name="page149"/>
    <w:bookmarkEnd w:id="148"/>
    <w:p>
      <w:pPr>
        <w:spacing w:after="0" w:line="341" w:lineRule="exact"/>
        <w:rPr>
          <w:sz w:val="20"/>
          <w:szCs w:val="20"/>
          <w:color w:val="auto"/>
        </w:rPr>
      </w:pPr>
    </w:p>
    <w:p>
      <w:pPr>
        <w:ind w:left="240"/>
        <w:spacing w:after="0"/>
        <w:tabs>
          <w:tab w:leader="none" w:pos="108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Inline XBRL Taxonomy Extension Schema Document</w:t>
      </w:r>
    </w:p>
    <w:p>
      <w:pPr>
        <w:spacing w:after="0" w:line="4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Embedded Linkbase Documents</w:t>
      </w:r>
    </w:p>
    <w:p>
      <w:pPr>
        <w:spacing w:after="0" w:line="247" w:lineRule="exact"/>
        <w:rPr>
          <w:sz w:val="20"/>
          <w:szCs w:val="20"/>
          <w:color w:val="auto"/>
        </w:rPr>
      </w:pPr>
    </w:p>
    <w:p>
      <w:pPr>
        <w:ind w:left="1100" w:right="4100" w:hanging="661"/>
        <w:spacing w:after="0" w:line="300" w:lineRule="auto"/>
        <w:tabs>
          <w:tab w:leader="none" w:pos="1101"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48" w:lineRule="exact"/>
        <w:rPr>
          <w:rFonts w:ascii="Arial" w:cs="Arial" w:eastAsia="Arial" w:hAnsi="Arial"/>
          <w:sz w:val="18"/>
          <w:szCs w:val="18"/>
          <w:color w:val="auto"/>
        </w:rPr>
      </w:pPr>
    </w:p>
    <w:p>
      <w:pPr>
        <w:ind w:left="260" w:hanging="123"/>
        <w:spacing w:after="0"/>
        <w:tabs>
          <w:tab w:leader="none" w:pos="2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wp:posOffset>
                </wp:positionH>
                <wp:positionV relativeFrom="paragraph">
                  <wp:posOffset>-104775</wp:posOffset>
                </wp:positionV>
                <wp:extent cx="977900"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7900" cy="4763"/>
                        </a:xfrm>
                        <a:prstGeom prst="line">
                          <a:avLst/>
                        </a:prstGeom>
                        <a:solidFill>
                          <a:srgbClr val="FFFFFF"/>
                        </a:solidFill>
                        <a:ln w="10668">
                          <a:solidFill>
                            <a:srgbClr val="000000"/>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8.2499pt" to="82.4pt,-8.2499pt" o:allowincell="f" strokecolor="#000000" strokeweight="0.84pt"/>
            </w:pict>
          </mc:Fallback>
        </mc:AlternateContent>
      </w:r>
    </w:p>
    <w:p>
      <w:pPr>
        <w:spacing w:after="0" w:line="17" w:lineRule="exact"/>
        <w:rPr>
          <w:sz w:val="20"/>
          <w:szCs w:val="20"/>
          <w:color w:val="auto"/>
        </w:rPr>
      </w:pPr>
    </w:p>
    <w:p>
      <w:pPr>
        <w:ind w:left="140" w:right="320" w:hanging="3"/>
        <w:spacing w:after="0" w:line="290" w:lineRule="auto"/>
        <w:tabs>
          <w:tab w:leader="none" w:pos="254"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ind w:left="140" w:right="420"/>
        <w:spacing w:after="0" w:line="290" w:lineRule="auto"/>
        <w:rPr>
          <w:rFonts w:ascii="Arial" w:cs="Arial" w:eastAsia="Arial" w:hAnsi="Arial"/>
          <w:sz w:val="15"/>
          <w:szCs w:val="15"/>
          <w:color w:val="auto"/>
        </w:rPr>
      </w:pPr>
      <w:r>
        <w:rPr>
          <w:rFonts w:ascii="Arial" w:cs="Arial" w:eastAsia="Arial" w:hAnsi="Arial"/>
          <w:sz w:val="15"/>
          <w:szCs w:val="15"/>
          <w:color w:val="auto"/>
        </w:rPr>
        <w:t># Confidential treatment has been requested for portions of this exhibit. These portions have been omitted and have been filed separately with the Securities and Exchange Commission.</w:t>
      </w:r>
    </w:p>
    <w:p>
      <w:pPr>
        <w:spacing w:after="0" w:line="1" w:lineRule="exact"/>
        <w:rPr>
          <w:rFonts w:ascii="Arial" w:cs="Arial" w:eastAsia="Arial" w:hAnsi="Arial"/>
          <w:sz w:val="15"/>
          <w:szCs w:val="15"/>
          <w:color w:val="auto"/>
        </w:rPr>
      </w:pPr>
    </w:p>
    <w:p>
      <w:pPr>
        <w:ind w:left="140"/>
        <w:spacing w:after="0"/>
        <w:rPr>
          <w:rFonts w:ascii="Arial" w:cs="Arial" w:eastAsia="Arial" w:hAnsi="Arial"/>
          <w:sz w:val="15"/>
          <w:szCs w:val="15"/>
          <w:color w:val="auto"/>
        </w:rPr>
      </w:pPr>
      <w:r>
        <w:rPr>
          <w:rFonts w:ascii="Arial" w:cs="Arial" w:eastAsia="Arial" w:hAnsi="Arial"/>
          <w:sz w:val="15"/>
          <w:szCs w:val="15"/>
          <w:color w:val="auto"/>
        </w:rPr>
        <w:t>* Filed herewith</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Item 16. Form 10-K Summary</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None.</w:t>
      </w: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142</w:t>
      </w:r>
    </w:p>
    <w:p>
      <w:pPr>
        <w:sectPr>
          <w:pgSz w:w="12240" w:h="15840" w:orient="portrait"/>
          <w:cols w:equalWidth="0" w:num="1">
            <w:col w:w="9360"/>
          </w:cols>
          <w:pgMar w:left="1440" w:top="1440" w:right="1440" w:bottom="610" w:gutter="0" w:footer="0" w:header="0"/>
          <w:type w:val="continuous"/>
        </w:sectPr>
      </w:pPr>
    </w:p>
    <w:bookmarkStart w:id="149" w:name="page150"/>
    <w:bookmarkEnd w:id="149"/>
    <w:p>
      <w:pPr>
        <w:spacing w:after="0" w:line="350"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SIGNATURES</w:t>
      </w:r>
    </w:p>
    <w:p>
      <w:pPr>
        <w:spacing w:after="0" w:line="215" w:lineRule="exact"/>
        <w:rPr>
          <w:sz w:val="20"/>
          <w:szCs w:val="20"/>
          <w:color w:val="auto"/>
        </w:rPr>
      </w:pPr>
    </w:p>
    <w:p>
      <w:pPr>
        <w:ind w:left="140" w:right="820"/>
        <w:spacing w:after="0" w:line="433"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19"/>
          <w:szCs w:val="19"/>
          <w:color w:val="auto"/>
        </w:rPr>
        <w:t>Date: March 3, 2025</w:t>
      </w:r>
    </w:p>
    <w:p>
      <w:pPr>
        <w:spacing w:after="0" w:line="273" w:lineRule="exact"/>
        <w:rPr>
          <w:sz w:val="20"/>
          <w:szCs w:val="20"/>
          <w:color w:val="auto"/>
        </w:rPr>
      </w:pPr>
    </w:p>
    <w:p>
      <w:pPr>
        <w:ind w:left="5520"/>
        <w:spacing w:after="0"/>
        <w:rPr>
          <w:sz w:val="20"/>
          <w:szCs w:val="20"/>
          <w:color w:val="auto"/>
        </w:rPr>
      </w:pPr>
      <w:r>
        <w:rPr>
          <w:rFonts w:ascii="Arial" w:cs="Arial" w:eastAsia="Arial" w:hAnsi="Arial"/>
          <w:sz w:val="19"/>
          <w:szCs w:val="19"/>
          <w:b w:val="1"/>
          <w:bCs w:val="1"/>
          <w:color w:val="auto"/>
        </w:rPr>
        <w:t>SEER, INC.</w:t>
      </w:r>
    </w:p>
    <w:p>
      <w:pPr>
        <w:spacing w:after="0" w:line="30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By: /s/ Omid Farokhzad,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3728720</wp:posOffset>
                </wp:positionH>
                <wp:positionV relativeFrom="paragraph">
                  <wp:posOffset>39370</wp:posOffset>
                </wp:positionV>
                <wp:extent cx="2049780"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978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6pt,3.1pt" to="455pt,3.1pt" o:allowincell="f" strokecolor="#000000" strokeweight="1.08pt"/>
            </w:pict>
          </mc:Fallback>
        </mc:AlternateContent>
      </w:r>
    </w:p>
    <w:p>
      <w:pPr>
        <w:spacing w:after="0" w:line="4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Omid Farokhzad, M.D.</w:t>
      </w:r>
    </w:p>
    <w:p>
      <w:pPr>
        <w:spacing w:after="0" w:line="40"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Chief Executive Officer</w:t>
      </w:r>
    </w:p>
    <w:p>
      <w:pPr>
        <w:spacing w:after="0" w:line="203" w:lineRule="exact"/>
        <w:rPr>
          <w:sz w:val="20"/>
          <w:szCs w:val="20"/>
          <w:color w:val="auto"/>
        </w:rPr>
      </w:pPr>
    </w:p>
    <w:p>
      <w:pPr>
        <w:ind w:left="140" w:right="380"/>
        <w:spacing w:after="0" w:line="355"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7" w:lineRule="exact"/>
        <w:rPr>
          <w:sz w:val="20"/>
          <w:szCs w:val="20"/>
          <w:color w:val="auto"/>
        </w:rPr>
      </w:pPr>
    </w:p>
    <w:tbl>
      <w:tblPr>
        <w:tblLayout w:type="fixed"/>
        <w:tblInd w:w="140" w:type="dxa"/>
        <w:tblCellMar>
          <w:top w:w="0" w:type="dxa"/>
          <w:left w:w="0" w:type="dxa"/>
          <w:bottom w:w="0" w:type="dxa"/>
          <w:right w:w="0" w:type="dxa"/>
        </w:tblCellMar>
      </w:tblPr>
      <w:tr>
        <w:trPr>
          <w:trHeight w:val="240"/>
        </w:trPr>
        <w:tc>
          <w:tcPr>
            <w:tcW w:w="28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9"/>
                <w:szCs w:val="19"/>
                <w:b w:val="1"/>
                <w:bCs w:val="1"/>
                <w:color w:val="auto"/>
              </w:rPr>
              <w:t>SIGNATURE</w:t>
            </w:r>
          </w:p>
        </w:tc>
        <w:tc>
          <w:tcPr>
            <w:tcW w:w="80" w:type="dxa"/>
            <w:vAlign w:val="bottom"/>
          </w:tcPr>
          <w:p>
            <w:pPr>
              <w:spacing w:after="0"/>
              <w:rPr>
                <w:sz w:val="20"/>
                <w:szCs w:val="20"/>
                <w:color w:val="auto"/>
              </w:rPr>
            </w:pPr>
          </w:p>
        </w:tc>
        <w:tc>
          <w:tcPr>
            <w:tcW w:w="3220" w:type="dxa"/>
            <w:vAlign w:val="bottom"/>
            <w:tcBorders>
              <w:bottom w:val="single" w:sz="8" w:color="auto"/>
            </w:tcBorders>
          </w:tcPr>
          <w:p>
            <w:pPr>
              <w:ind w:left="1300"/>
              <w:spacing w:after="0"/>
              <w:rPr>
                <w:sz w:val="20"/>
                <w:szCs w:val="20"/>
                <w:color w:val="auto"/>
              </w:rPr>
            </w:pPr>
            <w:r>
              <w:rPr>
                <w:rFonts w:ascii="Arial" w:cs="Arial" w:eastAsia="Arial" w:hAnsi="Arial"/>
                <w:sz w:val="19"/>
                <w:szCs w:val="19"/>
                <w:b w:val="1"/>
                <w:bCs w:val="1"/>
                <w:color w:val="auto"/>
              </w:rPr>
              <w:t>TITLE</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335"/>
        </w:trPr>
        <w:tc>
          <w:tcPr>
            <w:tcW w:w="2880" w:type="dxa"/>
            <w:vAlign w:val="bottom"/>
            <w:gridSpan w:val="2"/>
          </w:tcPr>
          <w:p>
            <w:pPr>
              <w:jc w:val="center"/>
              <w:ind w:right="20"/>
              <w:spacing w:after="0"/>
              <w:rPr>
                <w:sz w:val="20"/>
                <w:szCs w:val="20"/>
                <w:color w:val="auto"/>
              </w:rPr>
            </w:pPr>
            <w:r>
              <w:rPr>
                <w:rFonts w:ascii="Arial" w:cs="Arial" w:eastAsia="Arial" w:hAnsi="Arial"/>
                <w:sz w:val="19"/>
                <w:szCs w:val="19"/>
                <w:color w:val="auto"/>
                <w:w w:val="91"/>
              </w:rPr>
              <w:t>/s/ Omid Farokhzad, M.D.</w:t>
            </w:r>
          </w:p>
        </w:tc>
        <w:tc>
          <w:tcPr>
            <w:tcW w:w="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9"/>
                <w:szCs w:val="19"/>
                <w:color w:val="auto"/>
                <w:w w:val="92"/>
              </w:rPr>
              <w:t>Chief Executive Officer and</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9"/>
                <w:szCs w:val="19"/>
                <w:color w:val="auto"/>
                <w:w w:val="93"/>
              </w:rPr>
              <w:t>Omid Farokhzad, M.D.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tcPr>
          <w:p>
            <w:pPr>
              <w:jc w:val="center"/>
              <w:spacing w:after="0" w:line="175" w:lineRule="exact"/>
              <w:rPr>
                <w:sz w:val="20"/>
                <w:szCs w:val="20"/>
                <w:color w:val="auto"/>
              </w:rPr>
            </w:pPr>
            <w:r>
              <w:rPr>
                <w:rFonts w:ascii="Arial" w:cs="Arial" w:eastAsia="Arial" w:hAnsi="Arial"/>
                <w:sz w:val="19"/>
                <w:szCs w:val="19"/>
                <w:color w:val="auto"/>
                <w:w w:val="91"/>
              </w:rPr>
              <w:t>Chair of the Board of Directors</w:t>
            </w:r>
          </w:p>
        </w:tc>
        <w:tc>
          <w:tcPr>
            <w:tcW w:w="10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Arial" w:cs="Arial" w:eastAsia="Arial" w:hAnsi="Arial"/>
                <w:sz w:val="19"/>
                <w:szCs w:val="19"/>
                <w:color w:val="auto"/>
                <w:w w:val="90"/>
              </w:rPr>
              <w:t>March 3, 2025</w:t>
            </w:r>
          </w:p>
        </w:tc>
        <w:tc>
          <w:tcPr>
            <w:tcW w:w="0" w:type="dxa"/>
            <w:vAlign w:val="bottom"/>
          </w:tcPr>
          <w:p>
            <w:pPr>
              <w:spacing w:after="0"/>
              <w:rPr>
                <w:sz w:val="1"/>
                <w:szCs w:val="1"/>
                <w:color w:val="auto"/>
              </w:rPr>
            </w:pPr>
          </w:p>
        </w:tc>
      </w:tr>
      <w:tr>
        <w:trPr>
          <w:trHeight w:val="239"/>
        </w:trPr>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9"/>
                <w:szCs w:val="19"/>
                <w:color w:val="auto"/>
                <w:w w:val="93"/>
              </w:rPr>
              <w:t>(Principal Executive Officer)</w:t>
            </w:r>
          </w:p>
        </w:tc>
        <w:tc>
          <w:tcPr>
            <w:tcW w:w="10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880" w:type="dxa"/>
            <w:vAlign w:val="bottom"/>
            <w:gridSpan w:val="2"/>
          </w:tcPr>
          <w:p>
            <w:pPr>
              <w:jc w:val="center"/>
              <w:ind w:right="20"/>
              <w:spacing w:after="0"/>
              <w:rPr>
                <w:sz w:val="20"/>
                <w:szCs w:val="20"/>
                <w:color w:val="auto"/>
              </w:rPr>
            </w:pPr>
            <w:r>
              <w:rPr>
                <w:rFonts w:ascii="Arial" w:cs="Arial" w:eastAsia="Arial" w:hAnsi="Arial"/>
                <w:sz w:val="19"/>
                <w:szCs w:val="19"/>
                <w:color w:val="auto"/>
                <w:w w:val="92"/>
              </w:rPr>
              <w:t>/s/ David R. Horn</w:t>
            </w:r>
          </w:p>
        </w:tc>
        <w:tc>
          <w:tcPr>
            <w:tcW w:w="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9"/>
                <w:szCs w:val="19"/>
                <w:color w:val="auto"/>
                <w:w w:val="91"/>
              </w:rPr>
              <w:t>Chief Financial Officer and President</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86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9"/>
                <w:szCs w:val="19"/>
                <w:color w:val="auto"/>
                <w:w w:val="93"/>
              </w:rPr>
              <w:t>David R. Horn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tcPr>
          <w:p>
            <w:pPr>
              <w:jc w:val="center"/>
              <w:spacing w:after="0" w:line="174" w:lineRule="exact"/>
              <w:rPr>
                <w:sz w:val="20"/>
                <w:szCs w:val="20"/>
                <w:color w:val="auto"/>
              </w:rPr>
            </w:pPr>
            <w:r>
              <w:rPr>
                <w:rFonts w:ascii="Arial" w:cs="Arial" w:eastAsia="Arial" w:hAnsi="Arial"/>
                <w:sz w:val="19"/>
                <w:szCs w:val="19"/>
                <w:color w:val="auto"/>
                <w:w w:val="95"/>
              </w:rPr>
              <w:t>(Principal Financial Officer and</w:t>
            </w:r>
          </w:p>
        </w:tc>
        <w:tc>
          <w:tcPr>
            <w:tcW w:w="100" w:type="dxa"/>
            <w:vAlign w:val="bottom"/>
          </w:tcPr>
          <w:p>
            <w:pPr>
              <w:spacing w:after="0"/>
              <w:rPr>
                <w:sz w:val="15"/>
                <w:szCs w:val="15"/>
                <w:color w:val="auto"/>
              </w:rPr>
            </w:pPr>
          </w:p>
        </w:tc>
        <w:tc>
          <w:tcPr>
            <w:tcW w:w="2680" w:type="dxa"/>
            <w:vAlign w:val="bottom"/>
          </w:tcPr>
          <w:p>
            <w:pPr>
              <w:jc w:val="center"/>
              <w:spacing w:after="0" w:line="174" w:lineRule="exact"/>
              <w:rPr>
                <w:sz w:val="20"/>
                <w:szCs w:val="20"/>
                <w:color w:val="auto"/>
              </w:rPr>
            </w:pPr>
            <w:r>
              <w:rPr>
                <w:rFonts w:ascii="Arial" w:cs="Arial" w:eastAsia="Arial" w:hAnsi="Arial"/>
                <w:sz w:val="19"/>
                <w:szCs w:val="19"/>
                <w:color w:val="auto"/>
                <w:w w:val="90"/>
              </w:rPr>
              <w:t>March 3, 2025</w:t>
            </w:r>
          </w:p>
        </w:tc>
        <w:tc>
          <w:tcPr>
            <w:tcW w:w="0" w:type="dxa"/>
            <w:vAlign w:val="bottom"/>
          </w:tcPr>
          <w:p>
            <w:pPr>
              <w:spacing w:after="0"/>
              <w:rPr>
                <w:sz w:val="1"/>
                <w:szCs w:val="1"/>
                <w:color w:val="auto"/>
              </w:rPr>
            </w:pPr>
          </w:p>
        </w:tc>
      </w:tr>
      <w:tr>
        <w:trPr>
          <w:trHeight w:val="240"/>
        </w:trPr>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9"/>
                <w:szCs w:val="19"/>
                <w:color w:val="auto"/>
                <w:w w:val="94"/>
              </w:rPr>
              <w:t>Accounting Officer)</w:t>
            </w:r>
          </w:p>
        </w:tc>
        <w:tc>
          <w:tcPr>
            <w:tcW w:w="10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/s/ Nicolas Roelofs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vMerge w:val="restart"/>
          </w:tcPr>
          <w:p>
            <w:pPr>
              <w:jc w:val="center"/>
              <w:spacing w:after="0"/>
              <w:rPr>
                <w:sz w:val="20"/>
                <w:szCs w:val="20"/>
                <w:color w:val="auto"/>
              </w:rPr>
            </w:pPr>
            <w:r>
              <w:rPr>
                <w:rFonts w:ascii="Arial" w:cs="Arial" w:eastAsia="Arial" w:hAnsi="Arial"/>
                <w:sz w:val="19"/>
                <w:szCs w:val="19"/>
                <w:color w:val="auto"/>
                <w:w w:val="90"/>
              </w:rPr>
              <w:t>Lead Independent Director</w:t>
            </w:r>
          </w:p>
        </w:tc>
        <w:tc>
          <w:tcPr>
            <w:tcW w:w="100" w:type="dxa"/>
            <w:vAlign w:val="bottom"/>
          </w:tcPr>
          <w:p>
            <w:pPr>
              <w:spacing w:after="0"/>
              <w:rPr>
                <w:sz w:val="24"/>
                <w:szCs w:val="24"/>
                <w:color w:val="auto"/>
              </w:rPr>
            </w:pPr>
          </w:p>
        </w:tc>
        <w:tc>
          <w:tcPr>
            <w:tcW w:w="2680" w:type="dxa"/>
            <w:vAlign w:val="bottom"/>
            <w:vMerge w:val="restart"/>
          </w:tcPr>
          <w:p>
            <w:pPr>
              <w:jc w:val="center"/>
              <w:spacing w:after="0"/>
              <w:rPr>
                <w:sz w:val="20"/>
                <w:szCs w:val="20"/>
                <w:color w:val="auto"/>
              </w:rPr>
            </w:pPr>
            <w:r>
              <w:rPr>
                <w:rFonts w:ascii="Arial" w:cs="Arial" w:eastAsia="Arial" w:hAnsi="Arial"/>
                <w:sz w:val="19"/>
                <w:szCs w:val="19"/>
                <w:color w:val="auto"/>
                <w:w w:val="90"/>
              </w:rPr>
              <w:t>March 3, 2025</w:t>
            </w:r>
          </w:p>
        </w:tc>
        <w:tc>
          <w:tcPr>
            <w:tcW w:w="0" w:type="dxa"/>
            <w:vAlign w:val="bottom"/>
          </w:tcPr>
          <w:p>
            <w:pPr>
              <w:spacing w:after="0"/>
              <w:rPr>
                <w:sz w:val="1"/>
                <w:szCs w:val="1"/>
                <w:color w:val="auto"/>
              </w:rPr>
            </w:pPr>
          </w:p>
        </w:tc>
      </w:tr>
      <w:tr>
        <w:trPr>
          <w:trHeight w:val="107"/>
        </w:trPr>
        <w:tc>
          <w:tcPr>
            <w:tcW w:w="2880" w:type="dxa"/>
            <w:vAlign w:val="bottom"/>
            <w:gridSpan w:val="2"/>
            <w:vMerge w:val="restart"/>
          </w:tcPr>
          <w:p>
            <w:pPr>
              <w:jc w:val="center"/>
              <w:ind w:right="20"/>
              <w:spacing w:after="0" w:line="205" w:lineRule="exact"/>
              <w:rPr>
                <w:sz w:val="20"/>
                <w:szCs w:val="20"/>
                <w:color w:val="auto"/>
              </w:rPr>
            </w:pPr>
            <w:r>
              <w:rPr>
                <w:rFonts w:ascii="Arial" w:cs="Arial" w:eastAsia="Arial" w:hAnsi="Arial"/>
                <w:sz w:val="19"/>
                <w:szCs w:val="19"/>
                <w:color w:val="auto"/>
                <w:w w:val="91"/>
              </w:rPr>
              <w:t>Nicolas Roelofs, Ph.D.</w:t>
            </w:r>
          </w:p>
        </w:tc>
        <w:tc>
          <w:tcPr>
            <w:tcW w:w="8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3"/>
              </w:rPr>
              <w:t>/s/ David Hallal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vMerge w:val="restart"/>
          </w:tcPr>
          <w:p>
            <w:pPr>
              <w:jc w:val="center"/>
              <w:spacing w:after="0"/>
              <w:rPr>
                <w:sz w:val="20"/>
                <w:szCs w:val="20"/>
                <w:color w:val="auto"/>
              </w:rPr>
            </w:pPr>
            <w:r>
              <w:rPr>
                <w:rFonts w:ascii="Arial" w:cs="Arial" w:eastAsia="Arial" w:hAnsi="Arial"/>
                <w:sz w:val="19"/>
                <w:szCs w:val="19"/>
                <w:color w:val="auto"/>
                <w:w w:val="96"/>
              </w:rPr>
              <w:t>Director</w:t>
            </w:r>
          </w:p>
        </w:tc>
        <w:tc>
          <w:tcPr>
            <w:tcW w:w="100" w:type="dxa"/>
            <w:vAlign w:val="bottom"/>
          </w:tcPr>
          <w:p>
            <w:pPr>
              <w:spacing w:after="0"/>
              <w:rPr>
                <w:sz w:val="24"/>
                <w:szCs w:val="24"/>
                <w:color w:val="auto"/>
              </w:rPr>
            </w:pPr>
          </w:p>
        </w:tc>
        <w:tc>
          <w:tcPr>
            <w:tcW w:w="2680" w:type="dxa"/>
            <w:vAlign w:val="bottom"/>
            <w:vMerge w:val="restart"/>
          </w:tcPr>
          <w:p>
            <w:pPr>
              <w:jc w:val="center"/>
              <w:spacing w:after="0"/>
              <w:rPr>
                <w:sz w:val="20"/>
                <w:szCs w:val="20"/>
                <w:color w:val="auto"/>
              </w:rPr>
            </w:pPr>
            <w:r>
              <w:rPr>
                <w:rFonts w:ascii="Arial" w:cs="Arial" w:eastAsia="Arial" w:hAnsi="Arial"/>
                <w:sz w:val="19"/>
                <w:szCs w:val="19"/>
                <w:color w:val="auto"/>
                <w:w w:val="90"/>
              </w:rPr>
              <w:t>March 3, 2025</w:t>
            </w:r>
          </w:p>
        </w:tc>
        <w:tc>
          <w:tcPr>
            <w:tcW w:w="0" w:type="dxa"/>
            <w:vAlign w:val="bottom"/>
          </w:tcPr>
          <w:p>
            <w:pPr>
              <w:spacing w:after="0"/>
              <w:rPr>
                <w:sz w:val="1"/>
                <w:szCs w:val="1"/>
                <w:color w:val="auto"/>
              </w:rPr>
            </w:pPr>
          </w:p>
        </w:tc>
      </w:tr>
      <w:tr>
        <w:trPr>
          <w:trHeight w:val="106"/>
        </w:trPr>
        <w:tc>
          <w:tcPr>
            <w:tcW w:w="2880" w:type="dxa"/>
            <w:vAlign w:val="bottom"/>
            <w:gridSpan w:val="2"/>
            <w:vMerge w:val="restart"/>
          </w:tcPr>
          <w:p>
            <w:pPr>
              <w:jc w:val="center"/>
              <w:ind w:right="20"/>
              <w:spacing w:after="0" w:line="205" w:lineRule="exact"/>
              <w:rPr>
                <w:sz w:val="20"/>
                <w:szCs w:val="20"/>
                <w:color w:val="auto"/>
              </w:rPr>
            </w:pPr>
            <w:r>
              <w:rPr>
                <w:rFonts w:ascii="Arial" w:cs="Arial" w:eastAsia="Arial" w:hAnsi="Arial"/>
                <w:sz w:val="19"/>
                <w:szCs w:val="19"/>
                <w:color w:val="auto"/>
                <w:w w:val="96"/>
              </w:rPr>
              <w:t>David Hallal</w:t>
            </w:r>
          </w:p>
        </w:tc>
        <w:tc>
          <w:tcPr>
            <w:tcW w:w="8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/s/ Meeta Gulyani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vMerge w:val="restart"/>
          </w:tcPr>
          <w:p>
            <w:pPr>
              <w:jc w:val="center"/>
              <w:spacing w:after="0"/>
              <w:rPr>
                <w:sz w:val="20"/>
                <w:szCs w:val="20"/>
                <w:color w:val="auto"/>
              </w:rPr>
            </w:pPr>
            <w:r>
              <w:rPr>
                <w:rFonts w:ascii="Arial" w:cs="Arial" w:eastAsia="Arial" w:hAnsi="Arial"/>
                <w:sz w:val="19"/>
                <w:szCs w:val="19"/>
                <w:color w:val="auto"/>
                <w:w w:val="96"/>
              </w:rPr>
              <w:t>Director</w:t>
            </w:r>
          </w:p>
        </w:tc>
        <w:tc>
          <w:tcPr>
            <w:tcW w:w="100" w:type="dxa"/>
            <w:vAlign w:val="bottom"/>
          </w:tcPr>
          <w:p>
            <w:pPr>
              <w:spacing w:after="0"/>
              <w:rPr>
                <w:sz w:val="24"/>
                <w:szCs w:val="24"/>
                <w:color w:val="auto"/>
              </w:rPr>
            </w:pPr>
          </w:p>
        </w:tc>
        <w:tc>
          <w:tcPr>
            <w:tcW w:w="2680" w:type="dxa"/>
            <w:vAlign w:val="bottom"/>
            <w:vMerge w:val="restart"/>
          </w:tcPr>
          <w:p>
            <w:pPr>
              <w:jc w:val="center"/>
              <w:spacing w:after="0"/>
              <w:rPr>
                <w:sz w:val="20"/>
                <w:szCs w:val="20"/>
                <w:color w:val="auto"/>
              </w:rPr>
            </w:pPr>
            <w:r>
              <w:rPr>
                <w:rFonts w:ascii="Arial" w:cs="Arial" w:eastAsia="Arial" w:hAnsi="Arial"/>
                <w:sz w:val="19"/>
                <w:szCs w:val="19"/>
                <w:color w:val="auto"/>
                <w:w w:val="90"/>
              </w:rPr>
              <w:t>March 3, 2025</w:t>
            </w:r>
          </w:p>
        </w:tc>
        <w:tc>
          <w:tcPr>
            <w:tcW w:w="0" w:type="dxa"/>
            <w:vAlign w:val="bottom"/>
          </w:tcPr>
          <w:p>
            <w:pPr>
              <w:spacing w:after="0"/>
              <w:rPr>
                <w:sz w:val="1"/>
                <w:szCs w:val="1"/>
                <w:color w:val="auto"/>
              </w:rPr>
            </w:pPr>
          </w:p>
        </w:tc>
      </w:tr>
      <w:tr>
        <w:trPr>
          <w:trHeight w:val="106"/>
        </w:trPr>
        <w:tc>
          <w:tcPr>
            <w:tcW w:w="2880" w:type="dxa"/>
            <w:vAlign w:val="bottom"/>
            <w:gridSpan w:val="2"/>
            <w:vMerge w:val="restart"/>
          </w:tcPr>
          <w:p>
            <w:pPr>
              <w:jc w:val="center"/>
              <w:ind w:right="20"/>
              <w:spacing w:after="0" w:line="205" w:lineRule="exact"/>
              <w:rPr>
                <w:sz w:val="20"/>
                <w:szCs w:val="20"/>
                <w:color w:val="auto"/>
              </w:rPr>
            </w:pPr>
            <w:r>
              <w:rPr>
                <w:rFonts w:ascii="Arial" w:cs="Arial" w:eastAsia="Arial" w:hAnsi="Arial"/>
                <w:sz w:val="19"/>
                <w:szCs w:val="19"/>
                <w:color w:val="auto"/>
                <w:w w:val="93"/>
              </w:rPr>
              <w:t>Meeta Gulyani</w:t>
            </w:r>
          </w:p>
        </w:tc>
        <w:tc>
          <w:tcPr>
            <w:tcW w:w="8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/s/ Robert Langer, Sc.D.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vMerge w:val="restart"/>
          </w:tcPr>
          <w:p>
            <w:pPr>
              <w:jc w:val="center"/>
              <w:spacing w:after="0"/>
              <w:rPr>
                <w:sz w:val="20"/>
                <w:szCs w:val="20"/>
                <w:color w:val="auto"/>
              </w:rPr>
            </w:pPr>
            <w:r>
              <w:rPr>
                <w:rFonts w:ascii="Arial" w:cs="Arial" w:eastAsia="Arial" w:hAnsi="Arial"/>
                <w:sz w:val="19"/>
                <w:szCs w:val="19"/>
                <w:color w:val="auto"/>
                <w:w w:val="96"/>
              </w:rPr>
              <w:t>Director</w:t>
            </w:r>
          </w:p>
        </w:tc>
        <w:tc>
          <w:tcPr>
            <w:tcW w:w="100" w:type="dxa"/>
            <w:vAlign w:val="bottom"/>
          </w:tcPr>
          <w:p>
            <w:pPr>
              <w:spacing w:after="0"/>
              <w:rPr>
                <w:sz w:val="24"/>
                <w:szCs w:val="24"/>
                <w:color w:val="auto"/>
              </w:rPr>
            </w:pPr>
          </w:p>
        </w:tc>
        <w:tc>
          <w:tcPr>
            <w:tcW w:w="2680" w:type="dxa"/>
            <w:vAlign w:val="bottom"/>
            <w:vMerge w:val="restart"/>
          </w:tcPr>
          <w:p>
            <w:pPr>
              <w:jc w:val="center"/>
              <w:spacing w:after="0"/>
              <w:rPr>
                <w:sz w:val="20"/>
                <w:szCs w:val="20"/>
                <w:color w:val="auto"/>
              </w:rPr>
            </w:pPr>
            <w:r>
              <w:rPr>
                <w:rFonts w:ascii="Arial" w:cs="Arial" w:eastAsia="Arial" w:hAnsi="Arial"/>
                <w:sz w:val="19"/>
                <w:szCs w:val="19"/>
                <w:color w:val="auto"/>
                <w:w w:val="90"/>
              </w:rPr>
              <w:t>March 3, 2025</w:t>
            </w:r>
          </w:p>
        </w:tc>
        <w:tc>
          <w:tcPr>
            <w:tcW w:w="0" w:type="dxa"/>
            <w:vAlign w:val="bottom"/>
          </w:tcPr>
          <w:p>
            <w:pPr>
              <w:spacing w:after="0"/>
              <w:rPr>
                <w:sz w:val="1"/>
                <w:szCs w:val="1"/>
                <w:color w:val="auto"/>
              </w:rPr>
            </w:pPr>
          </w:p>
        </w:tc>
      </w:tr>
      <w:tr>
        <w:trPr>
          <w:trHeight w:val="105"/>
        </w:trPr>
        <w:tc>
          <w:tcPr>
            <w:tcW w:w="2880" w:type="dxa"/>
            <w:vAlign w:val="bottom"/>
            <w:gridSpan w:val="2"/>
            <w:vMerge w:val="restart"/>
          </w:tcPr>
          <w:p>
            <w:pPr>
              <w:jc w:val="center"/>
              <w:ind w:right="20"/>
              <w:spacing w:after="0" w:line="208" w:lineRule="exact"/>
              <w:rPr>
                <w:sz w:val="20"/>
                <w:szCs w:val="20"/>
                <w:color w:val="auto"/>
              </w:rPr>
            </w:pPr>
            <w:r>
              <w:rPr>
                <w:rFonts w:ascii="Arial" w:cs="Arial" w:eastAsia="Arial" w:hAnsi="Arial"/>
                <w:sz w:val="19"/>
                <w:szCs w:val="19"/>
                <w:color w:val="auto"/>
                <w:w w:val="90"/>
              </w:rPr>
              <w:t>Robert Langer, Sc.D.</w:t>
            </w:r>
          </w:p>
        </w:tc>
        <w:tc>
          <w:tcPr>
            <w:tcW w:w="8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5"/>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/s/ Terrance McGuire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vMerge w:val="restart"/>
          </w:tcPr>
          <w:p>
            <w:pPr>
              <w:jc w:val="center"/>
              <w:spacing w:after="0"/>
              <w:rPr>
                <w:sz w:val="20"/>
                <w:szCs w:val="20"/>
                <w:color w:val="auto"/>
              </w:rPr>
            </w:pPr>
            <w:r>
              <w:rPr>
                <w:rFonts w:ascii="Arial" w:cs="Arial" w:eastAsia="Arial" w:hAnsi="Arial"/>
                <w:sz w:val="19"/>
                <w:szCs w:val="19"/>
                <w:color w:val="auto"/>
                <w:w w:val="96"/>
              </w:rPr>
              <w:t>Director</w:t>
            </w:r>
          </w:p>
        </w:tc>
        <w:tc>
          <w:tcPr>
            <w:tcW w:w="100" w:type="dxa"/>
            <w:vAlign w:val="bottom"/>
          </w:tcPr>
          <w:p>
            <w:pPr>
              <w:spacing w:after="0"/>
              <w:rPr>
                <w:sz w:val="24"/>
                <w:szCs w:val="24"/>
                <w:color w:val="auto"/>
              </w:rPr>
            </w:pPr>
          </w:p>
        </w:tc>
        <w:tc>
          <w:tcPr>
            <w:tcW w:w="2680" w:type="dxa"/>
            <w:vAlign w:val="bottom"/>
            <w:vMerge w:val="restart"/>
          </w:tcPr>
          <w:p>
            <w:pPr>
              <w:jc w:val="center"/>
              <w:spacing w:after="0"/>
              <w:rPr>
                <w:sz w:val="20"/>
                <w:szCs w:val="20"/>
                <w:color w:val="auto"/>
              </w:rPr>
            </w:pPr>
            <w:r>
              <w:rPr>
                <w:rFonts w:ascii="Arial" w:cs="Arial" w:eastAsia="Arial" w:hAnsi="Arial"/>
                <w:sz w:val="19"/>
                <w:szCs w:val="19"/>
                <w:color w:val="auto"/>
                <w:w w:val="90"/>
              </w:rPr>
              <w:t>March 3, 2025</w:t>
            </w:r>
          </w:p>
        </w:tc>
        <w:tc>
          <w:tcPr>
            <w:tcW w:w="0" w:type="dxa"/>
            <w:vAlign w:val="bottom"/>
          </w:tcPr>
          <w:p>
            <w:pPr>
              <w:spacing w:after="0"/>
              <w:rPr>
                <w:sz w:val="1"/>
                <w:szCs w:val="1"/>
                <w:color w:val="auto"/>
              </w:rPr>
            </w:pPr>
          </w:p>
        </w:tc>
      </w:tr>
      <w:tr>
        <w:trPr>
          <w:trHeight w:val="107"/>
        </w:trPr>
        <w:tc>
          <w:tcPr>
            <w:tcW w:w="2880" w:type="dxa"/>
            <w:vAlign w:val="bottom"/>
            <w:gridSpan w:val="2"/>
            <w:vMerge w:val="restart"/>
          </w:tcPr>
          <w:p>
            <w:pPr>
              <w:jc w:val="center"/>
              <w:ind w:right="40"/>
              <w:spacing w:after="0" w:line="208" w:lineRule="exact"/>
              <w:rPr>
                <w:sz w:val="20"/>
                <w:szCs w:val="20"/>
                <w:color w:val="auto"/>
              </w:rPr>
            </w:pPr>
            <w:r>
              <w:rPr>
                <w:rFonts w:ascii="Arial" w:cs="Arial" w:eastAsia="Arial" w:hAnsi="Arial"/>
                <w:sz w:val="19"/>
                <w:szCs w:val="19"/>
                <w:color w:val="auto"/>
                <w:w w:val="91"/>
              </w:rPr>
              <w:t>Terrance McGuire</w:t>
            </w:r>
          </w:p>
        </w:tc>
        <w:tc>
          <w:tcPr>
            <w:tcW w:w="8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/s/ Deep Nishar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vMerge w:val="restart"/>
          </w:tcPr>
          <w:p>
            <w:pPr>
              <w:jc w:val="center"/>
              <w:spacing w:after="0"/>
              <w:rPr>
                <w:sz w:val="20"/>
                <w:szCs w:val="20"/>
                <w:color w:val="auto"/>
              </w:rPr>
            </w:pPr>
            <w:r>
              <w:rPr>
                <w:rFonts w:ascii="Arial" w:cs="Arial" w:eastAsia="Arial" w:hAnsi="Arial"/>
                <w:sz w:val="19"/>
                <w:szCs w:val="19"/>
                <w:color w:val="auto"/>
                <w:w w:val="96"/>
              </w:rPr>
              <w:t>Director</w:t>
            </w:r>
          </w:p>
        </w:tc>
        <w:tc>
          <w:tcPr>
            <w:tcW w:w="100" w:type="dxa"/>
            <w:vAlign w:val="bottom"/>
          </w:tcPr>
          <w:p>
            <w:pPr>
              <w:spacing w:after="0"/>
              <w:rPr>
                <w:sz w:val="24"/>
                <w:szCs w:val="24"/>
                <w:color w:val="auto"/>
              </w:rPr>
            </w:pPr>
          </w:p>
        </w:tc>
        <w:tc>
          <w:tcPr>
            <w:tcW w:w="2680" w:type="dxa"/>
            <w:vAlign w:val="bottom"/>
            <w:vMerge w:val="restart"/>
          </w:tcPr>
          <w:p>
            <w:pPr>
              <w:jc w:val="center"/>
              <w:spacing w:after="0"/>
              <w:rPr>
                <w:sz w:val="20"/>
                <w:szCs w:val="20"/>
                <w:color w:val="auto"/>
              </w:rPr>
            </w:pPr>
            <w:r>
              <w:rPr>
                <w:rFonts w:ascii="Arial" w:cs="Arial" w:eastAsia="Arial" w:hAnsi="Arial"/>
                <w:sz w:val="19"/>
                <w:szCs w:val="19"/>
                <w:color w:val="auto"/>
                <w:w w:val="90"/>
              </w:rPr>
              <w:t>March 3, 2025</w:t>
            </w:r>
          </w:p>
        </w:tc>
        <w:tc>
          <w:tcPr>
            <w:tcW w:w="0" w:type="dxa"/>
            <w:vAlign w:val="bottom"/>
          </w:tcPr>
          <w:p>
            <w:pPr>
              <w:spacing w:after="0"/>
              <w:rPr>
                <w:sz w:val="1"/>
                <w:szCs w:val="1"/>
                <w:color w:val="auto"/>
              </w:rPr>
            </w:pPr>
          </w:p>
        </w:tc>
      </w:tr>
      <w:tr>
        <w:trPr>
          <w:trHeight w:val="104"/>
        </w:trPr>
        <w:tc>
          <w:tcPr>
            <w:tcW w:w="2880" w:type="dxa"/>
            <w:vAlign w:val="bottom"/>
            <w:gridSpan w:val="2"/>
            <w:vMerge w:val="restart"/>
          </w:tcPr>
          <w:p>
            <w:pPr>
              <w:jc w:val="center"/>
              <w:ind w:right="20"/>
              <w:spacing w:after="0" w:line="205" w:lineRule="exact"/>
              <w:rPr>
                <w:sz w:val="20"/>
                <w:szCs w:val="20"/>
                <w:color w:val="auto"/>
              </w:rPr>
            </w:pPr>
            <w:r>
              <w:rPr>
                <w:rFonts w:ascii="Arial" w:cs="Arial" w:eastAsia="Arial" w:hAnsi="Arial"/>
                <w:sz w:val="19"/>
                <w:szCs w:val="19"/>
                <w:color w:val="auto"/>
                <w:w w:val="88"/>
              </w:rPr>
              <w:t>Deep Nishar</w:t>
            </w:r>
          </w:p>
        </w:tc>
        <w:tc>
          <w:tcPr>
            <w:tcW w:w="8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6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143</w:t>
      </w:r>
    </w:p>
    <w:sectPr>
      <w:pgSz w:w="12240" w:h="15840" w:orient="portrait"/>
      <w:cols w:equalWidth="0" w:num="1">
        <w:col w:w="9360"/>
      </w:cols>
      <w:pgMar w:left="1440" w:top="1440" w:right="1440" w:bottom="6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8"/>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
      <w:numFmt w:val="bullet"/>
      <w:start w:val="1"/>
    </w:lvl>
    <w:lvl w:ilvl="1">
      <w:lvlJc w:val="left"/>
      <w:lvlText w:val="%2"/>
      <w:numFmt w:val="decimal"/>
      <w:start w:val="104"/>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2025-05-28T15:25:12Z</dcterms:created>
  <dcterms:modified xsi:type="dcterms:W3CDTF">2025-05-28T15:25:12Z</dcterms:modified>
</cp:coreProperties>
</file>