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-236855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-594995</wp:posOffset>
            </wp:positionV>
            <wp:extent cx="8255" cy="5956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-603250</wp:posOffset>
            </wp:positionV>
            <wp:extent cx="8255" cy="603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-579120</wp:posOffset>
            </wp:positionV>
            <wp:extent cx="1271905" cy="555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33655</wp:posOffset>
            </wp:positionV>
            <wp:extent cx="6970395" cy="1843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84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LANGER ROBERT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SEER,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57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6"/>
        <w:spacing w:after="0"/>
        <w:tabs>
          <w:tab w:leader="none" w:pos="506" w:val="left"/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REDWOOD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9"/>
              </w:rPr>
              <w:t>CA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94065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12/08/2020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205,831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365,357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205,831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205,831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-2848610</wp:posOffset>
            </wp:positionV>
            <wp:extent cx="7035165" cy="2889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8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A Convertible Preferred Stock automatically converted into Class A Common Stock on a one-to-one basis immediately prior to the completion of the Issuer's initial public offering of Class A Common Stock and had no expiration date.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Elona Kogan, by power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12/09/2020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975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2020-12-09T19:24:50Z</dcterms:created>
  <dcterms:modified xsi:type="dcterms:W3CDTF">2020-12-09T19:24:50Z</dcterms:modified>
</cp:coreProperties>
</file>