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Kogan Elona Esq.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SEER,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BRIDGE PARKWAY,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Seer,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SEER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12/04/2023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838"/>
        <w:gridCol w:w="1190"/>
        <w:gridCol w:w="993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12/04/2023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8,182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1.6951</w:t>
            </w:r>
            <w:r>
              <w:rPr/>
              <w:t xml:space="preserve"> 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162,673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sold to satisfy the reporting person's tax obligations in connection with the vesting of restricted stock units, or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1,168 shares and 3,100 shares acquired under the Issuer's 2020 Employee Stock Purchase Plan on May 15, 2023 and November 15, 2023, respectively.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Horn,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12/06/2023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79971" TargetMode="External"/><Relationship Id="rId4" Type="http://schemas.openxmlformats.org/officeDocument/2006/relationships/hyperlink" Target="http://www.sec.gov/cgi-bin/browse-edgar?action=getcompany&amp;CIK=000172644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3325</Characters>
  <CharactersWithSpaces>3877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