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Invus Public Equities, L.P.</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12/03/2020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Seer,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SEER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4"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750 LEXINGTON AVENUE</w:t>
            </w:r>
          </w:p>
        </w:tc>
        <w:tc>
          <w:tcPr>
            <w:tcW w:w="0" w:type="dxa"/>
            <w:vAlign w:val="bottom"/>
          </w:tcPr>
          <w:p>
            <w:pPr>
              <w:spacing w:after="0"/>
              <w:rPr>
                <w:sz w:val="1"/>
                <w:szCs w:val="1"/>
                <w:color w:val="auto"/>
              </w:rPr>
            </w:pPr>
          </w:p>
        </w:tc>
      </w:tr>
      <w:tr>
        <w:trPr>
          <w:trHeight w:val="300"/>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30TH FLOOR</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10022</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9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67"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2"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55" w:lineRule="auto"/>
        <w:rPr>
          <w:sz w:val="20"/>
          <w:szCs w:val="20"/>
          <w:color w:val="auto"/>
        </w:rPr>
      </w:pPr>
      <w:r>
        <w:rPr>
          <w:rFonts w:ascii="Arial" w:cs="Arial" w:eastAsia="Arial" w:hAnsi="Arial"/>
          <w:sz w:val="15"/>
          <w:szCs w:val="15"/>
          <w:color w:val="auto"/>
        </w:rPr>
        <w:t>Form filed by One Reporting Person</w:t>
      </w:r>
    </w:p>
    <w:p>
      <w:pPr>
        <w:spacing w:after="0" w:line="24" w:lineRule="exact"/>
        <w:rPr>
          <w:sz w:val="24"/>
          <w:szCs w:val="24"/>
          <w:color w:val="auto"/>
        </w:rPr>
      </w:pPr>
    </w:p>
    <w:p>
      <w:pPr>
        <w:ind w:left="451" w:right="32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24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2820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82067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819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819785"/>
                    </a:xfrm>
                    <a:prstGeom prst="rect">
                      <a:avLst/>
                    </a:prstGeom>
                    <a:noFill/>
                  </pic:spPr>
                </pic:pic>
              </a:graphicData>
            </a:graphic>
          </wp:anchor>
        </w:drawing>
      </w:r>
    </w:p>
    <w:p>
      <w:pPr>
        <w:spacing w:after="0" w:line="94"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9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2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4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91"/>
        </w:trPr>
        <w:tc>
          <w:tcPr>
            <w:tcW w:w="29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4"/>
        </w:trPr>
        <w:tc>
          <w:tcPr>
            <w:tcW w:w="29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6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960" w:type="dxa"/>
            <w:vAlign w:val="bottom"/>
          </w:tcPr>
          <w:p>
            <w:pPr>
              <w:spacing w:after="0"/>
              <w:rPr>
                <w:sz w:val="13"/>
                <w:szCs w:val="13"/>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98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46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96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8"/>
                <w:szCs w:val="18"/>
                <w:color w:val="auto"/>
              </w:rPr>
            </w:pPr>
          </w:p>
        </w:tc>
        <w:tc>
          <w:tcPr>
            <w:tcW w:w="146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9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-8890</wp:posOffset>
            </wp:positionV>
            <wp:extent cx="6927850" cy="400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400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84"/>
        </w:trPr>
        <w:tc>
          <w:tcPr>
            <w:tcW w:w="20" w:type="dxa"/>
            <w:vAlign w:val="bottom"/>
          </w:tcPr>
          <w:p>
            <w:pPr>
              <w:spacing w:after="0"/>
              <w:rPr>
                <w:sz w:val="24"/>
                <w:szCs w:val="24"/>
                <w:color w:val="auto"/>
              </w:rPr>
            </w:pPr>
          </w:p>
        </w:tc>
        <w:tc>
          <w:tcPr>
            <w:tcW w:w="27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rPr>
              <w:t>Series B Convertible Preferred</w:t>
            </w:r>
          </w:p>
        </w:tc>
        <w:tc>
          <w:tcPr>
            <w:tcW w:w="1460" w:type="dxa"/>
            <w:vAlign w:val="bottom"/>
            <w:vMerge w:val="restart"/>
          </w:tcPr>
          <w:p>
            <w:pPr>
              <w:jc w:val="right"/>
              <w:ind w:right="608"/>
              <w:spacing w:after="0"/>
              <w:rPr>
                <w:sz w:val="20"/>
                <w:szCs w:val="20"/>
                <w:color w:val="auto"/>
              </w:rPr>
            </w:pPr>
            <w:r>
              <w:rPr>
                <w:rFonts w:ascii="Times New Roman" w:cs="Times New Roman" w:eastAsia="Times New Roman" w:hAnsi="Times New Roman"/>
                <w:sz w:val="13"/>
                <w:szCs w:val="13"/>
                <w:color w:val="008000"/>
              </w:rPr>
              <w:t>(1)</w:t>
            </w:r>
          </w:p>
        </w:tc>
        <w:tc>
          <w:tcPr>
            <w:tcW w:w="5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3"/>
                <w:szCs w:val="13"/>
                <w:color w:val="008000"/>
              </w:rPr>
              <w:t>(1)</w:t>
            </w:r>
          </w:p>
        </w:tc>
        <w:tc>
          <w:tcPr>
            <w:tcW w:w="1800" w:type="dxa"/>
            <w:vAlign w:val="bottom"/>
          </w:tcPr>
          <w:p>
            <w:pPr>
              <w:jc w:val="center"/>
              <w:ind w:left="42"/>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180" w:type="dxa"/>
            <w:vAlign w:val="bottom"/>
            <w:vMerge w:val="restart"/>
          </w:tcPr>
          <w:p>
            <w:pPr>
              <w:jc w:val="center"/>
              <w:ind w:right="22"/>
              <w:spacing w:after="0"/>
              <w:rPr>
                <w:sz w:val="20"/>
                <w:szCs w:val="20"/>
                <w:color w:val="auto"/>
              </w:rPr>
            </w:pPr>
            <w:r>
              <w:rPr>
                <w:rFonts w:ascii="Times New Roman" w:cs="Times New Roman" w:eastAsia="Times New Roman" w:hAnsi="Times New Roman"/>
                <w:sz w:val="20"/>
                <w:szCs w:val="20"/>
                <w:color w:val="0000FF"/>
                <w:w w:val="97"/>
              </w:rPr>
              <w:t>3,953,381</w:t>
            </w:r>
          </w:p>
        </w:tc>
        <w:tc>
          <w:tcPr>
            <w:tcW w:w="72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color w:val="008000"/>
              </w:rPr>
              <w:t>(1)</w:t>
            </w:r>
          </w:p>
        </w:tc>
        <w:tc>
          <w:tcPr>
            <w:tcW w:w="2460" w:type="dxa"/>
            <w:vAlign w:val="bottom"/>
            <w:gridSpan w:val="2"/>
            <w:vMerge w:val="restart"/>
          </w:tcPr>
          <w:p>
            <w:pPr>
              <w:ind w:left="340"/>
              <w:spacing w:after="0"/>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Stock</w:t>
            </w:r>
          </w:p>
        </w:tc>
        <w:tc>
          <w:tcPr>
            <w:tcW w:w="13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1800" w:type="dxa"/>
            <w:vAlign w:val="bottom"/>
            <w:vMerge w:val="restart"/>
          </w:tcPr>
          <w:p>
            <w:pPr>
              <w:jc w:val="center"/>
              <w:ind w:left="62"/>
              <w:spacing w:after="0"/>
              <w:rPr>
                <w:sz w:val="20"/>
                <w:szCs w:val="20"/>
                <w:color w:val="auto"/>
              </w:rPr>
            </w:pPr>
            <w:r>
              <w:rPr>
                <w:rFonts w:ascii="Times New Roman" w:cs="Times New Roman" w:eastAsia="Times New Roman" w:hAnsi="Times New Roman"/>
                <w:sz w:val="20"/>
                <w:szCs w:val="20"/>
                <w:color w:val="0000FF"/>
                <w:w w:val="96"/>
              </w:rPr>
              <w:t>Stock</w:t>
            </w:r>
          </w:p>
        </w:tc>
        <w:tc>
          <w:tcPr>
            <w:tcW w:w="118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4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3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660" w:type="dxa"/>
            <w:vAlign w:val="bottom"/>
            <w:tcBorders>
              <w:bottom w:val="single" w:sz="8" w:color="2C2C2C"/>
            </w:tcBorders>
            <w:gridSpan w:val="2"/>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rPr>
              <w:t>Series C Convertible Preferred</w:t>
            </w:r>
          </w:p>
        </w:tc>
        <w:tc>
          <w:tcPr>
            <w:tcW w:w="1460" w:type="dxa"/>
            <w:vAlign w:val="bottom"/>
            <w:vMerge w:val="restart"/>
          </w:tcPr>
          <w:p>
            <w:pPr>
              <w:jc w:val="right"/>
              <w:ind w:right="608"/>
              <w:spacing w:after="0"/>
              <w:rPr>
                <w:sz w:val="20"/>
                <w:szCs w:val="20"/>
                <w:color w:val="auto"/>
              </w:rPr>
            </w:pPr>
            <w:r>
              <w:rPr>
                <w:rFonts w:ascii="Times New Roman" w:cs="Times New Roman" w:eastAsia="Times New Roman" w:hAnsi="Times New Roman"/>
                <w:sz w:val="13"/>
                <w:szCs w:val="13"/>
                <w:color w:val="008000"/>
              </w:rPr>
              <w:t>(4)</w:t>
            </w:r>
          </w:p>
        </w:tc>
        <w:tc>
          <w:tcPr>
            <w:tcW w:w="5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3"/>
                <w:szCs w:val="13"/>
                <w:color w:val="008000"/>
              </w:rPr>
              <w:t>(4)</w:t>
            </w:r>
          </w:p>
        </w:tc>
        <w:tc>
          <w:tcPr>
            <w:tcW w:w="1800" w:type="dxa"/>
            <w:vAlign w:val="bottom"/>
          </w:tcPr>
          <w:p>
            <w:pPr>
              <w:jc w:val="center"/>
              <w:ind w:left="42"/>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180" w:type="dxa"/>
            <w:vAlign w:val="bottom"/>
            <w:vMerge w:val="restart"/>
          </w:tcPr>
          <w:p>
            <w:pPr>
              <w:jc w:val="center"/>
              <w:ind w:right="2"/>
              <w:spacing w:after="0"/>
              <w:rPr>
                <w:sz w:val="20"/>
                <w:szCs w:val="20"/>
                <w:color w:val="auto"/>
              </w:rPr>
            </w:pPr>
            <w:r>
              <w:rPr>
                <w:rFonts w:ascii="Times New Roman" w:cs="Times New Roman" w:eastAsia="Times New Roman" w:hAnsi="Times New Roman"/>
                <w:sz w:val="20"/>
                <w:szCs w:val="20"/>
                <w:color w:val="0000FF"/>
                <w:w w:val="98"/>
              </w:rPr>
              <w:t>373,831</w:t>
            </w:r>
          </w:p>
        </w:tc>
        <w:tc>
          <w:tcPr>
            <w:tcW w:w="72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color w:val="008000"/>
              </w:rPr>
              <w:t>(4)</w:t>
            </w:r>
          </w:p>
        </w:tc>
        <w:tc>
          <w:tcPr>
            <w:tcW w:w="2460" w:type="dxa"/>
            <w:vAlign w:val="bottom"/>
            <w:gridSpan w:val="2"/>
            <w:vMerge w:val="restart"/>
          </w:tcPr>
          <w:p>
            <w:pPr>
              <w:ind w:left="340"/>
              <w:spacing w:after="0"/>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Stock</w:t>
            </w:r>
          </w:p>
        </w:tc>
        <w:tc>
          <w:tcPr>
            <w:tcW w:w="13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1800" w:type="dxa"/>
            <w:vAlign w:val="bottom"/>
            <w:vMerge w:val="restart"/>
          </w:tcPr>
          <w:p>
            <w:pPr>
              <w:jc w:val="center"/>
              <w:ind w:left="62"/>
              <w:spacing w:after="0"/>
              <w:rPr>
                <w:sz w:val="20"/>
                <w:szCs w:val="20"/>
                <w:color w:val="auto"/>
              </w:rPr>
            </w:pPr>
            <w:r>
              <w:rPr>
                <w:rFonts w:ascii="Times New Roman" w:cs="Times New Roman" w:eastAsia="Times New Roman" w:hAnsi="Times New Roman"/>
                <w:sz w:val="20"/>
                <w:szCs w:val="20"/>
                <w:color w:val="0000FF"/>
                <w:w w:val="96"/>
              </w:rPr>
              <w:t>Stock</w:t>
            </w:r>
          </w:p>
        </w:tc>
        <w:tc>
          <w:tcPr>
            <w:tcW w:w="118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4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3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660" w:type="dxa"/>
            <w:vAlign w:val="bottom"/>
            <w:tcBorders>
              <w:bottom w:val="single" w:sz="8" w:color="2C2C2C"/>
            </w:tcBorders>
            <w:gridSpan w:val="2"/>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rPr>
              <w:t>Series D Convertible Preferred</w:t>
            </w:r>
          </w:p>
        </w:tc>
        <w:tc>
          <w:tcPr>
            <w:tcW w:w="1460" w:type="dxa"/>
            <w:vAlign w:val="bottom"/>
            <w:vMerge w:val="restart"/>
          </w:tcPr>
          <w:p>
            <w:pPr>
              <w:jc w:val="right"/>
              <w:ind w:right="608"/>
              <w:spacing w:after="0"/>
              <w:rPr>
                <w:sz w:val="20"/>
                <w:szCs w:val="20"/>
                <w:color w:val="auto"/>
              </w:rPr>
            </w:pPr>
            <w:r>
              <w:rPr>
                <w:rFonts w:ascii="Times New Roman" w:cs="Times New Roman" w:eastAsia="Times New Roman" w:hAnsi="Times New Roman"/>
                <w:sz w:val="13"/>
                <w:szCs w:val="13"/>
                <w:color w:val="008000"/>
              </w:rPr>
              <w:t>(5)</w:t>
            </w:r>
          </w:p>
        </w:tc>
        <w:tc>
          <w:tcPr>
            <w:tcW w:w="5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3"/>
                <w:szCs w:val="13"/>
                <w:color w:val="008000"/>
              </w:rPr>
              <w:t>(5)</w:t>
            </w:r>
          </w:p>
        </w:tc>
        <w:tc>
          <w:tcPr>
            <w:tcW w:w="1800" w:type="dxa"/>
            <w:vAlign w:val="bottom"/>
          </w:tcPr>
          <w:p>
            <w:pPr>
              <w:jc w:val="center"/>
              <w:ind w:left="42"/>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180" w:type="dxa"/>
            <w:vAlign w:val="bottom"/>
            <w:vMerge w:val="restart"/>
          </w:tcPr>
          <w:p>
            <w:pPr>
              <w:jc w:val="center"/>
              <w:ind w:right="2"/>
              <w:spacing w:after="0"/>
              <w:rPr>
                <w:sz w:val="20"/>
                <w:szCs w:val="20"/>
                <w:color w:val="auto"/>
              </w:rPr>
            </w:pPr>
            <w:r>
              <w:rPr>
                <w:rFonts w:ascii="Times New Roman" w:cs="Times New Roman" w:eastAsia="Times New Roman" w:hAnsi="Times New Roman"/>
                <w:sz w:val="20"/>
                <w:szCs w:val="20"/>
                <w:color w:val="0000FF"/>
                <w:w w:val="98"/>
              </w:rPr>
              <w:t>474,478</w:t>
            </w:r>
          </w:p>
        </w:tc>
        <w:tc>
          <w:tcPr>
            <w:tcW w:w="72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color w:val="008000"/>
              </w:rPr>
              <w:t>(5)</w:t>
            </w:r>
          </w:p>
        </w:tc>
        <w:tc>
          <w:tcPr>
            <w:tcW w:w="2460" w:type="dxa"/>
            <w:vAlign w:val="bottom"/>
            <w:gridSpan w:val="2"/>
            <w:vMerge w:val="restart"/>
          </w:tcPr>
          <w:p>
            <w:pPr>
              <w:ind w:left="340"/>
              <w:spacing w:after="0"/>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Stock</w:t>
            </w:r>
          </w:p>
        </w:tc>
        <w:tc>
          <w:tcPr>
            <w:tcW w:w="13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1800" w:type="dxa"/>
            <w:vAlign w:val="bottom"/>
            <w:vMerge w:val="restart"/>
          </w:tcPr>
          <w:p>
            <w:pPr>
              <w:jc w:val="center"/>
              <w:ind w:left="62"/>
              <w:spacing w:after="0"/>
              <w:rPr>
                <w:sz w:val="20"/>
                <w:szCs w:val="20"/>
                <w:color w:val="auto"/>
              </w:rPr>
            </w:pPr>
            <w:r>
              <w:rPr>
                <w:rFonts w:ascii="Times New Roman" w:cs="Times New Roman" w:eastAsia="Times New Roman" w:hAnsi="Times New Roman"/>
                <w:sz w:val="20"/>
                <w:szCs w:val="20"/>
                <w:color w:val="0000FF"/>
                <w:w w:val="96"/>
              </w:rPr>
              <w:t>Stock</w:t>
            </w:r>
          </w:p>
        </w:tc>
        <w:tc>
          <w:tcPr>
            <w:tcW w:w="118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4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3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660" w:type="dxa"/>
            <w:vAlign w:val="bottom"/>
            <w:tcBorders>
              <w:bottom w:val="single" w:sz="8" w:color="2C2C2C"/>
            </w:tcBorders>
            <w:gridSpan w:val="2"/>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4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rPr>
              <w:t>Series D-1 Convertible Preferred</w:t>
            </w:r>
          </w:p>
        </w:tc>
        <w:tc>
          <w:tcPr>
            <w:tcW w:w="1460" w:type="dxa"/>
            <w:vAlign w:val="bottom"/>
            <w:vMerge w:val="restart"/>
          </w:tcPr>
          <w:p>
            <w:pPr>
              <w:jc w:val="right"/>
              <w:ind w:right="608"/>
              <w:spacing w:after="0"/>
              <w:rPr>
                <w:sz w:val="20"/>
                <w:szCs w:val="20"/>
                <w:color w:val="auto"/>
              </w:rPr>
            </w:pPr>
            <w:r>
              <w:rPr>
                <w:rFonts w:ascii="Times New Roman" w:cs="Times New Roman" w:eastAsia="Times New Roman" w:hAnsi="Times New Roman"/>
                <w:sz w:val="13"/>
                <w:szCs w:val="13"/>
                <w:color w:val="008000"/>
              </w:rPr>
              <w:t>(6)</w:t>
            </w:r>
          </w:p>
        </w:tc>
        <w:tc>
          <w:tcPr>
            <w:tcW w:w="5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3"/>
                <w:szCs w:val="13"/>
                <w:color w:val="008000"/>
              </w:rPr>
              <w:t>(6)</w:t>
            </w:r>
          </w:p>
        </w:tc>
        <w:tc>
          <w:tcPr>
            <w:tcW w:w="1800" w:type="dxa"/>
            <w:vAlign w:val="bottom"/>
          </w:tcPr>
          <w:p>
            <w:pPr>
              <w:jc w:val="center"/>
              <w:ind w:left="42"/>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1180" w:type="dxa"/>
            <w:vAlign w:val="bottom"/>
            <w:vMerge w:val="restart"/>
          </w:tcPr>
          <w:p>
            <w:pPr>
              <w:jc w:val="center"/>
              <w:ind w:right="2"/>
              <w:spacing w:after="0"/>
              <w:rPr>
                <w:sz w:val="20"/>
                <w:szCs w:val="20"/>
                <w:color w:val="auto"/>
              </w:rPr>
            </w:pPr>
            <w:r>
              <w:rPr>
                <w:rFonts w:ascii="Times New Roman" w:cs="Times New Roman" w:eastAsia="Times New Roman" w:hAnsi="Times New Roman"/>
                <w:sz w:val="20"/>
                <w:szCs w:val="20"/>
                <w:color w:val="0000FF"/>
                <w:w w:val="98"/>
              </w:rPr>
              <w:t>249,221</w:t>
            </w:r>
          </w:p>
        </w:tc>
        <w:tc>
          <w:tcPr>
            <w:tcW w:w="72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color w:val="008000"/>
              </w:rPr>
              <w:t>(6)</w:t>
            </w:r>
          </w:p>
        </w:tc>
        <w:tc>
          <w:tcPr>
            <w:tcW w:w="2460" w:type="dxa"/>
            <w:vAlign w:val="bottom"/>
            <w:gridSpan w:val="2"/>
            <w:vMerge w:val="restart"/>
          </w:tcPr>
          <w:p>
            <w:pPr>
              <w:ind w:left="340"/>
              <w:spacing w:after="0"/>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80" w:type="dxa"/>
            <w:vAlign w:val="bottom"/>
            <w:gridSpan w:val="2"/>
            <w:vMerge w:val="restart"/>
          </w:tcPr>
          <w:p>
            <w:pPr>
              <w:ind w:left="80"/>
              <w:spacing w:after="0"/>
              <w:rPr>
                <w:sz w:val="20"/>
                <w:szCs w:val="20"/>
                <w:color w:val="auto"/>
              </w:rPr>
            </w:pPr>
            <w:r>
              <w:rPr>
                <w:rFonts w:ascii="Times New Roman" w:cs="Times New Roman" w:eastAsia="Times New Roman" w:hAnsi="Times New Roman"/>
                <w:sz w:val="20"/>
                <w:szCs w:val="20"/>
                <w:color w:val="0000FF"/>
              </w:rPr>
              <w:t>Stock</w:t>
            </w:r>
          </w:p>
        </w:tc>
        <w:tc>
          <w:tcPr>
            <w:tcW w:w="13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540" w:type="dxa"/>
            <w:vAlign w:val="bottom"/>
            <w:gridSpan w:val="2"/>
            <w:vMerge w:val="continue"/>
          </w:tcPr>
          <w:p>
            <w:pPr>
              <w:spacing w:after="0"/>
              <w:rPr>
                <w:sz w:val="17"/>
                <w:szCs w:val="17"/>
                <w:color w:val="auto"/>
              </w:rPr>
            </w:pPr>
          </w:p>
        </w:tc>
        <w:tc>
          <w:tcPr>
            <w:tcW w:w="1800" w:type="dxa"/>
            <w:vAlign w:val="bottom"/>
            <w:vMerge w:val="restart"/>
          </w:tcPr>
          <w:p>
            <w:pPr>
              <w:jc w:val="center"/>
              <w:ind w:left="62"/>
              <w:spacing w:after="0"/>
              <w:rPr>
                <w:sz w:val="20"/>
                <w:szCs w:val="20"/>
                <w:color w:val="auto"/>
              </w:rPr>
            </w:pPr>
            <w:r>
              <w:rPr>
                <w:rFonts w:ascii="Times New Roman" w:cs="Times New Roman" w:eastAsia="Times New Roman" w:hAnsi="Times New Roman"/>
                <w:sz w:val="20"/>
                <w:szCs w:val="20"/>
                <w:color w:val="0000FF"/>
                <w:w w:val="96"/>
              </w:rPr>
              <w:t>Stock</w:t>
            </w:r>
          </w:p>
        </w:tc>
        <w:tc>
          <w:tcPr>
            <w:tcW w:w="118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4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3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4120" w:type="dxa"/>
            <w:vAlign w:val="bottom"/>
            <w:tcBorders>
              <w:bottom w:val="single" w:sz="8" w:color="2C2C2C"/>
            </w:tcBorders>
            <w:gridSpan w:val="3"/>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220" w:type="dxa"/>
            <w:vAlign w:val="bottom"/>
            <w:tcBorders>
              <w:top w:val="single" w:sz="8" w:color="2C2C2C"/>
            </w:tcBorders>
            <w:gridSpan w:val="4"/>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4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2"/>
          </w:tcPr>
          <w:p>
            <w:pPr>
              <w:ind w:left="2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Invus Public Equities, L.P.</w:t>
              </w:r>
            </w:hyperlink>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5"/>
                <w:szCs w:val="15"/>
                <w:color w:val="auto"/>
              </w:rPr>
              <w:t>(Last)</w:t>
            </w:r>
          </w:p>
        </w:tc>
        <w:tc>
          <w:tcPr>
            <w:tcW w:w="1380" w:type="dxa"/>
            <w:vAlign w:val="bottom"/>
          </w:tcPr>
          <w:p>
            <w:pPr>
              <w:ind w:left="120"/>
              <w:spacing w:after="0"/>
              <w:rPr>
                <w:sz w:val="20"/>
                <w:szCs w:val="20"/>
                <w:color w:val="auto"/>
              </w:rPr>
            </w:pPr>
            <w:r>
              <w:rPr>
                <w:rFonts w:ascii="Arial" w:cs="Arial" w:eastAsia="Arial" w:hAnsi="Arial"/>
                <w:sz w:val="15"/>
                <w:szCs w:val="15"/>
                <w:color w:val="auto"/>
              </w:rPr>
              <w:t>(First)</w:t>
            </w:r>
          </w:p>
        </w:tc>
        <w:tc>
          <w:tcPr>
            <w:tcW w:w="1460" w:type="dxa"/>
            <w:vAlign w:val="bottom"/>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750 LEXINGTON AVENUE</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30TH FLOOR</w:t>
            </w: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38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NY</w:t>
            </w:r>
          </w:p>
        </w:tc>
        <w:tc>
          <w:tcPr>
            <w:tcW w:w="146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10022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120"/>
              <w:spacing w:after="0"/>
              <w:rPr>
                <w:sz w:val="20"/>
                <w:szCs w:val="20"/>
                <w:color w:val="auto"/>
              </w:rPr>
            </w:pPr>
            <w:r>
              <w:rPr>
                <w:rFonts w:ascii="Arial" w:cs="Arial" w:eastAsia="Arial" w:hAnsi="Arial"/>
                <w:sz w:val="15"/>
                <w:szCs w:val="15"/>
                <w:color w:val="auto"/>
              </w:rPr>
              <w:t>(State)</w:t>
            </w:r>
          </w:p>
        </w:tc>
        <w:tc>
          <w:tcPr>
            <w:tcW w:w="1460" w:type="dxa"/>
            <w:vAlign w:val="bottom"/>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220" w:type="dxa"/>
            <w:vAlign w:val="bottom"/>
            <w:gridSpan w:val="4"/>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20" w:type="dxa"/>
            <w:vAlign w:val="bottom"/>
            <w:gridSpan w:val="3"/>
          </w:tcPr>
          <w:p>
            <w:pPr>
              <w:ind w:left="20"/>
              <w:spacing w:after="0"/>
              <w:rPr>
                <w:rFonts w:ascii="Times New Roman" w:cs="Times New Roman" w:eastAsia="Times New Roman" w:hAnsi="Times New Roman"/>
                <w:sz w:val="24"/>
                <w:szCs w:val="24"/>
                <w:u w:val="single" w:color="auto"/>
                <w:color w:val="0000EE"/>
              </w:rPr>
            </w:pPr>
            <w:hyperlink r:id="rId16">
              <w:r>
                <w:rPr>
                  <w:rFonts w:ascii="Times New Roman" w:cs="Times New Roman" w:eastAsia="Times New Roman" w:hAnsi="Times New Roman"/>
                  <w:sz w:val="24"/>
                  <w:szCs w:val="24"/>
                  <w:u w:val="single" w:color="auto"/>
                  <w:color w:val="0000EE"/>
                </w:rPr>
                <w:t>Invus Public Equities Advisors, LLC</w:t>
              </w:r>
            </w:hyperlink>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146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5"/>
                <w:szCs w:val="15"/>
                <w:color w:val="auto"/>
              </w:rPr>
              <w:t>(Last)</w:t>
            </w:r>
          </w:p>
        </w:tc>
        <w:tc>
          <w:tcPr>
            <w:tcW w:w="1380" w:type="dxa"/>
            <w:vAlign w:val="bottom"/>
          </w:tcPr>
          <w:p>
            <w:pPr>
              <w:ind w:left="120"/>
              <w:spacing w:after="0"/>
              <w:rPr>
                <w:sz w:val="20"/>
                <w:szCs w:val="20"/>
                <w:color w:val="auto"/>
              </w:rPr>
            </w:pPr>
            <w:r>
              <w:rPr>
                <w:rFonts w:ascii="Arial" w:cs="Arial" w:eastAsia="Arial" w:hAnsi="Arial"/>
                <w:sz w:val="15"/>
                <w:szCs w:val="15"/>
                <w:color w:val="auto"/>
              </w:rPr>
              <w:t>(First)</w:t>
            </w:r>
          </w:p>
        </w:tc>
        <w:tc>
          <w:tcPr>
            <w:tcW w:w="1460" w:type="dxa"/>
            <w:vAlign w:val="bottom"/>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-3956050</wp:posOffset>
            </wp:positionV>
            <wp:extent cx="6937375" cy="42881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6937375" cy="428815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type w:val="continuous"/>
        </w:sectPr>
      </w:pPr>
    </w:p>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0000FF"/>
        </w:rPr>
        <w:t>750 LEXINGTON AVENUE</w:t>
      </w:r>
    </w:p>
    <w:p>
      <w:pPr>
        <w:sectPr>
          <w:pgSz w:w="11900" w:h="16838" w:orient="portrait"/>
          <w:cols w:equalWidth="0" w:num="1">
            <w:col w:w="10940"/>
          </w:cols>
          <w:pgMar w:left="480" w:top="230" w:right="479" w:bottom="0" w:gutter="0" w:footer="0" w:header="0"/>
          <w:type w:val="continuous"/>
        </w:sectPr>
      </w:pPr>
    </w:p>
    <w:bookmarkStart w:id="1" w:name="page2"/>
    <w:bookmarkEnd w:id="1"/>
    <w:p>
      <w:pPr>
        <w:ind w:left="120"/>
        <w:spacing w:after="0"/>
        <w:rPr>
          <w:sz w:val="20"/>
          <w:szCs w:val="20"/>
          <w:color w:val="auto"/>
        </w:rPr>
      </w:pPr>
      <w:r>
        <w:rPr>
          <w:rFonts w:ascii="Times New Roman" w:cs="Times New Roman" w:eastAsia="Times New Roman" w:hAnsi="Times New Roman"/>
          <w:sz w:val="20"/>
          <w:szCs w:val="20"/>
          <w:color w:val="0000FF"/>
        </w:rPr>
        <w:t>30TH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2773045" cy="105200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773045" cy="10520045"/>
                    </a:xfrm>
                    <a:prstGeom prst="rect">
                      <a:avLst/>
                    </a:prstGeom>
                    <a:noFill/>
                  </pic:spPr>
                </pic:pic>
              </a:graphicData>
            </a:graphic>
          </wp:anchor>
        </w:drawing>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36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5"/>
        </w:trPr>
        <w:tc>
          <w:tcPr>
            <w:tcW w:w="100" w:type="dxa"/>
            <w:vAlign w:val="bottom"/>
          </w:tcPr>
          <w:p>
            <w:pPr>
              <w:spacing w:after="0"/>
              <w:rPr>
                <w:sz w:val="23"/>
                <w:szCs w:val="23"/>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060" w:type="dxa"/>
            <w:vAlign w:val="bottom"/>
          </w:tcPr>
          <w:p>
            <w:pPr>
              <w:ind w:left="140"/>
              <w:spacing w:after="0"/>
              <w:rPr>
                <w:sz w:val="20"/>
                <w:szCs w:val="20"/>
                <w:color w:val="auto"/>
              </w:rPr>
            </w:pPr>
            <w:r>
              <w:rPr>
                <w:rFonts w:ascii="Times New Roman" w:cs="Times New Roman" w:eastAsia="Times New Roman" w:hAnsi="Times New Roman"/>
                <w:sz w:val="20"/>
                <w:szCs w:val="20"/>
                <w:color w:val="0000FF"/>
              </w:rPr>
              <w:t>NY</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10022</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Arial" w:cs="Arial" w:eastAsia="Arial" w:hAnsi="Arial"/>
                <w:sz w:val="15"/>
                <w:szCs w:val="15"/>
                <w:color w:val="auto"/>
              </w:rPr>
              <w:t>(City)</w:t>
            </w:r>
          </w:p>
        </w:tc>
        <w:tc>
          <w:tcPr>
            <w:tcW w:w="1060" w:type="dxa"/>
            <w:vAlign w:val="bottom"/>
          </w:tcPr>
          <w:p>
            <w:pPr>
              <w:ind w:left="14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5"/>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12"/>
        </w:trPr>
        <w:tc>
          <w:tcPr>
            <w:tcW w:w="100" w:type="dxa"/>
            <w:vAlign w:val="bottom"/>
          </w:tcPr>
          <w:p>
            <w:pPr>
              <w:spacing w:after="0"/>
              <w:rPr>
                <w:sz w:val="24"/>
                <w:szCs w:val="24"/>
                <w:color w:val="auto"/>
              </w:rPr>
            </w:pPr>
          </w:p>
        </w:tc>
        <w:tc>
          <w:tcPr>
            <w:tcW w:w="2320" w:type="dxa"/>
            <w:vAlign w:val="bottom"/>
            <w:gridSpan w:val="2"/>
          </w:tcPr>
          <w:p>
            <w:pPr>
              <w:ind w:left="20"/>
              <w:spacing w:after="0"/>
              <w:rPr>
                <w:rFonts w:ascii="Times New Roman" w:cs="Times New Roman" w:eastAsia="Times New Roman" w:hAnsi="Times New Roman"/>
                <w:sz w:val="24"/>
                <w:szCs w:val="24"/>
                <w:u w:val="single" w:color="auto"/>
                <w:color w:val="0000EE"/>
              </w:rPr>
            </w:pPr>
            <w:hyperlink r:id="rId19">
              <w:r>
                <w:rPr>
                  <w:rFonts w:ascii="Times New Roman" w:cs="Times New Roman" w:eastAsia="Times New Roman" w:hAnsi="Times New Roman"/>
                  <w:sz w:val="24"/>
                  <w:szCs w:val="24"/>
                  <w:u w:val="single" w:color="auto"/>
                  <w:color w:val="0000EE"/>
                </w:rPr>
                <w:t>Artal Treasury Ltd</w:t>
              </w:r>
            </w:hyperlink>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80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8"/>
        </w:trPr>
        <w:tc>
          <w:tcPr>
            <w:tcW w:w="10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Arial" w:cs="Arial" w:eastAsia="Arial" w:hAnsi="Arial"/>
                <w:sz w:val="15"/>
                <w:szCs w:val="15"/>
                <w:color w:val="auto"/>
              </w:rPr>
              <w:t>(Last)</w:t>
            </w:r>
          </w:p>
        </w:tc>
        <w:tc>
          <w:tcPr>
            <w:tcW w:w="1060" w:type="dxa"/>
            <w:vAlign w:val="bottom"/>
          </w:tcPr>
          <w:p>
            <w:pPr>
              <w:ind w:left="14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P.O. BOX 165</w:t>
            </w:r>
          </w:p>
        </w:tc>
        <w:tc>
          <w:tcPr>
            <w:tcW w:w="10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2674620</wp:posOffset>
            </wp:positionH>
            <wp:positionV relativeFrom="paragraph">
              <wp:posOffset>-1217930</wp:posOffset>
            </wp:positionV>
            <wp:extent cx="952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9525" cy="952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-1227455</wp:posOffset>
            </wp:positionV>
            <wp:extent cx="952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-913130</wp:posOffset>
            </wp:positionV>
            <wp:extent cx="9525" cy="2153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9525" cy="21539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-922655</wp:posOffset>
            </wp:positionV>
            <wp:extent cx="9525" cy="2163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525" cy="2163445"/>
                    </a:xfrm>
                    <a:prstGeom prst="rect">
                      <a:avLst/>
                    </a:prstGeom>
                    <a:noFill/>
                  </pic:spPr>
                </pic:pic>
              </a:graphicData>
            </a:graphic>
          </wp:anchor>
        </w:drawing>
        <w:drawing>
          <wp:anchor simplePos="0" relativeHeight="251657728" behindDoc="1" locked="0" layoutInCell="0" allowOverlap="1">
            <wp:simplePos x="0" y="0"/>
            <wp:positionH relativeFrom="column">
              <wp:posOffset>2674620</wp:posOffset>
            </wp:positionH>
            <wp:positionV relativeFrom="paragraph">
              <wp:posOffset>-426720</wp:posOffset>
            </wp:positionV>
            <wp:extent cx="952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9525" cy="952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-436245</wp:posOffset>
            </wp:positionV>
            <wp:extent cx="952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SUITE 4, BOROUGH HOUSE, RUE DU PRE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121285</wp:posOffset>
            </wp:positionV>
            <wp:extent cx="262064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2620645" cy="19050"/>
                    </a:xfrm>
                    <a:prstGeom prst="rect">
                      <a:avLst/>
                    </a:prstGeom>
                    <a:noFill/>
                  </pic:spPr>
                </pic:pic>
              </a:graphicData>
            </a:graphic>
          </wp:anchor>
        </w:drawing>
      </w:r>
    </w:p>
    <w:p>
      <w:pPr>
        <w:spacing w:after="0" w:line="302" w:lineRule="exact"/>
        <w:rPr>
          <w:sz w:val="20"/>
          <w:szCs w:val="20"/>
          <w:color w:val="auto"/>
        </w:rPr>
      </w:pPr>
    </w:p>
    <w:p>
      <w:pPr>
        <w:ind w:left="80"/>
        <w:spacing w:after="0"/>
        <w:rPr>
          <w:sz w:val="20"/>
          <w:szCs w:val="20"/>
          <w:color w:val="auto"/>
        </w:rPr>
      </w:pPr>
      <w:r>
        <w:rPr>
          <w:rFonts w:ascii="Arial" w:cs="Arial" w:eastAsia="Arial" w:hAnsi="Arial"/>
          <w:sz w:val="15"/>
          <w:szCs w:val="15"/>
          <w:color w:val="auto"/>
        </w:rPr>
        <w:t>(Street)</w:t>
      </w:r>
    </w:p>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ST. PETER</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PORT GYI 3JJ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112395</wp:posOffset>
            </wp:positionV>
            <wp:extent cx="262064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2620645" cy="19050"/>
                    </a:xfrm>
                    <a:prstGeom prst="rect">
                      <a:avLst/>
                    </a:prstGeom>
                    <a:noFill/>
                  </pic:spPr>
                </pic:pic>
              </a:graphicData>
            </a:graphic>
          </wp:anchor>
        </w:drawing>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0" w:type="dxa"/>
            <w:vAlign w:val="bottom"/>
          </w:tcPr>
          <w:p>
            <w:pPr>
              <w:spacing w:after="0"/>
              <w:rPr>
                <w:sz w:val="17"/>
                <w:szCs w:val="17"/>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700" w:type="dxa"/>
            <w:vAlign w:val="bottom"/>
          </w:tcPr>
          <w:p>
            <w:pPr>
              <w:ind w:left="460"/>
              <w:spacing w:after="0"/>
              <w:rPr>
                <w:sz w:val="20"/>
                <w:szCs w:val="20"/>
                <w:color w:val="auto"/>
              </w:rPr>
            </w:pPr>
            <w:r>
              <w:rPr>
                <w:rFonts w:ascii="Arial" w:cs="Arial" w:eastAsia="Arial" w:hAnsi="Arial"/>
                <w:sz w:val="15"/>
                <w:szCs w:val="15"/>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5"/>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12"/>
        </w:trPr>
        <w:tc>
          <w:tcPr>
            <w:tcW w:w="100" w:type="dxa"/>
            <w:vAlign w:val="bottom"/>
          </w:tcPr>
          <w:p>
            <w:pPr>
              <w:spacing w:after="0"/>
              <w:rPr>
                <w:sz w:val="24"/>
                <w:szCs w:val="24"/>
                <w:color w:val="auto"/>
              </w:rPr>
            </w:pPr>
          </w:p>
        </w:tc>
        <w:tc>
          <w:tcPr>
            <w:tcW w:w="2640" w:type="dxa"/>
            <w:vAlign w:val="bottom"/>
            <w:gridSpan w:val="2"/>
          </w:tcPr>
          <w:p>
            <w:pPr>
              <w:ind w:left="20"/>
              <w:spacing w:after="0"/>
              <w:rPr>
                <w:rFonts w:ascii="Times New Roman" w:cs="Times New Roman" w:eastAsia="Times New Roman" w:hAnsi="Times New Roman"/>
                <w:sz w:val="24"/>
                <w:szCs w:val="24"/>
                <w:u w:val="single" w:color="auto"/>
                <w:color w:val="0000EE"/>
              </w:rPr>
            </w:pPr>
            <w:hyperlink r:id="rId28">
              <w:r>
                <w:rPr>
                  <w:rFonts w:ascii="Times New Roman" w:cs="Times New Roman" w:eastAsia="Times New Roman" w:hAnsi="Times New Roman"/>
                  <w:sz w:val="24"/>
                  <w:szCs w:val="24"/>
                  <w:u w:val="single" w:color="auto"/>
                  <w:color w:val="0000EE"/>
                </w:rPr>
                <w:t>Artal International S.C.A.</w:t>
              </w:r>
            </w:hyperlink>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8"/>
        </w:trPr>
        <w:tc>
          <w:tcPr>
            <w:tcW w:w="10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(Last)</w:t>
            </w:r>
          </w:p>
        </w:tc>
        <w:tc>
          <w:tcPr>
            <w:tcW w:w="1700" w:type="dxa"/>
            <w:vAlign w:val="bottom"/>
          </w:tcPr>
          <w:p>
            <w:pPr>
              <w:ind w:left="460"/>
              <w:spacing w:after="0"/>
              <w:rPr>
                <w:sz w:val="20"/>
                <w:szCs w:val="20"/>
                <w:color w:val="auto"/>
              </w:rPr>
            </w:pPr>
            <w:r>
              <w:rPr>
                <w:rFonts w:ascii="Arial" w:cs="Arial" w:eastAsia="Arial" w:hAnsi="Arial"/>
                <w:sz w:val="15"/>
                <w:szCs w:val="15"/>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VALLEY PARK, 44,</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RUE DE LA VALLEE</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04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LUXEMBOURG N4</w:t>
            </w: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0000FF"/>
              </w:rPr>
              <w:t>L-2661</w:t>
            </w:r>
          </w:p>
        </w:tc>
      </w:tr>
      <w:tr>
        <w:trPr>
          <w:trHeight w:val="177"/>
        </w:trPr>
        <w:tc>
          <w:tcPr>
            <w:tcW w:w="10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700" w:type="dxa"/>
            <w:vAlign w:val="bottom"/>
          </w:tcPr>
          <w:p>
            <w:pPr>
              <w:ind w:left="460"/>
              <w:spacing w:after="0"/>
              <w:rPr>
                <w:sz w:val="20"/>
                <w:szCs w:val="20"/>
                <w:color w:val="auto"/>
              </w:rPr>
            </w:pPr>
            <w:r>
              <w:rPr>
                <w:rFonts w:ascii="Arial" w:cs="Arial" w:eastAsia="Arial" w:hAnsi="Arial"/>
                <w:sz w:val="15"/>
                <w:szCs w:val="15"/>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-1945005</wp:posOffset>
            </wp:positionV>
            <wp:extent cx="2753995" cy="40214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2753995" cy="4021455"/>
                    </a:xfrm>
                    <a:prstGeom prst="rect">
                      <a:avLst/>
                    </a:prstGeom>
                    <a:noFill/>
                  </pic:spPr>
                </pic:pic>
              </a:graphicData>
            </a:graphic>
          </wp:anchor>
        </w:drawing>
      </w:r>
    </w:p>
    <w:p>
      <w:pPr>
        <w:spacing w:after="0" w:line="12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30">
        <w:r>
          <w:rPr>
            <w:rFonts w:ascii="Times New Roman" w:cs="Times New Roman" w:eastAsia="Times New Roman" w:hAnsi="Times New Roman"/>
            <w:sz w:val="24"/>
            <w:szCs w:val="24"/>
            <w:u w:val="single" w:color="auto"/>
            <w:color w:val="0000EE"/>
          </w:rPr>
          <w:t>Artal International Management S.A.</w:t>
        </w:r>
      </w:hyperlink>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0" w:type="dxa"/>
            <w:vAlign w:val="bottom"/>
          </w:tcPr>
          <w:p>
            <w:pPr>
              <w:spacing w:after="0"/>
              <w:rPr>
                <w:sz w:val="17"/>
                <w:szCs w:val="17"/>
                <w:color w:val="auto"/>
              </w:rPr>
            </w:pPr>
          </w:p>
        </w:tc>
        <w:tc>
          <w:tcPr>
            <w:tcW w:w="1360" w:type="dxa"/>
            <w:vAlign w:val="bottom"/>
          </w:tcPr>
          <w:p>
            <w:pPr>
              <w:ind w:left="20"/>
              <w:spacing w:after="0"/>
              <w:rPr>
                <w:sz w:val="20"/>
                <w:szCs w:val="20"/>
                <w:color w:val="auto"/>
              </w:rPr>
            </w:pPr>
            <w:r>
              <w:rPr>
                <w:rFonts w:ascii="Arial" w:cs="Arial" w:eastAsia="Arial" w:hAnsi="Arial"/>
                <w:sz w:val="15"/>
                <w:szCs w:val="15"/>
                <w:color w:val="auto"/>
              </w:rPr>
              <w:t>(Last)</w:t>
            </w:r>
          </w:p>
        </w:tc>
        <w:tc>
          <w:tcPr>
            <w:tcW w:w="960" w:type="dxa"/>
            <w:vAlign w:val="bottom"/>
          </w:tcPr>
          <w:p>
            <w:pPr>
              <w:ind w:left="4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VALLEY PARK, 44,</w:t>
            </w: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RUE DE LA VALLEE</w:t>
            </w: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46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LUXEMBOURG N4</w:t>
            </w:r>
          </w:p>
        </w:tc>
        <w:tc>
          <w:tcPr>
            <w:tcW w:w="192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0000FF"/>
              </w:rPr>
              <w:t>L-2661</w:t>
            </w:r>
          </w:p>
        </w:tc>
      </w:tr>
      <w:tr>
        <w:trPr>
          <w:trHeight w:val="177"/>
        </w:trPr>
        <w:tc>
          <w:tcPr>
            <w:tcW w:w="100" w:type="dxa"/>
            <w:vAlign w:val="bottom"/>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5"/>
                <w:szCs w:val="15"/>
                <w:color w:val="auto"/>
              </w:rPr>
              <w:t>(City)</w:t>
            </w:r>
          </w:p>
        </w:tc>
        <w:tc>
          <w:tcPr>
            <w:tcW w:w="960" w:type="dxa"/>
            <w:vAlign w:val="bottom"/>
          </w:tcPr>
          <w:p>
            <w:pPr>
              <w:ind w:left="4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5"/>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12"/>
        </w:trPr>
        <w:tc>
          <w:tcPr>
            <w:tcW w:w="100" w:type="dxa"/>
            <w:vAlign w:val="bottom"/>
          </w:tcPr>
          <w:p>
            <w:pPr>
              <w:spacing w:after="0"/>
              <w:rPr>
                <w:sz w:val="24"/>
                <w:szCs w:val="24"/>
                <w:color w:val="auto"/>
              </w:rPr>
            </w:pPr>
          </w:p>
        </w:tc>
        <w:tc>
          <w:tcPr>
            <w:tcW w:w="2320" w:type="dxa"/>
            <w:vAlign w:val="bottom"/>
            <w:gridSpan w:val="2"/>
          </w:tcPr>
          <w:p>
            <w:pPr>
              <w:ind w:left="20"/>
              <w:spacing w:after="0"/>
              <w:rPr>
                <w:rFonts w:ascii="Times New Roman" w:cs="Times New Roman" w:eastAsia="Times New Roman" w:hAnsi="Times New Roman"/>
                <w:sz w:val="24"/>
                <w:szCs w:val="24"/>
                <w:u w:val="single" w:color="auto"/>
                <w:color w:val="0000EE"/>
              </w:rPr>
            </w:pPr>
            <w:hyperlink r:id="rId31">
              <w:r>
                <w:rPr>
                  <w:rFonts w:ascii="Times New Roman" w:cs="Times New Roman" w:eastAsia="Times New Roman" w:hAnsi="Times New Roman"/>
                  <w:sz w:val="24"/>
                  <w:szCs w:val="24"/>
                  <w:u w:val="single" w:color="auto"/>
                  <w:color w:val="0000EE"/>
                </w:rPr>
                <w:t>Artal Group S.A.</w:t>
              </w:r>
            </w:hyperlink>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80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8"/>
        </w:trPr>
        <w:tc>
          <w:tcPr>
            <w:tcW w:w="10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5"/>
                <w:szCs w:val="15"/>
                <w:color w:val="auto"/>
              </w:rPr>
              <w:t>(Last)</w:t>
            </w:r>
          </w:p>
        </w:tc>
        <w:tc>
          <w:tcPr>
            <w:tcW w:w="960" w:type="dxa"/>
            <w:vAlign w:val="bottom"/>
          </w:tcPr>
          <w:p>
            <w:pPr>
              <w:ind w:left="4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VALLEY PARK, 44,</w:t>
            </w: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RUE DE LA VALLEE</w:t>
            </w: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46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LUXEMBOURG N4</w:t>
            </w:r>
          </w:p>
        </w:tc>
        <w:tc>
          <w:tcPr>
            <w:tcW w:w="192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0000FF"/>
              </w:rPr>
              <w:t>L-2661</w:t>
            </w:r>
          </w:p>
        </w:tc>
      </w:tr>
      <w:tr>
        <w:trPr>
          <w:trHeight w:val="177"/>
        </w:trPr>
        <w:tc>
          <w:tcPr>
            <w:tcW w:w="100" w:type="dxa"/>
            <w:vAlign w:val="bottom"/>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5"/>
                <w:szCs w:val="15"/>
                <w:color w:val="auto"/>
              </w:rPr>
              <w:t>(City)</w:t>
            </w:r>
          </w:p>
        </w:tc>
        <w:tc>
          <w:tcPr>
            <w:tcW w:w="960" w:type="dxa"/>
            <w:vAlign w:val="bottom"/>
          </w:tcPr>
          <w:p>
            <w:pPr>
              <w:ind w:left="4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97"/>
        </w:trPr>
        <w:tc>
          <w:tcPr>
            <w:tcW w:w="4340" w:type="dxa"/>
            <w:vAlign w:val="bottom"/>
            <w:tcBorders>
              <w:bottom w:val="single" w:sz="8" w:color="2C2C2C"/>
            </w:tcBorders>
            <w:gridSpan w:val="5"/>
          </w:tcPr>
          <w:p>
            <w:pPr>
              <w:spacing w:after="0"/>
              <w:rPr>
                <w:sz w:val="8"/>
                <w:szCs w:val="8"/>
                <w:color w:val="auto"/>
              </w:rPr>
            </w:pPr>
          </w:p>
        </w:tc>
      </w:tr>
      <w:tr>
        <w:trPr>
          <w:trHeight w:val="285"/>
        </w:trPr>
        <w:tc>
          <w:tcPr>
            <w:tcW w:w="4340" w:type="dxa"/>
            <w:vAlign w:val="bottom"/>
            <w:gridSpan w:val="5"/>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12"/>
        </w:trPr>
        <w:tc>
          <w:tcPr>
            <w:tcW w:w="100" w:type="dxa"/>
            <w:vAlign w:val="bottom"/>
          </w:tcPr>
          <w:p>
            <w:pPr>
              <w:spacing w:after="0"/>
              <w:rPr>
                <w:sz w:val="24"/>
                <w:szCs w:val="24"/>
                <w:color w:val="auto"/>
              </w:rPr>
            </w:pPr>
          </w:p>
        </w:tc>
        <w:tc>
          <w:tcPr>
            <w:tcW w:w="1360" w:type="dxa"/>
            <w:vAlign w:val="bottom"/>
          </w:tcPr>
          <w:p>
            <w:pPr>
              <w:ind w:left="20"/>
              <w:spacing w:after="0"/>
              <w:rPr>
                <w:rFonts w:ascii="Times New Roman" w:cs="Times New Roman" w:eastAsia="Times New Roman" w:hAnsi="Times New Roman"/>
                <w:sz w:val="24"/>
                <w:szCs w:val="24"/>
                <w:u w:val="single" w:color="auto"/>
                <w:color w:val="0000EE"/>
                <w:w w:val="99"/>
              </w:rPr>
            </w:pPr>
            <w:hyperlink r:id="rId32">
              <w:r>
                <w:rPr>
                  <w:rFonts w:ascii="Times New Roman" w:cs="Times New Roman" w:eastAsia="Times New Roman" w:hAnsi="Times New Roman"/>
                  <w:sz w:val="24"/>
                  <w:szCs w:val="24"/>
                  <w:u w:val="single" w:color="auto"/>
                  <w:color w:val="0000EE"/>
                  <w:w w:val="99"/>
                </w:rPr>
                <w:t>Westend S.A.</w:t>
              </w:r>
            </w:hyperlink>
          </w:p>
        </w:tc>
        <w:tc>
          <w:tcPr>
            <w:tcW w:w="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80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8"/>
        </w:trPr>
        <w:tc>
          <w:tcPr>
            <w:tcW w:w="10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5"/>
                <w:szCs w:val="15"/>
                <w:color w:val="auto"/>
              </w:rPr>
              <w:t>(Last)</w:t>
            </w:r>
          </w:p>
        </w:tc>
        <w:tc>
          <w:tcPr>
            <w:tcW w:w="960" w:type="dxa"/>
            <w:vAlign w:val="bottom"/>
          </w:tcPr>
          <w:p>
            <w:pPr>
              <w:ind w:left="4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-2736215</wp:posOffset>
            </wp:positionV>
            <wp:extent cx="2753995" cy="3287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2753995" cy="3287395"/>
                    </a:xfrm>
                    <a:prstGeom prst="rect">
                      <a:avLst/>
                    </a:prstGeom>
                    <a:noFill/>
                  </pic:spPr>
                </pic:pic>
              </a:graphicData>
            </a:graphic>
          </wp:anchor>
        </w:drawing>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VALLEY PARK, 44,</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RUE DE LA VALLEE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121285</wp:posOffset>
            </wp:positionV>
            <wp:extent cx="262064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2620645" cy="19050"/>
                    </a:xfrm>
                    <a:prstGeom prst="rect">
                      <a:avLst/>
                    </a:prstGeom>
                    <a:noFill/>
                  </pic:spPr>
                </pic:pic>
              </a:graphicData>
            </a:graphic>
          </wp:anchor>
        </w:drawing>
      </w:r>
    </w:p>
    <w:p>
      <w:pPr>
        <w:sectPr>
          <w:pgSz w:w="11900" w:h="16838" w:orient="portrait"/>
          <w:cols w:equalWidth="0" w:num="1">
            <w:col w:w="9959"/>
          </w:cols>
          <w:pgMar w:left="500" w:top="124" w:right="1440" w:bottom="0" w:gutter="0" w:footer="0" w:header="0"/>
        </w:sectPr>
      </w:pPr>
    </w:p>
    <w:bookmarkStart w:id="2" w:name="page3"/>
    <w:bookmarkEnd w:id="2"/>
    <w:tbl>
      <w:tblPr>
        <w:tblLayout w:type="fixed"/>
        <w:tblInd w:w="80" w:type="dxa"/>
        <w:tblCellMar>
          <w:top w:w="0" w:type="dxa"/>
          <w:left w:w="0" w:type="dxa"/>
          <w:bottom w:w="0" w:type="dxa"/>
          <w:right w:w="0" w:type="dxa"/>
        </w:tblCellMar>
      </w:tblPr>
      <w:tr>
        <w:trPr>
          <w:trHeight w:val="203"/>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LUXEMBOURG N4</w:t>
            </w:r>
          </w:p>
        </w:tc>
        <w:tc>
          <w:tcPr>
            <w:tcW w:w="1800" w:type="dxa"/>
            <w:vAlign w:val="bottom"/>
          </w:tcPr>
          <w:p>
            <w:pPr>
              <w:ind w:left="480"/>
              <w:spacing w:after="0"/>
              <w:rPr>
                <w:sz w:val="20"/>
                <w:szCs w:val="20"/>
                <w:color w:val="auto"/>
              </w:rPr>
            </w:pPr>
            <w:r>
              <w:rPr>
                <w:rFonts w:ascii="Times New Roman" w:cs="Times New Roman" w:eastAsia="Times New Roman" w:hAnsi="Times New Roman"/>
                <w:sz w:val="20"/>
                <w:szCs w:val="20"/>
                <w:color w:val="0000FF"/>
              </w:rPr>
              <w:t>L-2661</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-629920</wp:posOffset>
            </wp:positionV>
            <wp:extent cx="2773045" cy="4726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2773045" cy="4726305"/>
                    </a:xfrm>
                    <a:prstGeom prst="rect">
                      <a:avLst/>
                    </a:prstGeom>
                    <a:noFill/>
                  </pic:spPr>
                </pic:pic>
              </a:graphicData>
            </a:graphic>
          </wp:anchor>
        </w:drawing>
      </w:r>
    </w:p>
    <w:p>
      <w:pPr>
        <w:spacing w:after="0" w:line="12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36">
        <w:r>
          <w:rPr>
            <w:rFonts w:ascii="Times New Roman" w:cs="Times New Roman" w:eastAsia="Times New Roman" w:hAnsi="Times New Roman"/>
            <w:sz w:val="24"/>
            <w:szCs w:val="24"/>
            <w:u w:val="single" w:color="auto"/>
            <w:color w:val="0000EE"/>
          </w:rPr>
          <w:t>Stichting Administratiekantoor Westend</w:t>
        </w:r>
      </w:hyperlink>
    </w:p>
    <w:p>
      <w:pPr>
        <w:spacing w:after="0" w:line="339"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CLAUDE DEBUSSYLAAN, 46</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1082 MD AMSTERDAM</w:t>
      </w:r>
    </w:p>
    <w:p>
      <w:pPr>
        <w:spacing w:after="0" w:line="322" w:lineRule="exact"/>
        <w:rPr>
          <w:sz w:val="20"/>
          <w:szCs w:val="20"/>
          <w:color w:val="auto"/>
        </w:rPr>
      </w:pPr>
    </w:p>
    <w:p>
      <w:pPr>
        <w:ind w:left="80"/>
        <w:spacing w:after="0"/>
        <w:rPr>
          <w:sz w:val="20"/>
          <w:szCs w:val="20"/>
          <w:color w:val="auto"/>
        </w:rPr>
      </w:pPr>
      <w:r>
        <w:rPr>
          <w:rFonts w:ascii="Arial" w:cs="Arial" w:eastAsia="Arial" w:hAnsi="Arial"/>
          <w:sz w:val="15"/>
          <w:szCs w:val="15"/>
          <w:color w:val="auto"/>
        </w:rPr>
        <w:t>(Street)</w:t>
      </w:r>
    </w:p>
    <w:p>
      <w:pPr>
        <w:ind w:left="120"/>
        <w:spacing w:after="0" w:line="180" w:lineRule="auto"/>
        <w:tabs>
          <w:tab w:leader="none" w:pos="1580" w:val="left"/>
        </w:tabs>
        <w:rPr>
          <w:sz w:val="20"/>
          <w:szCs w:val="20"/>
          <w:color w:val="auto"/>
        </w:rPr>
      </w:pPr>
      <w:r>
        <w:rPr>
          <w:rFonts w:ascii="Times New Roman" w:cs="Times New Roman" w:eastAsia="Times New Roman" w:hAnsi="Times New Roman"/>
          <w:sz w:val="18"/>
          <w:szCs w:val="18"/>
          <w:color w:val="0000FF"/>
        </w:rPr>
        <w:t>THE</w:t>
      </w:r>
      <w:r>
        <w:rPr>
          <w:sz w:val="20"/>
          <w:szCs w:val="20"/>
          <w:color w:val="auto"/>
        </w:rPr>
        <w:tab/>
      </w:r>
      <w:r>
        <w:rPr>
          <w:rFonts w:ascii="Times New Roman" w:cs="Times New Roman" w:eastAsia="Times New Roman" w:hAnsi="Times New Roman"/>
          <w:sz w:val="35"/>
          <w:szCs w:val="35"/>
          <w:color w:val="0000FF"/>
          <w:vertAlign w:val="subscript"/>
        </w:rPr>
        <w:t>P7</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NETHERLANDS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0" w:type="dxa"/>
            <w:vAlign w:val="bottom"/>
          </w:tcPr>
          <w:p>
            <w:pPr>
              <w:spacing w:after="0"/>
              <w:rPr>
                <w:sz w:val="17"/>
                <w:szCs w:val="17"/>
                <w:color w:val="auto"/>
              </w:rPr>
            </w:pPr>
          </w:p>
        </w:tc>
        <w:tc>
          <w:tcPr>
            <w:tcW w:w="1360" w:type="dxa"/>
            <w:vAlign w:val="bottom"/>
          </w:tcPr>
          <w:p>
            <w:pPr>
              <w:ind w:left="20"/>
              <w:spacing w:after="0"/>
              <w:rPr>
                <w:sz w:val="20"/>
                <w:szCs w:val="20"/>
                <w:color w:val="auto"/>
              </w:rPr>
            </w:pPr>
            <w:r>
              <w:rPr>
                <w:rFonts w:ascii="Arial" w:cs="Arial" w:eastAsia="Arial" w:hAnsi="Arial"/>
                <w:sz w:val="15"/>
                <w:szCs w:val="15"/>
                <w:color w:val="auto"/>
              </w:rPr>
              <w:t>(City)</w:t>
            </w:r>
          </w:p>
        </w:tc>
        <w:tc>
          <w:tcPr>
            <w:tcW w:w="960" w:type="dxa"/>
            <w:vAlign w:val="bottom"/>
          </w:tcPr>
          <w:p>
            <w:pPr>
              <w:ind w:left="4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5"/>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12"/>
        </w:trPr>
        <w:tc>
          <w:tcPr>
            <w:tcW w:w="100" w:type="dxa"/>
            <w:vAlign w:val="bottom"/>
          </w:tcPr>
          <w:p>
            <w:pPr>
              <w:spacing w:after="0"/>
              <w:rPr>
                <w:sz w:val="24"/>
                <w:szCs w:val="24"/>
                <w:color w:val="auto"/>
              </w:rPr>
            </w:pPr>
          </w:p>
        </w:tc>
        <w:tc>
          <w:tcPr>
            <w:tcW w:w="1360" w:type="dxa"/>
            <w:vAlign w:val="bottom"/>
          </w:tcPr>
          <w:p>
            <w:pPr>
              <w:ind w:left="20"/>
              <w:spacing w:after="0"/>
              <w:rPr>
                <w:rFonts w:ascii="Times New Roman" w:cs="Times New Roman" w:eastAsia="Times New Roman" w:hAnsi="Times New Roman"/>
                <w:sz w:val="24"/>
                <w:szCs w:val="24"/>
                <w:u w:val="single" w:color="auto"/>
                <w:color w:val="0000EE"/>
              </w:rPr>
            </w:pPr>
            <w:hyperlink r:id="rId37">
              <w:r>
                <w:rPr>
                  <w:rFonts w:ascii="Times New Roman" w:cs="Times New Roman" w:eastAsia="Times New Roman" w:hAnsi="Times New Roman"/>
                  <w:sz w:val="24"/>
                  <w:szCs w:val="24"/>
                  <w:u w:val="single" w:color="auto"/>
                  <w:color w:val="0000EE"/>
                </w:rPr>
                <w:t>Minne Pascal</w:t>
              </w:r>
            </w:hyperlink>
          </w:p>
        </w:tc>
        <w:tc>
          <w:tcPr>
            <w:tcW w:w="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80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8"/>
        </w:trPr>
        <w:tc>
          <w:tcPr>
            <w:tcW w:w="100" w:type="dxa"/>
            <w:vAlign w:val="bottom"/>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5"/>
                <w:szCs w:val="15"/>
                <w:color w:val="auto"/>
              </w:rPr>
              <w:t>(Last)</w:t>
            </w:r>
          </w:p>
        </w:tc>
        <w:tc>
          <w:tcPr>
            <w:tcW w:w="960" w:type="dxa"/>
            <w:vAlign w:val="bottom"/>
          </w:tcPr>
          <w:p>
            <w:pPr>
              <w:ind w:left="4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bl>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8 CLOS DU BOCAGE, B-1332</w:t>
      </w:r>
    </w:p>
    <w:p>
      <w:pPr>
        <w:spacing w:after="0" w:line="382" w:lineRule="exact"/>
        <w:rPr>
          <w:sz w:val="20"/>
          <w:szCs w:val="20"/>
          <w:color w:val="auto"/>
        </w:rPr>
      </w:pPr>
    </w:p>
    <w:p>
      <w:pPr>
        <w:ind w:left="80"/>
        <w:spacing w:after="0"/>
        <w:rPr>
          <w:sz w:val="20"/>
          <w:szCs w:val="20"/>
          <w:color w:val="auto"/>
        </w:rPr>
      </w:pPr>
      <w:r>
        <w:rPr>
          <w:rFonts w:ascii="Arial" w:cs="Arial" w:eastAsia="Arial" w:hAnsi="Arial"/>
          <w:sz w:val="15"/>
          <w:szCs w:val="15"/>
          <w:color w:val="auto"/>
        </w:rPr>
        <w:t>(Street)</w:t>
      </w:r>
    </w:p>
    <w:p>
      <w:pPr>
        <w:spacing w:after="0" w:line="41" w:lineRule="exact"/>
        <w:rPr>
          <w:sz w:val="20"/>
          <w:szCs w:val="20"/>
          <w:color w:val="auto"/>
        </w:rPr>
      </w:pPr>
    </w:p>
    <w:p>
      <w:pPr>
        <w:ind w:left="120"/>
        <w:spacing w:after="0"/>
        <w:tabs>
          <w:tab w:leader="none" w:pos="1480" w:val="left"/>
        </w:tabs>
        <w:rPr>
          <w:sz w:val="20"/>
          <w:szCs w:val="20"/>
          <w:color w:val="auto"/>
        </w:rPr>
      </w:pPr>
      <w:r>
        <w:rPr>
          <w:rFonts w:ascii="Times New Roman" w:cs="Times New Roman" w:eastAsia="Times New Roman" w:hAnsi="Times New Roman"/>
          <w:sz w:val="20"/>
          <w:szCs w:val="20"/>
          <w:color w:val="0000FF"/>
        </w:rPr>
        <w:t>GENVAL</w:t>
      </w:r>
      <w:r>
        <w:rPr>
          <w:sz w:val="20"/>
          <w:szCs w:val="20"/>
          <w:color w:val="auto"/>
        </w:rPr>
        <w:tab/>
      </w:r>
      <w:r>
        <w:rPr>
          <w:rFonts w:ascii="Times New Roman" w:cs="Times New Roman" w:eastAsia="Times New Roman" w:hAnsi="Times New Roman"/>
          <w:sz w:val="20"/>
          <w:szCs w:val="20"/>
          <w:color w:val="0000FF"/>
        </w:rPr>
        <w:t>C9</w:t>
      </w:r>
    </w:p>
    <w:p>
      <w:pPr>
        <w:spacing w:after="0" w:line="367"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9" w:lineRule="exact"/>
        <w:rPr>
          <w:sz w:val="20"/>
          <w:szCs w:val="20"/>
          <w:color w:val="auto"/>
        </w:rPr>
      </w:pPr>
    </w:p>
    <w:p>
      <w:pPr>
        <w:ind w:left="20" w:right="220" w:firstLine="5"/>
        <w:spacing w:after="0" w:line="25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share of Series B Convertible Preferred Stock shall automatically convert into Class A Common Stock on a one-to-one basis immediately prior to the completion of the Issuer's initial public offering of Class A Common Stock and has no expiration date.</w:t>
      </w:r>
    </w:p>
    <w:p>
      <w:pPr>
        <w:spacing w:after="0" w:line="17" w:lineRule="exact"/>
        <w:rPr>
          <w:rFonts w:ascii="Times New Roman" w:cs="Times New Roman" w:eastAsia="Times New Roman" w:hAnsi="Times New Roman"/>
          <w:sz w:val="15"/>
          <w:szCs w:val="15"/>
          <w:color w:val="008000"/>
        </w:rPr>
      </w:pPr>
    </w:p>
    <w:p>
      <w:pPr>
        <w:ind w:left="20" w:firstLine="5"/>
        <w:spacing w:after="0" w:line="23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directly by Invus Public Equities, L.P. The general partner of Invus Public Equities, L.P. is Invus Public Equities Advisors, LLC. Artal Treasury Ltd is the managing member of Invus Public Equities Advisors, LLC. Artal Treasury Ltd is a wholly owned subsidiary of the Geneva branch of Artal International S.C.A. The managing partner of Artal International S.C.A. is Artal International Management S.A., which is a wholly owned subsidiary of Artal Group S.A. Westend S.A. is the parent company of Artal Group, S.A., and the majority stockholder of Westend S.A. is Stichting Administratiekantoor Westend ("Stichting").</w:t>
      </w:r>
    </w:p>
    <w:p>
      <w:pPr>
        <w:spacing w:after="0" w:line="33" w:lineRule="exact"/>
        <w:rPr>
          <w:rFonts w:ascii="Times New Roman" w:cs="Times New Roman" w:eastAsia="Times New Roman" w:hAnsi="Times New Roman"/>
          <w:sz w:val="15"/>
          <w:szCs w:val="15"/>
          <w:color w:val="008000"/>
        </w:rPr>
      </w:pPr>
    </w:p>
    <w:p>
      <w:pPr>
        <w:ind w:left="20" w:right="40" w:firstLine="5"/>
        <w:spacing w:after="0"/>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(Continued from Footnote 2) Mr. Pascal Minne is the sole member of the board of Stichting. Each of the Reporting Persons, other than Invus Public Equities L.P., disclaims beneficial ownership of the securities held by the other Reporting Persons, except to the extent of such reporting person's pecuniary interest therein, and, pursuant to Rule 16a-1(a)</w:t>
      </w:r>
    </w:p>
    <w:p>
      <w:pPr>
        <w:spacing w:after="0" w:line="1" w:lineRule="exact"/>
        <w:rPr>
          <w:rFonts w:ascii="Times New Roman" w:cs="Times New Roman" w:eastAsia="Times New Roman" w:hAnsi="Times New Roman"/>
          <w:sz w:val="15"/>
          <w:szCs w:val="15"/>
          <w:color w:val="008000"/>
        </w:rPr>
      </w:pPr>
    </w:p>
    <w:p>
      <w:pPr>
        <w:ind w:left="20" w:right="280"/>
        <w:spacing w:after="0" w:line="238" w:lineRule="auto"/>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(4) under the Exchange Act, each of the reporting persons (other than to the extent it directly holds securities reported herein) states that the inclusion of these securities in this report shall not be deemed an admission of beneficial ownership of all of the reported securities for purposes of Section 16 of the Exchange Act or for any other purpose.</w:t>
      </w:r>
    </w:p>
    <w:p>
      <w:pPr>
        <w:spacing w:after="0" w:line="32" w:lineRule="exact"/>
        <w:rPr>
          <w:rFonts w:ascii="Times New Roman" w:cs="Times New Roman" w:eastAsia="Times New Roman" w:hAnsi="Times New Roman"/>
          <w:sz w:val="15"/>
          <w:szCs w:val="15"/>
          <w:color w:val="008000"/>
        </w:rPr>
      </w:pPr>
    </w:p>
    <w:p>
      <w:pPr>
        <w:ind w:left="20" w:right="220" w:firstLine="5"/>
        <w:spacing w:after="0" w:line="25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share of Series C Convertible Preferred Stock shall automatically convert into Class A Common Stock on a one-to-one basis immediately prior to the completion of the Issuer's initial public offering of Class A Common Stock and has no expiration date.</w:t>
      </w:r>
    </w:p>
    <w:p>
      <w:pPr>
        <w:spacing w:after="0" w:line="17" w:lineRule="exact"/>
        <w:rPr>
          <w:rFonts w:ascii="Times New Roman" w:cs="Times New Roman" w:eastAsia="Times New Roman" w:hAnsi="Times New Roman"/>
          <w:sz w:val="15"/>
          <w:szCs w:val="15"/>
          <w:color w:val="008000"/>
        </w:rPr>
      </w:pPr>
    </w:p>
    <w:p>
      <w:pPr>
        <w:ind w:left="20" w:right="220" w:firstLine="5"/>
        <w:spacing w:after="0" w:line="25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share of Series D Convertible Preferred Stock shall automatically convert into Class A Common Stock on a one-to-one basis immediately prior to the completion of the Issuer's initial public offering of Class A Common Stock and has no expiration date.</w:t>
      </w:r>
    </w:p>
    <w:p>
      <w:pPr>
        <w:spacing w:after="0" w:line="17" w:lineRule="exact"/>
        <w:rPr>
          <w:rFonts w:ascii="Times New Roman" w:cs="Times New Roman" w:eastAsia="Times New Roman" w:hAnsi="Times New Roman"/>
          <w:sz w:val="15"/>
          <w:szCs w:val="15"/>
          <w:color w:val="008000"/>
        </w:rPr>
      </w:pPr>
    </w:p>
    <w:p>
      <w:pPr>
        <w:ind w:left="20" w:right="80" w:firstLine="5"/>
        <w:spacing w:after="0" w:line="25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share of Series D-1 Convertible Preferred Stock shall automatically convert into Class A Common Stock on a one-to-one basis immediately prior to the completion of the Issuer's initial public offering of Class A Common Stock and has no expiration date.</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Remarks:</w:t>
      </w:r>
    </w:p>
    <w:p>
      <w:pPr>
        <w:sectPr>
          <w:pgSz w:w="11900" w:h="16838" w:orient="portrait"/>
          <w:cols w:equalWidth="0" w:num="1">
            <w:col w:w="10800"/>
          </w:cols>
          <w:pgMar w:left="500" w:top="120" w:right="599" w:bottom="0" w:gutter="0" w:footer="0" w:header="0"/>
        </w:sectPr>
      </w:pPr>
    </w:p>
    <w:p>
      <w:pPr>
        <w:spacing w:after="0" w:line="15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Invus Public Equities,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wp:posOffset>
            </wp:positionV>
            <wp:extent cx="134556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345565" cy="952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By:Invus Public Equities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3888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23888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8"/>
          <w:szCs w:val="18"/>
          <w:color w:val="0000FF"/>
        </w:rPr>
        <w:t>Advisors,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4556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34556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Partner, By: /s/ Raymond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5412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25412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Debbane,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63295"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963295"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Invus Public Equities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05981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059815"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Advisors,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3220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13220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Raymond Debbane,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83615"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98361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461010"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46101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12/03/2020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12/03/2020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452" w:lineRule="exact"/>
        <w:rPr>
          <w:sz w:val="20"/>
          <w:szCs w:val="20"/>
          <w:color w:val="auto"/>
        </w:rPr>
      </w:pPr>
    </w:p>
    <w:p>
      <w:pPr>
        <w:sectPr>
          <w:pgSz w:w="11900" w:h="16838" w:orient="portrait"/>
          <w:cols w:equalWidth="0" w:num="2">
            <w:col w:w="8680" w:space="60"/>
            <w:col w:w="2060"/>
          </w:cols>
          <w:pgMar w:left="500" w:top="120" w:right="599" w:bottom="0" w:gutter="0" w:footer="0" w:header="0"/>
          <w:type w:val="continuous"/>
        </w:sectPr>
      </w:pPr>
    </w:p>
    <w:p>
      <w:pPr>
        <w:ind w:left="6560"/>
        <w:spacing w:after="0"/>
        <w:rPr>
          <w:sz w:val="20"/>
          <w:szCs w:val="20"/>
          <w:color w:val="auto"/>
        </w:rPr>
      </w:pPr>
      <w:r>
        <w:rPr>
          <w:rFonts w:ascii="Times New Roman" w:cs="Times New Roman" w:eastAsia="Times New Roman" w:hAnsi="Times New Roman"/>
          <w:sz w:val="18"/>
          <w:szCs w:val="18"/>
          <w:color w:val="0000FF"/>
        </w:rPr>
        <w:t>Artal Treasury Ltd,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wp:posOffset>
            </wp:positionV>
            <wp:extent cx="1313180"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313180" cy="952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Keith LePoidevin,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51915"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351915" cy="9525"/>
                    </a:xfrm>
                    <a:prstGeom prst="rect">
                      <a:avLst/>
                    </a:prstGeom>
                    <a:noFill/>
                  </pic:spPr>
                </pic:pic>
              </a:graphicData>
            </a:graphic>
          </wp:anchor>
        </w:drawing>
      </w:r>
    </w:p>
    <w:p>
      <w:pPr>
        <w:spacing w:after="0" w:line="5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Artal International S.C.A.,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wp:posOffset>
            </wp:positionV>
            <wp:extent cx="1314450"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314450" cy="952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By: Artal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28395"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12839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Management S.A.,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76960"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07696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Managing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75080"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27508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Anne Goffard,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53490"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25349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412750"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Artal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918210"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918210"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Management S.A.,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86510"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28651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Anne Goffard,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53490"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25349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412750"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12/03/2020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12/03/2020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12/03/2020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ectPr>
          <w:pgSz w:w="11900" w:h="16838" w:orient="portrait"/>
          <w:cols w:equalWidth="0" w:num="2">
            <w:col w:w="8680" w:space="60"/>
            <w:col w:w="2060"/>
          </w:cols>
          <w:pgMar w:left="500" w:top="120" w:right="599" w:bottom="0" w:gutter="0" w:footer="0" w:header="0"/>
          <w:type w:val="continuous"/>
        </w:sectPr>
      </w:pPr>
    </w:p>
    <w:bookmarkStart w:id="3" w:name="page4"/>
    <w:bookmarkEnd w:id="3"/>
    <w:p>
      <w:pPr>
        <w:ind w:left="6540"/>
        <w:spacing w:after="0"/>
        <w:rPr>
          <w:sz w:val="20"/>
          <w:szCs w:val="20"/>
          <w:color w:val="auto"/>
        </w:rPr>
      </w:pPr>
      <w:r>
        <w:rPr>
          <w:rFonts w:ascii="Times New Roman" w:cs="Times New Roman" w:eastAsia="Times New Roman" w:hAnsi="Times New Roman"/>
          <w:sz w:val="20"/>
          <w:szCs w:val="20"/>
          <w:color w:val="0000FF"/>
        </w:rPr>
        <w:t>Artal Group S.A.,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42060"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Anne Goffard,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08100"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30810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337185"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33718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Westend S.A.,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063625"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106362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Pascal Minne,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45540" cy="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14554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Stitching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447040" cy="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44704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Administratiekantoor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9815" cy="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05981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Westend, By: /s/ Pascal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59510" cy="9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15951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Minne, Sole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90625" cy="9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119062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85140" cy="9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48514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0000FF"/>
        </w:rPr>
        <w:t>12/03/2020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12/03/2020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12/03/2020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553" w:lineRule="exact"/>
        <w:rPr>
          <w:sz w:val="20"/>
          <w:szCs w:val="20"/>
          <w:color w:val="auto"/>
        </w:rPr>
      </w:pPr>
    </w:p>
    <w:p>
      <w:pPr>
        <w:sectPr>
          <w:pgSz w:w="11900" w:h="16838" w:orient="portrait"/>
          <w:cols w:equalWidth="0" w:num="2">
            <w:col w:w="8600" w:space="120"/>
            <w:col w:w="2100"/>
          </w:cols>
          <w:pgMar w:left="520" w:top="124" w:right="559" w:bottom="1440" w:gutter="0" w:footer="0" w:header="0"/>
        </w:sect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Pascal Minne</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12/03/2020</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4"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9"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10" Type="http://schemas.openxmlformats.org/officeDocument/2006/relationships/hyperlink" Target="http://www.sec.gov/cgi-bin/browse-edgar?action=getcompany&amp;CIK=0001340097" TargetMode="External"/><Relationship Id="rId11" Type="http://schemas.openxmlformats.org/officeDocument/2006/relationships/hyperlink" Target="http://www.sec.gov/cgi-bin/browse-edgar?action=getcompany&amp;CIK=0001726445" TargetMode="External"/><Relationship Id="rId16" Type="http://schemas.openxmlformats.org/officeDocument/2006/relationships/hyperlink" Target="http://www.sec.gov/cgi-bin/browse-edgar?action=getcompany&amp;CIK=0001340096" TargetMode="External"/><Relationship Id="rId19" Type="http://schemas.openxmlformats.org/officeDocument/2006/relationships/hyperlink" Target="http://www.sec.gov/cgi-bin/browse-edgar?action=getcompany&amp;CIK=0001766952" TargetMode="External"/><Relationship Id="rId28" Type="http://schemas.openxmlformats.org/officeDocument/2006/relationships/hyperlink" Target="http://www.sec.gov/cgi-bin/browse-edgar?action=getcompany&amp;CIK=0001218180" TargetMode="External"/><Relationship Id="rId30" Type="http://schemas.openxmlformats.org/officeDocument/2006/relationships/hyperlink" Target="http://www.sec.gov/cgi-bin/browse-edgar?action=getcompany&amp;CIK=0001522131" TargetMode="External"/><Relationship Id="rId31" Type="http://schemas.openxmlformats.org/officeDocument/2006/relationships/hyperlink" Target="http://www.sec.gov/cgi-bin/browse-edgar?action=getcompany&amp;CIK=0001053906" TargetMode="External"/><Relationship Id="rId32" Type="http://schemas.openxmlformats.org/officeDocument/2006/relationships/hyperlink" Target="http://www.sec.gov/cgi-bin/browse-edgar?action=getcompany&amp;CIK=0001283968" TargetMode="External"/><Relationship Id="rId36" Type="http://schemas.openxmlformats.org/officeDocument/2006/relationships/hyperlink" Target="http://www.sec.gov/cgi-bin/browse-edgar?action=getcompany&amp;CIK=0001460840" TargetMode="External"/><Relationship Id="rId37" Type="http://schemas.openxmlformats.org/officeDocument/2006/relationships/hyperlink" Target="http://www.sec.gov/cgi-bin/browse-edgar?action=getcompany&amp;CIK=0001460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2020-12-03T18:53:53Z</dcterms:created>
  <dcterms:modified xsi:type="dcterms:W3CDTF">2020-12-03T18:53:53Z</dcterms:modified>
</cp:coreProperties>
</file>