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THE RADOFF FAMILY FOUNDATION</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JEC II ASSOCIATES, LLC</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THE MOS TRUST</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MOS PTC, LLC</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MICHAEL TOROK</w:t>
      </w:r>
    </w:p>
    <w:p>
      <w:pPr>
        <w:ind w:left="4720"/>
        <w:spacing w:after="0" w:line="219" w:lineRule="auto"/>
        <w:rPr>
          <w:sz w:val="20"/>
          <w:szCs w:val="20"/>
          <w:color w:val="auto"/>
        </w:rPr>
      </w:pPr>
      <w:r>
        <w:rPr>
          <w:rFonts w:ascii="Times New Roman" w:cs="Times New Roman" w:eastAsia="Times New Roman" w:hAnsi="Times New Roman"/>
          <w:sz w:val="18"/>
          <w:szCs w:val="18"/>
          <w:color w:val="auto"/>
        </w:rPr>
        <w:t>HOWARD H. BERMAN</w:t>
      </w:r>
    </w:p>
    <w:p>
      <w:pPr>
        <w:ind w:left="4680"/>
        <w:spacing w:after="0" w:line="235" w:lineRule="auto"/>
        <w:rPr>
          <w:sz w:val="20"/>
          <w:szCs w:val="20"/>
          <w:color w:val="auto"/>
        </w:rPr>
      </w:pPr>
      <w:r>
        <w:rPr>
          <w:rFonts w:ascii="Times New Roman" w:cs="Times New Roman" w:eastAsia="Times New Roman" w:hAnsi="Times New Roman"/>
          <w:sz w:val="18"/>
          <w:szCs w:val="18"/>
          <w:color w:val="auto"/>
        </w:rPr>
        <w:t>JOSHUA S. HOROWITZ</w:t>
      </w: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MAY 21,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Seer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Bradley L. Radoff, Michael Torok and certain of their affiliates (collectively, the “Radoff-JEC Group” or “we”) are significant investors in Seer, Inc., a Delaware corporation (“Seer” or the “Company”), who together with the other participants in their solicitation are the beneficial owners of an aggregate of 4,277,528 shares of Class A Common Stock, par value $0.00001 per share (the “Common Stock”), of the Company, representing approximately 7.8% of the outstanding shares of Common Stock. We believe meaningful change to the composition of the Board of Directors of the Company (the “Board”) is necessary to ensure that the Company is being run in a manner consistent with your best interests. Accordingly, we are seeking your support for the election of our three (3) highly qualified nominees as directors at the 2026 Annual Meeting of Stockholders scheduled to be held on [●], 2026 at [●] Pacific Time at [●] (including any adjournments, postponements or continuations thereof and any meeting which may be called in lieu thereof, the “Annual Meeting”).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seven (7) directors, each of whom will be standing for election at the Annual Meeting. Through the accompanying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not only our three (3) nominees, Howard H. Berman, Ph.D., Joshua S. Horowitz and Luis E. Rinaldini, but also four (4) of the Company’s nominees whose election we do not oppose. The Radoff-JEC Group and the Company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our nominees may do so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proxy card or voting instruction form, regardless of how you wish to vote. In any case, we recommend that stockholders vote in favor of the Radoff-JEC Group’s nominees, who we believe are most qualified to serve as directors in order to achieve a Board composition that we believe is in the best interest of all stockholders.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stockholders will benefit from a meaningfully reconstituted Board that includes the addition of independent directors with strong, relevant experience, critically needed skill sets, fresh perspectives and a shared willingness to consider all options to maximize value for Seer stockholders. The individuals that we have nominated are highly qualified, significantly experienced and ready to serve the best interests of all stockholders of Seer.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on the Company’s proxy card, you have every right to change your vote by signing, dating, marking your vote and returning a later dated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or by voting in person at the Annual Meeting.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16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Bradley L. Radoff and /s/ Michael Torok</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left="1260" w:right="125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61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MAY 21,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WHITE UNIVERSAL PROXY CARD TODAY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Bradley L. Radoff, The Radoff Family Foundation (“Radoff Foundation” and together with Mr. Radoff, “Radoff”), JEC II Associates, LLC (“JEC II”), The MOS Trust (“MOS Trust”), MOS PTC, LLC (“MOS PTC”) and Michael Torok (together with JEC II, MOS Trust and MOS PTC, “JEC” and collectively with Radoff, the “Radoff-JEC Group” or “we”) are significant stockholders of Seer, Inc., a Delaware corporation (“Seer” or the “Company”), who, together with the other participants in this solicitation, beneficially own an aggregate of 4,277,528 shares of Class A Common Stock, par value $0.00001 per share (the “Common Stock”), of the Company, representing approximately 7.8% of the outstanding Common Stock. We strongly believe that the Board of Directors of the Company (the “Board”) must be meaningfully reconstituted with directors who have the perspectives, skills and expertise to help optimize the Company’s performance and who are committed to fully exploring all opportunities to increase stockholder value. To that end, we have nominated three (3) highly qualified director nominees, each of whom would bring substantial expertise and deep experience to the Board, and was selected specifically for his commitment to representing the best interests of stockholders. At the 2026 Annual Meeting of Stockholders scheduled to be held on [●], 2026 at [●] Pacific Time at [●] (including any adjournments, postponements or continuations thereof and any meeting which may be called in lieu thereof, the “Annual Meeting”), stockholders will have an opportunity:</w:t>
      </w:r>
    </w:p>
    <w:p>
      <w:pPr>
        <w:spacing w:after="0" w:line="192"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Radoff-JEC Group’s three (3) director nominees, Howard H. Berman, Ph.D., Joshua S. Horowitz and Luis E. Rinaldini (collectively, the “Radoff-JEC Nominees”), each to serve until the 2027 annual meeting of stockholders (the “2027 Annual Meeting”) and until such director’s successor is elected and qualified or until such director’s earlier death, resignation or removal;</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the Company’s independent registered public accounting firm for the Company’s fiscal year ending December 31, 2026;</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named executive officer compensation;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(the “NOL Pill”) so that it may remain in effect through February 25, 2029, unless earlier terminated by the Board;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Board is currently composed of seven (7) directors, each with terms expiring at the Annual Meeting. Through this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not only the three (3) Radoff-JEC Nominees, but also four (4) of the Company’s nominees whose election we do not oppose, [ ], [ ], [ ] and [ ] (the “Unopposed Company Nominees”). The Radoff-JEC Group and Seer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four (4) Company nominees in addition to the Radoff-JEC Nominees may do so on the Radoff-JEC Group’s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vote to elect the Radoff-JEC Nominees will have the legal effect of replacing three (3) incumbent directors. If elected, the Radoff-JEC Nominees, subject to their fiduciary duties as directors, will seek to work with the other members of the Board to evaluate all opportunities to enhance stockholder value. However, the Radoff-JEC Nominees will constitute a minority of the Board and there can be no guarantee that they will be able to implement the actions that they believe are necessary to unlock stockholder value. There is no assurance that any of the Company’s nominees will serve as directors if all or some of the Radoff-JEC Nominees are elected. The names, backgrounds and qualifications of the Company’s nominees, and other information about them, can be found in the Company’s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Company nominees who we believe are the most qualified to serve as directors – the Unopposed Company Nominees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all of the Radoff-JEC Nominees to be elected to the Board. The Radoff-JEC Group urges stockholders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NO DIRECTION IS INDICATED WITH RESPECT TO HOW YOU WISH TO VOTE YOUR SHARES, THE PROXIES NAMED THEREIN WILL VOTE SUCH SHARES “FOR” THE THREE (3) RADOFF-JEC NOMINEES AND THE FOUR (4) UNOPPOSED COMPANY NOMINEES.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SEVEN (7) “FOR” BOXES WITH RESPECT TO THE ELECTION OF DIRECTORS, ALL OF YOUR VOTES FOR THE ELECTION OF DIRECTORS WILL BE DEEMED INVALID.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set the close of business on [●], 2026 as the record date for determining stockholders entitled to notice of and to vote at the Annual Meeting (the “Record Date”). Only stockholders of record as of the close of business on the Record Date are entitled to notice of and to vote at the Annual Meeting. The address of the principal executive offices of the Company is 3800 Bridge Parkway, Suite 102, Redwood City, California 94065. According to the Company’s proxy statement, as of the Record Date, there were [●] shares of Common Stock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Radoff-JEC Group and the Radoff-JEC Nominees (each a “Participant” and, collectively, the “Participants”) collectively beneficially own 4,277,528 shares of Common Stock (the “Radoff-JEC Group Shares”). We intend to vote all of the Radoff-JEC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the Company’s independent registered public accounting firm for the Company’s fiscal year ending December 31, 2026,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non-binding advisory vote to approve named executive officer compensation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ratification of the NOL Pill.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Radoff-JEC Group Shares in favor of the election of each of the Radoff-JEC Nominees and the Unopposed Company Nominees, we reserve the right to vote some or all of the Radoff-JEC Group Shares as we see fit, in order to achieve a Board composition that we believe is in the best interest of all stockholders. We would only intend to vote some or all of the Radoff-JEC Group Shares in a different manner than what we are otherwise recommending in the event it were to become apparent to us, based on the projected voting results at such time, that less than all of the Radoff-JEC Nominees would be elected at the Annual Meeting and that by voting the Radoff-JEC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SOLICITATION IS BEING MADE BY THE RADOFF-JEC GROUP AND NOT ON BEHALF OF THE BOARD OR MANAGEMENT OF THE COMPANY. WE ARE NOT AWARE OF ANY OTHER MATTERS TO BE BROUGHT BEFORE THE ANNUAL MEETING OTHER THAN AS SET FORTH IN THIS PROXY STATEMENT. SHOULD OTHER MATTERS, WHICH THE RADOFF-JEC GROUP IS NOT AWARE OF A REASONABLE TIME BEFORE THIS SOLICITATION, BE BROUGHT BEFORE THE ANNUAL MEETING, THE PERSONS NAMED AS PROXIES IN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RADOFF-JEC GROUP URGES YOU TO SIGN, DATE AND RETURN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VOTING “FOR” THE ELECTION OF THE RADOFF-JEC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LATEST DATED PROXY IS THE ONLY ONE THAT COUNTS. ANY PROXY MAY BE REVOKED AT ANY TIME PRIOR TO THE ANNUAL MEETING BY DELIVERING A WRITTEN NOTICE OF REVOCATION OR A LATER DATED PROXY FOR THE ANNUAL MEETING OR BY VOTING AT THE ANNUAL MEETING.</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WHITE universal proxy card are available at:</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[_______]</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The Radoff-JEC Group urges you to sign, date, and return the enclosed WHITE universal proxy card today to vote FOR the election of the Radoff-JEC Nominees and in accordance with the Radoff-JEC Group’s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sign and date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and return it to the Radoff-JEC Group, c/o Saratoga Proxy Consulting LLC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or bank,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Common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the Radoff-JEC Group is using a “universal” proxy card, which includes the Radoff-JEC Nominees as well as the Company’s nominees, there is no need to use any other proxy card regardless of how you intend to vote. </w:t>
      </w:r>
      <w:r>
        <w:rPr>
          <w:rFonts w:ascii="Times New Roman" w:cs="Times New Roman" w:eastAsia="Times New Roman" w:hAnsi="Times New Roman"/>
          <w:sz w:val="18"/>
          <w:szCs w:val="18"/>
          <w:b w:val="1"/>
          <w:bCs w:val="1"/>
          <w:color w:val="auto"/>
        </w:rPr>
        <w:t>However, the Radoff-JEC Group strongly urges you NOT to sign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return any blue proxy cards or voting instruction forms that you may receive from the Company. </w:t>
      </w:r>
      <w:r>
        <w:rPr>
          <w:rFonts w:ascii="Times New Roman" w:cs="Times New Roman" w:eastAsia="Times New Roman" w:hAnsi="Times New Roman"/>
          <w:sz w:val="18"/>
          <w:szCs w:val="18"/>
          <w:color w:val="auto"/>
        </w:rPr>
        <w:t>Even if you return the blue management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marked “withhold” as a protest against the incumbent directors, it will revoke any proxy card you may have previously sent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left="1260" w:right="125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61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144" w:lineRule="exact"/>
        <w:rPr>
          <w:sz w:val="20"/>
          <w:szCs w:val="20"/>
          <w:color w:val="auto"/>
        </w:rPr>
      </w:pPr>
    </w:p>
    <w:p>
      <w:pPr>
        <w:jc w:val="both"/>
        <w:ind w:left="980" w:hanging="324"/>
        <w:spacing w:after="0" w:line="254"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10, 2025, the Company filed a preliminary proxy statement with the Securities and Exchange Commission (the “SEC”) in connection with a special meeting of stockholders pursuant to which the Board requested that stockholders approve an amendment to the Company's Amended and Restated Certificate of Incorporation (the “Charter”) that would extend the automatic conversion date of the Company’s Class B common stock, $0.00001 par value per share (the “Class B Common Stock”), from December 9, 2025 to December 9, 2030 (the “Sunset Extension Amendment”). Absent approval of the Sunset Extension Amendment, the Class B Common Stock, which was entitled to ten votes per share and provided Chairman and CEO Dr. Omid Farokhzad nearly 40% of the total voting power of the Company, would automatically be converted into the Common Stock (entitled to one vote per share) on a one-for-one basis and drastically reduce Dr. Farokhzad’s voting power.</w:t>
      </w:r>
    </w:p>
    <w:p>
      <w:pPr>
        <w:spacing w:after="0" w:line="190"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6, 2025, the Company disclosed that Nasdaq informed the Company that the Sunset Extension Amendment would violate Nasdaq’s listing standards and, accordingly, the Company would not pursue the Sunset Extension Amendment further and instead allow the Class B Common Stock to automatically convert into the Common Stock pursuant to the terms of the Charter.</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9, 2025, all of the outstanding shares of Class B Common Stock were automatically converted into the same number of shares of Common Stock pursuant to the terms of the Charter.</w:t>
      </w:r>
    </w:p>
    <w:p>
      <w:pPr>
        <w:spacing w:after="0" w:line="16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20, 2026, the Radoff-JEC Group filed a Schedule 13D (the “Schedule 13D”) with the SEC disclosing aggregate beneficial ownership of approximately 6.5% of the Company’s outstanding shares of Common Stock. The Schedule 13D also disclosed that the Radoff-JEC Group intends to engage constructively with the Board and management team regarding opportunities to unlock value for all stockholders, including, among other matters, potential changes to the composition of the Board and commencing a strategic review process.</w:t>
      </w:r>
    </w:p>
    <w:p>
      <w:pPr>
        <w:spacing w:after="0" w:line="182"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23, 2026, the Radoff-JEC Group issued a press release and open letter to the Board (the “February 23 Letter”) in which it urged the Board to pursue significant governance and operational changes or commence a sale process to avoid further destruction of stockholder value. In the February 23 Letter, the Radoff-JEC Group also highlighted the Company’s abysmal operating results and severe undervaluation under the leadership of Dr. Farokhzad as well as the Board’s oversight of years of significant cash burn, minimal revenue growth, excessive executive compensation, and a persistent discount between the Company’s market capitalization and its net cash position, while also noting the disconnect between management’s public messaging and the Company’s long-term financial outlook.</w:t>
      </w:r>
    </w:p>
    <w:p>
      <w:pPr>
        <w:spacing w:after="0" w:line="186" w:lineRule="exact"/>
        <w:rPr>
          <w:rFonts w:ascii="Arial" w:cs="Arial" w:eastAsia="Arial" w:hAnsi="Arial"/>
          <w:sz w:val="18"/>
          <w:szCs w:val="18"/>
          <w:b w:val="1"/>
          <w:bCs w:val="1"/>
          <w:color w:val="auto"/>
        </w:rPr>
      </w:pPr>
    </w:p>
    <w:p>
      <w:pPr>
        <w:ind w:left="980" w:right="2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26, 2026, the Company issued a press release announcing its adoption of the NOL Pill which generally prohibits stockholders from acquiring 4.9% or more of the Company’s outstanding shares of Common Stock.</w:t>
      </w:r>
    </w:p>
    <w:p>
      <w:pPr>
        <w:spacing w:after="0" w:line="162" w:lineRule="exact"/>
        <w:rPr>
          <w:rFonts w:ascii="Arial" w:cs="Arial" w:eastAsia="Arial" w:hAnsi="Arial"/>
          <w:sz w:val="18"/>
          <w:szCs w:val="18"/>
          <w:b w:val="1"/>
          <w:bCs w:val="1"/>
          <w:color w:val="auto"/>
        </w:rPr>
      </w:pPr>
    </w:p>
    <w:p>
      <w:pPr>
        <w:jc w:val="both"/>
        <w:ind w:left="980" w:hanging="324"/>
        <w:spacing w:after="0" w:line="258"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 2026, the Radoff-JEC Group filed an amendment to the Schedule 13D disclosing aggregate beneficial ownership of approximately 7.6% of the Company’s outstanding shares of Common Stock and expressing its belief that the NOL Pill was designed to insulate the current Board, despite the Board's purported tax-related justifications. The Radoff-JEC Group also expressed its belief that the NOL Pill is simply a means to prevent stockholders from gaining too much voting power in the event of a potential proxy contest given that the Board adopted the NOL Pill only six days after the Radoff-JEC Group filed the initial Schedule 13D.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 2026, a stockholder of the Company filed an amended complaint in the Delaware Court of Chancery against the Company and the members of the Board in the action captioned Taylor v. Farokhzad, C.A. No. 2025-1232-PAF (such action, the “Delaware Action”). The amended complaint challenged certain aspects of the definition of “Beneficial Ownership” in the NOL Pill.</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9, 2026, the Radoff-JEC Group’s legal counsel submitted a request to the Company on behalf of the Radoff-JEC Group for the Company to provide an electronic copy of the Company’s form of questionnaire (the “Questionnaire”) in accordance with the Amended and Restated Bylaws of the Company (the “Bylaws”). The Questionnaire was requested to be provided by no later than the close of business on March 16, 2026.</w:t>
      </w:r>
    </w:p>
    <w:p>
      <w:pPr>
        <w:spacing w:after="0" w:line="182" w:lineRule="exact"/>
        <w:rPr>
          <w:rFonts w:ascii="Arial" w:cs="Arial" w:eastAsia="Arial" w:hAnsi="Arial"/>
          <w:sz w:val="18"/>
          <w:szCs w:val="18"/>
          <w:b w:val="1"/>
          <w:bCs w:val="1"/>
          <w:color w:val="auto"/>
        </w:rPr>
      </w:pPr>
    </w:p>
    <w:p>
      <w:pPr>
        <w:jc w:val="both"/>
        <w:ind w:left="324" w:hanging="324"/>
        <w:spacing w:after="0" w:line="25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12, 2026, Messrs. Radoff and Torok had a call with Lead Independent Director Nicolas Roelofs, Ph.D. and director Isaac Ro, which was also attended by the Company’s investor relations representative Marissa Bych. During the call, Messrs. Radoff and Torok shared their views with respect to the Company and offered suggestions to improve the Company and drive value, including, among others, by separating the Chairman and CEO roles, commencing a $30 – $40 million Dutch tender offer, exploring significant cost reduction measures, and evaluating potential Board and management changes as well as a potential sale of the Company. Dr. Roelofs and Mr. Ro expressed their belief that the Company has real value and offered to set up a meeting with a representative of the Company who could make the case. Messrs. Radoff and Torok expressed their openness to such a meeting but never heard anything further about it.</w:t>
      </w:r>
    </w:p>
    <w:p>
      <w:pPr>
        <w:spacing w:after="0" w:line="187"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13, 2026, the Company entered into Amendment No. 1 to the NOL Pill, which amended the NOL Pill’s definition of “Beneficial Ownership” and rendered the Delaware Action moot. In our view, the amendment to the NOL Pill demonstrates that the NOL Pill, as initially adopted, was unlawful and hastily enacted as an entrenchment device.</w:t>
      </w:r>
    </w:p>
    <w:p>
      <w:pPr>
        <w:spacing w:after="0" w:line="177"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the Company publicly disclosed the amendment to the NOL Pill and that, in connection with the dismissal of the Delaware Action as moot, the Company agreed to pay plaintiff’s counsel a mootness fee of $250,000, which we believe was a completely avoidable waste of valuable Company resources had the Board not, in our view, hastily adopted an unlawful NOL Pill in the first place.</w:t>
      </w:r>
    </w:p>
    <w:p>
      <w:pPr>
        <w:spacing w:after="0" w:line="177" w:lineRule="exact"/>
        <w:rPr>
          <w:rFonts w:ascii="Arial" w:cs="Arial" w:eastAsia="Arial" w:hAnsi="Arial"/>
          <w:sz w:val="18"/>
          <w:szCs w:val="18"/>
          <w:b w:val="1"/>
          <w:bCs w:val="1"/>
          <w:color w:val="auto"/>
        </w:rPr>
      </w:pPr>
    </w:p>
    <w:p>
      <w:pPr>
        <w:jc w:val="both"/>
        <w:ind w:left="324" w:hanging="324"/>
        <w:spacing w:after="0" w:line="243"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March 16, 2026, following the Company’s disclosure of the amendment to the NOL Pill, Messrs. Radoff and Torok emailed Ms. Bych a message for distribution to Dr. Roelofs and Mr. Ro seeking confirmation that the revised NOL Pill allowed them to each increase their respective ownership to 4.9% of the outstanding Common Stock, and reiterating some of the discussion points from the call held 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Messrs. Radoff and Torok repeated their willingness to do an in person or video meeting as suggested by Dr. Roelofs and Mr. Ro 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To date, they still have not heard anything further about such a meeting.</w:t>
      </w:r>
    </w:p>
    <w:p>
      <w:pPr>
        <w:spacing w:after="0" w:line="72" w:lineRule="exact"/>
        <w:rPr>
          <w:rFonts w:ascii="Arial" w:cs="Arial" w:eastAsia="Arial" w:hAnsi="Arial"/>
          <w:sz w:val="18"/>
          <w:szCs w:val="18"/>
          <w:b w:val="1"/>
          <w:bCs w:val="1"/>
          <w:color w:val="auto"/>
        </w:rPr>
      </w:pPr>
    </w:p>
    <w:p>
      <w:pPr>
        <w:ind w:left="324" w:hanging="324"/>
        <w:spacing w:after="0"/>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17, 2026, Messrs. Radoff and Torok emailed Ms. Bych seeking confirmation that she received their email.</w:t>
      </w:r>
    </w:p>
    <w:p>
      <w:pPr>
        <w:spacing w:after="0" w:line="33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 w:name="page12"/>
    <w:bookmarkEnd w:id="11"/>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18, 2026, Ms. Bych informed Messrs. Radoff and Torok that their message had been shared with the full Board.</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the Company’s legal counsel provided the Questionnaire to the Radoff-JEC Group’s legal counsel.</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20, 2026, the Company’s counsel, on behalf of the Company, informed Messrs. Radoff and Torok that the Company denied their request for an exemption under the NOL Pill to allow each of them to increase their respective ownership to 4.9% of the outstanding Common Stock on the purported basis that their request did not meet the requirements for an exemption request under the NOL Pill.</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2026, Mr. Radoff delivered a notice of nomination to the Company, in accordance with the Bylaws, nominating the Radoff-JEC Nominees — Howard H. Berman, Ph.D., Joshua S. Horowitz and Luis E. Rinaldini — for election to the Board at the Annual Meeting (the “Nomination Notice”), and in satisfaction of the notice requirements under Rule 14a-19(b) under the Securities Exchange Act of 1934, as amended (the “Exchange Act”).</w:t>
      </w:r>
    </w:p>
    <w:p>
      <w:pPr>
        <w:spacing w:after="0" w:line="182" w:lineRule="exact"/>
        <w:rPr>
          <w:rFonts w:ascii="Arial" w:cs="Arial" w:eastAsia="Arial" w:hAnsi="Arial"/>
          <w:sz w:val="18"/>
          <w:szCs w:val="18"/>
          <w:b w:val="1"/>
          <w:bCs w:val="1"/>
          <w:color w:val="auto"/>
        </w:rPr>
      </w:pPr>
    </w:p>
    <w:p>
      <w:pPr>
        <w:jc w:val="both"/>
        <w:ind w:left="324" w:hanging="324"/>
        <w:spacing w:after="0" w:line="217"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13, 2026, the Radoff-JEC Group issued a press release and open letter to the Board announcing its submission of a non-binding proposal to acquire 100% of the equity of the Company at a purchase price of $2.25 per share in cash, representing a 33% premium to the Company’s most recent closing price, plus a contingent value right (“CVR”) representing the right for stockholders to receive 80% of the net proceeds received from any license, sale or other disposition of the Company’s business and assets, including PrognomiQ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only subject to limited confirmatory due diligence and was based on the availability of at least $215 million of net cash and cash equivalents at closing and was not subject to any financing conditions. The Radoff-JEC Group requested a response regarding the Board’s willingness and availability to discuss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no later than 5:00 p.m. ET on April 22, 2026, at which point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set to expire.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also disclosed the nomination of the Radoff-JEC Nominees and the Radoff-JEC Group’s belief that, in the absence of a sale of the Company, immediate Board and management change is necessary to stem the tide of losses and ensure that the Company is run with the best interests of stockholders in mind.</w:t>
      </w:r>
    </w:p>
    <w:p>
      <w:pPr>
        <w:spacing w:after="0" w:line="208" w:lineRule="exact"/>
        <w:rPr>
          <w:rFonts w:ascii="Arial" w:cs="Arial" w:eastAsia="Arial" w:hAnsi="Arial"/>
          <w:sz w:val="18"/>
          <w:szCs w:val="18"/>
          <w:b w:val="1"/>
          <w:bCs w:val="1"/>
          <w:color w:val="auto"/>
        </w:rPr>
      </w:pPr>
    </w:p>
    <w:p>
      <w:pPr>
        <w:ind w:left="324" w:hanging="324"/>
        <w:spacing w:after="0" w:line="292"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13, 2026, the Radoff-JEC Group filed an amendment to the Schedule 13D disclosing the submission of the Nomination Notice and the submission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33" w:lineRule="exact"/>
        <w:rPr>
          <w:rFonts w:ascii="Arial" w:cs="Arial" w:eastAsia="Arial" w:hAnsi="Arial"/>
          <w:sz w:val="18"/>
          <w:szCs w:val="18"/>
          <w:b w:val="1"/>
          <w:bCs w:val="1"/>
          <w:color w:val="auto"/>
        </w:rPr>
      </w:pPr>
    </w:p>
    <w:p>
      <w:pPr>
        <w:ind w:left="324" w:hanging="324"/>
        <w:spacing w:after="0" w:line="216"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April 13, 2026, the Company issued a press release in which it acknowledged receipt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the Nomination Notice.</w:t>
      </w:r>
    </w:p>
    <w:p>
      <w:pPr>
        <w:spacing w:after="0" w:line="198" w:lineRule="exact"/>
        <w:rPr>
          <w:rFonts w:ascii="Arial" w:cs="Arial" w:eastAsia="Arial" w:hAnsi="Arial"/>
          <w:sz w:val="18"/>
          <w:szCs w:val="18"/>
          <w:b w:val="1"/>
          <w:bCs w:val="1"/>
          <w:color w:val="auto"/>
        </w:rPr>
      </w:pPr>
    </w:p>
    <w:p>
      <w:pPr>
        <w:jc w:val="both"/>
        <w:ind w:left="324" w:hanging="324"/>
        <w:spacing w:after="0" w:line="258"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14, 2026, Mr. Torok emailed Mr. Ro regarding the registration statement filed by competitor Alamar Biosciences, Inc. (“Alamar”) (NASDAQ:ALMR) the day before in connection with its initial public offering. Mr. Torok highlighted Alamar’s revenue growth of $25 million in 2024 to $75 million in 2025 and that the preliminary Q1 2026 revenue implied a 2026 run-rate that exceeds $100 million per year, and noted that Seer has barely grown while Alamar continues to grow strongly, thereby undercutting Dr. Farokhzad’s consistent claims that macroeconomic headwinds are to blame for Seer’s lack of revenue growth. Mr. Ro did not respond to the email.</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22, 2026,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expired without being responded to by the Board.</w:t>
      </w:r>
    </w:p>
    <w:p>
      <w:pPr>
        <w:spacing w:after="0" w:line="135" w:lineRule="exact"/>
        <w:rPr>
          <w:rFonts w:ascii="Arial" w:cs="Arial" w:eastAsia="Arial" w:hAnsi="Arial"/>
          <w:sz w:val="18"/>
          <w:szCs w:val="18"/>
          <w:b w:val="1"/>
          <w:bCs w:val="1"/>
          <w:color w:val="auto"/>
        </w:rPr>
      </w:pPr>
    </w:p>
    <w:p>
      <w:pPr>
        <w:jc w:val="both"/>
        <w:ind w:left="324" w:hanging="324"/>
        <w:spacing w:after="0" w:line="23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23, 2026, the Company’s legal counsel emailed the Radoff-JEC Group’s legal counsel expressing interest in setting up interviews between the Radoff-JEC Nominees and certain members of the Board. Due to the Board’s failure to respond to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a general lack of constructive dialogue with the Company, the Radoff-JEC Group did not believe that the Company would conduct the interviews in good faith and therefore did not respond to the Company’s interview request.</w:t>
      </w:r>
    </w:p>
    <w:p>
      <w:pPr>
        <w:spacing w:after="0" w:line="201" w:lineRule="exact"/>
        <w:rPr>
          <w:rFonts w:ascii="Arial" w:cs="Arial" w:eastAsia="Arial" w:hAnsi="Arial"/>
          <w:sz w:val="18"/>
          <w:szCs w:val="18"/>
          <w:b w:val="1"/>
          <w:bCs w:val="1"/>
          <w:color w:val="auto"/>
        </w:rPr>
      </w:pPr>
    </w:p>
    <w:p>
      <w:pPr>
        <w:jc w:val="both"/>
        <w:ind w:left="324" w:hanging="324"/>
        <w:spacing w:after="0" w:line="21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24, 2026, the Radoff-JEC Group issued a press release and open letter to the Board stating that the Board had made no contact regarding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announcing the submission of a second non-binding proposal to the Board to acquire 100% of the equity of the Company for $2.35 per share in cash, representing a 39% premium to the unaffected closing price on April 10, 2026, plus a CVR representing the right for stockholders to receive 80% of the net proceeds received from any license, sale, or other disposition of the Company’s business and assets, including PrognomiQ, subject to limited confirmatory due diligence and based on the availability of at least $215 million of net cash and cash equivalents at closing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that the Radoff-JEC Group was also prepared to invest $10 million in the Company. Like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not subject to any financing conditions. The Radoff-JEC Group requested a response regarding the Board’s willingness and availability to discuss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no later than 5:00 p.m. ET on May 2, 2026, at which point it would expire.</w:t>
      </w:r>
    </w:p>
    <w:p>
      <w:pPr>
        <w:spacing w:after="0" w:line="202" w:lineRule="exact"/>
        <w:rPr>
          <w:rFonts w:ascii="Arial" w:cs="Arial" w:eastAsia="Arial" w:hAnsi="Arial"/>
          <w:sz w:val="18"/>
          <w:szCs w:val="18"/>
          <w:b w:val="1"/>
          <w:bCs w:val="1"/>
          <w:color w:val="auto"/>
        </w:rPr>
      </w:pPr>
    </w:p>
    <w:p>
      <w:pPr>
        <w:ind w:left="324" w:hanging="324"/>
        <w:spacing w:after="0" w:line="234"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27, 2026, the Company issued a press release announcing the Board’s unanimous decision to reject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on the purported basis that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significantly undervalued the Company.</w:t>
      </w:r>
    </w:p>
    <w:p>
      <w:pPr>
        <w:spacing w:after="0" w:line="78" w:lineRule="exact"/>
        <w:rPr>
          <w:rFonts w:ascii="Arial" w:cs="Arial" w:eastAsia="Arial" w:hAnsi="Arial"/>
          <w:sz w:val="18"/>
          <w:szCs w:val="18"/>
          <w:b w:val="1"/>
          <w:bCs w:val="1"/>
          <w:color w:val="auto"/>
        </w:rPr>
      </w:pPr>
    </w:p>
    <w:p>
      <w:pPr>
        <w:jc w:val="both"/>
        <w:ind w:left="324" w:hanging="324"/>
        <w:spacing w:after="0" w:line="207"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29, 2026, the Radoff-JEC Group issued a press release in response to the Board’s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which it stated its belief that the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is the latest evidence that the Board is not acting in the best interests of all stockholders and that the Board — through its financial advisor, Perella Weinberg Partners LP — declined to engage with the Radoff-JEC Group to learn about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or negotiate a transaction. The Radoff-JEC Group called on the independent directors and the Company’s financial advisor to reevaluate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advance of its May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expiration. The Radoff-JEC Group also reaffirmed its commitment to holding the Board accountable by allowing stockholders to elect independent directors who it believes are best suited to rebuilding value at the Company and overseeing a credible strategic review process for the benefit of all stockholders.</w:t>
      </w:r>
    </w:p>
    <w:p>
      <w:pPr>
        <w:spacing w:after="0" w:line="200" w:lineRule="exact"/>
        <w:rPr>
          <w:rFonts w:ascii="Arial" w:cs="Arial" w:eastAsia="Arial" w:hAnsi="Arial"/>
          <w:sz w:val="18"/>
          <w:szCs w:val="18"/>
          <w:b w:val="1"/>
          <w:bCs w:val="1"/>
          <w:color w:val="auto"/>
        </w:rPr>
      </w:pPr>
    </w:p>
    <w:p>
      <w:pPr>
        <w:jc w:val="both"/>
        <w:ind w:left="324" w:hanging="324"/>
        <w:spacing w:after="0" w:line="230"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14, 2026, the Radoff-JEC Group issued a press release and open letter to the Board announcing its submission of a third non-binding proposal to acquire 100% of the equity of the Company for $2.40 per share in cash, representing a 42% premium to the Company’s unaffected share price, plus a CVR representing the right for stockholders to receive 80% of the net proceeds received from any license, sale or other disposition of the Company’s business and assets, including PrognomiQ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which expires on May 29, 2026. Like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is not subject to any financing conditions. The Company has yet to respond to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7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3" w:name="page14"/>
    <w:bookmarkEnd w:id="13"/>
    <w:p>
      <w:pPr>
        <w:jc w:val="both"/>
        <w:ind w:left="324" w:hanging="324"/>
        <w:spacing w:after="0" w:line="258"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18, 2026, the Company filed its preliminary proxy statement with the SEC. In its preliminary proxy statement, we believe the Company mischaracterized each of the Radoff-JEC Group’s three acquisition proposals by stating that each proposal was “not accompanied by any evidence that the Radoff-JEC Group had access to the funds necessary to consummate the proposed acquisition.” As set forth in the acquisition proposals and reiterated above, none of such proposals were or are subject to any financing conditions. To be clear, the acquisition proposals could be financed with the cash on the Company’s balance sheet.</w:t>
      </w:r>
    </w:p>
    <w:p>
      <w:pPr>
        <w:spacing w:after="0" w:line="182"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the Radoff-JEC Group filed this preliminary proxy statement with the SEC.</w:t>
      </w:r>
    </w:p>
    <w:p>
      <w:pPr>
        <w:spacing w:after="0" w:line="2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members of the Radoff-JEC Group are significant stockholders of Seer, collectively owning approximately 7.8% of the Company’s outstanding Common Stock. Based on our extensive analysis of the Company’s performance, operating history, lack of revenue growth and poor corporate governance, we believe that Seer should not remain a publicly traded company, particularly under the leadership of the incumbent Board and management team. We believe that an immediate sale of the Company would be in the best interest of all stockholders and provide immediate value that is at risk of further destruction under the current leadership team.</w:t>
      </w:r>
    </w:p>
    <w:p>
      <w:pPr>
        <w:spacing w:after="0" w:line="18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To that end, on April 13, 2026, the Radoff-JEC Group submitted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to acquire 100% of the equity of the Company for $2.25 per share in cash, plus a CVR representing the right for stockholders to receive 80% of the net proceeds received from any license, sale or other disposition of Seer’s business and assets, including PrognomiQ. We have subsequently improved the terms of the proposal twice, pursuant to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includes an increase in the offer price to $2.40 per share in cash, plus the CVR, and represents a 42% premium to the Company’s unaffected share price.</w:t>
      </w:r>
    </w:p>
    <w:p>
      <w:pPr>
        <w:spacing w:after="0" w:line="20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However, since our delivery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neither the Board nor its advisors have engaged with us with respect to our proposals – including prior to its April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public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our view, instead of fulfilling its fiduciary obligations by meaningfully engaging with us concerning our proposals or providing stockholders with adequate transparency concerning its evaluation process, the Board appears to be more focused on entrenchment activity to protect the status quo under Chairman and CEO Dr. Omid Farokhzad’s leadership.</w:t>
      </w:r>
    </w:p>
    <w:p>
      <w:pPr>
        <w:spacing w:after="0" w:line="20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As of the filing of this proxy statement,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remains open and expires on May 29, 2026. We urge the independent members of the Board and its financial advisors to engage with us and negotiate a transaction that will benefit all stockholders. To be clear, our proposal is not subject to any financing contingency and we are ready to move expeditiously to close a transaction.</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Whether the Board pursues a transaction or not, we do not believe that Seer stockholders can afford the Company’s continued value destruction and poor operating results, which have been overseen by Dr. Farokhzad. We believe that new and truly independent highly qualified directors must be elected to the Board to ensure that the interests of the Company’s true owners – its stockholders – are served. That is why we have nominated three independent director candidates who collectively possess the necessary biotechnology, capital allocation, M&amp;A and public company governance experience that we believe is urgently needed in Seer’s boardroom. The Radoff-JEC Group believes that our nominees can help rebuild value at Seer and are qualified to oversee a robust and credible strategic process for the benefit of all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Value Destruction, Massive Losses and No Credible Plan Under Chairman and CEO Dr. Farokhzad’s Leadership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strongly believe that the operational strategies implemented by Seer’s management and overseen by the Board have failed. Seer stockholders have witnessed a share price decline of approximately 97% since its IPO,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cumulative reported losses exceeding $465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virtually no revenue growth and no credible assurance that the Company has a coherent and timely plan to right the ship.</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Over nearly every relevant measurable time period since the Company’s IPO, Seer has drastically underperformed on both an absolute and relative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263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2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Since Seer IPO</w:t>
            </w:r>
          </w:p>
        </w:tc>
      </w:tr>
      <w:tr>
        <w:trPr>
          <w:trHeight w:val="216"/>
        </w:trPr>
        <w:tc>
          <w:tcPr>
            <w:tcW w:w="45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Seer</w:t>
            </w:r>
          </w:p>
        </w:tc>
        <w:tc>
          <w:tcPr>
            <w:tcW w:w="228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EE0000"/>
                <w:w w:val="98"/>
              </w:rPr>
              <w:t>-18.4%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-54.7%</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EE0000"/>
                <w:w w:val="98"/>
              </w:rPr>
              <w:t>-96.8%</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0000"/>
                <w:w w:val="98"/>
              </w:rPr>
              <w:t>-97.0%</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22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81.8%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73.6%</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-3.5%</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Seer Underperformance vs.</w:t>
            </w:r>
          </w:p>
        </w:tc>
        <w:tc>
          <w:tcPr>
            <w:tcW w:w="2280" w:type="dxa"/>
            <w:vAlign w:val="bottom"/>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-100.2%</w:t>
            </w: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-128.3%</w:t>
            </w:r>
          </w:p>
        </w:tc>
        <w:tc>
          <w:tcPr>
            <w:tcW w:w="1340" w:type="dxa"/>
            <w:vAlign w:val="bottom"/>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-97.9%</w:t>
            </w:r>
          </w:p>
        </w:tc>
        <w:tc>
          <w:tcPr>
            <w:tcW w:w="1600" w:type="dxa"/>
            <w:vAlign w:val="bottom"/>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-93.5%</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22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45.5%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25.5%</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49.3%</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Seer Underperformance vs.</w:t>
            </w:r>
          </w:p>
        </w:tc>
        <w:tc>
          <w:tcPr>
            <w:tcW w:w="2280" w:type="dxa"/>
            <w:vAlign w:val="bottom"/>
          </w:tcPr>
          <w:p>
            <w:pPr>
              <w:jc w:val="center"/>
              <w:ind w:left="67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-63.9%</w:t>
            </w: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-109.5%</w:t>
            </w:r>
          </w:p>
        </w:tc>
        <w:tc>
          <w:tcPr>
            <w:tcW w:w="1340" w:type="dxa"/>
            <w:vAlign w:val="bottom"/>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-122.3%</w:t>
            </w:r>
          </w:p>
        </w:tc>
        <w:tc>
          <w:tcPr>
            <w:tcW w:w="1600" w:type="dxa"/>
            <w:vAlign w:val="bottom"/>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-146.3%</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Source: FactSet. Calculated as of market close on April 10, 2026, the trading day immediately prior to the Radoff-JEC Group’s submission of its initial non-binding proposal to acquire the Company.</w:t>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Dr. Farokhzad’s leadership from the 2022 to 2025 period, the Company’s revenue growth has been negligible despite over $160 million of cash (nearly $3.00 per share) having been invested in the business. On February 26, 2026, the Company issued guidance for 2026 and the midpoint of the</w:t>
      </w:r>
    </w:p>
    <w:p>
      <w:pPr>
        <w:jc w:val="both"/>
        <w:spacing w:after="0" w:line="239" w:lineRule="auto"/>
        <w:rPr>
          <w:sz w:val="20"/>
          <w:szCs w:val="20"/>
          <w:color w:val="auto"/>
        </w:rPr>
      </w:pPr>
      <w:r>
        <w:rPr>
          <w:rFonts w:ascii="Times New Roman" w:cs="Times New Roman" w:eastAsia="Times New Roman" w:hAnsi="Times New Roman"/>
          <w:sz w:val="18"/>
          <w:szCs w:val="18"/>
          <w:color w:val="auto"/>
        </w:rPr>
        <w:t>revenue range implies only 3% growth or roughly $400,000 in incremental revenue compared to the previous year.</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2026 cash burn to achieve that incremental $400,000 in revenue is expected to exceed $40 million. On May 13, 2026, the Company issued its first quarter 2026 financial results, while the market was generally expecting yet another quarter of substantial operating losses, continued cash burn, negligible topline growth and zero evidence of a path to profitability, Dr. Farokhzad managed to deliver results that were below even those low expectations, as the Company burned $15.7 million in the quarter while achieving revenue of a meager $2.8 million, representing a 34% decrease from the corresponding prior year period.</w:t>
      </w:r>
      <w:r>
        <w:rPr>
          <w:rFonts w:ascii="Times New Roman" w:cs="Times New Roman" w:eastAsia="Times New Roman" w:hAnsi="Times New Roman"/>
          <w:sz w:val="29"/>
          <w:szCs w:val="29"/>
          <w:color w:val="auto"/>
          <w:vertAlign w:val="superscript"/>
        </w:rPr>
        <w:t>4</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Seer’s earnings calls and at investor conferences, Dr. Farokhzad invariably describes his growing confidence in Seer’s value proposition and the overwhelmingly positive feedback he allegedly receives from customers. However, according to Dr. Farokhzad’s own strategic plan disclosed in</w:t>
      </w:r>
    </w:p>
    <w:p>
      <w:pPr>
        <w:jc w:val="both"/>
        <w:spacing w:after="0" w:line="237" w:lineRule="auto"/>
        <w:rPr>
          <w:sz w:val="20"/>
          <w:szCs w:val="20"/>
          <w:color w:val="auto"/>
        </w:rPr>
      </w:pPr>
      <w:r>
        <w:rPr>
          <w:rFonts w:ascii="Times New Roman" w:cs="Times New Roman" w:eastAsia="Times New Roman" w:hAnsi="Times New Roman"/>
          <w:sz w:val="18"/>
          <w:szCs w:val="18"/>
          <w:color w:val="auto"/>
        </w:rPr>
        <w:t>October 2025, he does not expect that Seer will achieve profitability until 2031.</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We also wish to remind stockholders, and the Board, of Dr. Farokhzad’s track record of having destroyed more than $1 billion in investor capital across Seer, BIND Therapeutics, Inc. (formerly NASDAQ:BIND), Selecta Biosciences, Inc. (formerly NASDAQ:SELB), Tarveda Therapeutics, Inc. and Senti Biosciences, Inc. (n/k/a Senti Biosciences Holdings, Inc.; NASDAQ:SNTI).</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each of these cases, the company either went bankrupt or the share price declined more than 90% – or, in some cases,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564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17" w:lineRule="exact"/>
        <w:rPr>
          <w:sz w:val="20"/>
          <w:szCs w:val="20"/>
          <w:color w:val="auto"/>
        </w:rPr>
      </w:pPr>
    </w:p>
    <w:p>
      <w:pPr>
        <w:ind w:right="60" w:firstLine="8"/>
        <w:spacing w:after="0" w:line="195" w:lineRule="auto"/>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price decline from December 4, 2020 through April 10, 2026, the trading day immediately prior to the Radoff-JEC Group’s submission of its initial non-binding proposal to acquire the Company.</w:t>
      </w:r>
    </w:p>
    <w:p>
      <w:pPr>
        <w:spacing w:after="0" w:line="1" w:lineRule="exact"/>
        <w:rPr>
          <w:rFonts w:ascii="Times New Roman" w:cs="Times New Roman" w:eastAsia="Times New Roman" w:hAnsi="Times New Roman"/>
          <w:sz w:val="30"/>
          <w:szCs w:val="30"/>
          <w:color w:val="auto"/>
          <w:vertAlign w:val="superscript"/>
        </w:rPr>
      </w:pPr>
    </w:p>
    <w:p>
      <w:pPr>
        <w:ind w:right="4560"/>
        <w:spacing w:after="0" w:line="19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Company’s Form 10-K for the year ended December 31, 2025 filed on March 2, 2026.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Company’s Q4 and full-year 2025 earnings release filed on February 26, 2026.</w:t>
      </w:r>
    </w:p>
    <w:p>
      <w:pPr>
        <w:spacing w:after="0" w:line="2" w:lineRule="exact"/>
        <w:rPr>
          <w:rFonts w:ascii="Times New Roman" w:cs="Times New Roman" w:eastAsia="Times New Roman" w:hAnsi="Times New Roman"/>
          <w:sz w:val="30"/>
          <w:szCs w:val="30"/>
          <w:color w:val="auto"/>
          <w:vertAlign w:val="superscript"/>
        </w:rPr>
      </w:pPr>
    </w:p>
    <w:p>
      <w:pPr>
        <w:ind w:right="640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Company’s Q1 2026 earnings release filed on May 13, 2026.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 Company’s PRE 14A filed on October 10, 2025.</w:t>
      </w:r>
    </w:p>
    <w:p>
      <w:pPr>
        <w:spacing w:after="0" w:line="1" w:lineRule="exact"/>
        <w:rPr>
          <w:rFonts w:ascii="Times New Roman" w:cs="Times New Roman" w:eastAsia="Times New Roman" w:hAnsi="Times New Roman"/>
          <w:sz w:val="30"/>
          <w:szCs w:val="30"/>
          <w:color w:val="auto"/>
          <w:vertAlign w:val="superscript"/>
        </w:rPr>
      </w:pPr>
    </w:p>
    <w:p>
      <w:pPr>
        <w:spacing w:after="0" w:line="2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Respective company filings and announcements.</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stockholders can afford the risk of letting Dr. Farokhzad’s lengthy and uncertain operating plan unfold. It is clear to us that his continued oversight is not in the best interest of stockholders. Between Seer’s consistent lack of revenue growth, astronomical operating losses, forward guidance for more of the same dismal results, and the increasing competitive and other pressures in its industry, we do not believe Seer will succeed as a public company under the stewardship of the current leadership team. We believe the time for material change in the boardroom, with independent directors who have the experience and skillsets to hold management accountable, is now!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Consistent Discount to Net Cash and Enriching Insiders at Stockholder Expense</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incumbent Board has allowed Seer’s shares to consistently trade at a massive discount to its net cash balance – $92.4 million market capitalization versus $219.5 million in cash and no debt.</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We believe this persistent discount reflects a deep mistrust of the Board and management and is the market’s direct indictment of Seer’s current leadership and business plan. The Board’s own behavior supports our view that Seer will not succeed absent new leadership – no Board member has purchased Seer shares despite the shares trading at a massive discount to the Company’s cash balance for over two years now.</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7"/>
          <w:szCs w:val="17"/>
          <w:color w:val="auto"/>
        </w:rPr>
        <w:t>Further, the Board has consistently diluted stockholders to Dr. Farokhzad’s and other insiders’ benefit – effectively undoing any economic benefits gained under the Company’s recently championed share repurchase program. Despite Seer’s share price consistently valuing the Company at a significant discount to its net cash, the Board has repeatedly issued large grants of restricted stock units (“RSUs”) and in-the-money options to Dr. Farokhzad and President and CFO David Horn. In October 2024, the Board repriced all outstanding employee stock options to $2.00 per share (at that time, net cash per share was $5.24).</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Further, while the Company recently touted that it had repurchased approximately 1.5 million shares of Common Stock during the first</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quarter of 2026, the Company also granted more than 1.6 million RSUs and nearly 1.2 million options during the same period,</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demonstrating the Board’s willingness to continuously dilute stockholders without regard for the Company’s valuation. These actions have almost entirely offset any potential benefits that stockholders could have received from the Company’s share repurchase program.</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Board’s primary job is to supervise and evaluate the CEO. At Seer, Dr. Farokhzad serves as both Chairman and CEO. Rather than hold Dr. Farokhzad accountable for the Company’s unacceptable operating results, the Board has repeatedly enriched Dr. Farokhzad at the apparent</w:t>
      </w:r>
    </w:p>
    <w:p>
      <w:pPr>
        <w:jc w:val="both"/>
        <w:spacing w:after="0" w:line="239" w:lineRule="auto"/>
        <w:rPr>
          <w:sz w:val="20"/>
          <w:szCs w:val="20"/>
          <w:color w:val="auto"/>
        </w:rPr>
      </w:pPr>
      <w:r>
        <w:rPr>
          <w:rFonts w:ascii="Times New Roman" w:cs="Times New Roman" w:eastAsia="Times New Roman" w:hAnsi="Times New Roman"/>
          <w:sz w:val="18"/>
          <w:szCs w:val="18"/>
          <w:color w:val="auto"/>
        </w:rPr>
        <w:t>expense of Seer’s stockholders. From 2021 through 2024, Dr. Farokhzad’s total reported compensation was over $24.9 million.</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His average annual compensation during such period was over $6.2 million or nearly one-third of the revenue that the Company generates each year. It is also notable that his total annual compensation includes amounts the Company reimburses to Dr. Farokhzad for the cost of his commute from his home in Massachusetts to the Company’s headquarters in California. Finally, to add insult to injury, since the Company’s IPO, </w:t>
      </w:r>
      <w:r>
        <w:rPr>
          <w:rFonts w:ascii="Times New Roman" w:cs="Times New Roman" w:eastAsia="Times New Roman" w:hAnsi="Times New Roman"/>
          <w:sz w:val="18"/>
          <w:szCs w:val="18"/>
          <w:b w:val="1"/>
          <w:bCs w:val="1"/>
          <w:u w:val="single" w:color="auto"/>
          <w:color w:val="auto"/>
        </w:rPr>
        <w:t>Dr. Farokhzad has sold over $103 million worth of Seer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29"/>
          <w:szCs w:val="29"/>
          <w:b w:val="1"/>
          <w:bCs w:val="1"/>
          <w:u w:val="single" w:color="auto"/>
          <w:color w:val="auto"/>
          <w:vertAlign w:val="superscript"/>
        </w:rPr>
        <w:t>11</w:t>
      </w:r>
      <w:r>
        <w:rPr>
          <w:rFonts w:ascii="Times New Roman" w:cs="Times New Roman" w:eastAsia="Times New Roman" w:hAnsi="Times New Roman"/>
          <w:sz w:val="18"/>
          <w:szCs w:val="18"/>
          <w:b w:val="1"/>
          <w:bCs w:val="1"/>
          <w:color w:val="auto"/>
        </w:rPr>
        <w:t xml:space="preserve"> In other words, Dr. Farokhzad has personally sold more stock than the Company’s current entire market capitalization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564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645" cy="336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-102235</wp:posOffset>
            </wp:positionV>
            <wp:extent cx="5832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2475" cy="8890"/>
                    </a:xfrm>
                    <a:prstGeom prst="rect">
                      <a:avLst/>
                    </a:prstGeom>
                    <a:noFill/>
                  </pic:spPr>
                </pic:pic>
              </a:graphicData>
            </a:graphic>
          </wp:anchor>
        </w:drawing>
      </w:r>
    </w:p>
    <w:p>
      <w:pPr>
        <w:spacing w:after="0" w:line="218" w:lineRule="exact"/>
        <w:rPr>
          <w:sz w:val="20"/>
          <w:szCs w:val="20"/>
          <w:color w:val="auto"/>
        </w:rPr>
      </w:pPr>
    </w:p>
    <w:p>
      <w:pPr>
        <w:ind w:right="20" w:firstLine="8"/>
        <w:spacing w:after="0" w:line="195"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Market capitalization per FactSet as of market close on May 20, 2026. Cash and cash equivalents, short-term investments and long-term investments as of March 31, 2026 from the Company’s Form 10-Q for the quarter ended March 31, 2026 filed on May 13, 2026.</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Company’s DEF 14A filed on May 28, 2025.</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 Company’s Form 10-Q for the quarter ending March 31, 2026 filed on May 13, 2026.</w:t>
      </w:r>
    </w:p>
    <w:p>
      <w:pPr>
        <w:ind w:right="358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The Company’s DEF 14A filings on April 28, 2022; April 28, 2023; April 26, 2024; and May 28, 2025. </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Form 4 filings made by Dr. Farokhzad.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Oversight of Poor Corporate Governance and Endorsement of Entrenchment Tactics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leadership of Dr. Farokhzad, the Board has, in our view, retained anti-stockholder policies and embraced the use of alarming entrenchment tactics and manipulation of the Company’s corporate machinery. It has become clear to us that the current directors are more concerned about maintaining Dr. Farokhzad’s and their positions under the status quo than addressing the Company’s abysmal performance or providing value to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Seer has adopted and maintained poor corporate governance policies that severely restrict stockholders’ ability to materially or efficiently influence the Board. For instance, under the Company’s governing documents, stockholders are prohibited from taking action by written consent, calling special meetings of stockholders or filling any vacancies that arise on the Board (even if stockholders were to successfully remove directors). These provisions effectively prohibit stockholders’ ability to influence the composition of the Board between annual meetings.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when the Company first became aware of the Radoff-JEC Group, rather than engage constructively with us and address the concerns of some of its largest stockholders, the Board instead chose to focus its time and resources on adopting entrenchment tactics – resources we believe would have been better spent addressing the Company’s value destruction and initiating a comprehensive strategic review process. Specifically, less than a week after we filed our initial Schedule 13D on February 20, 2026, the Company promptly adopted the NOL Pill. We find the Company’s purported tax-related justifications for the NOL Pill’s adoption highly suspect given the timing and provisions of the NOL Pill as initially adopted. The Company’s adoption of the NOL Pill prompted an independent stockholder to initiate the Delaware Action, which led to the Company amending the NOL Pill on March 13, 2026 to render the Delaware Action moot and resulted in the Company paying a $250,000 mootness fee to the plaintiff. In our view, the amendment to the NOL Pill demonstrates that the NOL Pill, as initially adopted, was unlawful and hastily adopted as an entrenchment device to insulate the current directors in advance of a potential contested director election.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also has an apparent history of seeking to manipulate the Company’s corporate machinery to Dr. Farokhzad’s benefit. On October 10, 2025, the Company filed a preliminary proxy statement with the SEC in connection with a proposed special meeting of stockholders, in which the Board requested that stockholders approve the Sunset Extension Amendment, which would have extended the automatic conversion date of the Class B Common Stock from December 9, 2025 to December 9, 2030.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Notably:</w:t>
      </w:r>
    </w:p>
    <w:p>
      <w:pPr>
        <w:spacing w:after="0" w:line="225" w:lineRule="exact"/>
        <w:rPr>
          <w:sz w:val="20"/>
          <w:szCs w:val="20"/>
          <w:color w:val="auto"/>
        </w:rPr>
      </w:pPr>
    </w:p>
    <w:p>
      <w:pPr>
        <w:jc w:val="both"/>
        <w:ind w:left="1620" w:hanging="316"/>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Common Stock was a “super-voting” class of stock, granting the holders unequal voting rights – the holders of the Class B Common Stock were granted ten (10) votes per share, as opposed to the one (1) vote per share granted to holders of the Common Stock;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1620" w:hanging="316"/>
        <w:spacing w:after="0" w:line="295"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 Farokhzad held 88.3% of the then outstanding Class B Common Stock, which afforded him nearly </w:t>
      </w:r>
      <w:r>
        <w:rPr>
          <w:rFonts w:ascii="Times New Roman" w:cs="Times New Roman" w:eastAsia="Times New Roman" w:hAnsi="Times New Roman"/>
          <w:sz w:val="18"/>
          <w:szCs w:val="18"/>
          <w:b w:val="1"/>
          <w:bCs w:val="1"/>
          <w:i w:val="1"/>
          <w:iCs w:val="1"/>
          <w:color w:val="auto"/>
        </w:rPr>
        <w:t>40% of the total voting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12</w:t>
      </w:r>
    </w:p>
    <w:p>
      <w:pPr>
        <w:spacing w:after="0" w:line="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was only after being informed by Nasdaq that the Sunset Extension Amendment would violate Nasdaq’s listing standards that the Board abandoned the Sunset Extension Amendment, which would have extended Dr. Farokhzad’s unequal voting influence for another five years. We believe the initial pursuit of the Sunset Extension Amendment demonstrates that the Board is beholden to Dr. Farokhzad and willing to engage in entrenching actions to help insulate him from being held accountable by stockholders. Notably, Dr. Farokhzad currently appears to possess a little over 8% of the total voting</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power of the Company</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 a significantly lower amount than if the Sunset Extension Amendment had been implemented and Dr. Farokhzad had maintained his “super-voting” shares.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we believe that these poor corporate governance policies and blatant disregard for stockholders’ interests at large have been allowed to persist given the inherent conflict of interest of Dr. Farokhzad serving as both the Chairman and CEO. We strongly believe that separation of the Chairman and CEO roles is in accordance with best corporate governance practices. Indeed, the Board’s primary job is to supervise and evaluate the CEO – this role is inherently more difficult to faithfully and adequately fulfill when the CEO also leads the boardroom.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view, stockholder input on the composition of the Board is the foundation of proper corporate governance and we are extremely disappointed in Seer’s actions that appear to be aimed at limiting fundamental stockholder rights and insulating Dr. Farokhzad from stockholder accountability.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Radoff-JEC Group’s Solution: Independent Highly Qualified Nominees Who Would Bring Additive Experience to Seer’s Boardroom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issues we have summarized and our unsuccessful attempts to engage constructively with the Board regarding our proposals and to enact what we view as much-needed change, we have nominated three independent, highly qualified director candidates to Seer’s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upcoming Annual Meeting will give stockholders the opportunity to hold the incumbent Board accountable for its years of value destruction and poor operating results. Stockholders will be able to elect three new, independent and qualified directors – Howard H. Berman, Joshua S. Horowitz and Luis E. Rinaldini – who bring the requisite public company governance, capital allocation and M&amp;A expertise that we believe is required to rebuild value at Seer and oversee a robust and credible strategic review process for the benefit of all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acknowledge that, as a minority of the Board if elected, there is no guarantee that the Radoff-JEC Nominees will be able to execute measures that they believe are necessary to maximize stockholder value, it is abundantly clear to us that stockholders cannot afford to allow the status quo to persist. With the election of the Radoff-JEC Nominees, stockholders can hold the incumbent directors accountable for years of value destruction and send a clear mandate for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64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34"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Company’s PRE 14A filed on October 10, 2025.</w:t>
      </w:r>
    </w:p>
    <w:p>
      <w:pPr>
        <w:spacing w:after="0" w:line="42" w:lineRule="exact"/>
        <w:rPr>
          <w:rFonts w:ascii="Times New Roman" w:cs="Times New Roman" w:eastAsia="Times New Roman" w:hAnsi="Times New Roman"/>
          <w:sz w:val="28"/>
          <w:szCs w:val="28"/>
          <w:color w:val="auto"/>
          <w:vertAlign w:val="superscript"/>
        </w:rPr>
      </w:pPr>
    </w:p>
    <w:p>
      <w:pPr>
        <w:ind w:right="480" w:firstLine="8"/>
        <w:spacing w:after="0" w:line="199" w:lineRule="auto"/>
        <w:tabs>
          <w:tab w:leader="none" w:pos="195"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Based on the Company’s PREC 14A filed on May 18, 2026 and calculated by deducting the 2,413,207 shares of Common Stock subject to options exercisable within 60 days from Dr. Farokhzad’s reported beneficial ownership.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currently composed of seven (7) directors, each with a term expiring at the Annual Meeting. We are seeking your support at the Annual Meeting to elect our three (3) Radoff-JEC Nominees, Howard H. Berman, Ph.D., Joshua S. Horowitz and Luis E. Rinaldini, for terms ending at the 2027 Annual Meeting. Your vote to elect the Radoff-JEC Nominees will have the legal effect of replacing three (3) incumbent directors of the Company with the Radoff-JEC Nominees. If elected, the Radoff-JEC Nominees will constitute a minority of the Board and there can be no guarantee that the Radoff-JEC Nominees will be able to implement the actions that they believe are necessary to unlock stockholder value. However, we believe the election of the Radoff-JEC Nominees is an important step in the right direction for enhancing value at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three (3) Radoff-JEC Nominees, but also the four (4) Unopposed Company Nominees. We have provided the required notice to the Company pursuant to Rule 14a-19(b) under the Exchange Act, and we intend to solicit the holders of Common Stock representing at least 67% of the voting power of Common Stock entitled to vote on the election of directors in support of director nominees other than the Company’s nominees. There is no assurance that any of the Company’s nominees will serve as a director if any of the Radoff-JEC Nominees are elected to the Board. You should refer to the Company’s proxy statement for the names, backgrounds, qualifications and other information concerning the Company’s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NOMINEES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Radoff-JEC Nominees. The nominations were made in a timely manner and in compliance with the applicable provisions of the Company’s governing instruments. The specific experience, qualifications, attributes and skills that led us to conclude that the Radoff-JEC Nominees should serve as directors of the Company are set forth above in the section entitled “REASONS FOR THE SOLICITATION” and below. This information has been furnished to us by the Radoff-JEC Nominees. Each of Dr. Berman and Mr. Horowitz is a citizen of the United States of America. Mr. Rinaldini is a citizen of the United Kingdom.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Howard H. Berman, Ph.D.</w:t>
      </w:r>
      <w:r>
        <w:rPr>
          <w:rFonts w:ascii="Times New Roman" w:cs="Times New Roman" w:eastAsia="Times New Roman" w:hAnsi="Times New Roman"/>
          <w:sz w:val="18"/>
          <w:szCs w:val="18"/>
          <w:color w:val="auto"/>
        </w:rPr>
        <w:t>, age 52, currently serves as Chief Executive Officer and Chairman of the board of directors of ReAlta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clinical-stage biopharmaceutical company focusing on treatments for inflammation-driven diseases, since March 2026, and where he has also served as Executive Chairman since November 2025. Dr. Berman has also served on the board of directors of Atea Pharmaceuticals, Inc. (NASDAQ: AVIR), a late-stage biopharmaceutical company focused on antiviral drug development, since June 2025. Previously, Dr. Berman served as Executive Chairman and Chairman of the board of directors of Coya Therapeutics, Inc. (NASDAQ: COYA) (“Coya”), a clinical-stage biotechnology company, from November 2024 to April 2026, and where he also served as Chief Executive Officer and Co-Founder of Coya from its founding in March 2020 to November 2024, during which time he led the company’s growth and its initial public offering on NASDAQ. Dr. Berman has over 20 years of entrepreneurial and industry experience at the intersection of science and business. He previously served as Founder and on the board of directors of Imaware Inc., a private company focused on at-home health testing and diagnostics, from 2018 to March 2024. Prior to that, he held roles of increasing responsibility in clinical development and medical affairs at AbbVie Inc., (NYSE: ABBV), a research-based biopharmaceutical company engaging in the research and development and sale of medicines, Eli Lilly and Company (NYSE: LLY), a global medicine company that discovers, develops, manufactures, and markets pharmaceutical products for humans and animals, and Novartis Pharmaceuticals Corporation, (NYSE: NVS), a multinational pharmaceutical corporation, where he contributed to the development and launch of multiple oncology and specialty therapeutics. Dr. Berman began his career at the University of Texas MD Anderson Cancer Center in the technology transfer division where he was responsible for assessing the market, patent, and scientific merits of numerous oncology-based technology platforms in order to ascertain their commercial viability. Dr. Berman received a Bachelors in Biology from the University of Michigan and a Masters and Ph.D. in Neuroscience and Pharmacology from Weill Cornell Medical School.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Dr. Berman’s unique combination of business acumen and scientific credibility, coupled with his experience as a Co-Founder, CEO and Chairman of the board of directors of a public biotechnology company, will make him a valuable addition to the Board.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Joshua S. Horowitz</w:t>
      </w:r>
      <w:r>
        <w:rPr>
          <w:rFonts w:ascii="Times New Roman" w:cs="Times New Roman" w:eastAsia="Times New Roman" w:hAnsi="Times New Roman"/>
          <w:sz w:val="18"/>
          <w:szCs w:val="18"/>
          <w:color w:val="auto"/>
        </w:rPr>
        <w:t>, age 48, has served as Portfolio Manager and Managing Director at various Palm entities since 2012, including currently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Palm Management (US) LLC, a registered investment advisor, where he manages the Palm Global Small Cap Master Fund LP, a long/short value strategy investment partnership focused on small-cap issuers. Prior to that, Mr. Horowitz served as Director of Research at each of Inverlochy Capital, Inc., a value-focused asset management firm, from 2009 to 2011, and Berggruen Holdings LLC, a multi-billion-dollar family office, from 2004 to 2008. Previously, Mr. Horowitz served as Research Analyst at Crossway Partners LP, a value-oriented investment partnership, from 2002 to 2004. Mr. Horowitz has served on the boards of directors of several companies, including: Kingsway Financial Services Inc. (NYSE: KFS), a search fund which acquires and builds profitable, asset-light B2B and B2C service businesses, since March 2025; Barnwell Industries, Inc. (NYSE: BRN), a holding company with diverse investments in oil and gas assets, since February 2023; BK Technologies Corporation (NYSE: BKTI), a manufacturer of high specification communications equipment for use by public safety professionals and government agencies, where he has also served as Chairman, since December 2023, and after serving as an advisor to the board of directors, from November 2021 to December 2023; and Limbach Holdings, Inc. (NASDAQ: LMB), a building systems solution firm, since 2020, where he has also served as Chairman, since June 2024. Previously, Mr. Horowitz served on the board of directors of each of 1347 Property Insurance Holdings, Inc. (NASDAQ: PIH), a property and casualty insurance company, from 2015 to 2018, Minim, Inc. (NASDAQ: MINM) (f/k/a Zoom Telephonics, Inc.), a designer, producer, and marketer of telecom products, from 2020 to November 2022; NeuroMetrix, Inc. (formerly NASDAQ: NURO), a commercial stage healthcare company combining bioelectrical and digital medicine to address chronic health conditions, from April 2024 until its merger with electroCore, Inc. (NASDAQ: ECOR) in May 2025; and Insurance Income Strategies, Inc., an investor in index-based or parametric insurance linked securities, from 2017 to September 2021. Mr. Horowitz also served as a Board Observer at Biomerica, Inc. (NASDAQ: BMRA), a biomedical company that develops, patents, manufactures and markets advanced diagnostic and therapeutic products, in 2020. Mr. Horowitz earned a B.S. in Management,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from Binghamton University and studied at the Bath School of Management in the United Kingdom. He also earned a NACD CERT Certificate in Cyber-Risk Oversight, issued by Carnegie Mellon University.</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Horowitz’s extensive private and public company board service experience across a wide range of industries, coupled with his financial, investment management, capital markets and corporate governance expertise, would make him a valuable addition to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Luis E. Rinaldini</w:t>
      </w:r>
      <w:r>
        <w:rPr>
          <w:rFonts w:ascii="Times New Roman" w:cs="Times New Roman" w:eastAsia="Times New Roman" w:hAnsi="Times New Roman"/>
          <w:sz w:val="18"/>
          <w:szCs w:val="18"/>
          <w:color w:val="auto"/>
        </w:rPr>
        <w:t>, age 72, has served as Founder and Chief Executive Officer of Groton Partners LLC (“Groton Partners”), a merchant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since 2002. Prior to founding Groton Partners, Mr. Rinaldini served as Vice Chairman and Global Head of Telecom Mergers &amp; Acquisitions at Credit Suisse First Boston from 2001 to 2002. Mr. Rinaldini also served in various positions of increasing seniority during his 21 years of service at Lazard Frères</w:t>
      </w:r>
    </w:p>
    <w:p>
      <w:pPr>
        <w:jc w:val="both"/>
        <w:ind w:firstLine="8"/>
        <w:spacing w:after="0" w:line="25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(“Lazard”), an independent investment bank and subsidiary of Lazard, Inc. (NYSE: LAZ), including as a member of the Executive Committee and as Senior Managing Director responsible for the firm’s Telecom Group and Latin American practice. Mr. Rinaldini joined Lazard in 1980 and became a Managing Director in 1985. Mr. Rinaldini began his career as an architect working in the office of Philip Johnson, one of the most influential American architects of the 20th century, from 1974 to 1978. Mr. Rinaldini previously served on the board of directors of Acacia Research Corporation (NASDAQ: ACTG), an acquirer and operator of private and public businesses focused on the industrial, energy and technology sectors, from 2019 to 2020. Mr. Rinaldini earned a B.S.E in Civil Engineering from Princeton University and received an M.B.A. from Harvard Business School as a Baker Scholar.</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Rinaldini’s extensive experience in finance and investment banking and significant track record in overseeing complex and high-value transactions, coupled with his significant leadership experience, would make him a valuable addition to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Berman’s principal business address is 12828 Willow Centre Drive, Suite D #319, Houston, Texas 77006. Mr. Horowitz’s principal business address is 93 Pantigo Road, East Hampton, New York 11937. Mr. Rinaldini’s principal business address is 638 Magnolia Street SE, Aiken, South Carolina 29801.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none of the Radoff-JEC Nominees beneficially own any securities of the Company nor have they entered into any transactions in the securities of the Company during the past two years.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Radoff-JEC Nominee may be deemed to be a member of a “group” with the other Participants for the purposes of Section 13(d)(3) of the Exchange Act, and such group may be deemed to beneficially own the 4,277,528 shares of Common Stock beneficially owned in the aggregate by all of the Participants.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Participant disclaims beneficial ownership of the shares of Common Stock that he or it does not directly own.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12, 2026, (a) Radoff, (b) JEC and (c) the Radoff-JEC Nominees entered into an amended and restated group agreement (the “Group Agreement”) in connection with the Annual Meeting pursuant to which, among other things, (i) that certain group agreement, dated February 20, 2026, between Radoff and JEC was superseded in its entirety, (ii) the parties agreed to the joint filing on behalf of each of them of statements on Schedule 13D with respect to the securities of the Company to the extent required by applicable law, (iii) the parties agreed to solicit proxies for the election of certain persons nominated for election to the Board at the Annual Meeting (including those nominated by or on behalf of Radoff or JEC), (iv) the parties agreed not to transact in securities of the Company without the prior written consent of Radoff and JEC for so long as the NOL Pill remains in effect; provided, that each Radoff-JEC Nominee further agreed not to enter into any transactions in the securities of the Company without the prior written consent of Radoff and JEC notwithstanding any potential termination of the NOL Pill and (v) Radoff and JEC agreed to jointly pay all expenses and costs (including all legal fees) incurred in connection with the group’s activities on a pro rata basis based on the number of shares of the Company beneficially owned in the aggregate by such party.</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Radoff-JEC Nominees has granted Mr. Radoff a power of attorney to execute certain SEC filings and other documents in connection with the solicitation of proxies at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Radoff-JEC Group believes that each Radoff-JEC Nominee presently is, and if elected as a director of the Company, each of the Radoff-JEC Nominees would qualify as, an “independent director” within the meaning of (i) applicable NASDAQ listing standards applicable to board composition, including NASDAQ Listing Rule 5605(a)(2), and (ii) Section 301 of the Sarbanes-Oxley Act of 2002. Notwithstanding the foregoing, the Radoff-JEC Group acknowledges that no director of a NASDAQ listed company qualifies as “independent” under the NASDAQ listing standards unless the board of directors affirmatively determines that such director is independent under such standards. Accordingly, the Radoff-JEC Group acknowledges that if any Radoff-JEC Nominee is elected, the determination of such Radoff-JEC Nominee’s independence under the NASDAQ listing standards ultimately rests with the judgment and discretion of the Board. No Radoff-JEC Nominee is a member of the Company’s compensation, nominating or audit committee that is not independent under any such committee’s applicable independence standards.</w:t>
      </w:r>
    </w:p>
    <w:p>
      <w:pPr>
        <w:spacing w:after="0" w:line="2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Radoff-JEC Nominee has been convicted in a criminal proceeding (excluding traffic violations or similar misdemeanors); (ii) no Radoff-JEC Nominee directly or indirectly beneficially owns any securities of the Company; (iii) no Radoff-JEC Nominee owns any securities of the Company which are owned of record but not beneficially; (iv) no Radoff-JEC Nominee has purchased or sold any securities of the Company during the past two years; (v) no part of the purchase price or market value of the securities of the Company owned by any Radoff-JEC Nominee is represented by funds borrowed or otherwise obtained for the purpose of acquiring or holding such securities; (vi) no Radoff-JEC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Radoff-JEC Nominee owns beneficially, directly or indirectly, any securities of the Company; (viii) no Radoff-JEC Nominee owns beneficially, directly or indirectly, any securities of any parent or subsidiary of the Company; (ix) no Radoff-JEC Nominee or any of his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Radoff-JEC Nominee or any of his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2" w:lineRule="exact"/>
        <w:rPr>
          <w:sz w:val="20"/>
          <w:szCs w:val="20"/>
          <w:color w:val="auto"/>
        </w:rPr>
      </w:pPr>
    </w:p>
    <w:p>
      <w:pPr>
        <w:jc w:val="both"/>
        <w:ind w:firstLine="8"/>
        <w:spacing w:after="0" w:line="251"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Radoff-JEC Nominee has a substantial interest, direct or indirect, by securities holdings or otherwise in any matter to be acted on at the Annual Meeting; (xii) no Radoff-JEC Nominee holds any positions or offices with the Company; (xiii) no Radoff-JEC Nominee has a family relationship with any director, executive officer, or person nominated or chosen by the Company to become a director or executive officer; (xiv) no companies or organizations, with which any of the Radoff-JEC Nominees has been employed in the past five years, is a parent, subsidiary or other affiliate of the Company and (xv) there are no material proceedings to which any Radoff-JEC Nominee or any of his associates is a party adverse to the Company or any of its subsidiaries or has a material interest adverse to the Company or any of its subsidiaries. Except as disclosed herein, with respect to each of the Radoff-JEC Nominees, (a) none of the events enumerated in Item 401(f)(1)-(8) of Regulation S-K of the Exchange Act (“Regulation S-K”) occurred during the past 10 years, (b) there are no relationships involving any Radoff-JEC Nominee or any of such Radoff-JEC Nominee’s associates that would have required disclosure under Item 407(e)(4) of Regulation S-K had such Nominee been a director of the Company, and (c) none of the Radoff-JEC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between or among the Radoff-JEC Group, the Radoff-JEC Nominees, or any other person or persons pursuant to which the nomination of the Radoff-JEC Nominees described herein is to be made, other than the consent by each of the Radoff-JEC Nominees to be named as a nominee of Mr. Radoff in any proxy statement and form of proxy relating to the Annual Meeting and serving as a director of the Company if elected. None of the Radoff-JEC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Radoff-JEC Nominees will be unable to stand for election, but, in the event any Radoff-JEC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or applicable law. In addition, we reserve the right to nominate substitute person(s) if the Company makes or announces any changes to the Bylaws or takes or announces any other action that has, or if consummated would have, the effect of disqualifying any Radoff-JEC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that is not prohibited under Seer’s organizational documents and applicable law, if the Company increases the size of the Board above its existing size.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Radoff-JEC Group and Seer will each be using a universal proxy card for voting on the election of directors at the Annual Meeting, which will include the names of all nominees for election to the Board. Each of the Radoff-JEC Nominees has consented to being named as a nominee of Mr. Radoff in any proxy statement and form of proxy relating to the Annual Meeting and to serving as a director of the Company if elected.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the Radoff-JEC Nominees may do so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blue proxy card or voting instruction form, regardless of how you wish to vote</w:t>
      </w:r>
      <w:r>
        <w:rPr>
          <w:rFonts w:ascii="Times New Roman" w:cs="Times New Roman" w:eastAsia="Times New Roman" w:hAnsi="Times New Roman"/>
          <w:sz w:val="18"/>
          <w:szCs w:val="18"/>
          <w:color w:val="auto"/>
        </w:rPr>
        <w:t xml:space="preserve">. The Radoff-JEC Group urges stockholders to vote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the Unopposed Company Nominees, who we believe are sufficiently qualified to serve as directors, to help achieve a Board composition that we believe is in the best interest of all stockholders. Certain information about the Unopposed Company Nominees is set forth in the Company’s proxy statement. The Radoff-JEC Group is not responsible for the accuracy of any information provided by or relating to Seer or its nominees contained in any proxy solicitation materials filed or disseminated by, or on behalf of, Seer or any other statements that Seer or its representatives have made or may otherwise make.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NO DIRECTION IS INDICATED WITH RESPECT TO HOW YOU WISH TO VOTE YOUR SHARES, THE PROXIES NAMED THEREIN WILL VOTE SUCH SHARES “FOR” THE THREE (3) RADOFF-JEC NOMINEES AND THE FOUR (4) UNOPPOSED COMPANY NOMINEES.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SEVEN (7) “FOR” BOXES WITH RESPECT TO THE ELECTION OF DIRECTORS, ALL OF YOUR VOTES FOR THE ELECTION OF DIRECTORS WILL BE DEEMED INVALID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080" w:right="320" w:hanging="310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STRONGLY URGE YOU TO VOTE “FOR” THE ELECTION OF THE RADOFF-JEC NOMINEES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Company’s audit committee has appointed Deloitte, an independent registered public accounting firm, to audit the Company’s financial statements for the Company’s fiscal year ending December 31, 2026. Deloitte has served as the Company’s independent registered public accounting firm since 2018.</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As disclosed in the Company’s proxy statement, at the Annual Meeting, the Company’s stockholders are being asked to ratify the appointment of Deloitte as the Company’s independent registered public accounting firm for the Company’s fiscal year ending December 31, 2026. Stockholder ratification of the appointment of Deloitte is not required by the Bylaws or other applicable legal requirements. However, the Board is submitting the appointment of Deloitte to the Company’s stockholders for ratification as a matter of good corporate governance. In the event that this appointment is not ratified by the stockholders, such appointment will be reconsidered by the Company’s audit committee. Even if the appointment is ratified, the Company’s audit committee, in its sole discretion, may appoint another independent registered public accounting firm at any time during the Company’s fiscal year ending December 31, 2026 if the Company’s audit committee believes that such a change would be in the best interests of the Company and its stockholders.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approval of the ratification of the appointment of Deloitte as the Company’s independent registered public accounting firm for the Company’s fiscal year ending December 31, 2026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79" w:lineRule="exact"/>
        <w:rPr>
          <w:sz w:val="20"/>
          <w:szCs w:val="20"/>
          <w:color w:val="auto"/>
        </w:rPr>
      </w:pPr>
    </w:p>
    <w:p>
      <w:pPr>
        <w:jc w:val="center"/>
        <w:ind w:left="340"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APPOINTMENT OF DELOITTE AS THE COMPANY’S INDEPENDENT REGISTERED PUBLIC ACCOUNTING FIRM, AND INTEND TO VOTE OUR SHARES “FOR” THIS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NAMED 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 is requesting that stockholders approve, on a non-binding advisory basis, the compensation of the Company’s named executive officers disclosed in the Summary Compensation table and the related compensation tables, notes and narrative in the Company’s proxy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encourages stockholders to read the Summary Compensation table and the related compensation tables, notes and narrative in the Company’s proxy statement, which describes the details of the Company’s executive compensation program and the decisions made by the talent and compensation committee in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are being asked to approve the following resolution at the Annual Meeting: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as disclosed in this proxy statement pursuant to the SEC’s executive compensation disclosure rules, which disclosure includes the compensation tables and the narrative disclosures that accompany the compensation tables, is hereby approved.”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the immense destruction of stockholder value overseen by the current leadership team, as more fully explained in the “Reasons for the Solicitation” section above, we do not believe that pay and performance are adequately aligned. Accordingly, we intend to vote AGAINST this proposal and recommend that our fellow stockholders do the same.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the non-binding advisory approval of named executive officer compensation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the Board or the Company.</w:t>
      </w:r>
    </w:p>
    <w:p>
      <w:pPr>
        <w:spacing w:after="0" w:line="179"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NON-BINDING ADVISORY APPROVAL OF NAMED EXECUTIVE OFFICER COMPENSATION, AND INTEND TO VOTE OUR SHARES “AGAINST” THIS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TAX BENEFIT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further detail in the Company’s proxy statement, the Board adopted the NOL Pill on February 26, 2026. At the Annual Meeting, the Board is asking stockholders to ratify the NOL Pill so that it may remain in effect through February 25, 2029, unless earlier terminated by the Board. The full text of the NOL Pill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Company’s proxy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further discussed in the “Reasons for the Solicitation” section above, we believe that the Company’s adoption of the NOL Pill was designed to insulate the current Board and to deter or gain an unfair advantage in a proxy contest. We believe that the NOL Pill was implemented in order to thwart stockholders from acquiring 4.9% or more of the shares of Common Stock, despite the Board's purported tax-related justifications. Therefore, we are recommending that stockholders vote AGAINST the ratification of the NOL Pill.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approval of the ratification of the NOL Pill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(as defined in the NOL Pill) at the time of the vote on Proposal No. 4, any vote cast by an Acquiring Person or its affiliates or associates will be excluded from the tabulation.</w:t>
      </w:r>
    </w:p>
    <w:p>
      <w:pPr>
        <w:spacing w:after="0" w:line="18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RATIFICATION OF THE NOL PILL AND INTEND TO VOTE OUR SHARES “AGAINST” THIS PROPOSAL.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notice of and to vote at the Annual Meeting. Stockholders who sell their shares of Common Stock before the Record Date (or acquire them without voting rights after the Record Date) may not vote such shares of Common Stock. Stockholders of record on the Record Date will retain their voting rights in connection with the Annual Meeting even if they sell such shares of Common Stock after the Record Date. Based on publicly available information, the Radoff-JEC Group believes that the only outstanding class of securities of the Company entitled to vote at the Annual Meeting is the Common Stock.</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the Company’s independent registered public accounting firm for the Company’s fiscal year ending December 31, 2026,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non-binding advisory vote to approve named executive officer compensation,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ratification of the NOL Pill.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disclosed that seven (7) candidates will be elected to the Board at the Annual Meeting. We are soliciting proxies to elect not only the three (3) Radoff-JEC Nominees, but also the four (4) Unopposed Company Nominees. The Radoff-JEC Group and Seer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the Radoff-JEC Nominees may do so on the Radoff-JEC Group’s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w:t>
      </w:r>
      <w:r>
        <w:rPr>
          <w:rFonts w:ascii="Times New Roman" w:cs="Times New Roman" w:eastAsia="Times New Roman" w:hAnsi="Times New Roman"/>
          <w:sz w:val="18"/>
          <w:szCs w:val="18"/>
          <w:b w:val="1"/>
          <w:bCs w:val="1"/>
          <w:color w:val="auto"/>
        </w:rPr>
        <w:t xml:space="preserve"> There is no need to use the Company’s blue proxy card or voting instruction form, regardless of how you wish to vote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Unopposed Company Nominees – who we believe are sufficiently qualified to serve as directors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more of the Radoff-JEC Nominees to be elected to the Board.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provides the best opportunity for stockholders to elect all of the Radoff-JEC Nominees and achieve the best Board composition overall. The Radoff-JEC Group therefore urges stockholders to use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three (3)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four (4) Unopposed Company Nominees.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Radoff-JEC Group Shares in favor of the election of each of the Radoff-JEC Nominees and the Unopposed Company Nominees, we reserve the right to vote some or all of the Radoff-JEC Group Shares as we see fit, in order to achieve a Board composition that we believe is in the best interest of all stockholders. We would only intend to vote some or all of the Radoff-JEC Group Shares in a different manner than what we are otherwise recommending in the event it were to become apparent to us, based on the projected voting results at such time, that less than all of the Radoff-JEC Nominees would be elected at the Annual Meeting and that by voting the Radoff-JEC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THIS PROXY IS SIGNED AND NO DIRECTION IS INDICATED WITH RESPECT TO HOW YOU WISH TO VOTE YOUR SHARES, THE PROXIES NAMED THEREIN WILL VOTE SUCH SHARES “FOR” THE RADOFF-JEC NOMINEES AND THE UNOPPOSED COMPANY NOMINEES. IMPORTANTLY, IF YOU MARK MORE THAN SEVEN (7)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it to be properly held under the Bylaws and Delaware law. According to the Company’s proxy statement, the holders of a majority of the voting power of the capital stock of the Company issued and outstanding and entitled to vote, present in person or represented by proxy, constitutes a quorum for the transaction of business at the Annual Meeting. Abstentions and withhold votes are counted as shares present and entitled to vote for purposes of determining a quorum. The Company has further disclosed that if a quorum is not present or represented at the Annual Meeting,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stockholder meeting, but the beneficial owner of the shares fails to provide the broker with specific instructions on how to vote on any “non-routine” matters brought to a vote at the stockholder meeting. Under the rules governing brokers’ discretionary authority, if a stockholder receives proxy materials from or on behalf of both us and the Company, then brokers holding shares in such stockholder’s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No. 2 (ratification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each director is elected by a plurality of the voting power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 person or represented by proxy at the Annual Meeting and entitled to vote on the election of directors. You may vote (i) “FOR” for a director nominee or (ii) “WITHHOLD” for a director nominee.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It is not possible to vote to abstain on the election of a nominee.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 According to the Company’s proxy statement, approval of the ratification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Deloitte as the Company’s independent registered public accounting firm for the Company’s fiscal year ending December 31, 2026 requires the affirmative “For” vote of the majority of the voting power of the shares of the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Non-binding Advisory Vote to Approve Named Executive Officer Compensation </w:t>
      </w:r>
      <w:r>
        <w:rPr>
          <w:rFonts w:ascii="Times New Roman" w:cs="Times New Roman" w:eastAsia="Times New Roman" w:hAnsi="Times New Roman"/>
          <w:sz w:val="18"/>
          <w:szCs w:val="18"/>
          <w:color w:val="auto"/>
        </w:rPr>
        <w:t>─ According to the Company’s proxy statement, the non-binding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approval of named executive officer compensation requires the affirmative “For” vote of the majority of the voting power of the shares of the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the Board or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Ratification of NOL Pill </w:t>
      </w:r>
      <w:r>
        <w:rPr>
          <w:rFonts w:ascii="Times New Roman" w:cs="Times New Roman" w:eastAsia="Times New Roman" w:hAnsi="Times New Roman"/>
          <w:sz w:val="18"/>
          <w:szCs w:val="18"/>
          <w:color w:val="auto"/>
        </w:rPr>
        <w:t>─ According to the Company’s proxy statement, approval of the ratification of the NOL Pill requires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at the time of the vote on Proposal No. 4, any vote cast by an Acquiring Person or its affiliates or associates will be excluded from the tabulation.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Delaware law, none of the holders of Common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Radoff-JEC Group’s recommendations specified therein and in accordance with the discretion of the persons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respect to any other matters that may be voted upon at the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exercise by attending the Annual Meeting and voting in person (although attendance at the Annual Meeting will not in and of itself constitute revocation of a proxy) or by delivering a written notice of revocation. The delivery of a written revocation or a subsequently dated proxy which is properly completed will constitute a revocation of any earlier proxy. The revocation may be delivered either to the Radoff-JEC Group in care of Saratoga at the address set forth on the back cover of this Proxy Statement or to the Secretary of the Company at the Company’s principal executive offices located at 3800 Bridge Parkway, Suite 102, Redwood City, California 94065, or any other address provided by the Company. Although a revocation is effective if delivered to the Company, we request that either the original or photostatic copies of all revocations be mailed to the Radoff-JEC Group in care of Saratoga at the address set forth on the back cover of this Proxy Statement so that we will be aware of all revocations and can more accurately determine if and when proxies have been received from the holders of record on the Record Date of a majority of the outstanding shares of Common Stock. Additionally, Saratoga may use this information to contact stockholders who have revoked their proxies in order to solicit later dated proxies for the election of the Radoff-JEC Nominees.</w:t>
      </w:r>
    </w:p>
    <w:p>
      <w:pPr>
        <w:spacing w:after="0" w:line="190" w:lineRule="exact"/>
        <w:rPr>
          <w:sz w:val="20"/>
          <w:szCs w:val="20"/>
          <w:color w:val="auto"/>
        </w:rPr>
      </w:pPr>
    </w:p>
    <w:p>
      <w:pPr>
        <w:jc w:val="both"/>
        <w:ind w:left="400" w:right="360" w:hanging="32"/>
        <w:spacing w:after="0" w:line="317" w:lineRule="auto"/>
        <w:rPr>
          <w:sz w:val="20"/>
          <w:szCs w:val="20"/>
          <w:color w:val="auto"/>
        </w:rPr>
      </w:pPr>
      <w:r>
        <w:rPr>
          <w:rFonts w:ascii="Times New Roman" w:cs="Times New Roman" w:eastAsia="Times New Roman" w:hAnsi="Times New Roman"/>
          <w:sz w:val="17"/>
          <w:szCs w:val="17"/>
          <w:b w:val="1"/>
          <w:bCs w:val="1"/>
          <w:color w:val="auto"/>
        </w:rPr>
        <w:t>IF YOU WISH TO VOTE FOR THE ELECTION OF THE RADOFF-JEC NOMINEES TO THE BOARD, PLEASE SIGN, DATE AND RETURN PROMPTLY THE ENCLOSED WHITE UNIVERSAL PROXY CARD IN THE POSTAGE-PAID ENVELOPE PROVIDED.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Radoff-JEC Group. Proxies may be solicited by mail, facsimile, telephone, Internet, in person and by advertisements.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Radoff-JEC Group has entered into an agreement with Saratoga for solicitation and advisory services in connection with this solicitation, for which Saratoga will receive a fee not to exceed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together with reimbursement for its reasonable out-of-pocket expenses, and will be indemnified against certain liabilities and expenses, including certain liabilities under the federal securities laws. The Radoff-JEC Group will solicit proxies from individuals, brokers, banks, bank nominees and other institutional holders. The Radoff-JEC Group has requested banks, brokerage houses and other custodians, nominees and fiduciaries to forward all solicitation materials to the beneficial owners of the shares of Common Stock they hold of record. The Radoff-JEC Group will reimburse these record holders for their reasonable out-of-pocket expenses in so doing. In addition, directors, officers, members and certain other employees of the members of the Radoff-JEC Group may solicit proxies as part of their duties in the normal course of their employment without any additional compensation. The Radoff-JEC Nominees may make solicitations of proxies but, except as described herein, will not receive compensation for acting as director nominees. It is anticipated that Saratoga will employ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persons to solicit stockholders for the Annual Meeting.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Radoff-JEC Group. Costs of this solicitation of proxies are currently estimated to be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(including, but not limited to, fees for attorneys, solicitors and other advisors, and other costs incidental to the solicitation). The Radoff-JEC Group estimates that through the date hereof its expenses in connection with this solicitation are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 the extent legally permissible, if the Radoff-JEC Group is successful in its proxy solicitation, the Radoff-JEC Group intends to seek reimbursement from the Company for the expenses it incurs in connection with this solicitation. The Radoff-JEC Group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in this solicitation are Mr. Radoff, Radoff Foundation, JEC II, MOS Trust, MOS PTC, Mr. Torok and the Radoff-JEC Nominees.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each of Mr. Radoff and Radoff Foundation is 2727 Kirby Drive, Unit 29L, Houston, Texas 77098. The principal business address of each of JEC II and Mr. Torok is 68 Mazzeo Drive, Randolph, Massachusetts 02368. The principal business address of each of MOS Trust and MOS PTC is 270 W. Pearl, Suite 103, Jackson, Wyoming 83001.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Radoff Foundation is a Texas non-profit corporation. JEC II is a Delaware limited liability company. MOS Trust is a trust formed under the laws of the state of Wyoming. MOS PTC is a Wyoming limited liability company. Each of Messrs. Radoff and Torok is a citizen of the United States of America.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business of Radoff Foundation is serving charitable purposes. The principal occupation of Mr. Radoff is serving as a private investor. Mr. Radoff also serves as a director of Radoff Foundation. The principal business of JEC II is investing in securities. The principal business of MOS Trust is investing in securities. The principal business of MOS PTC is serving as the trustee of MOS Trust. The principal occupation of Mr. Torok is serving as the Manager of JEC II. Mr. Torok also serves as a Manager of MOS PTC.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4,277,528 shares of Common Stock beneficially owned in the aggregate by all of the Participants. Each Participant disclaims beneficial ownership of the shares of Common Stock that he or it does not directly own.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shares of Common Stock purchased by Radoff Foundation, JEC II and MOS Trust were purchased with working capital. The shares of Common Stock purchased by Messrs. Radoff and Torok were purchased with personal funds. The shares of Common Stock held by Mr. Radoff, JEC II, MOS Trust and Mr. Torok are held in the ordinary course of business with other investment securities held by such persons in co-mingled margin accounts with a prime broker, which prime broker may, from time to time, extend margin credit to such persons subject to applicable federal margin regulations, stock exchange rules and credit policies. Because other securities are held in the margin accounts, it is not possible to determine the amounts, if any, of margin used to purchase the shares of Common Stock owned by such persons.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or its associates is a party adverse to the Company or any of its subsidiaries or has a material interest adverse to the Company or any of its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Radoff-JEC Group is unaware of any other matters to be considered at the Annual Meeting. However, should other matters, which the Radoff-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JEC Group is not aware of a reasonable time before this solicitation, be brought before the Annual Meeting, the persons named as proxies on the enclosed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 will vote on such matters in their discretion.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the knowledge of the Radoff-JEC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 You should not assume that the information contained in this Proxy Statement is accurate as of any date other than such date, and the mailing of this Proxy Statement to stockholders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stockholders may present proper proposals for inclusion in the Company’s proxy statement and for consideration at next year’s annual meeting of stockholders by submitting their proposals in writing to the Company’s President and Chief Financial Officer in a timely manner. For a stockholder proposal to be considered for inclusion in the Company’s proxy statement for the 2027 Annual Meeting, the Company’s President and Chief Financial Officer must receive the written proposal at the Company’s principal executive office not later than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2027. In addition, stockholder proposals must comply with the requirements of Rule 14a-8 under the Exchange Act, regarding the inclusion of stockholder proposals in company-sponsored proxy materials. Stockholder proposals should be addressed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Bylaws also establish an advance notice procedure for stockholders who wish to present a proposal before an annual meeting of stockholders but do not intend for the proposal to be included in the Company’s proxy statement. The Bylaws provide that the only business that may be conducted at an annual meeting is business that is (i) specified in the Company’s proxy materials with respect to such meeting, (ii) otherwise properly brought before the annual meeting by or at the direction of the Board, or (iii) properly brought before the annual meeting by a stockholder of record entitled to vote at the annual meeting who has delivered timely written notice to the Company’s President and Chief Financial Officer, which notice must contain the information specified in the Bylaws. To be timely for the 2027 Annual Meeting, the Company’s President and Chief Financial Officer must receive the written notice at the Company’s principal executive office:</w:t>
      </w:r>
    </w:p>
    <w:p>
      <w:pPr>
        <w:spacing w:after="0" w:line="189" w:lineRule="exact"/>
        <w:rPr>
          <w:sz w:val="20"/>
          <w:szCs w:val="20"/>
          <w:color w:val="auto"/>
        </w:rPr>
      </w:pPr>
    </w:p>
    <w:p>
      <w:pPr>
        <w:ind w:left="760" w:hanging="10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8:00 a.m., Pacific Time, on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2027; and</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5:00 p.m., Pacific Time, on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Company holds the 2027 Annual Meeting more than 25 days from the one-year anniversary of the date of the Annual Meeting, then notice of a stockholder proposal that is not intended to be included in the Company’s proxy statement must be received no earlier than 5:00 p.m., Pacific Time on the 120th day before such annual meeting and no later than 5:00 p.m., Pacific Time on the later of the following two dates:</w:t>
      </w:r>
    </w:p>
    <w:p>
      <w:pPr>
        <w:spacing w:after="0" w:line="176" w:lineRule="exact"/>
        <w:rPr>
          <w:sz w:val="20"/>
          <w:szCs w:val="20"/>
          <w:color w:val="auto"/>
        </w:rPr>
      </w:pPr>
    </w:p>
    <w:p>
      <w:pPr>
        <w:ind w:left="760" w:hanging="10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the Company of his, her or its intention to present a proposal at an annual meeting does not appear to present his, her or its proposal at such annual meeting, the Company is not required to present the proposal for a vote at such annual meeting.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Bylaws permit stockholders to nominate directors for election at an annual meeting of stockholders. To nominate a director, the stockholder must provide the information required by the Bylaws. In addition, the stockholder must give timely notice to the Company’s President and Chief Financial Officer in accordance with the Bylaws, which, in general, require that the notice be received by the Company’s President and Chief Financial Officer within the time period described above under “Stockholder Proposals” for stockholder proposals that are not intended to be included in a proxy statement.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of the Bylaws, including the earlier notice deadlines set forth above and therein, to comply with universal proxy rules, stockholders who intend to solicit proxies in support of director nominees (other than the Company’s nominees) must also provide notice that sets forth the information required by Rule 14a-19 of the Exchange Act, no later than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Stockholders who, among other things, hold continuously (i) at least $2,000 in market value of the outstanding shares of the Common Stock for at least three years prior to the date of the submission of the recommendation or nomination, (ii) at least $15,000 in market value of the outstanding shares of Common Stock for at least two years prior to the date of the submission of the recommendation or nomination, or (iii) at least $25,000 in market value of the outstanding shares of Common Stock for at least one year prior to the date of the submission of the recommendation or nomination may propose director candidates for consideration by the Company’s corporate governance and nominating committee. Any such recommendations should include the nominee’s name and qualifications for membership on the Board and should be directed to the Company’s President and Chief Financial Officer at the address set forth above. For additional information regarding stockholder recommendations for director candidates, see the section titled “Board of Directors and Corporate Governance—Stockholder Recommendations for Nominations to the Board of Directors” of the Company’s proxy statement.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2027 Annual Meeting is based on information contained in the Company’s proxy statement and the Bylaws. The incorporation of this information in this Proxy Statement should not be construed as an admission by the Radoff-JEC Group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STOCKHOLDERS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STOCKHOLDERS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please vote to elect the Radoff-JEC Nominees by marking, signing, dating and mailing the enclosed WHITE universal proxy card promptly.</w:t>
      </w:r>
    </w:p>
    <w:p>
      <w:pPr>
        <w:spacing w:after="0" w:line="15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40" w:top="576" w:right="5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1400" w:type="dxa"/>
            <w:vAlign w:val="bottom"/>
          </w:tcPr>
          <w:p>
            <w:pPr>
              <w:spacing w:after="0"/>
              <w:rPr>
                <w:sz w:val="24"/>
                <w:szCs w:val="24"/>
                <w:color w:val="auto"/>
              </w:rPr>
            </w:pPr>
          </w:p>
        </w:tc>
        <w:tc>
          <w:tcPr>
            <w:tcW w:w="38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Securities Acquired/(Disposed)</w:t>
            </w:r>
          </w:p>
        </w:tc>
        <w:tc>
          <w:tcPr>
            <w:tcW w:w="30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r>
      <w:tr>
        <w:trPr>
          <w:trHeight w:val="412"/>
        </w:trPr>
        <w:tc>
          <w:tcPr>
            <w:tcW w:w="10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05/23/2024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05/31/2024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(60,000)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(60,000)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06/21/2024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06/24/2024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06/26/2024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(84,000)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08/05/2024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81,000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08/06/2024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(162,000)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09/18/2024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200,000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09/27/2024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3,603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36,397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10/30/2024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11/07/2024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11/22/2024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12/02/2024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12/12/2024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12/13/2024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12/19/2024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12/20/2024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41,614</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38,386</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12/30/2024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12/31/2024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01/06/2025</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01/08/2025</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52,913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01/10/2025</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01/13/2025</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01/16/2025</w:t>
            </w:r>
          </w:p>
        </w:tc>
        <w:tc>
          <w:tcPr>
            <w:tcW w:w="112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576"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17,087</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01/30/2025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01/31/2025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02/06/2025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54,400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109,600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02/20/2025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98,837</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93,179</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156,984</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03/10/2025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03/12/2025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34,100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03/31/2025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04/15/2025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(1,645)</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(3,355)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(78,994)</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3,994</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(30,805)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(15,595)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04/29/2025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(46,800)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(55,147)</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(87,853)</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05/02/2025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05/16/2025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2,619</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05/19/2025</w:t>
            </w:r>
          </w:p>
        </w:tc>
      </w:tr>
    </w:tbl>
    <w:p>
      <w:pPr>
        <w:sectPr>
          <w:pgSz w:w="11900" w:h="16838" w:orient="portrait"/>
          <w:cols w:equalWidth="0" w:num="1">
            <w:col w:w="11240"/>
          </w:cols>
          <w:pgMar w:left="320" w:top="121" w:right="3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52,381</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05/22/2025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137,400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(6,645,000)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06/10/2025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06/13/2025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(52,829)</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796</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06/26/2025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17,847</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1,008</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06/30/2025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35,234</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18,527</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07/08/2025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07/09/2025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14,263</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07/23/2025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18,554</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08/14/2025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08/15/2025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44,625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08/19/2025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09/04/2025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12/15/2025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12/26/2025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01/02/2026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02/02/2026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02/03/2026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126,472</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02/05/2026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02/09/2026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95,513</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02/10/2026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28,015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47,111</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02/17/2026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02/18/2026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102,889</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02/19/2026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02/20/2026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10,232</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02/26/2026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RADOFF FAMILY FOUNDATION</w:t>
            </w:r>
          </w:p>
        </w:tc>
        <w:tc>
          <w:tcPr>
            <w:tcW w:w="3160" w:type="dxa"/>
            <w:vAlign w:val="bottom"/>
          </w:tcPr>
          <w:p>
            <w:pPr>
              <w:spacing w:after="0"/>
              <w:rPr>
                <w:sz w:val="17"/>
                <w:szCs w:val="17"/>
                <w:color w:val="auto"/>
              </w:rPr>
            </w:pPr>
          </w:p>
        </w:tc>
      </w:tr>
      <w:tr>
        <w:trPr>
          <w:trHeight w:val="236"/>
        </w:trPr>
        <w:tc>
          <w:tcPr>
            <w:tcW w:w="4040" w:type="dxa"/>
            <w:vAlign w:val="bottom"/>
          </w:tcPr>
          <w:p>
            <w:pPr>
              <w:spacing w:after="0"/>
              <w:rPr>
                <w:sz w:val="20"/>
                <w:szCs w:val="20"/>
                <w:color w:val="auto"/>
              </w:rPr>
            </w:pPr>
          </w:p>
        </w:tc>
        <w:tc>
          <w:tcPr>
            <w:tcW w:w="31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10/10/2024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11/05/2024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11/06/2024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860" w:type="dxa"/>
            <w:vAlign w:val="bottom"/>
          </w:tcPr>
          <w:p>
            <w:pPr>
              <w:spacing w:after="0"/>
              <w:rPr>
                <w:sz w:val="18"/>
                <w:szCs w:val="18"/>
                <w:color w:val="auto"/>
              </w:rPr>
            </w:pPr>
          </w:p>
        </w:tc>
        <w:tc>
          <w:tcPr>
            <w:tcW w:w="31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11/11/2024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11/13/2024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11/18/2024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11/19/2024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11/22/2024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11/26/2024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12/02/2024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12/04/2024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12/05/2024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12/09/2024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12/10/2024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12/17/2024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12/19/2024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12/23/2024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12/26/2024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01/24/2025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01/27/2025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02/10/2025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02/12/2025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03/05/2025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03/12/2025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05/07/2025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05/28/2025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05/30/2025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07/15/2025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4,779</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15,221</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14,962</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5,038</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12/18/2025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12/30/2025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01/08/2026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9,156</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01/09/2026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20,844</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01/16/2026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02/05/2026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02/06/2026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bl>
    <w:p>
      <w:pPr>
        <w:sectPr>
          <w:pgSz w:w="11900" w:h="16838" w:orient="portrait"/>
          <w:cols w:equalWidth="0" w:num="1">
            <w:col w:w="11240"/>
          </w:cols>
          <w:pgMar w:left="320" w:top="567" w:right="339"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448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JEC II ASSOCIATES, LLC</w:t>
            </w:r>
          </w:p>
        </w:tc>
        <w:tc>
          <w:tcPr>
            <w:tcW w:w="342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(20,881)</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07/16/2024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(37,424)</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07/17/2024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(28,052)</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07/22/2024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(363,643)</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07/23/2024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(103,500)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07/25/2024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(33,630)</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07/26/2024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(1,710)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07/29/2024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(55,011)</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07/31/2024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108,016</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85,835</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09/04/2024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(250,000)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05/14/2025</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(200,000)</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05/20/2025</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(50,000)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547,779</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207,599</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02/12/2026</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69,152</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02/13/2026</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225,470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02/17/2026</w:t>
            </w:r>
          </w:p>
        </w:tc>
      </w:tr>
      <w:tr>
        <w:trPr>
          <w:trHeight w:val="540"/>
        </w:trPr>
        <w:tc>
          <w:tcPr>
            <w:tcW w:w="3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39</w:t>
            </w:r>
          </w:p>
        </w:tc>
        <w:tc>
          <w:tcPr>
            <w:tcW w:w="1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16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THE MOS TRUST</w:t>
            </w:r>
          </w:p>
        </w:tc>
        <w:tc>
          <w:tcPr>
            <w:tcW w:w="3580" w:type="dxa"/>
            <w:vAlign w:val="bottom"/>
          </w:tcPr>
          <w:p>
            <w:pPr>
              <w:spacing w:after="0"/>
              <w:rPr>
                <w:sz w:val="17"/>
                <w:szCs w:val="17"/>
                <w:color w:val="auto"/>
              </w:rPr>
            </w:pPr>
          </w:p>
        </w:tc>
      </w:tr>
      <w:tr>
        <w:trPr>
          <w:trHeight w:val="237"/>
        </w:trPr>
        <w:tc>
          <w:tcPr>
            <w:tcW w:w="3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9"/>
              </w:rPr>
              <w:t>100,000</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58,364</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20,688</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12/14/2024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37,676</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12/15/2024</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12/18/2024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01/16/2025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41,366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11/14/2025</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(141,366)</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11/14/2025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(37,676)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11/24/2025</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(35,688)</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11/25/2025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41,636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12/24/2025</w:t>
            </w:r>
          </w:p>
        </w:tc>
      </w:tr>
      <w:tr>
        <w:trPr>
          <w:trHeight w:val="234"/>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100,000</w:t>
            </w:r>
          </w:p>
        </w:tc>
        <w:tc>
          <w:tcPr>
            <w:tcW w:w="1300" w:type="dxa"/>
            <w:vAlign w:val="bottom"/>
          </w:tcPr>
          <w:p>
            <w:pPr>
              <w:spacing w:after="0"/>
              <w:rPr>
                <w:sz w:val="20"/>
                <w:szCs w:val="20"/>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522"/>
        </w:trPr>
        <w:tc>
          <w:tcPr>
            <w:tcW w:w="3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TOROK</w:t>
            </w:r>
          </w:p>
        </w:tc>
        <w:tc>
          <w:tcPr>
            <w:tcW w:w="3560" w:type="dxa"/>
            <w:vAlign w:val="bottom"/>
          </w:tcPr>
          <w:p>
            <w:pPr>
              <w:spacing w:after="0"/>
              <w:rPr>
                <w:sz w:val="17"/>
                <w:szCs w:val="17"/>
                <w:color w:val="auto"/>
              </w:rPr>
            </w:pPr>
          </w:p>
        </w:tc>
      </w:tr>
      <w:tr>
        <w:trPr>
          <w:trHeight w:val="237"/>
        </w:trPr>
        <w:tc>
          <w:tcPr>
            <w:tcW w:w="48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07/12/2024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58,705</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11/13/2024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66,295</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11/14/2024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11/20/2024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8,090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02/13/2025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41,910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34,554</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15,446</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02/20/2025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(7,006)</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11/10/2025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(47,859)</w:t>
            </w:r>
          </w:p>
        </w:tc>
        <w:tc>
          <w:tcPr>
            <w:tcW w:w="1260" w:type="dxa"/>
            <w:vAlign w:val="bottom"/>
          </w:tcPr>
          <w:p>
            <w:pPr>
              <w:spacing w:after="0"/>
              <w:rPr>
                <w:sz w:val="18"/>
                <w:szCs w:val="18"/>
                <w:color w:val="auto"/>
              </w:rPr>
            </w:pPr>
          </w:p>
        </w:tc>
        <w:tc>
          <w:tcPr>
            <w:tcW w:w="35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11/11/2025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(45,135)</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11/12/2025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w:t>
      </w:r>
    </w:p>
    <w:p>
      <w:pPr>
        <w:spacing w:after="0" w:line="31" w:lineRule="exact"/>
        <w:rPr>
          <w:sz w:val="20"/>
          <w:szCs w:val="20"/>
          <w:color w:val="auto"/>
        </w:rPr>
      </w:pPr>
    </w:p>
    <w:p>
      <w:pPr>
        <w:ind w:left="5540" w:right="3220" w:hanging="5532"/>
        <w:spacing w:after="0" w:line="511" w:lineRule="auto"/>
        <w:tabs>
          <w:tab w:leader="none" w:pos="1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on behalf of a certain donor advised charitable account of which Mr. Radoff serves as an advisor.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preliminary proxy statement filed with the Securities and Exchange Commission on May 18,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May 11, 2026 for:</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of our directors;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of our named executive officers;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of our directors and executive officers as a group;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person or group known by us to be the beneficial owner of more than 5% of our Class A common stock.</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54,981,551 shares of our Class A common stock outstanding as of May 11, 2026. We have deemed shares of our Class A common stock subject to stock options that are currently exercisable or exercisable within 60 days of May 11,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406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187"/>
        </w:trPr>
        <w:tc>
          <w:tcPr>
            <w:tcW w:w="7180" w:type="dxa"/>
            <w:vAlign w:val="bottom"/>
            <w:vMerge w:val="continue"/>
          </w:tcPr>
          <w:p>
            <w:pPr>
              <w:spacing w:after="0"/>
              <w:rPr>
                <w:sz w:val="16"/>
                <w:szCs w:val="16"/>
                <w:color w:val="auto"/>
              </w:rPr>
            </w:pPr>
          </w:p>
        </w:tc>
        <w:tc>
          <w:tcPr>
            <w:tcW w:w="2140" w:type="dxa"/>
            <w:vAlign w:val="bottom"/>
          </w:tcPr>
          <w:p>
            <w:pPr>
              <w:jc w:val="right"/>
              <w:ind w:right="95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92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9"/>
                <w:szCs w:val="29"/>
                <w:color w:val="auto"/>
                <w:vertAlign w:val="superscript"/>
              </w:rPr>
              <w:t>(1)</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6,918,732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6"/>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David Horn</w:t>
            </w:r>
            <w:r>
              <w:rPr>
                <w:rFonts w:ascii="Times New Roman" w:cs="Times New Roman" w:eastAsia="Times New Roman" w:hAnsi="Times New Roman"/>
                <w:sz w:val="29"/>
                <w:szCs w:val="29"/>
                <w:color w:val="auto"/>
                <w:vertAlign w:val="superscript"/>
              </w:rPr>
              <w:t>(2)</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1,428,455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Meeta Gulyani</w:t>
            </w:r>
            <w:r>
              <w:rPr>
                <w:rFonts w:ascii="Times New Roman" w:cs="Times New Roman" w:eastAsia="Times New Roman" w:hAnsi="Times New Roman"/>
                <w:sz w:val="29"/>
                <w:szCs w:val="29"/>
                <w:color w:val="auto"/>
                <w:vertAlign w:val="superscript"/>
              </w:rPr>
              <w:t>(3)</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218,937</w:t>
            </w:r>
          </w:p>
        </w:tc>
        <w:tc>
          <w:tcPr>
            <w:tcW w:w="1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9"/>
                <w:szCs w:val="29"/>
                <w:color w:val="auto"/>
                <w:vertAlign w:val="superscript"/>
              </w:rPr>
              <w:t>(4)</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1,260,587</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9"/>
                <w:szCs w:val="29"/>
                <w:color w:val="auto"/>
                <w:vertAlign w:val="superscript"/>
              </w:rPr>
              <w:t>(5)</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694,950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Dipchand (Deep) Nishar</w:t>
            </w:r>
            <w:r>
              <w:rPr>
                <w:rFonts w:ascii="Times New Roman" w:cs="Times New Roman" w:eastAsia="Times New Roman" w:hAnsi="Times New Roman"/>
                <w:sz w:val="29"/>
                <w:szCs w:val="29"/>
                <w:color w:val="auto"/>
                <w:vertAlign w:val="superscript"/>
              </w:rPr>
              <w:t>(6)</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173,300</w:t>
            </w:r>
          </w:p>
        </w:tc>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9"/>
                <w:szCs w:val="29"/>
                <w:color w:val="auto"/>
                <w:vertAlign w:val="superscript"/>
              </w:rPr>
              <w:t>(7)</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9"/>
                <w:szCs w:val="29"/>
                <w:color w:val="auto"/>
                <w:vertAlign w:val="superscript"/>
              </w:rPr>
              <w:t>(8)</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92,312</w:t>
            </w:r>
          </w:p>
        </w:tc>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All executive officers and directors as a group (8 persons)</w:t>
            </w:r>
            <w:r>
              <w:rPr>
                <w:rFonts w:ascii="Times New Roman" w:cs="Times New Roman" w:eastAsia="Times New Roman" w:hAnsi="Times New Roman"/>
                <w:sz w:val="29"/>
                <w:szCs w:val="29"/>
                <w:color w:val="auto"/>
                <w:vertAlign w:val="superscript"/>
              </w:rPr>
              <w:t>(9)</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10,787,273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SoftBank SB Global Advisers Limited</w:t>
            </w:r>
            <w:r>
              <w:rPr>
                <w:rFonts w:ascii="Times New Roman" w:cs="Times New Roman" w:eastAsia="Times New Roman" w:hAnsi="Times New Roman"/>
                <w:sz w:val="29"/>
                <w:szCs w:val="29"/>
                <w:color w:val="auto"/>
                <w:vertAlign w:val="superscript"/>
              </w:rPr>
              <w:t>(10)</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5,135,383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aMoon Growth Fund Limited Partnership</w:t>
            </w:r>
            <w:r>
              <w:rPr>
                <w:rFonts w:ascii="Times New Roman" w:cs="Times New Roman" w:eastAsia="Times New Roman" w:hAnsi="Times New Roman"/>
                <w:sz w:val="29"/>
                <w:szCs w:val="29"/>
                <w:color w:val="auto"/>
                <w:vertAlign w:val="superscript"/>
              </w:rPr>
              <w:t>(11)</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4,923,196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Bradley L. Radoff and related entities and individuals</w:t>
            </w:r>
            <w:r>
              <w:rPr>
                <w:rFonts w:ascii="Times New Roman" w:cs="Times New Roman" w:eastAsia="Times New Roman" w:hAnsi="Times New Roman"/>
                <w:sz w:val="29"/>
                <w:szCs w:val="29"/>
                <w:color w:val="auto"/>
                <w:vertAlign w:val="superscript"/>
              </w:rPr>
              <w:t>(12)</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4,277,528</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left="652" w:hanging="652"/>
        <w:spacing w:after="0" w:line="261"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2,286,586 shares of Class A common stock held of record by Dr. Farokhzad; (ii) 2,117,138 shares of Class A common stock held of record by SAF-BND Trust for which Dr. Farokhzad’s spouse serves as trustee; (iii) 2,413,207 shares of Class A common stock subject to options exercisable within 60 days of May 11, 2026 and (iv) 101,801 shares of Class A common stock issuable upon settlement of RSUs within 60 days of May 11, 2026. Dr. Farokhzad disclaims beneficial ownership of the shares held by the SAF-BND Trust.</w:t>
      </w:r>
    </w:p>
    <w:p>
      <w:pPr>
        <w:spacing w:after="0" w:line="179"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322,244 shares of Class A common stock held of record by Mr. Horn; (ii) 1,086,583 shares of Class A common stock subject to options exercisable within 60 days of May 11, 2026 and (iii) 19,628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87,043 shares of Class A common stock held of record by Ms. Gulyani; (ii) 111,394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784,025 shares of Class A common stock held of record by Dr. Langer; (ii) 456,062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140" w:hanging="652"/>
        <w:spacing w:after="0" w:line="258"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(iv) 288,867 shares of Class A common stock subject to options exercisable within 60 days of May 11, 2026 and (v) 20,500 shares of Class A common stock issuable upon settlement of RSUs within 60 days of May 11, 2026.</w:t>
      </w:r>
    </w:p>
    <w:p>
      <w:pPr>
        <w:spacing w:after="0" w:line="183" w:lineRule="exact"/>
        <w:rPr>
          <w:rFonts w:ascii="Times New Roman" w:cs="Times New Roman" w:eastAsia="Times New Roman" w:hAnsi="Times New Roman"/>
          <w:sz w:val="18"/>
          <w:szCs w:val="18"/>
          <w:color w:val="auto"/>
        </w:rPr>
      </w:pPr>
    </w:p>
    <w:p>
      <w:pPr>
        <w:jc w:val="both"/>
        <w:ind w:left="652" w:right="4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27,925 shares of Class A common stock held of record by Mr. Nishar; (ii) 124,875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 joined our board of directors in September 2025.</w:t>
      </w:r>
    </w:p>
    <w:p>
      <w:pPr>
        <w:spacing w:after="0" w:line="225" w:lineRule="exact"/>
        <w:rPr>
          <w:rFonts w:ascii="Times New Roman" w:cs="Times New Roman" w:eastAsia="Times New Roman" w:hAnsi="Times New Roman"/>
          <w:sz w:val="18"/>
          <w:szCs w:val="18"/>
          <w:color w:val="auto"/>
        </w:rPr>
      </w:pPr>
    </w:p>
    <w:p>
      <w:pPr>
        <w:jc w:val="both"/>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26,656 shares of Class A common stock held of record by Dr. Roelofs; (ii) 48,573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14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6,037,200 shares of Class A common stock beneficially owned by our executive officers and directors; (ii) 4,529,561 shares of Class A common stock subject to options exercisable within 60 days of May 11, 2026 and (iii) 220,512 500 shares of Class A common stock issuable upon settlement of RSUs within 60 days of May 11, 2026.</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7" w:name="page48"/>
    <w:bookmarkEnd w:id="47"/>
    <w:p>
      <w:pPr>
        <w:ind w:left="652" w:right="20" w:hanging="652"/>
        <w:spacing w:after="0" w:line="253"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entities is 251 Little Falls Drive, Wilmington, Delaware 19808.</w:t>
      </w:r>
    </w:p>
    <w:p>
      <w:pPr>
        <w:spacing w:after="0" w:line="189" w:lineRule="exact"/>
        <w:rPr>
          <w:rFonts w:ascii="Times New Roman" w:cs="Times New Roman" w:eastAsia="Times New Roman" w:hAnsi="Times New Roman"/>
          <w:sz w:val="18"/>
          <w:szCs w:val="18"/>
          <w:color w:val="auto"/>
        </w:rPr>
      </w:pPr>
    </w:p>
    <w:p>
      <w:pPr>
        <w:ind w:left="652" w:right="20" w:hanging="652"/>
        <w:spacing w:after="0" w:line="254"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188" w:lineRule="exact"/>
        <w:rPr>
          <w:rFonts w:ascii="Times New Roman" w:cs="Times New Roman" w:eastAsia="Times New Roman" w:hAnsi="Times New Roman"/>
          <w:sz w:val="18"/>
          <w:szCs w:val="18"/>
          <w:color w:val="auto"/>
        </w:rPr>
      </w:pPr>
    </w:p>
    <w:p>
      <w:pPr>
        <w:ind w:left="652" w:hanging="652"/>
        <w:spacing w:after="0" w:line="253"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Mr. Radoff and the related entities and individuals since the filing of a Schedule 13D/A by Mr. Radoff with the SEC on March 2, 2026.</w:t>
      </w:r>
    </w:p>
    <w:p>
      <w:pPr>
        <w:spacing w:after="0" w:line="1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the Board what you think! Your vote is important. No matter how many shares of Common Stock you own, please give the Radoff-JEC Group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in accordance with the Radoff-JEC Group’s recommendations on the other proposals on the agenda for the Annual Meeting by:</w:t>
      </w:r>
    </w:p>
    <w:p>
      <w:pPr>
        <w:spacing w:after="0" w:line="172" w:lineRule="exact"/>
        <w:rPr>
          <w:sz w:val="20"/>
          <w:szCs w:val="20"/>
          <w:color w:val="auto"/>
        </w:rPr>
      </w:pPr>
    </w:p>
    <w:p>
      <w:pPr>
        <w:ind w:left="1300" w:right="640" w:hanging="644"/>
        <w:spacing w:after="0" w:line="285" w:lineRule="auto"/>
        <w:tabs>
          <w:tab w:leader="none" w:pos="130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w:t>
      </w:r>
    </w:p>
    <w:p>
      <w:pPr>
        <w:spacing w:after="0" w:line="155" w:lineRule="exact"/>
        <w:rPr>
          <w:rFonts w:ascii="Arial" w:cs="Arial" w:eastAsia="Arial" w:hAnsi="Arial"/>
          <w:sz w:val="18"/>
          <w:szCs w:val="18"/>
          <w:b w:val="1"/>
          <w:bCs w:val="1"/>
          <w:color w:val="auto"/>
        </w:rPr>
      </w:pPr>
    </w:p>
    <w:p>
      <w:pPr>
        <w:ind w:left="1300" w:hanging="644"/>
        <w:spacing w:after="0" w:line="285" w:lineRule="auto"/>
        <w:tabs>
          <w:tab w:leader="none" w:pos="130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in person at the Annual Meeting; however, even if you plan to attend the Annual Meeting, we recommend that you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Common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Common Stock and only upon receipt of your specific instructions. </w:t>
      </w:r>
      <w:r>
        <w:rPr>
          <w:rFonts w:ascii="Times New Roman" w:cs="Times New Roman" w:eastAsia="Times New Roman" w:hAnsi="Times New Roman"/>
          <w:sz w:val="18"/>
          <w:szCs w:val="18"/>
          <w:color w:val="auto"/>
        </w:rPr>
        <w:t>Depending upon your broker or custodian, you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able to 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618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42"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MAY 21,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BRADLEY L. RADOFF, MICHAEL TOROK AND THE OTHER PARTICIPANTS IN THEIR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8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r>
      <w:r>
        <w:rPr>
          <w:sz w:val="20"/>
          <w:szCs w:val="20"/>
          <w:color w:val="auto"/>
        </w:rPr>
        <w:tab/>
      </w:r>
      <w:r>
        <w:rPr>
          <w:rFonts w:ascii="Times New Roman" w:cs="Times New Roman" w:eastAsia="Times New Roman" w:hAnsi="Times New Roman"/>
          <w:sz w:val="16"/>
          <w:szCs w:val="16"/>
          <w:b w:val="1"/>
          <w:bCs w:val="1"/>
          <w:color w:val="auto"/>
        </w:rPr>
        <w: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appoints Bradley L. Radoff, Michael Torok, John Ferguson and Ryan Nebel, and each of them, attorneys and agents with full power of substitution to vote all shares of Class A Common Stock, par value $0.00001 per share (the “Common Stock”), of Seer, Inc. (the “Company”) which the undersigned would be entitled to vote if personally present at the 2026 Annual Meeting of Stockholders of the Company scheduled to be held on [●], 2026 at [●] Pacific Time at [●] (including any adjournments or postponements thereof and any meeting called in lieu thereof, the “Annual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Bradley L. Radoff and Michael Torok (together with the other participants in their solicitation, the “Radoff-JEC Group”)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THREE (3) RADOFF-JEC NOMINEES AND “FOR” THE FOUR (4) COMPANY NOMINEES UNOPPOSED BY THE RADOFF-JEC GROUP IN PROPOSAL 1, “FOR” PROPOSAL 2, “AGAINST” PROPOSAL 3 AND “AGAINST” PROPOSAL 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Radoff-JEC Group’s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RADOFF-JEC GROUP STRONGLY RECOMMENDS THAT STOCKHOLDERS VOTE “FOR” THE THREE (3) RADOFF-JEC NOMINEES AND “FOR” THE FOUR (4) COMPANY NOMINEES UNOPPOSED BY THE RADOFF-JEC GROUP, AND NOT TO VOTE “FOR” ANY OF THE REMAINING THREE (3) COMPANY NOMINEES LISTED BELOW IN PROPOSAL 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SEVEN (7) NOMINEES. IMPORTANTLY, IF YOU MARK MORE THAN SEVEN (7) “FOR” BOXES WITH RESPECT TO THE ELECTION OF DIRECTORS, ALL OF YOUR VOTES FOR THE ELECTION OF DIRECTORS WILL BE DEEMED INVALID. IF YOU MARK FEWER THAN SEVEN (7) “FOR” BOXES WITH RESPECT TO THE ELECTION OF DIRECTORS, THIS PROXY CARD, WHEN DULY EXECUTED, WILL BE VOTED ONLY AS DIRECTED.</w:t>
      </w:r>
    </w:p>
    <w:p>
      <w:pPr>
        <w:spacing w:after="0" w:line="180" w:lineRule="exact"/>
        <w:rPr>
          <w:sz w:val="20"/>
          <w:szCs w:val="20"/>
          <w:color w:val="auto"/>
        </w:rPr>
      </w:pPr>
    </w:p>
    <w:p>
      <w:pPr>
        <w:jc w:val="both"/>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elect seven directors, each to serve until the 2027 annual meeting of stockholders and until such director’s successor is elected and qualified or until such director’s earlier death, resignation or removal. Although you may mark instructions with respect to any or all of the nominees, </w:t>
      </w:r>
      <w:r>
        <w:rPr>
          <w:rFonts w:ascii="Times New Roman" w:cs="Times New Roman" w:eastAsia="Times New Roman" w:hAnsi="Times New Roman"/>
          <w:sz w:val="18"/>
          <w:szCs w:val="18"/>
          <w:b w:val="1"/>
          <w:bCs w:val="1"/>
          <w:color w:val="auto"/>
        </w:rPr>
        <w:t>you may mark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 “FOR” only seven nominees in total. </w:t>
      </w:r>
      <w:r>
        <w:rPr>
          <w:rFonts w:ascii="Times New Roman" w:cs="Times New Roman" w:eastAsia="Times New Roman" w:hAnsi="Times New Roman"/>
          <w:sz w:val="18"/>
          <w:szCs w:val="18"/>
          <w:color w:val="auto"/>
        </w:rPr>
        <w:t>If you vote “for” fewer than seven nominees in Proposal 1, your shares will be voted “for” only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that you have so marked. If you vote “for” more than seven nominees in Proposal 1, your vote on Proposal 1 will be in-valid and will not be counted on Proposal 1.</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RADOFF-JEC GROUP NOMINEES</w:t>
            </w:r>
          </w:p>
        </w:tc>
        <w:tc>
          <w:tcPr>
            <w:tcW w:w="3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86"/>
        </w:trPr>
        <w:tc>
          <w:tcPr>
            <w:tcW w:w="5080" w:type="dxa"/>
            <w:vAlign w:val="bottom"/>
            <w:tcBorders>
              <w:left w:val="single" w:sz="8" w:color="auto"/>
              <w:bottom w:val="single" w:sz="8" w:color="auto"/>
              <w:right w:val="single" w:sz="8" w:color="auto"/>
            </w:tcBorders>
            <w:gridSpan w:val="2"/>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c>
          <w:tcPr>
            <w:tcW w:w="3120" w:type="dxa"/>
            <w:vAlign w:val="bottom"/>
            <w:tcBorders>
              <w:bottom w:val="single" w:sz="8" w:color="auto"/>
              <w:right w:val="single" w:sz="8" w:color="auto"/>
            </w:tcBorders>
          </w:tcPr>
          <w:p>
            <w:pPr>
              <w:spacing w:after="0"/>
              <w:rPr>
                <w:sz w:val="7"/>
                <w:szCs w:val="7"/>
                <w:color w:val="auto"/>
              </w:rPr>
            </w:pPr>
          </w:p>
        </w:tc>
      </w:tr>
      <w:tr>
        <w:trPr>
          <w:trHeight w:val="296"/>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1a. Howard H. Berman, Ph.D.</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1b. Joshua S. Horowitz</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1c. Luis E. Rinaldini</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80" w:type="dxa"/>
            <w:vAlign w:val="bottom"/>
            <w:tcBorders>
              <w:bottom w:val="single" w:sz="8" w:color="auto"/>
            </w:tcBorders>
            <w:gridSpan w:val="2"/>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187"/>
        </w:trPr>
        <w:tc>
          <w:tcPr>
            <w:tcW w:w="508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RADOFF-</w:t>
            </w:r>
          </w:p>
        </w:tc>
        <w:tc>
          <w:tcPr>
            <w:tcW w:w="30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spacing w:after="0"/>
              <w:rPr>
                <w:sz w:val="16"/>
                <w:szCs w:val="16"/>
                <w:color w:val="auto"/>
              </w:rPr>
            </w:pPr>
          </w:p>
        </w:tc>
      </w:tr>
      <w:tr>
        <w:trPr>
          <w:trHeight w:val="238"/>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JEC GROUP</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20" w:type="dxa"/>
            <w:vAlign w:val="bottom"/>
            <w:tcBorders>
              <w:left w:val="single" w:sz="8" w:color="auto"/>
              <w:bottom w:val="single" w:sz="8" w:color="auto"/>
            </w:tcBorders>
          </w:tcPr>
          <w:p>
            <w:pPr>
              <w:spacing w:after="0"/>
              <w:rPr>
                <w:sz w:val="9"/>
                <w:szCs w:val="9"/>
                <w:color w:val="auto"/>
              </w:rPr>
            </w:pPr>
          </w:p>
        </w:tc>
        <w:tc>
          <w:tcPr>
            <w:tcW w:w="4560" w:type="dxa"/>
            <w:vAlign w:val="bottom"/>
            <w:tcBorders>
              <w:bottom w:val="single" w:sz="8" w:color="auto"/>
              <w:right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1d. [</w:t>
            </w:r>
          </w:p>
        </w:tc>
        <w:tc>
          <w:tcPr>
            <w:tcW w:w="4560" w:type="dxa"/>
            <w:vAlign w:val="bottom"/>
            <w:tcBorders>
              <w:right w:val="single" w:sz="8" w:color="auto"/>
            </w:tcBorders>
          </w:tcPr>
          <w:p>
            <w:pPr>
              <w:jc w:val="right"/>
              <w:ind w:right="43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1e. [</w:t>
            </w:r>
          </w:p>
        </w:tc>
        <w:tc>
          <w:tcPr>
            <w:tcW w:w="4560" w:type="dxa"/>
            <w:vAlign w:val="bottom"/>
            <w:tcBorders>
              <w:right w:val="single" w:sz="8" w:color="auto"/>
            </w:tcBorders>
          </w:tcPr>
          <w:p>
            <w:pPr>
              <w:jc w:val="right"/>
              <w:ind w:right="43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1f. [</w:t>
            </w:r>
          </w:p>
        </w:tc>
        <w:tc>
          <w:tcPr>
            <w:tcW w:w="4560" w:type="dxa"/>
            <w:vAlign w:val="bottom"/>
            <w:tcBorders>
              <w:right w:val="single" w:sz="8" w:color="auto"/>
            </w:tcBorders>
          </w:tcPr>
          <w:p>
            <w:pPr>
              <w:jc w:val="right"/>
              <w:ind w:right="433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1g. [</w:t>
            </w:r>
          </w:p>
        </w:tc>
        <w:tc>
          <w:tcPr>
            <w:tcW w:w="4560" w:type="dxa"/>
            <w:vAlign w:val="bottom"/>
            <w:tcBorders>
              <w:right w:val="single" w:sz="8" w:color="auto"/>
            </w:tcBorders>
          </w:tcPr>
          <w:p>
            <w:pPr>
              <w:jc w:val="right"/>
              <w:ind w:right="43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08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80" w:type="dxa"/>
            <w:vAlign w:val="bottom"/>
            <w:tcBorders>
              <w:bottom w:val="single" w:sz="8" w:color="auto"/>
            </w:tcBorders>
            <w:gridSpan w:val="2"/>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187"/>
        </w:trPr>
        <w:tc>
          <w:tcPr>
            <w:tcW w:w="508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RADOFF-JEC</w:t>
            </w:r>
          </w:p>
        </w:tc>
        <w:tc>
          <w:tcPr>
            <w:tcW w:w="30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spacing w:after="0"/>
              <w:rPr>
                <w:sz w:val="16"/>
                <w:szCs w:val="16"/>
                <w:color w:val="auto"/>
              </w:rPr>
            </w:pPr>
          </w:p>
        </w:tc>
      </w:tr>
      <w:tr>
        <w:trPr>
          <w:trHeight w:val="238"/>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20" w:type="dxa"/>
            <w:vAlign w:val="bottom"/>
            <w:tcBorders>
              <w:left w:val="single" w:sz="8" w:color="auto"/>
              <w:bottom w:val="single" w:sz="8" w:color="auto"/>
            </w:tcBorders>
          </w:tcPr>
          <w:p>
            <w:pPr>
              <w:spacing w:after="0"/>
              <w:rPr>
                <w:sz w:val="9"/>
                <w:szCs w:val="9"/>
                <w:color w:val="auto"/>
              </w:rPr>
            </w:pPr>
          </w:p>
        </w:tc>
        <w:tc>
          <w:tcPr>
            <w:tcW w:w="4560" w:type="dxa"/>
            <w:vAlign w:val="bottom"/>
            <w:tcBorders>
              <w:bottom w:val="single" w:sz="8" w:color="auto"/>
              <w:right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1h. [</w:t>
            </w:r>
          </w:p>
        </w:tc>
        <w:tc>
          <w:tcPr>
            <w:tcW w:w="4560" w:type="dxa"/>
            <w:vAlign w:val="bottom"/>
            <w:tcBorders>
              <w:right w:val="single" w:sz="8" w:color="auto"/>
            </w:tcBorders>
          </w:tcPr>
          <w:p>
            <w:pPr>
              <w:jc w:val="right"/>
              <w:ind w:right="43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1i. [</w:t>
            </w:r>
          </w:p>
        </w:tc>
        <w:tc>
          <w:tcPr>
            <w:tcW w:w="4560" w:type="dxa"/>
            <w:vAlign w:val="bottom"/>
            <w:tcBorders>
              <w:right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1j. [</w:t>
            </w:r>
          </w:p>
        </w:tc>
        <w:tc>
          <w:tcPr>
            <w:tcW w:w="4560" w:type="dxa"/>
            <w:vAlign w:val="bottom"/>
            <w:tcBorders>
              <w:right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45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66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MAKES NO RECOMMENDATION WITH RESPECT TO PROPOSAL 2.</w:t>
      </w:r>
    </w:p>
    <w:p>
      <w:pPr>
        <w:spacing w:after="0" w:line="229"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Seer’s independent registered public accounting firm for the fiscal year ending December 31, 2026.</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RECOMMENDS THAT STOCKHOLDERS VOTE “AGAINST” PROPOSAL 3.</w:t>
      </w:r>
    </w:p>
    <w:p>
      <w:pPr>
        <w:spacing w:after="0" w:line="22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named executive officer compensation.</w:t>
      </w:r>
    </w:p>
    <w:p>
      <w:pPr>
        <w:spacing w:after="0" w:line="184"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RECOMMENDS THAT STOCKHOLDERS VOTE “AGAINST” PROPOSAL 4.</w:t>
      </w:r>
    </w:p>
    <w:p>
      <w:pPr>
        <w:spacing w:after="0" w:line="229"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so that it may remain in effect through February 25, 2029, unless earlier terminated by the Board of Directors.</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THEY ARE SIGNING. PLEASE SIGN EXACTLY AS NAME APPEARS ON THIS PROXY.</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7"/>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amp;"/>
      <w:numFmt w:val="bullet"/>
      <w:start w:val="1"/>
    </w:lvl>
  </w:abstractNum>
  <w:abstractNum w:abstractNumId="17">
    <w:nsid w:val="6763845E"/>
    <w:multiLevelType w:val="hybridMultilevel"/>
    <w:lvl w:ilvl="0">
      <w:lvlJc w:val="left"/>
      <w:lvlText w:val="(%1)"/>
      <w:numFmt w:val="lowerRoman"/>
      <w:start w:val="1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2"/>
    </w:lvl>
  </w:abstractNum>
  <w:abstractNum w:abstractNumId="27">
    <w:nsid w:val="836C40E"/>
    <w:multiLevelType w:val="hybridMultilevel"/>
    <w:lvl w:ilvl="0">
      <w:lvlJc w:val="left"/>
      <w:lvlText w:val="%1."/>
      <w:numFmt w:val="decimal"/>
      <w:start w:val="3"/>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2026-05-21T14:48:08Z</dcterms:created>
  <dcterms:modified xsi:type="dcterms:W3CDTF">2026-05-21T14:48:08Z</dcterms:modified>
</cp:coreProperties>
</file>