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38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88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12/06/2021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12/06/2021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26,273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20.2559</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rPr>
              <w:t>205,592</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12/07/2021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28,818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w:t>
            </w:r>
          </w:p>
        </w:tc>
        <w:tc>
          <w:tcPr>
            <w:tcW w:w="18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234,410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28,818</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12/07/2021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28,818</w:t>
            </w:r>
          </w:p>
        </w:tc>
        <w:tc>
          <w:tcPr>
            <w:tcW w:w="800" w:type="dxa"/>
            <w:vAlign w:val="bottom"/>
            <w:vMerge w:val="continue"/>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color w:val="0000FF"/>
                <w:w w:val="92"/>
              </w:rPr>
              <w:t>07/28/2030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140,682</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shares were sold to satisfy the reporting person's tax obligations in connection with the vesting of restricted stock units, or RSUs.</w:t>
      </w:r>
    </w:p>
    <w:p>
      <w:pPr>
        <w:spacing w:after="0" w:line="43"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$20.15 to $20.53,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899 shares of Class A Common Stock acquired under the Issuer's employee stock purchase plan on November 15, 2021.</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July 28,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12/08/2021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2021-12-08T19:35:25Z</dcterms:created>
  <dcterms:modified xsi:type="dcterms:W3CDTF">2021-12-08T19:35:25Z</dcterms:modified>
</cp:coreProperties>
</file>