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3880"/>
        <w:spacing w:after="0"/>
        <w:rPr>
          <w:sz w:val="20"/>
          <w:szCs w:val="20"/>
          <w:color w:val="auto"/>
        </w:rPr>
      </w:pPr>
      <w:r>
        <w:rPr>
          <w:rFonts w:ascii="Arial" w:cs="Arial" w:eastAsia="Arial" w:hAnsi="Arial"/>
          <w:sz w:val="22"/>
          <w:szCs w:val="22"/>
          <w:color w:val="auto"/>
        </w:rPr>
        <w:t>_____________________________</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SCHEDULE 14A</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219"/>
        <w:spacing w:after="0"/>
        <w:rPr>
          <w:sz w:val="20"/>
          <w:szCs w:val="20"/>
          <w:color w:val="auto"/>
        </w:rPr>
      </w:pPr>
      <w:r>
        <w:rPr>
          <w:rFonts w:ascii="Arial" w:cs="Arial" w:eastAsia="Arial" w:hAnsi="Arial"/>
          <w:sz w:val="20"/>
          <w:szCs w:val="20"/>
          <w:b w:val="1"/>
          <w:bCs w:val="1"/>
          <w:color w:val="auto"/>
        </w:rPr>
        <w:t>SECURITIES EXCHANGE ACT OF 1934</w:t>
      </w:r>
    </w:p>
    <w:p>
      <w:pPr>
        <w:spacing w:after="0" w:line="9" w:lineRule="exact"/>
        <w:rPr>
          <w:sz w:val="24"/>
          <w:szCs w:val="24"/>
          <w:color w:val="auto"/>
        </w:rPr>
      </w:pPr>
    </w:p>
    <w:p>
      <w:pPr>
        <w:ind w:left="3880"/>
        <w:spacing w:after="0"/>
        <w:rPr>
          <w:sz w:val="20"/>
          <w:szCs w:val="20"/>
          <w:color w:val="auto"/>
        </w:rPr>
      </w:pPr>
      <w:r>
        <w:rPr>
          <w:rFonts w:ascii="Arial" w:cs="Arial" w:eastAsia="Arial" w:hAnsi="Arial"/>
          <w:sz w:val="22"/>
          <w:szCs w:val="22"/>
          <w:color w:val="auto"/>
        </w:rPr>
        <w:t>_____________________________</w:t>
      </w:r>
    </w:p>
    <w:p>
      <w:pPr>
        <w:spacing w:after="0"/>
        <w:rPr>
          <w:sz w:val="20"/>
          <w:szCs w:val="20"/>
          <w:color w:val="auto"/>
        </w:rPr>
      </w:pPr>
      <w:r>
        <w:rPr>
          <w:rFonts w:ascii="Arial" w:cs="Arial" w:eastAsia="Arial" w:hAnsi="Arial"/>
          <w:sz w:val="16"/>
          <w:szCs w:val="16"/>
          <w:color w:val="auto"/>
        </w:rPr>
        <w:t>Filed by the Registrant x</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o</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5"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5" w:lineRule="exact"/>
        <w:rPr>
          <w:rFonts w:ascii="Arial" w:cs="Arial" w:eastAsia="Arial" w:hAnsi="Arial"/>
          <w:sz w:val="16"/>
          <w:szCs w:val="16"/>
          <w:color w:val="auto"/>
        </w:rPr>
      </w:pPr>
    </w:p>
    <w:p>
      <w:pPr>
        <w:ind w:right="5040" w:firstLine="8"/>
        <w:spacing w:after="0" w:line="246" w:lineRule="auto"/>
        <w:tabs>
          <w:tab w:leader="none" w:pos="27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 x Definitive Proxy Statement</w:t>
      </w: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§240.14a-11(c) or §240.14a-2</w:t>
      </w:r>
    </w:p>
    <w:p>
      <w:pPr>
        <w:spacing w:after="0" w:line="202"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62" w:lineRule="exact"/>
        <w:rPr>
          <w:sz w:val="24"/>
          <w:szCs w:val="24"/>
          <w:color w:val="auto"/>
        </w:rPr>
      </w:pPr>
    </w:p>
    <w:p>
      <w:pPr>
        <w:ind w:left="680" w:hanging="654"/>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32" w:lineRule="exact"/>
        <w:rPr>
          <w:sz w:val="24"/>
          <w:szCs w:val="24"/>
          <w:color w:val="auto"/>
        </w:rPr>
      </w:pPr>
    </w:p>
    <w:p>
      <w:pPr>
        <w:ind w:left="680" w:hanging="654"/>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32" w:lineRule="exact"/>
        <w:rPr>
          <w:rFonts w:ascii="Arial" w:cs="Arial" w:eastAsia="Arial" w:hAnsi="Arial"/>
          <w:sz w:val="16"/>
          <w:szCs w:val="16"/>
          <w:color w:val="auto"/>
        </w:rPr>
      </w:pPr>
    </w:p>
    <w:p>
      <w:pPr>
        <w:ind w:left="1340" w:hanging="666"/>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45" w:lineRule="exact"/>
        <w:rPr>
          <w:rFonts w:ascii="Arial" w:cs="Arial" w:eastAsia="Arial" w:hAnsi="Arial"/>
          <w:sz w:val="16"/>
          <w:szCs w:val="16"/>
          <w:color w:val="auto"/>
        </w:rPr>
      </w:pPr>
    </w:p>
    <w:p>
      <w:pPr>
        <w:ind w:left="1340" w:hanging="666"/>
        <w:spacing w:after="0" w:line="232" w:lineRule="auto"/>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5" w:lineRule="exact"/>
        <w:rPr>
          <w:rFonts w:ascii="Arial" w:cs="Arial" w:eastAsia="Arial" w:hAnsi="Arial"/>
          <w:sz w:val="16"/>
          <w:szCs w:val="16"/>
          <w:color w:val="auto"/>
        </w:rPr>
      </w:pPr>
    </w:p>
    <w:p>
      <w:pPr>
        <w:ind w:left="1340" w:hanging="666"/>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2" w:lineRule="exact"/>
        <w:rPr>
          <w:rFonts w:ascii="Arial" w:cs="Arial" w:eastAsia="Arial" w:hAnsi="Arial"/>
          <w:sz w:val="16"/>
          <w:szCs w:val="16"/>
          <w:color w:val="auto"/>
        </w:rPr>
      </w:pPr>
    </w:p>
    <w:p>
      <w:pPr>
        <w:ind w:left="680" w:hanging="654"/>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32" w:lineRule="exact"/>
        <w:rPr>
          <w:rFonts w:ascii="Arial" w:cs="Arial" w:eastAsia="Arial" w:hAnsi="Arial"/>
          <w:sz w:val="16"/>
          <w:szCs w:val="16"/>
          <w:color w:val="auto"/>
        </w:rPr>
      </w:pPr>
    </w:p>
    <w:p>
      <w:pPr>
        <w:ind w:left="680" w:right="100" w:hanging="654"/>
        <w:spacing w:after="0" w:line="232"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 w:lineRule="exact"/>
        <w:rPr>
          <w:rFonts w:ascii="Arial" w:cs="Arial" w:eastAsia="Arial" w:hAnsi="Arial"/>
          <w:sz w:val="16"/>
          <w:szCs w:val="16"/>
          <w:color w:val="auto"/>
        </w:rPr>
      </w:pPr>
    </w:p>
    <w:p>
      <w:pPr>
        <w:ind w:left="1340" w:hanging="666"/>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836295</wp:posOffset>
            </wp:positionH>
            <wp:positionV relativeFrom="paragraph">
              <wp:posOffset>10795</wp:posOffset>
            </wp:positionV>
            <wp:extent cx="6300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-134620</wp:posOffset>
            </wp:positionV>
            <wp:extent cx="6300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-280035</wp:posOffset>
            </wp:positionV>
            <wp:extent cx="6300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-426085</wp:posOffset>
            </wp:positionV>
            <wp:extent cx="6300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-940435</wp:posOffset>
            </wp:positionV>
            <wp:extent cx="6300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-1085850</wp:posOffset>
            </wp:positionV>
            <wp:extent cx="6300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-1231900</wp:posOffset>
            </wp:positionV>
            <wp:extent cx="6300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-1480185</wp:posOffset>
            </wp:positionV>
            <wp:extent cx="6300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-1626235</wp:posOffset>
            </wp:positionV>
            <wp:extent cx="6300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April 28, 2021</w:t>
      </w:r>
    </w:p>
    <w:p>
      <w:pPr>
        <w:sectPr>
          <w:pgSz w:w="11900" w:h="16838" w:orient="portrait"/>
          <w:cols w:equalWidth="0" w:num="1">
            <w:col w:w="11040"/>
          </w:cols>
          <w:pgMar w:left="320" w:top="1328" w:right="5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pleased to invite you to attend the 2021 Annual Meeting of Stockholders (the Annual Meeting) of Seer, Inc. (Seer or the Company), which will take place on Wednesday, June 16, 2021 at 1:00 p.m. Pacific Time. The Annual Meeting will be held in virtual format this year, in light of the COVID-19 pandemic. You will be able to attend the Annual Meeting by visiting www.virtualshareholdermeeting.com/SEER2021, where you will be able to listen to the meeting live, submit questions and vote online by entering the control number located on your proxy card.</w:t>
      </w:r>
    </w:p>
    <w:p>
      <w:pPr>
        <w:spacing w:after="0" w:line="20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attached Notice of Annual Meeting of Stockholders and Proxy Statement contain details of the business to be conducted at the Annual Meeting.</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meeting. Therefore, we urge you to promptly vote and submit your proxy via the Internet, by phone, or by signing, dating and returning the enclosed proxy card. If you decide to attend the Annual Meeting, you will be able to change your vote or revoke your proxy, even if you have previously submitted your proxy.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Company’s Board of Directors, we would like to thank you for your continued support of and interest in Seer.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Omid Farokhzad, M.D.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 and Chair of the Board of Directors</w:t>
      </w:r>
    </w:p>
    <w:p>
      <w:pPr>
        <w:sectPr>
          <w:pgSz w:w="11900" w:h="16838" w:orient="portrait"/>
          <w:cols w:equalWidth="0" w:num="1">
            <w:col w:w="11120"/>
          </w:cols>
          <w:pgMar w:left="320" w:top="1165" w:right="45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120" w:type="dxa"/>
            <w:vAlign w:val="bottom"/>
          </w:tcPr>
          <w:p>
            <w:pPr>
              <w:jc w:val="center"/>
              <w:ind w:right="2990"/>
              <w:spacing w:after="0"/>
              <w:rPr>
                <w:sz w:val="20"/>
                <w:szCs w:val="20"/>
                <w:color w:val="auto"/>
              </w:rPr>
            </w:pPr>
            <w:r>
              <w:rPr>
                <w:rFonts w:ascii="Arial" w:cs="Arial" w:eastAsia="Arial" w:hAnsi="Arial"/>
                <w:sz w:val="18"/>
                <w:szCs w:val="18"/>
                <w:b w:val="1"/>
                <w:bCs w:val="1"/>
                <w:color w:val="auto"/>
              </w:rPr>
              <w:t>SEER, INC.</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120" w:type="dxa"/>
            <w:vAlign w:val="bottom"/>
          </w:tcPr>
          <w:p>
            <w:pPr>
              <w:jc w:val="center"/>
              <w:ind w:right="2990"/>
              <w:spacing w:after="0"/>
              <w:rPr>
                <w:sz w:val="20"/>
                <w:szCs w:val="20"/>
                <w:color w:val="auto"/>
              </w:rPr>
            </w:pPr>
            <w:r>
              <w:rPr>
                <w:rFonts w:ascii="Arial" w:cs="Arial" w:eastAsia="Arial" w:hAnsi="Arial"/>
                <w:sz w:val="18"/>
                <w:szCs w:val="18"/>
                <w:b w:val="1"/>
                <w:bCs w:val="1"/>
                <w:color w:val="auto"/>
                <w:w w:val="99"/>
              </w:rPr>
              <w:t>3800 Bridge Parkway</w:t>
            </w:r>
          </w:p>
        </w:tc>
        <w:tc>
          <w:tcPr>
            <w:tcW w:w="0" w:type="dxa"/>
            <w:vAlign w:val="bottom"/>
          </w:tcPr>
          <w:p>
            <w:pPr>
              <w:spacing w:after="0"/>
              <w:rPr>
                <w:sz w:val="1"/>
                <w:szCs w:val="1"/>
                <w:color w:val="auto"/>
              </w:rPr>
            </w:pPr>
          </w:p>
        </w:tc>
      </w:tr>
      <w:tr>
        <w:trPr>
          <w:trHeight w:val="239"/>
        </w:trPr>
        <w:tc>
          <w:tcPr>
            <w:tcW w:w="2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120" w:type="dxa"/>
            <w:vAlign w:val="bottom"/>
          </w:tcPr>
          <w:p>
            <w:pPr>
              <w:jc w:val="center"/>
              <w:ind w:right="2970"/>
              <w:spacing w:after="0"/>
              <w:rPr>
                <w:sz w:val="20"/>
                <w:szCs w:val="20"/>
                <w:color w:val="auto"/>
              </w:rPr>
            </w:pPr>
            <w:r>
              <w:rPr>
                <w:rFonts w:ascii="Arial" w:cs="Arial" w:eastAsia="Arial" w:hAnsi="Arial"/>
                <w:sz w:val="18"/>
                <w:szCs w:val="18"/>
                <w:b w:val="1"/>
                <w:bCs w:val="1"/>
                <w:color w:val="auto"/>
                <w:w w:val="99"/>
              </w:rPr>
              <w:t>Redwood City, CA 94065</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120" w:type="dxa"/>
            <w:vAlign w:val="bottom"/>
          </w:tcPr>
          <w:p>
            <w:pPr>
              <w:jc w:val="center"/>
              <w:ind w:right="2990"/>
              <w:spacing w:after="0"/>
              <w:rPr>
                <w:sz w:val="20"/>
                <w:szCs w:val="20"/>
                <w:color w:val="auto"/>
              </w:rPr>
            </w:pPr>
            <w:r>
              <w:rPr>
                <w:rFonts w:ascii="Arial" w:cs="Arial" w:eastAsia="Arial" w:hAnsi="Arial"/>
                <w:sz w:val="18"/>
                <w:szCs w:val="18"/>
                <w:b w:val="1"/>
                <w:bCs w:val="1"/>
                <w:color w:val="auto"/>
                <w:w w:val="99"/>
              </w:rPr>
              <w:t>NOTICE OF ANNUAL MEETING OF STOCKHOLDERS</w:t>
            </w:r>
          </w:p>
        </w:tc>
        <w:tc>
          <w:tcPr>
            <w:tcW w:w="0" w:type="dxa"/>
            <w:vAlign w:val="bottom"/>
          </w:tcPr>
          <w:p>
            <w:pPr>
              <w:spacing w:after="0"/>
              <w:rPr>
                <w:sz w:val="1"/>
                <w:szCs w:val="1"/>
                <w:color w:val="auto"/>
              </w:rPr>
            </w:pPr>
          </w:p>
        </w:tc>
      </w:tr>
      <w:tr>
        <w:trPr>
          <w:trHeight w:val="463"/>
        </w:trPr>
        <w:tc>
          <w:tcPr>
            <w:tcW w:w="214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9060" w:type="dxa"/>
            <w:vAlign w:val="bottom"/>
            <w:gridSpan w:val="2"/>
          </w:tcPr>
          <w:p>
            <w:pPr>
              <w:ind w:left="600"/>
              <w:spacing w:after="0"/>
              <w:rPr>
                <w:sz w:val="20"/>
                <w:szCs w:val="20"/>
                <w:color w:val="auto"/>
              </w:rPr>
            </w:pPr>
            <w:r>
              <w:rPr>
                <w:rFonts w:ascii="Arial" w:cs="Arial" w:eastAsia="Arial" w:hAnsi="Arial"/>
                <w:sz w:val="18"/>
                <w:szCs w:val="18"/>
                <w:color w:val="auto"/>
              </w:rPr>
              <w:t>Wednesday, June 16, 2021 at 1:00 p.m. Pacific Time</w:t>
            </w:r>
          </w:p>
        </w:tc>
        <w:tc>
          <w:tcPr>
            <w:tcW w:w="0" w:type="dxa"/>
            <w:vAlign w:val="bottom"/>
          </w:tcPr>
          <w:p>
            <w:pPr>
              <w:spacing w:after="0"/>
              <w:rPr>
                <w:sz w:val="1"/>
                <w:szCs w:val="1"/>
                <w:color w:val="auto"/>
              </w:rPr>
            </w:pPr>
          </w:p>
        </w:tc>
      </w:tr>
      <w:tr>
        <w:trPr>
          <w:trHeight w:val="198"/>
        </w:trPr>
        <w:tc>
          <w:tcPr>
            <w:tcW w:w="2140" w:type="dxa"/>
            <w:vAlign w:val="bottom"/>
          </w:tcPr>
          <w:p>
            <w:pPr>
              <w:spacing w:after="0" w:line="198" w:lineRule="exact"/>
              <w:rPr>
                <w:sz w:val="20"/>
                <w:szCs w:val="20"/>
                <w:color w:val="auto"/>
              </w:rPr>
            </w:pPr>
            <w:r>
              <w:rPr>
                <w:rFonts w:ascii="Arial" w:cs="Arial" w:eastAsia="Arial" w:hAnsi="Arial"/>
                <w:sz w:val="18"/>
                <w:szCs w:val="18"/>
                <w:b w:val="1"/>
                <w:bCs w:val="1"/>
                <w:color w:val="auto"/>
              </w:rPr>
              <w:t>Place</w:t>
            </w:r>
          </w:p>
        </w:tc>
        <w:tc>
          <w:tcPr>
            <w:tcW w:w="9060" w:type="dxa"/>
            <w:vAlign w:val="bottom"/>
            <w:gridSpan w:val="2"/>
          </w:tcPr>
          <w:p>
            <w:pPr>
              <w:ind w:left="600"/>
              <w:spacing w:after="0" w:line="198" w:lineRule="exact"/>
              <w:rPr>
                <w:sz w:val="20"/>
                <w:szCs w:val="20"/>
                <w:color w:val="auto"/>
              </w:rPr>
            </w:pPr>
            <w:r>
              <w:rPr>
                <w:rFonts w:ascii="Arial" w:cs="Arial" w:eastAsia="Arial" w:hAnsi="Arial"/>
                <w:sz w:val="18"/>
                <w:szCs w:val="18"/>
                <w:color w:val="auto"/>
              </w:rPr>
              <w:t>The Annual Meeting will be a completely virtual meeting of stockholders, to be conducted via live</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9060" w:type="dxa"/>
            <w:vAlign w:val="bottom"/>
            <w:gridSpan w:val="2"/>
          </w:tcPr>
          <w:p>
            <w:pPr>
              <w:ind w:left="600"/>
              <w:spacing w:after="0" w:line="176" w:lineRule="exact"/>
              <w:rPr>
                <w:sz w:val="20"/>
                <w:szCs w:val="20"/>
                <w:color w:val="auto"/>
              </w:rPr>
            </w:pPr>
            <w:r>
              <w:rPr>
                <w:rFonts w:ascii="Arial" w:cs="Arial" w:eastAsia="Arial" w:hAnsi="Arial"/>
                <w:sz w:val="18"/>
                <w:szCs w:val="18"/>
                <w:color w:val="auto"/>
              </w:rPr>
              <w:t>webcast. You will be able to attend the Annual Meeting virtually, examine a list of our stockholders entitled</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9060" w:type="dxa"/>
            <w:vAlign w:val="bottom"/>
            <w:gridSpan w:val="2"/>
          </w:tcPr>
          <w:p>
            <w:pPr>
              <w:ind w:left="600"/>
              <w:spacing w:after="0" w:line="176" w:lineRule="exact"/>
              <w:rPr>
                <w:sz w:val="20"/>
                <w:szCs w:val="20"/>
                <w:color w:val="auto"/>
              </w:rPr>
            </w:pPr>
            <w:r>
              <w:rPr>
                <w:rFonts w:ascii="Arial" w:cs="Arial" w:eastAsia="Arial" w:hAnsi="Arial"/>
                <w:sz w:val="18"/>
                <w:szCs w:val="18"/>
                <w:color w:val="auto"/>
              </w:rPr>
              <w:t>to vote at the meeting, submit questions and vote online during the meeting by visiting</w:t>
            </w:r>
          </w:p>
        </w:tc>
        <w:tc>
          <w:tcPr>
            <w:tcW w:w="0" w:type="dxa"/>
            <w:vAlign w:val="bottom"/>
          </w:tcPr>
          <w:p>
            <w:pPr>
              <w:spacing w:after="0"/>
              <w:rPr>
                <w:sz w:val="1"/>
                <w:szCs w:val="1"/>
                <w:color w:val="auto"/>
              </w:rPr>
            </w:pPr>
          </w:p>
        </w:tc>
      </w:tr>
      <w:tr>
        <w:trPr>
          <w:trHeight w:val="217"/>
        </w:trPr>
        <w:tc>
          <w:tcPr>
            <w:tcW w:w="2140" w:type="dxa"/>
            <w:vAlign w:val="bottom"/>
            <w:vMerge w:val="restart"/>
          </w:tcPr>
          <w:p>
            <w:pPr>
              <w:spacing w:after="0"/>
              <w:rPr>
                <w:sz w:val="20"/>
                <w:szCs w:val="20"/>
                <w:color w:val="auto"/>
              </w:rPr>
            </w:pPr>
            <w:r>
              <w:rPr>
                <w:rFonts w:ascii="Arial" w:cs="Arial" w:eastAsia="Arial" w:hAnsi="Arial"/>
                <w:sz w:val="18"/>
                <w:szCs w:val="18"/>
                <w:b w:val="1"/>
                <w:bCs w:val="1"/>
                <w:color w:val="auto"/>
              </w:rPr>
              <w:t>Items of Business</w:t>
            </w:r>
          </w:p>
        </w:tc>
        <w:tc>
          <w:tcPr>
            <w:tcW w:w="9060" w:type="dxa"/>
            <w:vAlign w:val="bottom"/>
            <w:gridSpan w:val="2"/>
          </w:tcPr>
          <w:p>
            <w:pPr>
              <w:ind w:left="600"/>
              <w:spacing w:after="0"/>
              <w:rPr>
                <w:sz w:val="20"/>
                <w:szCs w:val="20"/>
                <w:color w:val="auto"/>
              </w:rPr>
            </w:pPr>
            <w:r>
              <w:rPr>
                <w:rFonts w:ascii="Arial" w:cs="Arial" w:eastAsia="Arial" w:hAnsi="Arial"/>
                <w:sz w:val="18"/>
                <w:szCs w:val="18"/>
                <w:color w:val="auto"/>
              </w:rPr>
              <w:t>www.virtualshareholdermeeting.com/SEER2021.</w:t>
            </w:r>
          </w:p>
        </w:tc>
        <w:tc>
          <w:tcPr>
            <w:tcW w:w="0" w:type="dxa"/>
            <w:vAlign w:val="bottom"/>
          </w:tcPr>
          <w:p>
            <w:pPr>
              <w:spacing w:after="0"/>
              <w:rPr>
                <w:sz w:val="1"/>
                <w:szCs w:val="1"/>
                <w:color w:val="auto"/>
              </w:rPr>
            </w:pPr>
          </w:p>
        </w:tc>
      </w:tr>
      <w:tr>
        <w:trPr>
          <w:trHeight w:val="229"/>
        </w:trPr>
        <w:tc>
          <w:tcPr>
            <w:tcW w:w="214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140" w:type="dxa"/>
            <w:vAlign w:val="bottom"/>
          </w:tcPr>
          <w:p>
            <w:pPr>
              <w:spacing w:after="0"/>
              <w:rPr>
                <w:sz w:val="24"/>
                <w:szCs w:val="24"/>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To elect three Class I directors to serve until the 2024 annual meeting of stockholders or until their</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successors are duly elected and qualified.</w:t>
            </w:r>
          </w:p>
        </w:tc>
        <w:tc>
          <w:tcPr>
            <w:tcW w:w="0" w:type="dxa"/>
            <w:vAlign w:val="bottom"/>
          </w:tcPr>
          <w:p>
            <w:pPr>
              <w:spacing w:after="0"/>
              <w:rPr>
                <w:sz w:val="1"/>
                <w:szCs w:val="1"/>
                <w:color w:val="auto"/>
              </w:rPr>
            </w:pPr>
          </w:p>
        </w:tc>
      </w:tr>
      <w:tr>
        <w:trPr>
          <w:trHeight w:val="350"/>
        </w:trPr>
        <w:tc>
          <w:tcPr>
            <w:tcW w:w="2140" w:type="dxa"/>
            <w:vAlign w:val="bottom"/>
          </w:tcPr>
          <w:p>
            <w:pPr>
              <w:spacing w:after="0"/>
              <w:rPr>
                <w:sz w:val="24"/>
                <w:szCs w:val="24"/>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To ratify the appointment of Deloitte &amp; Touche LLP as our independent registered public</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accounting firm for our fiscal year ending December 31, 2021.</w:t>
            </w:r>
          </w:p>
        </w:tc>
        <w:tc>
          <w:tcPr>
            <w:tcW w:w="0" w:type="dxa"/>
            <w:vAlign w:val="bottom"/>
          </w:tcPr>
          <w:p>
            <w:pPr>
              <w:spacing w:after="0"/>
              <w:rPr>
                <w:sz w:val="1"/>
                <w:szCs w:val="1"/>
                <w:color w:val="auto"/>
              </w:rPr>
            </w:pPr>
          </w:p>
        </w:tc>
      </w:tr>
      <w:tr>
        <w:trPr>
          <w:trHeight w:val="350"/>
        </w:trPr>
        <w:tc>
          <w:tcPr>
            <w:tcW w:w="2140" w:type="dxa"/>
            <w:vAlign w:val="bottom"/>
          </w:tcPr>
          <w:p>
            <w:pPr>
              <w:spacing w:after="0"/>
              <w:rPr>
                <w:sz w:val="24"/>
                <w:szCs w:val="24"/>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To transact such other business as may properly come before the Annual Meeting or any</w:t>
            </w:r>
          </w:p>
        </w:tc>
        <w:tc>
          <w:tcPr>
            <w:tcW w:w="0" w:type="dxa"/>
            <w:vAlign w:val="bottom"/>
          </w:tcPr>
          <w:p>
            <w:pPr>
              <w:spacing w:after="0"/>
              <w:rPr>
                <w:sz w:val="1"/>
                <w:szCs w:val="1"/>
                <w:color w:val="auto"/>
              </w:rPr>
            </w:pPr>
          </w:p>
        </w:tc>
      </w:tr>
      <w:tr>
        <w:trPr>
          <w:trHeight w:val="217"/>
        </w:trPr>
        <w:tc>
          <w:tcPr>
            <w:tcW w:w="2140" w:type="dxa"/>
            <w:vAlign w:val="bottom"/>
            <w:vMerge w:val="restart"/>
          </w:tcPr>
          <w:p>
            <w:pPr>
              <w:spacing w:after="0"/>
              <w:rPr>
                <w:sz w:val="20"/>
                <w:szCs w:val="20"/>
                <w:color w:val="auto"/>
              </w:rPr>
            </w:pPr>
            <w:r>
              <w:rPr>
                <w:rFonts w:ascii="Arial" w:cs="Arial" w:eastAsia="Arial" w:hAnsi="Arial"/>
                <w:sz w:val="18"/>
                <w:szCs w:val="18"/>
                <w:b w:val="1"/>
                <w:bCs w:val="1"/>
                <w:color w:val="auto"/>
              </w:rPr>
              <w:t>Record Date</w:t>
            </w:r>
          </w:p>
        </w:tc>
        <w:tc>
          <w:tcPr>
            <w:tcW w:w="94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adjournments or postponements thereof.</w:t>
            </w:r>
          </w:p>
        </w:tc>
        <w:tc>
          <w:tcPr>
            <w:tcW w:w="0" w:type="dxa"/>
            <w:vAlign w:val="bottom"/>
          </w:tcPr>
          <w:p>
            <w:pPr>
              <w:spacing w:after="0"/>
              <w:rPr>
                <w:sz w:val="1"/>
                <w:szCs w:val="1"/>
                <w:color w:val="auto"/>
              </w:rPr>
            </w:pPr>
          </w:p>
        </w:tc>
      </w:tr>
      <w:tr>
        <w:trPr>
          <w:trHeight w:val="188"/>
        </w:trPr>
        <w:tc>
          <w:tcPr>
            <w:tcW w:w="2140" w:type="dxa"/>
            <w:vAlign w:val="bottom"/>
            <w:vMerge w:val="continue"/>
          </w:tcPr>
          <w:p>
            <w:pPr>
              <w:spacing w:after="0"/>
              <w:rPr>
                <w:sz w:val="16"/>
                <w:szCs w:val="16"/>
                <w:color w:val="auto"/>
              </w:rPr>
            </w:pPr>
          </w:p>
        </w:tc>
        <w:tc>
          <w:tcPr>
            <w:tcW w:w="906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April 20, 2021 (the Record Date). Only stockholders of record at the close of business on the Record</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9060" w:type="dxa"/>
            <w:vAlign w:val="bottom"/>
            <w:gridSpan w:val="2"/>
          </w:tcPr>
          <w:p>
            <w:pPr>
              <w:ind w:left="600"/>
              <w:spacing w:after="0"/>
              <w:rPr>
                <w:sz w:val="20"/>
                <w:szCs w:val="20"/>
                <w:color w:val="auto"/>
              </w:rPr>
            </w:pPr>
            <w:r>
              <w:rPr>
                <w:rFonts w:ascii="Arial" w:cs="Arial" w:eastAsia="Arial" w:hAnsi="Arial"/>
                <w:sz w:val="18"/>
                <w:szCs w:val="18"/>
                <w:color w:val="auto"/>
              </w:rPr>
              <w:t>Date are entitled to receive notice of, and to vote at, the Annual Meeting.</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p>
    <w:p>
      <w:pPr>
        <w:spacing w:after="0" w:line="17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June 16, 2021. </w:t>
      </w:r>
      <w:r>
        <w:rPr>
          <w:rFonts w:ascii="Arial" w:cs="Arial" w:eastAsia="Arial" w:hAnsi="Arial"/>
          <w:sz w:val="18"/>
          <w:szCs w:val="18"/>
          <w:color w:val="auto"/>
        </w:rPr>
        <w:t>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Annual Report to Stockholders are being made available on or about April 28, 2021 on our investor relations website at investor.seer.bio. We are providing access to our proxy materials over the Internet under the rules adopted by the Securities and Exchange Commission.</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Omid Farokhzad, M.D.,</w:t>
      </w:r>
    </w:p>
    <w:p>
      <w:pPr>
        <w:ind w:left="5640"/>
        <w:spacing w:after="0"/>
        <w:rPr>
          <w:sz w:val="20"/>
          <w:szCs w:val="20"/>
          <w:color w:val="auto"/>
        </w:rPr>
      </w:pPr>
      <w:r>
        <w:rPr>
          <w:rFonts w:ascii="Arial" w:cs="Arial" w:eastAsia="Arial" w:hAnsi="Arial"/>
          <w:sz w:val="18"/>
          <w:szCs w:val="18"/>
          <w:i w:val="1"/>
          <w:iCs w:val="1"/>
          <w:color w:val="auto"/>
        </w:rPr>
        <w:t>Chief Executive Officer and Chair of the Board of Directors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is being mailed to stockholders on or about May 7, 2021.</w:t>
      </w:r>
    </w:p>
    <w:p>
      <w:pPr>
        <w:sectPr>
          <w:pgSz w:w="11900" w:h="16838" w:orient="portrait"/>
          <w:cols w:equalWidth="0" w:num="1">
            <w:col w:w="11220"/>
          </w:cols>
          <w:pgMar w:left="320" w:top="927"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60" w:type="dxa"/>
            <w:vAlign w:val="bottom"/>
            <w:gridSpan w:val="13"/>
          </w:tcPr>
          <w:p>
            <w:pPr>
              <w:ind w:left="32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480" w:type="dxa"/>
            <w:vAlign w:val="bottom"/>
            <w:gridSpan w:val="44"/>
          </w:tcPr>
          <w:p>
            <w:pPr>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QUESTIONS AND ANSWERS ABOUT THE ANNUAL MEETING</w:t>
              </w:r>
            </w:hyperlink>
          </w:p>
        </w:tc>
        <w:tc>
          <w:tcPr>
            <w:tcW w:w="740" w:type="dxa"/>
            <w:vAlign w:val="bottom"/>
          </w:tcPr>
          <w:p>
            <w:pPr>
              <w:jc w:val="center"/>
              <w:spacing w:after="0" w:line="182"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1</w:t>
              </w:r>
            </w:hyperlink>
          </w:p>
        </w:tc>
        <w:tc>
          <w:tcPr>
            <w:tcW w:w="0" w:type="dxa"/>
            <w:vAlign w:val="bottom"/>
          </w:tcPr>
          <w:p>
            <w:pPr>
              <w:spacing w:after="0"/>
              <w:rPr>
                <w:sz w:val="1"/>
                <w:szCs w:val="1"/>
                <w:color w:val="auto"/>
              </w:rPr>
            </w:pPr>
          </w:p>
        </w:tc>
      </w:tr>
      <w:tr>
        <w:trPr>
          <w:trHeight w:val="210"/>
        </w:trPr>
        <w:tc>
          <w:tcPr>
            <w:tcW w:w="5180" w:type="dxa"/>
            <w:vAlign w:val="bottom"/>
            <w:tcBorders>
              <w:top w:val="single" w:sz="8" w:color="0000FF"/>
            </w:tcBorders>
            <w:gridSpan w:val="35"/>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BOARD OF DIRECTORS AND CORPORATE GOVERNANCE</w:t>
              </w:r>
            </w:hyperlink>
          </w:p>
        </w:tc>
        <w:tc>
          <w:tcPr>
            <w:tcW w:w="5300" w:type="dxa"/>
            <w:vAlign w:val="bottom"/>
            <w:gridSpan w:val="9"/>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11">
              <w:r>
                <w:rPr>
                  <w:rFonts w:ascii="Arial" w:cs="Arial" w:eastAsia="Arial" w:hAnsi="Arial"/>
                  <w:sz w:val="18"/>
                  <w:szCs w:val="18"/>
                  <w:color w:val="auto"/>
                  <w:w w:val="99"/>
                </w:rPr>
                <w:t>8</w:t>
              </w:r>
            </w:hyperlink>
          </w:p>
        </w:tc>
        <w:tc>
          <w:tcPr>
            <w:tcW w:w="0" w:type="dxa"/>
            <w:vAlign w:val="bottom"/>
          </w:tcPr>
          <w:p>
            <w:pPr>
              <w:spacing w:after="0"/>
              <w:rPr>
                <w:sz w:val="1"/>
                <w:szCs w:val="1"/>
                <w:color w:val="auto"/>
              </w:rPr>
            </w:pPr>
          </w:p>
        </w:tc>
      </w:tr>
      <w:tr>
        <w:trPr>
          <w:trHeight w:val="209"/>
        </w:trPr>
        <w:tc>
          <w:tcPr>
            <w:tcW w:w="440" w:type="dxa"/>
            <w:vAlign w:val="bottom"/>
            <w:tcBorders>
              <w:top w:val="single" w:sz="8" w:color="0000FF"/>
            </w:tcBorders>
          </w:tcPr>
          <w:p>
            <w:pPr>
              <w:spacing w:after="0"/>
              <w:rPr>
                <w:sz w:val="18"/>
                <w:szCs w:val="18"/>
                <w:color w:val="auto"/>
              </w:rPr>
            </w:pPr>
          </w:p>
        </w:tc>
        <w:tc>
          <w:tcPr>
            <w:tcW w:w="4540" w:type="dxa"/>
            <w:vAlign w:val="bottom"/>
            <w:tcBorders>
              <w:top w:val="single" w:sz="8" w:color="0000FF"/>
            </w:tcBorders>
            <w:gridSpan w:val="32"/>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Director Nominees</w:t>
              </w:r>
            </w:hyperlink>
          </w:p>
        </w:tc>
        <w:tc>
          <w:tcPr>
            <w:tcW w:w="5500" w:type="dxa"/>
            <w:vAlign w:val="bottom"/>
            <w:gridSpan w:val="11"/>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12">
              <w:r>
                <w:rPr>
                  <w:rFonts w:ascii="Arial" w:cs="Arial" w:eastAsia="Arial" w:hAnsi="Arial"/>
                  <w:sz w:val="18"/>
                  <w:szCs w:val="18"/>
                  <w:color w:val="auto"/>
                  <w:w w:val="99"/>
                </w:rPr>
                <w:t>8</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3"/>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Continuing Directors</w:t>
              </w:r>
            </w:hyperlink>
          </w:p>
        </w:tc>
        <w:tc>
          <w:tcPr>
            <w:tcW w:w="740" w:type="dxa"/>
            <w:vAlign w:val="bottom"/>
          </w:tcPr>
          <w:p>
            <w:pPr>
              <w:jc w:val="center"/>
              <w:spacing w:after="0"/>
              <w:rPr>
                <w:rFonts w:ascii="Arial" w:cs="Arial" w:eastAsia="Arial" w:hAnsi="Arial"/>
                <w:sz w:val="18"/>
                <w:szCs w:val="18"/>
                <w:color w:val="auto"/>
                <w:w w:val="99"/>
              </w:rPr>
            </w:pPr>
            <w:hyperlink w:anchor="page13">
              <w:r>
                <w:rPr>
                  <w:rFonts w:ascii="Arial" w:cs="Arial" w:eastAsia="Arial" w:hAnsi="Arial"/>
                  <w:sz w:val="18"/>
                  <w:szCs w:val="18"/>
                  <w:color w:val="auto"/>
                  <w:w w:val="99"/>
                </w:rPr>
                <w:t>9</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660" w:type="dxa"/>
            <w:vAlign w:val="bottom"/>
            <w:tcBorders>
              <w:bottom w:val="single" w:sz="8" w:color="0000FF"/>
            </w:tcBorders>
            <w:gridSpan w:val="9"/>
          </w:tcPr>
          <w:p>
            <w:pPr>
              <w:spacing w:after="0"/>
              <w:rPr>
                <w:rFonts w:ascii="Arial" w:cs="Arial" w:eastAsia="Arial" w:hAnsi="Arial"/>
                <w:sz w:val="18"/>
                <w:szCs w:val="18"/>
                <w:color w:val="0000FF"/>
                <w:w w:val="98"/>
              </w:rPr>
            </w:pPr>
            <w:hyperlink w:anchor="page14">
              <w:r>
                <w:rPr>
                  <w:rFonts w:ascii="Arial" w:cs="Arial" w:eastAsia="Arial" w:hAnsi="Arial"/>
                  <w:sz w:val="18"/>
                  <w:szCs w:val="18"/>
                  <w:color w:val="0000FF"/>
                  <w:w w:val="98"/>
                </w:rPr>
                <w:t>Family Relationships</w:t>
              </w:r>
            </w:hyperlink>
          </w:p>
        </w:tc>
        <w:tc>
          <w:tcPr>
            <w:tcW w:w="8380" w:type="dxa"/>
            <w:vAlign w:val="bottom"/>
            <w:gridSpan w:val="34"/>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14">
              <w:r>
                <w:rPr>
                  <w:rFonts w:ascii="Arial" w:cs="Arial" w:eastAsia="Arial" w:hAnsi="Arial"/>
                  <w:sz w:val="18"/>
                  <w:szCs w:val="18"/>
                  <w:color w:val="auto"/>
                  <w:w w:val="99"/>
                </w:rPr>
                <w:t>10</w:t>
              </w:r>
            </w:hyperlink>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820" w:type="dxa"/>
            <w:vAlign w:val="bottom"/>
            <w:tcBorders>
              <w:bottom w:val="single" w:sz="8" w:color="0000FF"/>
            </w:tcBorders>
            <w:gridSpan w:val="11"/>
          </w:tcPr>
          <w:p>
            <w:pPr>
              <w:spacing w:after="0"/>
              <w:rPr>
                <w:rFonts w:ascii="Arial" w:cs="Arial" w:eastAsia="Arial" w:hAnsi="Arial"/>
                <w:sz w:val="18"/>
                <w:szCs w:val="18"/>
                <w:color w:val="0000FF"/>
                <w:w w:val="98"/>
              </w:rPr>
            </w:pPr>
            <w:hyperlink w:anchor="page14">
              <w:r>
                <w:rPr>
                  <w:rFonts w:ascii="Arial" w:cs="Arial" w:eastAsia="Arial" w:hAnsi="Arial"/>
                  <w:sz w:val="18"/>
                  <w:szCs w:val="18"/>
                  <w:color w:val="0000FF"/>
                  <w:w w:val="98"/>
                </w:rPr>
                <w:t>Director Independence</w:t>
              </w:r>
            </w:hyperlink>
          </w:p>
        </w:tc>
        <w:tc>
          <w:tcPr>
            <w:tcW w:w="8220" w:type="dxa"/>
            <w:vAlign w:val="bottom"/>
            <w:gridSpan w:val="32"/>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14">
              <w:r>
                <w:rPr>
                  <w:rFonts w:ascii="Arial" w:cs="Arial" w:eastAsia="Arial" w:hAnsi="Arial"/>
                  <w:sz w:val="18"/>
                  <w:szCs w:val="18"/>
                  <w:color w:val="auto"/>
                  <w:w w:val="99"/>
                </w:rPr>
                <w:t>11</w:t>
              </w:r>
            </w:hyperlink>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Board Leadership Structure</w:t>
              </w:r>
            </w:hyperlink>
          </w:p>
        </w:tc>
        <w:tc>
          <w:tcPr>
            <w:tcW w:w="7840" w:type="dxa"/>
            <w:vAlign w:val="bottom"/>
            <w:gridSpan w:val="28"/>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15">
              <w:r>
                <w:rPr>
                  <w:rFonts w:ascii="Arial" w:cs="Arial" w:eastAsia="Arial" w:hAnsi="Arial"/>
                  <w:sz w:val="18"/>
                  <w:szCs w:val="18"/>
                  <w:color w:val="auto"/>
                  <w:w w:val="99"/>
                </w:rPr>
                <w:t>11</w:t>
              </w:r>
            </w:hyperlink>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3"/>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Committees of our Board of Directors</w:t>
              </w:r>
            </w:hyperlink>
          </w:p>
        </w:tc>
        <w:tc>
          <w:tcPr>
            <w:tcW w:w="740" w:type="dxa"/>
            <w:vAlign w:val="bottom"/>
          </w:tcPr>
          <w:p>
            <w:pPr>
              <w:jc w:val="center"/>
              <w:spacing w:after="0"/>
              <w:rPr>
                <w:rFonts w:ascii="Arial" w:cs="Arial" w:eastAsia="Arial" w:hAnsi="Arial"/>
                <w:sz w:val="18"/>
                <w:szCs w:val="18"/>
                <w:color w:val="auto"/>
                <w:w w:val="99"/>
              </w:rPr>
            </w:pPr>
            <w:hyperlink w:anchor="page15">
              <w:r>
                <w:rPr>
                  <w:rFonts w:ascii="Arial" w:cs="Arial" w:eastAsia="Arial" w:hAnsi="Arial"/>
                  <w:sz w:val="18"/>
                  <w:szCs w:val="18"/>
                  <w:color w:val="auto"/>
                  <w:w w:val="99"/>
                </w:rPr>
                <w:t>11</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3"/>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Attendance at Board and Stockholder Meetings</w:t>
              </w:r>
            </w:hyperlink>
          </w:p>
        </w:tc>
        <w:tc>
          <w:tcPr>
            <w:tcW w:w="740" w:type="dxa"/>
            <w:vAlign w:val="bottom"/>
          </w:tcPr>
          <w:p>
            <w:pPr>
              <w:jc w:val="center"/>
              <w:spacing w:after="0"/>
              <w:rPr>
                <w:rFonts w:ascii="Arial" w:cs="Arial" w:eastAsia="Arial" w:hAnsi="Arial"/>
                <w:sz w:val="18"/>
                <w:szCs w:val="18"/>
                <w:color w:val="auto"/>
                <w:w w:val="99"/>
              </w:rPr>
            </w:pPr>
            <w:hyperlink w:anchor="page18">
              <w:r>
                <w:rPr>
                  <w:rFonts w:ascii="Arial" w:cs="Arial" w:eastAsia="Arial" w:hAnsi="Arial"/>
                  <w:sz w:val="18"/>
                  <w:szCs w:val="18"/>
                  <w:color w:val="auto"/>
                  <w:w w:val="99"/>
                </w:rPr>
                <w:t>14</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4880" w:type="dxa"/>
            <w:vAlign w:val="bottom"/>
            <w:tcBorders>
              <w:bottom w:val="single" w:sz="8" w:color="0000FF"/>
            </w:tcBorders>
            <w:gridSpan w:val="35"/>
          </w:tcPr>
          <w:p>
            <w:pPr>
              <w:spacing w:after="0"/>
              <w:rPr>
                <w:rFonts w:ascii="Arial" w:cs="Arial" w:eastAsia="Arial" w:hAnsi="Arial"/>
                <w:sz w:val="18"/>
                <w:szCs w:val="18"/>
                <w:color w:val="0000FF"/>
                <w:w w:val="99"/>
              </w:rPr>
            </w:pPr>
            <w:hyperlink w:anchor="page18">
              <w:r>
                <w:rPr>
                  <w:rFonts w:ascii="Arial" w:cs="Arial" w:eastAsia="Arial" w:hAnsi="Arial"/>
                  <w:sz w:val="18"/>
                  <w:szCs w:val="18"/>
                  <w:color w:val="0000FF"/>
                  <w:w w:val="99"/>
                </w:rPr>
                <w:t>Compensation Committee Interlocks and Insider Participation</w:t>
              </w:r>
            </w:hyperlink>
          </w:p>
        </w:tc>
        <w:tc>
          <w:tcPr>
            <w:tcW w:w="5160" w:type="dxa"/>
            <w:vAlign w:val="bottom"/>
            <w:gridSpan w:val="8"/>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18">
              <w:r>
                <w:rPr>
                  <w:rFonts w:ascii="Arial" w:cs="Arial" w:eastAsia="Arial" w:hAnsi="Arial"/>
                  <w:sz w:val="18"/>
                  <w:szCs w:val="18"/>
                  <w:color w:val="auto"/>
                  <w:w w:val="99"/>
                </w:rPr>
                <w:t>14</w:t>
              </w:r>
            </w:hyperlink>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820" w:type="dxa"/>
            <w:vAlign w:val="bottom"/>
            <w:tcBorders>
              <w:bottom w:val="single" w:sz="8" w:color="0000FF"/>
            </w:tcBorders>
            <w:gridSpan w:val="29"/>
          </w:tcPr>
          <w:p>
            <w:pPr>
              <w:spacing w:after="0"/>
              <w:rPr>
                <w:rFonts w:ascii="Arial" w:cs="Arial" w:eastAsia="Arial" w:hAnsi="Arial"/>
                <w:sz w:val="18"/>
                <w:szCs w:val="18"/>
                <w:color w:val="0000FF"/>
                <w:w w:val="99"/>
              </w:rPr>
            </w:pPr>
            <w:hyperlink w:anchor="page18">
              <w:r>
                <w:rPr>
                  <w:rFonts w:ascii="Arial" w:cs="Arial" w:eastAsia="Arial" w:hAnsi="Arial"/>
                  <w:sz w:val="18"/>
                  <w:szCs w:val="18"/>
                  <w:color w:val="0000FF"/>
                  <w:w w:val="99"/>
                </w:rPr>
                <w:t>Considerations in Evaluating Director Nominees</w:t>
              </w:r>
            </w:hyperlink>
          </w:p>
        </w:tc>
        <w:tc>
          <w:tcPr>
            <w:tcW w:w="6220" w:type="dxa"/>
            <w:vAlign w:val="bottom"/>
            <w:gridSpan w:val="14"/>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18">
              <w:r>
                <w:rPr>
                  <w:rFonts w:ascii="Arial" w:cs="Arial" w:eastAsia="Arial" w:hAnsi="Arial"/>
                  <w:sz w:val="18"/>
                  <w:szCs w:val="18"/>
                  <w:color w:val="auto"/>
                  <w:w w:val="99"/>
                </w:rPr>
                <w:t>14</w:t>
              </w:r>
            </w:hyperlink>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3"/>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Stockholder Recommendations for Nominations to the Board of Directors</w:t>
              </w:r>
            </w:hyperlink>
          </w:p>
        </w:tc>
        <w:tc>
          <w:tcPr>
            <w:tcW w:w="740" w:type="dxa"/>
            <w:vAlign w:val="bottom"/>
          </w:tcPr>
          <w:p>
            <w:pPr>
              <w:jc w:val="center"/>
              <w:spacing w:after="0"/>
              <w:rPr>
                <w:rFonts w:ascii="Arial" w:cs="Arial" w:eastAsia="Arial" w:hAnsi="Arial"/>
                <w:sz w:val="18"/>
                <w:szCs w:val="18"/>
                <w:color w:val="auto"/>
                <w:w w:val="99"/>
              </w:rPr>
            </w:pPr>
            <w:hyperlink w:anchor="page19">
              <w:r>
                <w:rPr>
                  <w:rFonts w:ascii="Arial" w:cs="Arial" w:eastAsia="Arial" w:hAnsi="Arial"/>
                  <w:sz w:val="18"/>
                  <w:szCs w:val="18"/>
                  <w:color w:val="auto"/>
                  <w:w w:val="99"/>
                </w:rPr>
                <w:t>15</w:t>
              </w:r>
            </w:hyperlink>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00" w:type="dxa"/>
            <w:vAlign w:val="bottom"/>
            <w:tcBorders>
              <w:top w:val="single" w:sz="8" w:color="0000FF"/>
            </w:tcBorders>
            <w:gridSpan w:val="37"/>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Communications with the Board of Directors</w:t>
              </w:r>
            </w:hyperlink>
          </w:p>
        </w:tc>
        <w:tc>
          <w:tcPr>
            <w:tcW w:w="4240" w:type="dxa"/>
            <w:vAlign w:val="bottom"/>
            <w:gridSpan w:val="6"/>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19">
              <w:r>
                <w:rPr>
                  <w:rFonts w:ascii="Arial" w:cs="Arial" w:eastAsia="Arial" w:hAnsi="Arial"/>
                  <w:sz w:val="18"/>
                  <w:szCs w:val="18"/>
                  <w:color w:val="auto"/>
                  <w:w w:val="99"/>
                </w:rPr>
                <w:t>16</w:t>
              </w:r>
            </w:hyperlink>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8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9"/>
              </w:rPr>
            </w:pPr>
            <w:hyperlink w:anchor="page20">
              <w:r>
                <w:rPr>
                  <w:rFonts w:ascii="Arial" w:cs="Arial" w:eastAsia="Arial" w:hAnsi="Arial"/>
                  <w:sz w:val="18"/>
                  <w:szCs w:val="18"/>
                  <w:color w:val="0000FF"/>
                  <w:w w:val="99"/>
                </w:rPr>
                <w:t>Management and Board Diversity</w:t>
              </w:r>
            </w:hyperlink>
          </w:p>
        </w:tc>
        <w:tc>
          <w:tcPr>
            <w:tcW w:w="820" w:type="dxa"/>
            <w:vAlign w:val="bottom"/>
            <w:tcBorders>
              <w:top w:val="single" w:sz="8" w:color="0000FF"/>
            </w:tcBorders>
            <w:gridSpan w:val="6"/>
          </w:tcPr>
          <w:p>
            <w:pPr>
              <w:spacing w:after="0"/>
              <w:rPr>
                <w:sz w:val="18"/>
                <w:szCs w:val="18"/>
                <w:color w:val="auto"/>
              </w:rPr>
            </w:pPr>
          </w:p>
        </w:tc>
        <w:tc>
          <w:tcPr>
            <w:tcW w:w="6540" w:type="dxa"/>
            <w:vAlign w:val="bottom"/>
            <w:gridSpan w:val="18"/>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3"/>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Corporate Governance Guidelines and Code of Business Conduct and Ethics</w:t>
              </w:r>
            </w:hyperlink>
          </w:p>
        </w:tc>
        <w:tc>
          <w:tcPr>
            <w:tcW w:w="740" w:type="dxa"/>
            <w:vAlign w:val="bottom"/>
          </w:tcPr>
          <w:p>
            <w:pPr>
              <w:jc w:val="center"/>
              <w:spacing w:after="0"/>
              <w:rPr>
                <w:rFonts w:ascii="Arial" w:cs="Arial" w:eastAsia="Arial" w:hAnsi="Arial"/>
                <w:sz w:val="18"/>
                <w:szCs w:val="18"/>
                <w:color w:val="auto"/>
                <w:w w:val="99"/>
              </w:rPr>
            </w:pPr>
            <w:hyperlink w:anchor="page20">
              <w:r>
                <w:rPr>
                  <w:rFonts w:ascii="Arial" w:cs="Arial" w:eastAsia="Arial" w:hAnsi="Arial"/>
                  <w:sz w:val="18"/>
                  <w:szCs w:val="18"/>
                  <w:color w:val="auto"/>
                  <w:w w:val="99"/>
                </w:rPr>
                <w:t>16</w:t>
              </w:r>
            </w:hyperlink>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760" w:type="dxa"/>
            <w:vAlign w:val="bottom"/>
            <w:tcBorders>
              <w:top w:val="single" w:sz="8" w:color="0000FF"/>
              <w:bottom w:val="single" w:sz="8" w:color="0000FF"/>
            </w:tcBorders>
            <w:gridSpan w:val="20"/>
          </w:tcPr>
          <w:p>
            <w:pPr>
              <w:spacing w:after="0"/>
              <w:rPr>
                <w:rFonts w:ascii="Arial" w:cs="Arial" w:eastAsia="Arial" w:hAnsi="Arial"/>
                <w:sz w:val="18"/>
                <w:szCs w:val="18"/>
                <w:color w:val="0000FF"/>
                <w:w w:val="99"/>
              </w:rPr>
            </w:pPr>
            <w:hyperlink w:anchor="page20">
              <w:r>
                <w:rPr>
                  <w:rFonts w:ascii="Arial" w:cs="Arial" w:eastAsia="Arial" w:hAnsi="Arial"/>
                  <w:sz w:val="18"/>
                  <w:szCs w:val="18"/>
                  <w:color w:val="0000FF"/>
                  <w:w w:val="99"/>
                </w:rPr>
                <w:t>Hedging and Pledging Prohibitions</w:t>
              </w:r>
            </w:hyperlink>
          </w:p>
        </w:tc>
        <w:tc>
          <w:tcPr>
            <w:tcW w:w="3380" w:type="dxa"/>
            <w:vAlign w:val="bottom"/>
            <w:tcBorders>
              <w:top w:val="single" w:sz="8" w:color="0000FF"/>
            </w:tcBorders>
            <w:gridSpan w:val="19"/>
          </w:tcPr>
          <w:p>
            <w:pPr>
              <w:spacing w:after="0"/>
              <w:rPr>
                <w:sz w:val="18"/>
                <w:szCs w:val="18"/>
                <w:color w:val="auto"/>
              </w:rPr>
            </w:pPr>
          </w:p>
        </w:tc>
        <w:tc>
          <w:tcPr>
            <w:tcW w:w="3900" w:type="dxa"/>
            <w:vAlign w:val="bottom"/>
            <w:gridSpan w:val="4"/>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3"/>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Role of the Board in Risk Oversight</w:t>
              </w:r>
            </w:hyperlink>
          </w:p>
        </w:tc>
        <w:tc>
          <w:tcPr>
            <w:tcW w:w="740" w:type="dxa"/>
            <w:vAlign w:val="bottom"/>
          </w:tcPr>
          <w:p>
            <w:pPr>
              <w:jc w:val="center"/>
              <w:spacing w:after="0"/>
              <w:rPr>
                <w:rFonts w:ascii="Arial" w:cs="Arial" w:eastAsia="Arial" w:hAnsi="Arial"/>
                <w:sz w:val="18"/>
                <w:szCs w:val="18"/>
                <w:color w:val="auto"/>
                <w:w w:val="99"/>
              </w:rPr>
            </w:pPr>
            <w:hyperlink w:anchor="page20">
              <w:r>
                <w:rPr>
                  <w:rFonts w:ascii="Arial" w:cs="Arial" w:eastAsia="Arial" w:hAnsi="Arial"/>
                  <w:sz w:val="18"/>
                  <w:szCs w:val="18"/>
                  <w:color w:val="auto"/>
                  <w:w w:val="99"/>
                </w:rPr>
                <w:t>16</w:t>
              </w:r>
            </w:hyperlink>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8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8"/>
              </w:rPr>
            </w:pPr>
            <w:hyperlink w:anchor="page21">
              <w:r>
                <w:rPr>
                  <w:rFonts w:ascii="Arial" w:cs="Arial" w:eastAsia="Arial" w:hAnsi="Arial"/>
                  <w:sz w:val="18"/>
                  <w:szCs w:val="18"/>
                  <w:color w:val="0000FF"/>
                  <w:w w:val="98"/>
                </w:rPr>
                <w:t>Director Compensation</w:t>
              </w:r>
            </w:hyperlink>
          </w:p>
        </w:tc>
        <w:tc>
          <w:tcPr>
            <w:tcW w:w="960" w:type="dxa"/>
            <w:vAlign w:val="bottom"/>
            <w:tcBorders>
              <w:top w:val="single" w:sz="8" w:color="0000FF"/>
            </w:tcBorders>
            <w:gridSpan w:val="9"/>
          </w:tcPr>
          <w:p>
            <w:pPr>
              <w:spacing w:after="0"/>
              <w:rPr>
                <w:sz w:val="18"/>
                <w:szCs w:val="18"/>
                <w:color w:val="auto"/>
              </w:rPr>
            </w:pPr>
          </w:p>
        </w:tc>
        <w:tc>
          <w:tcPr>
            <w:tcW w:w="7240" w:type="dxa"/>
            <w:vAlign w:val="bottom"/>
            <w:gridSpan w:val="22"/>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21">
              <w:r>
                <w:rPr>
                  <w:rFonts w:ascii="Arial" w:cs="Arial" w:eastAsia="Arial" w:hAnsi="Arial"/>
                  <w:sz w:val="18"/>
                  <w:szCs w:val="18"/>
                  <w:color w:val="auto"/>
                  <w:w w:val="99"/>
                </w:rPr>
                <w:t>17</w:t>
              </w:r>
            </w:hyperlink>
          </w:p>
        </w:tc>
        <w:tc>
          <w:tcPr>
            <w:tcW w:w="0" w:type="dxa"/>
            <w:vAlign w:val="bottom"/>
          </w:tcPr>
          <w:p>
            <w:pPr>
              <w:spacing w:after="0"/>
              <w:rPr>
                <w:sz w:val="1"/>
                <w:szCs w:val="1"/>
                <w:color w:val="auto"/>
              </w:rPr>
            </w:pPr>
          </w:p>
        </w:tc>
      </w:tr>
      <w:tr>
        <w:trPr>
          <w:trHeight w:val="210"/>
        </w:trPr>
        <w:tc>
          <w:tcPr>
            <w:tcW w:w="10480" w:type="dxa"/>
            <w:vAlign w:val="bottom"/>
            <w:gridSpan w:val="44"/>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PROPOSAL NO. 1—ELECTION OF DIRECTORS</w:t>
              </w:r>
            </w:hyperlink>
          </w:p>
        </w:tc>
        <w:tc>
          <w:tcPr>
            <w:tcW w:w="740" w:type="dxa"/>
            <w:vAlign w:val="bottom"/>
          </w:tcPr>
          <w:p>
            <w:pPr>
              <w:jc w:val="center"/>
              <w:spacing w:after="0"/>
              <w:rPr>
                <w:rFonts w:ascii="Arial" w:cs="Arial" w:eastAsia="Arial" w:hAnsi="Arial"/>
                <w:sz w:val="18"/>
                <w:szCs w:val="18"/>
                <w:color w:val="auto"/>
                <w:w w:val="99"/>
              </w:rPr>
            </w:pPr>
            <w:hyperlink w:anchor="page24">
              <w:r>
                <w:rPr>
                  <w:rFonts w:ascii="Arial" w:cs="Arial" w:eastAsia="Arial" w:hAnsi="Arial"/>
                  <w:sz w:val="18"/>
                  <w:szCs w:val="18"/>
                  <w:color w:val="auto"/>
                  <w:w w:val="99"/>
                </w:rPr>
                <w:t>21</w:t>
              </w:r>
            </w:hyperlink>
          </w:p>
        </w:tc>
        <w:tc>
          <w:tcPr>
            <w:tcW w:w="0" w:type="dxa"/>
            <w:vAlign w:val="bottom"/>
          </w:tcPr>
          <w:p>
            <w:pPr>
              <w:spacing w:after="0"/>
              <w:rPr>
                <w:sz w:val="1"/>
                <w:szCs w:val="1"/>
                <w:color w:val="auto"/>
              </w:rPr>
            </w:pPr>
          </w:p>
        </w:tc>
      </w:tr>
      <w:tr>
        <w:trPr>
          <w:trHeight w:val="210"/>
        </w:trPr>
        <w:tc>
          <w:tcPr>
            <w:tcW w:w="440" w:type="dxa"/>
            <w:vAlign w:val="bottom"/>
            <w:tcBorders>
              <w:top w:val="single" w:sz="8" w:color="0000FF"/>
            </w:tcBorders>
          </w:tcPr>
          <w:p>
            <w:pPr>
              <w:spacing w:after="0"/>
              <w:rPr>
                <w:sz w:val="18"/>
                <w:szCs w:val="18"/>
                <w:color w:val="auto"/>
              </w:rPr>
            </w:pPr>
          </w:p>
        </w:tc>
        <w:tc>
          <w:tcPr>
            <w:tcW w:w="3560" w:type="dxa"/>
            <w:vAlign w:val="bottom"/>
            <w:tcBorders>
              <w:top w:val="single" w:sz="8" w:color="0000FF"/>
            </w:tcBorders>
            <w:gridSpan w:val="26"/>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Nominees</w:t>
              </w:r>
            </w:hyperlink>
          </w:p>
        </w:tc>
        <w:tc>
          <w:tcPr>
            <w:tcW w:w="6480" w:type="dxa"/>
            <w:vAlign w:val="bottom"/>
            <w:gridSpan w:val="17"/>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25">
              <w:r>
                <w:rPr>
                  <w:rFonts w:ascii="Arial" w:cs="Arial" w:eastAsia="Arial" w:hAnsi="Arial"/>
                  <w:sz w:val="18"/>
                  <w:szCs w:val="18"/>
                  <w:color w:val="auto"/>
                  <w:w w:val="99"/>
                </w:rPr>
                <w:t>21</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140" w:type="dxa"/>
            <w:vAlign w:val="bottom"/>
            <w:tcBorders>
              <w:bottom w:val="single" w:sz="8" w:color="0000FF"/>
            </w:tcBorders>
            <w:gridSpan w:val="4"/>
          </w:tcPr>
          <w:p>
            <w:pPr>
              <w:spacing w:after="0"/>
              <w:rPr>
                <w:rFonts w:ascii="Arial" w:cs="Arial" w:eastAsia="Arial" w:hAnsi="Arial"/>
                <w:sz w:val="18"/>
                <w:szCs w:val="18"/>
                <w:color w:val="0000FF"/>
                <w:w w:val="97"/>
              </w:rPr>
            </w:pPr>
            <w:hyperlink w:anchor="page25">
              <w:r>
                <w:rPr>
                  <w:rFonts w:ascii="Arial" w:cs="Arial" w:eastAsia="Arial" w:hAnsi="Arial"/>
                  <w:sz w:val="18"/>
                  <w:szCs w:val="18"/>
                  <w:color w:val="0000FF"/>
                  <w:w w:val="97"/>
                </w:rPr>
                <w:t>Vote Required</w:t>
              </w:r>
            </w:hyperlink>
          </w:p>
        </w:tc>
        <w:tc>
          <w:tcPr>
            <w:tcW w:w="8900" w:type="dxa"/>
            <w:vAlign w:val="bottom"/>
            <w:gridSpan w:val="39"/>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25">
              <w:r>
                <w:rPr>
                  <w:rFonts w:ascii="Arial" w:cs="Arial" w:eastAsia="Arial" w:hAnsi="Arial"/>
                  <w:sz w:val="18"/>
                  <w:szCs w:val="18"/>
                  <w:color w:val="auto"/>
                  <w:w w:val="99"/>
                </w:rPr>
                <w:t>21</w:t>
              </w:r>
            </w:hyperlink>
          </w:p>
        </w:tc>
        <w:tc>
          <w:tcPr>
            <w:tcW w:w="0" w:type="dxa"/>
            <w:vAlign w:val="bottom"/>
          </w:tcPr>
          <w:p>
            <w:pPr>
              <w:spacing w:after="0"/>
              <w:rPr>
                <w:sz w:val="1"/>
                <w:szCs w:val="1"/>
                <w:color w:val="auto"/>
              </w:rPr>
            </w:pPr>
          </w:p>
        </w:tc>
      </w:tr>
      <w:tr>
        <w:trPr>
          <w:trHeight w:val="210"/>
        </w:trPr>
        <w:tc>
          <w:tcPr>
            <w:tcW w:w="9880" w:type="dxa"/>
            <w:vAlign w:val="bottom"/>
            <w:tcBorders>
              <w:bottom w:val="single" w:sz="8" w:color="0000FF"/>
            </w:tcBorders>
            <w:gridSpan w:val="42"/>
          </w:tcPr>
          <w:p>
            <w:pPr>
              <w:spacing w:after="0"/>
              <w:rPr>
                <w:rFonts w:ascii="Arial" w:cs="Arial" w:eastAsia="Arial" w:hAnsi="Arial"/>
                <w:sz w:val="18"/>
                <w:szCs w:val="18"/>
                <w:color w:val="0000FF"/>
                <w:w w:val="99"/>
              </w:rPr>
            </w:pPr>
            <w:hyperlink w:anchor="page25">
              <w:r>
                <w:rPr>
                  <w:rFonts w:ascii="Arial" w:cs="Arial" w:eastAsia="Arial" w:hAnsi="Arial"/>
                  <w:sz w:val="18"/>
                  <w:szCs w:val="18"/>
                  <w:color w:val="0000FF"/>
                  <w:w w:val="99"/>
                </w:rPr>
                <w:t>PROPOSAL NO. 2—RATIFICATION OF APPOINTMENT OF INDEPENDENT REGISTERED PUBLIC ACCOUNTING FIRM</w:t>
              </w:r>
            </w:hyperlink>
          </w:p>
        </w:tc>
        <w:tc>
          <w:tcPr>
            <w:tcW w:w="600" w:type="dxa"/>
            <w:vAlign w:val="bottom"/>
            <w:gridSpan w:val="2"/>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25">
              <w:r>
                <w:rPr>
                  <w:rFonts w:ascii="Arial" w:cs="Arial" w:eastAsia="Arial" w:hAnsi="Arial"/>
                  <w:sz w:val="18"/>
                  <w:szCs w:val="18"/>
                  <w:color w:val="auto"/>
                  <w:w w:val="99"/>
                </w:rPr>
                <w:t>22</w:t>
              </w:r>
            </w:hyperlink>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3"/>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Fees Paid to the Independent Registered Public Accounting Firm</w:t>
              </w:r>
            </w:hyperlink>
          </w:p>
        </w:tc>
        <w:tc>
          <w:tcPr>
            <w:tcW w:w="740" w:type="dxa"/>
            <w:vAlign w:val="bottom"/>
          </w:tcPr>
          <w:p>
            <w:pPr>
              <w:jc w:val="center"/>
              <w:spacing w:after="0"/>
              <w:rPr>
                <w:rFonts w:ascii="Arial" w:cs="Arial" w:eastAsia="Arial" w:hAnsi="Arial"/>
                <w:sz w:val="18"/>
                <w:szCs w:val="18"/>
                <w:color w:val="auto"/>
                <w:w w:val="99"/>
              </w:rPr>
            </w:pPr>
            <w:hyperlink w:anchor="page26">
              <w:r>
                <w:rPr>
                  <w:rFonts w:ascii="Arial" w:cs="Arial" w:eastAsia="Arial" w:hAnsi="Arial"/>
                  <w:sz w:val="18"/>
                  <w:szCs w:val="18"/>
                  <w:color w:val="auto"/>
                  <w:w w:val="99"/>
                </w:rPr>
                <w:t>22</w:t>
              </w:r>
            </w:hyperlink>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76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8"/>
              </w:rPr>
            </w:pPr>
            <w:hyperlink w:anchor="page26">
              <w:r>
                <w:rPr>
                  <w:rFonts w:ascii="Arial" w:cs="Arial" w:eastAsia="Arial" w:hAnsi="Arial"/>
                  <w:sz w:val="18"/>
                  <w:szCs w:val="18"/>
                  <w:color w:val="0000FF"/>
                  <w:w w:val="98"/>
                </w:rPr>
                <w:t>Auditor Independence</w:t>
              </w:r>
            </w:hyperlink>
          </w:p>
        </w:tc>
        <w:tc>
          <w:tcPr>
            <w:tcW w:w="3400" w:type="dxa"/>
            <w:vAlign w:val="bottom"/>
            <w:tcBorders>
              <w:top w:val="single" w:sz="8" w:color="0000FF"/>
            </w:tcBorders>
            <w:gridSpan w:val="26"/>
          </w:tcPr>
          <w:p>
            <w:pPr>
              <w:spacing w:after="0"/>
              <w:rPr>
                <w:sz w:val="18"/>
                <w:szCs w:val="18"/>
                <w:color w:val="auto"/>
              </w:rPr>
            </w:pPr>
          </w:p>
        </w:tc>
        <w:tc>
          <w:tcPr>
            <w:tcW w:w="4880" w:type="dxa"/>
            <w:vAlign w:val="bottom"/>
            <w:gridSpan w:val="7"/>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26">
              <w:r>
                <w:rPr>
                  <w:rFonts w:ascii="Arial" w:cs="Arial" w:eastAsia="Arial" w:hAnsi="Arial"/>
                  <w:sz w:val="18"/>
                  <w:szCs w:val="18"/>
                  <w:color w:val="auto"/>
                  <w:w w:val="99"/>
                </w:rPr>
                <w:t>22</w:t>
              </w:r>
            </w:hyperlink>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3"/>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Audit Committee Policy on Pre-Approval of Audit and Permissible Non-Audit Services of Independent Registered Public</w:t>
              </w:r>
            </w:hyperlink>
          </w:p>
        </w:tc>
        <w:tc>
          <w:tcPr>
            <w:tcW w:w="740" w:type="dxa"/>
            <w:vAlign w:val="bottom"/>
            <w:vMerge w:val="restart"/>
          </w:tcPr>
          <w:p>
            <w:pPr>
              <w:jc w:val="center"/>
              <w:spacing w:after="0"/>
              <w:rPr>
                <w:rFonts w:ascii="Arial" w:cs="Arial" w:eastAsia="Arial" w:hAnsi="Arial"/>
                <w:sz w:val="18"/>
                <w:szCs w:val="18"/>
                <w:color w:val="auto"/>
                <w:w w:val="99"/>
              </w:rPr>
            </w:pPr>
            <w:hyperlink w:anchor="page26">
              <w:r>
                <w:rPr>
                  <w:rFonts w:ascii="Arial" w:cs="Arial" w:eastAsia="Arial" w:hAnsi="Arial"/>
                  <w:sz w:val="18"/>
                  <w:szCs w:val="18"/>
                  <w:color w:val="auto"/>
                  <w:w w:val="99"/>
                </w:rPr>
                <w:t>22</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w:anchor="page26">
              <w:r>
                <w:rPr>
                  <w:rFonts w:ascii="Arial" w:cs="Arial" w:eastAsia="Arial" w:hAnsi="Arial"/>
                  <w:sz w:val="18"/>
                  <w:szCs w:val="18"/>
                  <w:color w:val="0000FF"/>
                  <w:w w:val="98"/>
                </w:rPr>
                <w:t>Accounting Firm</w:t>
              </w:r>
            </w:hyperlink>
          </w:p>
        </w:tc>
        <w:tc>
          <w:tcPr>
            <w:tcW w:w="8200" w:type="dxa"/>
            <w:vAlign w:val="bottom"/>
            <w:tcBorders>
              <w:top w:val="single" w:sz="8" w:color="0000FF"/>
            </w:tcBorders>
            <w:gridSpan w:val="37"/>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140" w:type="dxa"/>
            <w:vAlign w:val="bottom"/>
            <w:tcBorders>
              <w:bottom w:val="single" w:sz="8" w:color="0000FF"/>
            </w:tcBorders>
            <w:gridSpan w:val="4"/>
          </w:tcPr>
          <w:p>
            <w:pPr>
              <w:spacing w:after="0"/>
              <w:rPr>
                <w:rFonts w:ascii="Arial" w:cs="Arial" w:eastAsia="Arial" w:hAnsi="Arial"/>
                <w:sz w:val="18"/>
                <w:szCs w:val="18"/>
                <w:color w:val="0000FF"/>
                <w:w w:val="97"/>
              </w:rPr>
            </w:pPr>
            <w:hyperlink w:anchor="page26">
              <w:r>
                <w:rPr>
                  <w:rFonts w:ascii="Arial" w:cs="Arial" w:eastAsia="Arial" w:hAnsi="Arial"/>
                  <w:sz w:val="18"/>
                  <w:szCs w:val="18"/>
                  <w:color w:val="0000FF"/>
                  <w:w w:val="97"/>
                </w:rPr>
                <w:t>Vote Required</w:t>
              </w:r>
            </w:hyperlink>
          </w:p>
        </w:tc>
        <w:tc>
          <w:tcPr>
            <w:tcW w:w="8900" w:type="dxa"/>
            <w:vAlign w:val="bottom"/>
            <w:gridSpan w:val="39"/>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26">
              <w:r>
                <w:rPr>
                  <w:rFonts w:ascii="Arial" w:cs="Arial" w:eastAsia="Arial" w:hAnsi="Arial"/>
                  <w:sz w:val="18"/>
                  <w:szCs w:val="18"/>
                  <w:color w:val="auto"/>
                  <w:w w:val="99"/>
                </w:rPr>
                <w:t>23</w:t>
              </w:r>
            </w:hyperlink>
          </w:p>
        </w:tc>
        <w:tc>
          <w:tcPr>
            <w:tcW w:w="0" w:type="dxa"/>
            <w:vAlign w:val="bottom"/>
          </w:tcPr>
          <w:p>
            <w:pPr>
              <w:spacing w:after="0"/>
              <w:rPr>
                <w:sz w:val="1"/>
                <w:szCs w:val="1"/>
                <w:color w:val="auto"/>
              </w:rPr>
            </w:pPr>
          </w:p>
        </w:tc>
      </w:tr>
      <w:tr>
        <w:trPr>
          <w:trHeight w:val="210"/>
        </w:trPr>
        <w:tc>
          <w:tcPr>
            <w:tcW w:w="248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AUDIT COMMITTEE REPORT</w:t>
              </w:r>
            </w:hyperlink>
          </w:p>
        </w:tc>
        <w:tc>
          <w:tcPr>
            <w:tcW w:w="8000" w:type="dxa"/>
            <w:vAlign w:val="bottom"/>
            <w:gridSpan w:val="30"/>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24</w:t>
              </w:r>
            </w:hyperlink>
          </w:p>
        </w:tc>
        <w:tc>
          <w:tcPr>
            <w:tcW w:w="0" w:type="dxa"/>
            <w:vAlign w:val="bottom"/>
          </w:tcPr>
          <w:p>
            <w:pPr>
              <w:spacing w:after="0"/>
              <w:rPr>
                <w:sz w:val="1"/>
                <w:szCs w:val="1"/>
                <w:color w:val="auto"/>
              </w:rPr>
            </w:pPr>
          </w:p>
        </w:tc>
      </w:tr>
      <w:tr>
        <w:trPr>
          <w:trHeight w:val="209"/>
        </w:trPr>
        <w:tc>
          <w:tcPr>
            <w:tcW w:w="10480" w:type="dxa"/>
            <w:vAlign w:val="bottom"/>
            <w:gridSpan w:val="4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EXECUTIVE OFFICERS</w:t>
              </w:r>
            </w:hyperlink>
          </w:p>
        </w:tc>
        <w:tc>
          <w:tcPr>
            <w:tcW w:w="740" w:type="dxa"/>
            <w:vAlign w:val="bottom"/>
          </w:tcPr>
          <w:p>
            <w:pPr>
              <w:jc w:val="center"/>
              <w:spacing w:after="0"/>
              <w:rPr>
                <w:rFonts w:ascii="Arial" w:cs="Arial" w:eastAsia="Arial" w:hAnsi="Arial"/>
                <w:sz w:val="18"/>
                <w:szCs w:val="18"/>
                <w:color w:val="auto"/>
                <w:w w:val="99"/>
              </w:rPr>
            </w:pPr>
            <w:hyperlink w:anchor="page28">
              <w:r>
                <w:rPr>
                  <w:rFonts w:ascii="Arial" w:cs="Arial" w:eastAsia="Arial" w:hAnsi="Arial"/>
                  <w:sz w:val="18"/>
                  <w:szCs w:val="18"/>
                  <w:color w:val="auto"/>
                  <w:w w:val="99"/>
                </w:rPr>
                <w:t>25</w:t>
              </w:r>
            </w:hyperlink>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80" w:type="dxa"/>
            <w:vAlign w:val="bottom"/>
            <w:gridSpan w:val="4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EXECUTIVE COMPENSATION</w:t>
              </w:r>
            </w:hyperlink>
          </w:p>
        </w:tc>
        <w:tc>
          <w:tcPr>
            <w:tcW w:w="740" w:type="dxa"/>
            <w:vAlign w:val="bottom"/>
          </w:tcPr>
          <w:p>
            <w:pPr>
              <w:jc w:val="center"/>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26</w:t>
              </w:r>
            </w:hyperlink>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11"/>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4460" w:type="dxa"/>
            <w:vAlign w:val="bottom"/>
            <w:tcBorders>
              <w:bottom w:val="single" w:sz="8" w:color="0000FF"/>
            </w:tcBorders>
            <w:gridSpan w:val="31"/>
          </w:tcPr>
          <w:p>
            <w:pP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Processes and Procedures for Compensation Decisions</w:t>
              </w:r>
            </w:hyperlink>
          </w:p>
        </w:tc>
        <w:tc>
          <w:tcPr>
            <w:tcW w:w="5580" w:type="dxa"/>
            <w:vAlign w:val="bottom"/>
            <w:gridSpan w:val="12"/>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26</w:t>
              </w:r>
            </w:hyperlink>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6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Summary Compensation Table</w:t>
              </w:r>
            </w:hyperlink>
          </w:p>
        </w:tc>
        <w:tc>
          <w:tcPr>
            <w:tcW w:w="7580" w:type="dxa"/>
            <w:vAlign w:val="bottom"/>
            <w:gridSpan w:val="26"/>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27</w:t>
              </w:r>
            </w:hyperlink>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Outstanding Equity Awards at 2020 Year-End</w:t>
              </w:r>
            </w:hyperlink>
          </w:p>
        </w:tc>
        <w:tc>
          <w:tcPr>
            <w:tcW w:w="740" w:type="dxa"/>
            <w:vAlign w:val="bottom"/>
          </w:tcPr>
          <w:p>
            <w:pPr>
              <w:jc w:val="center"/>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27</w:t>
              </w:r>
            </w:hyperlink>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600" w:type="dxa"/>
            <w:vAlign w:val="bottom"/>
            <w:tcBorders>
              <w:top w:val="single" w:sz="8" w:color="0000FF"/>
            </w:tcBorders>
            <w:gridSpan w:val="2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Executive Letter Agreements</w:t>
              </w:r>
            </w:hyperlink>
          </w:p>
        </w:tc>
        <w:tc>
          <w:tcPr>
            <w:tcW w:w="6440" w:type="dxa"/>
            <w:vAlign w:val="bottom"/>
            <w:gridSpan w:val="16"/>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32">
              <w:r>
                <w:rPr>
                  <w:rFonts w:ascii="Arial" w:cs="Arial" w:eastAsia="Arial" w:hAnsi="Arial"/>
                  <w:sz w:val="18"/>
                  <w:szCs w:val="18"/>
                  <w:color w:val="auto"/>
                  <w:w w:val="99"/>
                </w:rPr>
                <w:t>28</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gridSpan w:val="1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Potential Payments upon Termination or Change in Control</w:t>
              </w:r>
            </w:hyperlink>
          </w:p>
        </w:tc>
        <w:tc>
          <w:tcPr>
            <w:tcW w:w="740" w:type="dxa"/>
            <w:vAlign w:val="bottom"/>
          </w:tcPr>
          <w:p>
            <w:pPr>
              <w:jc w:val="center"/>
              <w:spacing w:after="0"/>
              <w:rPr>
                <w:rFonts w:ascii="Arial" w:cs="Arial" w:eastAsia="Arial" w:hAnsi="Arial"/>
                <w:sz w:val="18"/>
                <w:szCs w:val="18"/>
                <w:color w:val="auto"/>
                <w:w w:val="99"/>
              </w:rPr>
            </w:pPr>
            <w:hyperlink w:anchor="page32">
              <w:r>
                <w:rPr>
                  <w:rFonts w:ascii="Arial" w:cs="Arial" w:eastAsia="Arial" w:hAnsi="Arial"/>
                  <w:sz w:val="18"/>
                  <w:szCs w:val="18"/>
                  <w:color w:val="auto"/>
                  <w:w w:val="99"/>
                </w:rPr>
                <w:t>29</w:t>
              </w:r>
            </w:hyperlink>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680" w:type="dxa"/>
            <w:vAlign w:val="bottom"/>
            <w:tcBorders>
              <w:top w:val="single" w:sz="8" w:color="0000FF"/>
            </w:tcBorders>
            <w:gridSpan w:val="3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Executive Incentive Compensation Plan</w:t>
              </w:r>
            </w:hyperlink>
          </w:p>
        </w:tc>
        <w:tc>
          <w:tcPr>
            <w:tcW w:w="5360" w:type="dxa"/>
            <w:vAlign w:val="bottom"/>
            <w:gridSpan w:val="10"/>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34">
              <w:r>
                <w:rPr>
                  <w:rFonts w:ascii="Arial" w:cs="Arial" w:eastAsia="Arial" w:hAnsi="Arial"/>
                  <w:sz w:val="18"/>
                  <w:szCs w:val="18"/>
                  <w:color w:val="auto"/>
                  <w:w w:val="99"/>
                </w:rPr>
                <w:t>30</w:t>
              </w:r>
            </w:hyperlink>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401(k) Plan</w:t>
              </w:r>
            </w:hyperlink>
          </w:p>
        </w:tc>
        <w:tc>
          <w:tcPr>
            <w:tcW w:w="2240" w:type="dxa"/>
            <w:vAlign w:val="bottom"/>
            <w:tcBorders>
              <w:top w:val="single" w:sz="8" w:color="0000FF"/>
            </w:tcBorders>
            <w:gridSpan w:val="22"/>
          </w:tcPr>
          <w:p>
            <w:pPr>
              <w:spacing w:after="0"/>
              <w:rPr>
                <w:sz w:val="18"/>
                <w:szCs w:val="18"/>
                <w:color w:val="auto"/>
              </w:rPr>
            </w:pPr>
          </w:p>
        </w:tc>
        <w:tc>
          <w:tcPr>
            <w:tcW w:w="6880" w:type="dxa"/>
            <w:vAlign w:val="bottom"/>
            <w:gridSpan w:val="19"/>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36">
              <w:r>
                <w:rPr>
                  <w:rFonts w:ascii="Arial" w:cs="Arial" w:eastAsia="Arial" w:hAnsi="Arial"/>
                  <w:sz w:val="18"/>
                  <w:szCs w:val="18"/>
                  <w:color w:val="auto"/>
                  <w:w w:val="99"/>
                </w:rPr>
                <w:t>32</w:t>
              </w:r>
            </w:hyperlink>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Equity Compensation Plan Information</w:t>
              </w:r>
            </w:hyperlink>
          </w:p>
        </w:tc>
        <w:tc>
          <w:tcPr>
            <w:tcW w:w="740" w:type="dxa"/>
            <w:vAlign w:val="bottom"/>
          </w:tcPr>
          <w:p>
            <w:pPr>
              <w:jc w:val="center"/>
              <w:spacing w:after="0"/>
              <w:rPr>
                <w:rFonts w:ascii="Arial" w:cs="Arial" w:eastAsia="Arial" w:hAnsi="Arial"/>
                <w:sz w:val="18"/>
                <w:szCs w:val="18"/>
                <w:color w:val="auto"/>
                <w:w w:val="99"/>
              </w:rPr>
            </w:pPr>
            <w:hyperlink w:anchor="page36">
              <w:r>
                <w:rPr>
                  <w:rFonts w:ascii="Arial" w:cs="Arial" w:eastAsia="Arial" w:hAnsi="Arial"/>
                  <w:sz w:val="18"/>
                  <w:szCs w:val="18"/>
                  <w:color w:val="auto"/>
                  <w:w w:val="99"/>
                </w:rPr>
                <w:t>32</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560" w:type="dxa"/>
            <w:vAlign w:val="bottom"/>
            <w:gridSpan w:val="15"/>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80" w:type="dxa"/>
            <w:vAlign w:val="bottom"/>
            <w:gridSpan w:val="4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SECURITY OWNERSHIP OF CERTAIN BENEFICIAL OWNERS AND MANAGEMENT</w:t>
              </w:r>
            </w:hyperlink>
          </w:p>
        </w:tc>
        <w:tc>
          <w:tcPr>
            <w:tcW w:w="740" w:type="dxa"/>
            <w:vAlign w:val="bottom"/>
          </w:tcPr>
          <w:p>
            <w:pPr>
              <w:jc w:val="center"/>
              <w:spacing w:after="0"/>
              <w:rPr>
                <w:rFonts w:ascii="Arial" w:cs="Arial" w:eastAsia="Arial" w:hAnsi="Arial"/>
                <w:sz w:val="18"/>
                <w:szCs w:val="18"/>
                <w:color w:val="auto"/>
                <w:w w:val="99"/>
              </w:rPr>
            </w:pPr>
            <w:hyperlink w:anchor="page37">
              <w:r>
                <w:rPr>
                  <w:rFonts w:ascii="Arial" w:cs="Arial" w:eastAsia="Arial" w:hAnsi="Arial"/>
                  <w:sz w:val="18"/>
                  <w:szCs w:val="18"/>
                  <w:color w:val="auto"/>
                  <w:w w:val="99"/>
                </w:rPr>
                <w:t>33</w:t>
              </w:r>
            </w:hyperlink>
          </w:p>
        </w:tc>
        <w:tc>
          <w:tcPr>
            <w:tcW w:w="0" w:type="dxa"/>
            <w:vAlign w:val="bottom"/>
          </w:tcPr>
          <w:p>
            <w:pPr>
              <w:spacing w:after="0"/>
              <w:rPr>
                <w:sz w:val="1"/>
                <w:szCs w:val="1"/>
                <w:color w:val="auto"/>
              </w:rPr>
            </w:pPr>
          </w:p>
        </w:tc>
      </w:tr>
      <w:tr>
        <w:trPr>
          <w:trHeight w:val="210"/>
        </w:trPr>
        <w:tc>
          <w:tcPr>
            <w:tcW w:w="6380" w:type="dxa"/>
            <w:vAlign w:val="bottom"/>
            <w:tcBorders>
              <w:top w:val="single" w:sz="8" w:color="0000FF"/>
              <w:bottom w:val="single" w:sz="8" w:color="0000FF"/>
            </w:tcBorders>
            <w:gridSpan w:val="39"/>
          </w:tcPr>
          <w:p>
            <w:pPr>
              <w:spacing w:after="0"/>
              <w:rPr>
                <w:rFonts w:ascii="Arial" w:cs="Arial" w:eastAsia="Arial" w:hAnsi="Arial"/>
                <w:sz w:val="18"/>
                <w:szCs w:val="18"/>
                <w:color w:val="0000FF"/>
                <w:w w:val="98"/>
              </w:rPr>
            </w:pPr>
            <w:hyperlink w:anchor="page40">
              <w:r>
                <w:rPr>
                  <w:rFonts w:ascii="Arial" w:cs="Arial" w:eastAsia="Arial" w:hAnsi="Arial"/>
                  <w:sz w:val="18"/>
                  <w:szCs w:val="18"/>
                  <w:color w:val="0000FF"/>
                  <w:w w:val="98"/>
                </w:rPr>
                <w:t>CERTAIN RELATIONSHIPS, RELATED PARTY AND OTHER TRANSACTIONS</w:t>
              </w:r>
            </w:hyperlink>
          </w:p>
        </w:tc>
        <w:tc>
          <w:tcPr>
            <w:tcW w:w="540" w:type="dxa"/>
            <w:vAlign w:val="bottom"/>
            <w:tcBorders>
              <w:top w:val="single" w:sz="8" w:color="0000FF"/>
            </w:tcBorders>
            <w:gridSpan w:val="2"/>
          </w:tcPr>
          <w:p>
            <w:pPr>
              <w:spacing w:after="0"/>
              <w:rPr>
                <w:sz w:val="18"/>
                <w:szCs w:val="18"/>
                <w:color w:val="auto"/>
              </w:rPr>
            </w:pPr>
          </w:p>
        </w:tc>
        <w:tc>
          <w:tcPr>
            <w:tcW w:w="3560" w:type="dxa"/>
            <w:vAlign w:val="bottom"/>
            <w:gridSpan w:val="3"/>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40">
              <w:r>
                <w:rPr>
                  <w:rFonts w:ascii="Arial" w:cs="Arial" w:eastAsia="Arial" w:hAnsi="Arial"/>
                  <w:sz w:val="18"/>
                  <w:szCs w:val="18"/>
                  <w:color w:val="auto"/>
                  <w:w w:val="99"/>
                </w:rPr>
                <w:t>37</w:t>
              </w:r>
            </w:hyperlink>
          </w:p>
        </w:tc>
        <w:tc>
          <w:tcPr>
            <w:tcW w:w="0" w:type="dxa"/>
            <w:vAlign w:val="bottom"/>
          </w:tcPr>
          <w:p>
            <w:pPr>
              <w:spacing w:after="0"/>
              <w:rPr>
                <w:sz w:val="1"/>
                <w:szCs w:val="1"/>
                <w:color w:val="auto"/>
              </w:rPr>
            </w:pPr>
          </w:p>
        </w:tc>
      </w:tr>
      <w:tr>
        <w:trPr>
          <w:trHeight w:val="210"/>
        </w:trPr>
        <w:tc>
          <w:tcPr>
            <w:tcW w:w="1540" w:type="dxa"/>
            <w:vAlign w:val="bottom"/>
            <w:tcBorders>
              <w:bottom w:val="single" w:sz="8" w:color="0000FF"/>
            </w:tcBorders>
            <w:gridSpan w:val="4"/>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OTHER MATTERS</w:t>
              </w:r>
            </w:hyperlink>
          </w:p>
        </w:tc>
        <w:tc>
          <w:tcPr>
            <w:tcW w:w="8940" w:type="dxa"/>
            <w:vAlign w:val="bottom"/>
            <w:gridSpan w:val="40"/>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45">
              <w:r>
                <w:rPr>
                  <w:rFonts w:ascii="Arial" w:cs="Arial" w:eastAsia="Arial" w:hAnsi="Arial"/>
                  <w:sz w:val="18"/>
                  <w:szCs w:val="18"/>
                  <w:color w:val="auto"/>
                  <w:w w:val="99"/>
                </w:rPr>
                <w:t>42</w:t>
              </w:r>
            </w:hyperlink>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6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Delinquent Section 16(a) Reports</w:t>
              </w:r>
            </w:hyperlink>
          </w:p>
        </w:tc>
        <w:tc>
          <w:tcPr>
            <w:tcW w:w="7380" w:type="dxa"/>
            <w:vAlign w:val="bottom"/>
            <w:gridSpan w:val="25"/>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46">
              <w:r>
                <w:rPr>
                  <w:rFonts w:ascii="Arial" w:cs="Arial" w:eastAsia="Arial" w:hAnsi="Arial"/>
                  <w:sz w:val="18"/>
                  <w:szCs w:val="18"/>
                  <w:color w:val="auto"/>
                  <w:w w:val="99"/>
                </w:rPr>
                <w:t>42</w:t>
              </w:r>
            </w:hyperlink>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80" w:type="dxa"/>
            <w:vAlign w:val="bottom"/>
            <w:tcBorders>
              <w:bottom w:val="single" w:sz="8" w:color="0000FF"/>
            </w:tcBorders>
            <w:gridSpan w:val="30"/>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 xml:space="preserve">Fiscal Year </w:t>
              </w:r>
            </w:hyperlink>
            <w:r>
              <w:rPr>
                <w:rFonts w:ascii="Arial" w:cs="Arial" w:eastAsia="Arial" w:hAnsi="Arial"/>
                <w:sz w:val="18"/>
                <w:szCs w:val="18"/>
                <w:color w:val="0000FF"/>
                <w:w w:val="99"/>
              </w:rPr>
              <w:t xml:space="preserve">2020 </w:t>
            </w:r>
            <w:hyperlink w:anchor="page46">
              <w:r>
                <w:rPr>
                  <w:rFonts w:ascii="Arial" w:cs="Arial" w:eastAsia="Arial" w:hAnsi="Arial"/>
                  <w:sz w:val="18"/>
                  <w:szCs w:val="18"/>
                  <w:color w:val="0000FF"/>
                  <w:w w:val="99"/>
                </w:rPr>
                <w:t>Annual Report and SEC Filings</w:t>
              </w:r>
            </w:hyperlink>
          </w:p>
        </w:tc>
        <w:tc>
          <w:tcPr>
            <w:tcW w:w="6160" w:type="dxa"/>
            <w:vAlign w:val="bottom"/>
            <w:gridSpan w:val="13"/>
          </w:tcPr>
          <w:p>
            <w:pPr>
              <w:spacing w:after="0"/>
              <w:rPr>
                <w:sz w:val="18"/>
                <w:szCs w:val="18"/>
                <w:color w:val="auto"/>
              </w:rPr>
            </w:pPr>
          </w:p>
        </w:tc>
        <w:tc>
          <w:tcPr>
            <w:tcW w:w="740" w:type="dxa"/>
            <w:vAlign w:val="bottom"/>
          </w:tcPr>
          <w:p>
            <w:pPr>
              <w:jc w:val="center"/>
              <w:spacing w:after="0"/>
              <w:rPr>
                <w:rFonts w:ascii="Arial" w:cs="Arial" w:eastAsia="Arial" w:hAnsi="Arial"/>
                <w:sz w:val="18"/>
                <w:szCs w:val="18"/>
                <w:color w:val="auto"/>
                <w:w w:val="99"/>
              </w:rPr>
            </w:pPr>
            <w:hyperlink w:anchor="page46">
              <w:r>
                <w:rPr>
                  <w:rFonts w:ascii="Arial" w:cs="Arial" w:eastAsia="Arial" w:hAnsi="Arial"/>
                  <w:sz w:val="18"/>
                  <w:szCs w:val="18"/>
                  <w:color w:val="auto"/>
                  <w:w w:val="99"/>
                </w:rPr>
                <w:t>42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92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at 1:00 p.m. Pacific Time on Wednesday, June 16, 2021</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2021 annual meeting of stockholders of Seer, Inc. (the Annual Meeting), and any postponements, adjournments or continuations thereof. The Annual Meeting will be held on Wednesday, June 16, 2021 at 1:00 p.m. Pacific Time virtually via live webcast. You will be able to attend the Annual Meeting virtually by visiting www.virtualshareholdermeeting.com/SEER2021, where you will be able to listen to the meeting live, submit questions and vote online by entering the control number on your proxy card.</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4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w:t>
      </w:r>
    </w:p>
    <w:p>
      <w:pPr>
        <w:spacing w:after="0" w:line="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shares.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4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board of directors is providing these proxy materials to you in connection with its solicitation of proxies for use at the Annual Meeting, which will take place on June 16, 2021. Stockholders are invited to attend the Annual Meeting and are requested to vote on the proposals described in this proxy statement. This proxy statement and the accompanying proxy card are being mailed on or about May 7, 2021 in connection with the solicitation of proxies on behalf of our board of directors. All stockholders will have the ability to access via the Internet this proxy statement and our Annual Report as filed with the Securities and Exchange Commission (the SEC) on March 29,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are two proposals scheduled to be voted on at the Annual Meeting:</w:t>
      </w:r>
    </w:p>
    <w:p>
      <w:pPr>
        <w:spacing w:after="0" w:line="225" w:lineRule="exact"/>
        <w:rPr>
          <w:sz w:val="20"/>
          <w:szCs w:val="20"/>
          <w:color w:val="auto"/>
        </w:rPr>
      </w:pPr>
    </w:p>
    <w:p>
      <w:pPr>
        <w:ind w:left="980" w:right="360" w:hanging="324"/>
        <w:spacing w:after="0" w:line="261"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Catherine Friedman, Omead Ostadan and Mostafa Ronaghi, Ph.D. as Class I directors to serve until the 2024 annual meeting of stockholders or until their successors are duly elected and qualified; and</w:t>
      </w:r>
    </w:p>
    <w:p>
      <w:pPr>
        <w:spacing w:after="0" w:line="197" w:lineRule="exact"/>
        <w:rPr>
          <w:rFonts w:ascii="Arial" w:cs="Arial" w:eastAsia="Arial" w:hAnsi="Arial"/>
          <w:sz w:val="18"/>
          <w:szCs w:val="18"/>
          <w:color w:val="auto"/>
        </w:rPr>
      </w:pPr>
    </w:p>
    <w:p>
      <w:pPr>
        <w:ind w:left="980" w:right="300" w:hanging="324"/>
        <w:spacing w:after="0" w:line="261"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our fiscal year ending December 31, 2021.</w:t>
      </w:r>
    </w:p>
    <w:p>
      <w:pPr>
        <w:spacing w:after="0" w:line="19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recommends that you vote:</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election of each of Ms. Friedman, Mr. Ostadan and Dr. Ronaghi as Class I directors; and</w:t>
      </w:r>
    </w:p>
    <w:p>
      <w:pPr>
        <w:spacing w:after="0" w:line="225" w:lineRule="exact"/>
        <w:rPr>
          <w:rFonts w:ascii="Arial" w:cs="Arial" w:eastAsia="Arial" w:hAnsi="Arial"/>
          <w:sz w:val="18"/>
          <w:szCs w:val="18"/>
          <w:color w:val="auto"/>
        </w:rPr>
      </w:pPr>
    </w:p>
    <w:p>
      <w:pPr>
        <w:ind w:left="980" w:right="320" w:hanging="324"/>
        <w:spacing w:after="0" w:line="261"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our fiscal year ending December 31, 2021.</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92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Holders of our common stock at the close of business on April 20, 2021, the record date for the Annual Meeting (the Record Date), are entitled to notice of and to vote at the Annual Meeting. Each stockholder is entitled to one vote for each share of our Class A common stock and ten votes for each share of our Class B common stock held as of the Record Date. As of the Record Date, there were 56,638,530 shares of Class A common stock and 4,702,381 shares of Class B common stock outstanding and entitled to vote. Stockholders are not permitted to cumulate votes with respect to the election of directors.</w:t>
      </w:r>
    </w:p>
    <w:p>
      <w:pPr>
        <w:spacing w:after="0" w:line="18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Stockholders of Record – Shares Registered in Your Name. </w:t>
      </w:r>
      <w:r>
        <w:rPr>
          <w:rFonts w:ascii="Arial" w:cs="Arial" w:eastAsia="Arial" w:hAnsi="Arial"/>
          <w:sz w:val="18"/>
          <w:szCs w:val="18"/>
          <w:color w:val="auto"/>
        </w:rPr>
        <w:t>If, at the close of business on the Record Date, your shares were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Street Name Stockholders – Shares Registered in the Name of a Broker, Bank or Other Nominee. </w:t>
      </w:r>
      <w:r>
        <w:rPr>
          <w:rFonts w:ascii="Arial" w:cs="Arial" w:eastAsia="Arial" w:hAnsi="Arial"/>
          <w:sz w:val="18"/>
          <w:szCs w:val="18"/>
          <w:color w:val="auto"/>
        </w:rPr>
        <w:t>If, at the close of business on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matters. Throughout this proxy statement, we refer to stockholders who hold their shares through a broker, bank or other nominee as “street name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337" w:lineRule="exact"/>
        <w:rPr>
          <w:sz w:val="20"/>
          <w:szCs w:val="20"/>
          <w:color w:val="auto"/>
        </w:rPr>
      </w:pPr>
    </w:p>
    <w:p>
      <w:pPr>
        <w:ind w:left="980" w:right="100" w:hanging="324"/>
        <w:spacing w:after="0" w:line="260"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each Class I director requires a plurality of the votes of the shares of our common stock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(including virtually) or represented by proxy at the Annual Meeting and entitled to vote thereon to be</w:t>
      </w:r>
    </w:p>
    <w:p>
      <w:pPr>
        <w:spacing w:after="0" w:line="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approved. “Plurality” means that the three nominees who receive the most votes cast FOR will be elected as Class I</w:t>
      </w:r>
    </w:p>
    <w:p>
      <w:pPr>
        <w:spacing w:after="0" w:line="9" w:lineRule="exact"/>
        <w:rPr>
          <w:rFonts w:ascii="Arial" w:cs="Arial" w:eastAsia="Arial" w:hAnsi="Arial"/>
          <w:sz w:val="18"/>
          <w:szCs w:val="18"/>
          <w:b w:val="1"/>
          <w:bCs w:val="1"/>
          <w:color w:val="auto"/>
        </w:rPr>
      </w:pPr>
    </w:p>
    <w:p>
      <w:pPr>
        <w:ind w:left="9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directors.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1, and such abstention will have no effect on the outcome of the proposal.</w:t>
      </w:r>
    </w:p>
    <w:p>
      <w:pPr>
        <w:spacing w:after="0" w:line="187" w:lineRule="exact"/>
        <w:rPr>
          <w:rFonts w:ascii="Arial" w:cs="Arial" w:eastAsia="Arial" w:hAnsi="Arial"/>
          <w:sz w:val="18"/>
          <w:szCs w:val="18"/>
          <w:b w:val="1"/>
          <w:bCs w:val="1"/>
          <w:color w:val="auto"/>
        </w:rPr>
      </w:pPr>
    </w:p>
    <w:p>
      <w:pPr>
        <w:ind w:left="980" w:right="100" w:hanging="324"/>
        <w:spacing w:after="0" w:line="258"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Deloitte &amp; Touche LLP as our independent registered public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firm for our fiscal year ended December 31, 2021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2, the abstention will have the same effect as a vote AGAINST the proposal. Broker non-votes will have no effect on the outcome of this proposal.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quorum is the minimum number of shares required to be present at the Annual Meeting for the annual meeting of stockholders to be properly held under our amended and restated bylaws and Delaware law. A majority of the shares of common stock outstanding and entitled to vote, in person (including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251"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What do I need to do to attend the Annual Meeting?</w:t>
      </w:r>
    </w:p>
    <w:p>
      <w:pPr>
        <w:spacing w:after="0" w:line="247"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You will be able to attend the Annual Meeting virtually, submit your questions during the meeting and vote your shares electronically at the meeting by visiting www.virtualshareholdermeeting.com/SEER2021. To participate in the Annual Meeting, you will need the control number from your proxy card. The Annual Meeting webcast will begin promptly at 1:00 p.m. Pacific Time. We encourage you to access the meeting prior to the start time. Online check-in will begin at 12:45 p.m. Pacific Time, and you should allow ample time for the check-in procedures.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can vote in one of the following ways:</w:t>
      </w:r>
    </w:p>
    <w:p>
      <w:pPr>
        <w:spacing w:after="0" w:line="221" w:lineRule="exact"/>
        <w:rPr>
          <w:sz w:val="20"/>
          <w:szCs w:val="20"/>
          <w:color w:val="auto"/>
        </w:rPr>
      </w:pPr>
    </w:p>
    <w:p>
      <w:pPr>
        <w:ind w:left="980" w:right="220" w:hanging="324"/>
        <w:spacing w:after="0" w:line="262"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via the Internet. </w:t>
      </w:r>
      <w:r>
        <w:rPr>
          <w:rFonts w:ascii="Arial" w:cs="Arial" w:eastAsia="Arial" w:hAnsi="Arial"/>
          <w:sz w:val="18"/>
          <w:szCs w:val="18"/>
          <w:color w:val="auto"/>
        </w:rPr>
        <w:t>To vote via the Internet prior to the Annual Meeting, go to www.proxyvote.com to complete an</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proxy card. You will be asked to provide the control number from the proxy card you receive. Your vote must be received by 11:59 p.m. Eastern Time on June 15, 2021 to be counted. If you vote via the Internet prior to the Annual Meeting, you do not need to return a proxy card by mail.</w:t>
      </w:r>
    </w:p>
    <w:p>
      <w:pPr>
        <w:spacing w:after="0" w:line="176" w:lineRule="exact"/>
        <w:rPr>
          <w:rFonts w:ascii="Arial" w:cs="Arial" w:eastAsia="Arial" w:hAnsi="Arial"/>
          <w:sz w:val="18"/>
          <w:szCs w:val="18"/>
          <w:color w:val="auto"/>
        </w:rPr>
      </w:pPr>
    </w:p>
    <w:p>
      <w:pPr>
        <w:ind w:left="980" w:right="40" w:hanging="324"/>
        <w:spacing w:after="0" w:line="262"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by telephone. </w:t>
      </w:r>
      <w:r>
        <w:rPr>
          <w:rFonts w:ascii="Arial" w:cs="Arial" w:eastAsia="Arial" w:hAnsi="Arial"/>
          <w:sz w:val="18"/>
          <w:szCs w:val="18"/>
          <w:color w:val="auto"/>
        </w:rPr>
        <w:t>To vote by telephone, dial 1-800-690-6903 (toll-free in the United States and Canada; toll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calls from other countries) and follow the recorded instructions. You will be asked to provide the control number from the proxy card. Your vote must be received by 11:59 p.m. Eastern Time on June 15, 2021 to be counted. If you vote by telephone, you do not need to return a proxy card by mail.</w:t>
      </w:r>
    </w:p>
    <w:p>
      <w:pPr>
        <w:spacing w:after="0" w:line="176" w:lineRule="exact"/>
        <w:rPr>
          <w:rFonts w:ascii="Arial" w:cs="Arial" w:eastAsia="Arial" w:hAnsi="Arial"/>
          <w:sz w:val="18"/>
          <w:szCs w:val="18"/>
          <w:color w:val="auto"/>
        </w:rPr>
      </w:pPr>
    </w:p>
    <w:p>
      <w:pPr>
        <w:ind w:left="980" w:right="40" w:hanging="324"/>
        <w:spacing w:after="0" w:line="259"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by mail. </w:t>
      </w:r>
      <w:r>
        <w:rPr>
          <w:rFonts w:ascii="Arial" w:cs="Arial" w:eastAsia="Arial" w:hAnsi="Arial"/>
          <w:sz w:val="18"/>
          <w:szCs w:val="18"/>
          <w:color w:val="auto"/>
        </w:rPr>
        <w:t>To vote by mail, you need to complete, date and sign the proxy card that accompanies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return it promptly by mail so that it is received no later than June 15, 2021.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179" w:lineRule="exact"/>
        <w:rPr>
          <w:rFonts w:ascii="Arial" w:cs="Arial" w:eastAsia="Arial" w:hAnsi="Arial"/>
          <w:sz w:val="18"/>
          <w:szCs w:val="18"/>
          <w:color w:val="auto"/>
        </w:rPr>
      </w:pPr>
    </w:p>
    <w:p>
      <w:pPr>
        <w:ind w:left="980" w:right="220" w:hanging="324"/>
        <w:spacing w:after="0" w:line="268"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virtually during the Annual Meeting. </w:t>
      </w:r>
      <w:r>
        <w:rPr>
          <w:rFonts w:ascii="Arial" w:cs="Arial" w:eastAsia="Arial" w:hAnsi="Arial"/>
          <w:sz w:val="18"/>
          <w:szCs w:val="18"/>
          <w:color w:val="auto"/>
        </w:rPr>
        <w:t>If you plan to attend the Annual Meeting by visiting</w:t>
      </w:r>
      <w:r>
        <w:rPr>
          <w:rFonts w:ascii="Arial" w:cs="Arial" w:eastAsia="Arial" w:hAnsi="Arial"/>
          <w:sz w:val="18"/>
          <w:szCs w:val="18"/>
          <w:b w:val="1"/>
          <w:bCs w:val="1"/>
          <w:color w:val="auto"/>
        </w:rPr>
        <w:t xml:space="preserve"> </w:t>
      </w:r>
      <w:r>
        <w:rPr>
          <w:rFonts w:ascii="Arial" w:cs="Arial" w:eastAsia="Arial" w:hAnsi="Arial"/>
          <w:sz w:val="18"/>
          <w:szCs w:val="18"/>
          <w:color w:val="auto"/>
        </w:rPr>
        <w:t>www.virtualshareholdermeeting.com/SEER2021, you may vote electronically and submit questions during the meeting. Please have your proxy card in hand when you visit the website.</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Even if you plan to attend the Annual Meeting, we recommend that you also vote by proxy so that your vote will be counted if you later decide not to attend the Annual Meeting.</w:t>
      </w:r>
    </w:p>
    <w:p>
      <w:pPr>
        <w:spacing w:after="0" w:line="18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the beneficial owner of shares held of record by a broker, bank or other nominee, you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Arial" w:cs="Arial" w:eastAsia="Arial" w:hAnsi="Arial"/>
          <w:sz w:val="18"/>
          <w:szCs w:val="18"/>
          <w:b w:val="1"/>
          <w:bCs w:val="1"/>
          <w:color w:val="auto"/>
        </w:rPr>
        <w:t>As discussed above, if you are a street name</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you may not vote your shares live at the Annual Meeting unless you obtain a legal proxy from your broker, bank or other nominee.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2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revoke your proxy or change your proxy instructions at any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is voted at the Annual Meeting by:</w:t>
      </w:r>
    </w:p>
    <w:p>
      <w:pPr>
        <w:spacing w:after="0" w:line="18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225" w:lineRule="exact"/>
        <w:rPr>
          <w:rFonts w:ascii="Arial" w:cs="Arial" w:eastAsia="Arial" w:hAnsi="Arial"/>
          <w:sz w:val="18"/>
          <w:szCs w:val="18"/>
          <w:color w:val="auto"/>
        </w:rPr>
      </w:pPr>
    </w:p>
    <w:p>
      <w:pPr>
        <w:ind w:left="980" w:right="780" w:hanging="324"/>
        <w:spacing w:after="0" w:line="261"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a written revocation to our Corporate Secretary at Seer, Inc., 3800 Bridge Parkway, Suite 102, Redwood City, California 94065, by 11:59 p.m. Eastern Time on June 15, 2021; or</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251" w:right="339" w:bottom="1440" w:gutter="0" w:footer="0" w:header="0"/>
          <w:type w:val="continuous"/>
        </w:sectPr>
      </w:pPr>
    </w:p>
    <w:bookmarkStart w:id="7" w:name="page8"/>
    <w:bookmarkEnd w:id="7"/>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(including virtually).</w:t>
      </w:r>
    </w:p>
    <w:p>
      <w:pPr>
        <w:spacing w:after="0" w:line="20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a street name stockholder, you must contact the broker, bank or other nominee holding your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follow their instructions to change your vote or revoke your proxy.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Proxies are solicited by and on behalf of our board of directors. Omid Farokhzad, M.D. and David Horn have been designated as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and you submit a proxy but you do not provide voting instructions, your shares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voted:</w:t>
      </w:r>
    </w:p>
    <w:p>
      <w:pPr>
        <w:spacing w:after="0" w:line="180" w:lineRule="exact"/>
        <w:rPr>
          <w:sz w:val="20"/>
          <w:szCs w:val="20"/>
          <w:color w:val="auto"/>
        </w:rPr>
      </w:pPr>
    </w:p>
    <w:p>
      <w:pPr>
        <w:ind w:left="980" w:right="40" w:hanging="324"/>
        <w:spacing w:after="0" w:line="261"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election of each of the three directors nominated by our board of directors and named in this proxy statement as Class I directors (Proposal No. 1);</w:t>
      </w:r>
    </w:p>
    <w:p>
      <w:pPr>
        <w:spacing w:after="0" w:line="197" w:lineRule="exact"/>
        <w:rPr>
          <w:rFonts w:ascii="Arial" w:cs="Arial" w:eastAsia="Arial" w:hAnsi="Arial"/>
          <w:sz w:val="18"/>
          <w:szCs w:val="18"/>
          <w:color w:val="auto"/>
        </w:rPr>
      </w:pPr>
    </w:p>
    <w:p>
      <w:pPr>
        <w:ind w:left="980" w:right="340" w:hanging="324"/>
        <w:spacing w:after="0" w:line="261"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our fiscal year ending December 31, 2021 (Proposal No. 2);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discretion of the named proxy holders regarding any other matters properly presented for a vote at the Annual Meeting.</w:t>
      </w:r>
    </w:p>
    <w:p>
      <w:pPr>
        <w:spacing w:after="0" w:line="2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a street name stockholder and you do not provide your broker, bank or other nominee that holds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with voting instructions, then your broker, bank or other nominee will determine if it has discretion to vote on each matter. Brokers do not have discretion to vote on non-routine matters. Proposal No. 1 (election of directors) is a non-routine matter,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which would result in a “broker non-vote,” but may, in its discretion, vote your shares with respect to Proposal No. 2. For additional information regarding broker non-votes, see “—What are the effects of abstentions and broker non-votes?”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(e.g., Proposal No. 2). However, because the outcome of Proposal No. 1 (election of directors) will be determined by a plurality vote, abstentions will have no impact on the outcome of such proposal as long as a quorum exists.</w:t>
      </w:r>
    </w:p>
    <w:p>
      <w:pPr>
        <w:spacing w:after="0" w:line="2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65" w:right="339" w:bottom="1440" w:gutter="0" w:footer="0" w:header="0"/>
        </w:sectPr>
      </w:pPr>
    </w:p>
    <w:bookmarkStart w:id="8" w:name="page9"/>
    <w:bookmarkEnd w:id="8"/>
    <w:p>
      <w:pPr>
        <w:ind w:right="180"/>
        <w:spacing w:after="0" w:line="261" w:lineRule="auto"/>
        <w:rPr>
          <w:sz w:val="20"/>
          <w:szCs w:val="20"/>
          <w:color w:val="auto"/>
        </w:rPr>
      </w:pPr>
      <w:r>
        <w:rPr>
          <w:rFonts w:ascii="Arial" w:cs="Arial" w:eastAsia="Arial" w:hAnsi="Arial"/>
          <w:sz w:val="18"/>
          <w:szCs w:val="18"/>
          <w:color w:val="auto"/>
        </w:rPr>
        <w:t>be counted for purposes of determining the number of votes cast. Therefore, a broker non-vote will make a quorum more readily attainable but will not otherwise affect the outcome of the vote on any proposal.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20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received more than one Notice?</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each Notice to ensure that all of your shares are voted.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247"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28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17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Seer,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3800 Bridge Parkway, Suite 102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Redwood City, California 94065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453-0000</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4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will announce preliminary voting results at the Annual Meeting. In addition, we will disclose final voting results on a current report on Form 8-K that we expect to file within four business days after the Annual Meeting. If final</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165" w:right="339" w:bottom="1440" w:gutter="0" w:footer="0" w:header="0"/>
          <w:type w:val="continuous"/>
        </w:sectPr>
      </w:pPr>
    </w:p>
    <w:bookmarkStart w:id="9" w:name="page10"/>
    <w:bookmarkEnd w:id="9"/>
    <w:p>
      <w:pPr>
        <w:ind w:right="80"/>
        <w:spacing w:after="0" w:line="256" w:lineRule="auto"/>
        <w:rPr>
          <w:sz w:val="20"/>
          <w:szCs w:val="20"/>
          <w:color w:val="auto"/>
        </w:rPr>
      </w:pPr>
      <w:r>
        <w:rPr>
          <w:rFonts w:ascii="Arial" w:cs="Arial" w:eastAsia="Arial" w:hAnsi="Arial"/>
          <w:sz w:val="18"/>
          <w:szCs w:val="18"/>
          <w:color w:val="auto"/>
        </w:rPr>
        <w:t>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p>
    <w:p>
      <w:pPr>
        <w:spacing w:after="0" w:line="28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our 2022 annual meeting of stockholders, our Secretary must receive the written proposal at our principal executive offices not later than December 29, 2021.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Seer,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3800 Bridge Parkway, Suite 102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Redwood City, California 94065</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Secretary, which notice must contain the information specified in our bylaws. To be timely for our 2022 annual meeting of stockholders, our Secretary must receive the written notice at our principal executive offices:</w:t>
      </w:r>
    </w:p>
    <w:p>
      <w:pPr>
        <w:spacing w:after="0" w:line="20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earlier than February 12, 2022,and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later than March 14, 2022.</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event that we hold our 2022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20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annual meeting is first made.</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Stockholders holding at least $2,000 in market value, or one percent (1%), of the outstanding shares of our common stock continuously for at least 12 months prior to the date of the submission of the recommendation or nomination may propose director candidates for consideration by our corporate governance and nominating committee. Any such recommendations should include the nominee’s name and qualifications for membership on our board of directors and should be directed to our Secretary at the address set forth above. For additional information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165" w:right="359" w:bottom="1440" w:gutter="0" w:footer="0" w:header="0"/>
        </w:sectPr>
      </w:pPr>
    </w:p>
    <w:bookmarkStart w:id="10" w:name="page11"/>
    <w:bookmarkEnd w:id="10"/>
    <w:p>
      <w:pPr>
        <w:ind w:right="460"/>
        <w:spacing w:after="0" w:line="261" w:lineRule="auto"/>
        <w:rPr>
          <w:sz w:val="20"/>
          <w:szCs w:val="20"/>
          <w:color w:val="auto"/>
        </w:rPr>
      </w:pPr>
      <w:r>
        <w:rPr>
          <w:rFonts w:ascii="Arial" w:cs="Arial" w:eastAsia="Arial" w:hAnsi="Arial"/>
          <w:sz w:val="18"/>
          <w:szCs w:val="18"/>
          <w:color w:val="auto"/>
        </w:rPr>
        <w:t>regarding stockholder recommendations for director candidates, see the section titled “Board of Directors and Corporate Governance— Stockholder Recommendations for Nominations to the Board of Directors.”</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Secretary in accordance with our bylaws, which, in general, require that the notice be received by our Secretary within the time period described above under “Stockholder Proposals” for stockholder proposals that are not intended to be included in a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copy of our amended and restated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165"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business affairs are managed under the direction of our board of directors, which currently consists of nine (9) members. Our board of directors has affirmatively determined that five (5) of our nine (9) directors qualify as “independent” within the meaning of the listing standards of the Nasdaq Stock Market LLC (Nasdaq). Our board of directors is divided into three classes with staggered three-year terms. At each annual meeting of stockholders, a class of directors will be elected for a three-year term to succeed the same class whose term is then expiring.</w:t>
      </w:r>
    </w:p>
    <w:p>
      <w:pPr>
        <w:spacing w:after="0" w:line="205"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Upon the recommendation of our corporate governance and nominating committee, we are nominating Ms. Friedman, Mr. Ostadan and Dr. Ronaghi as Class I directors at the Annual Meeting. If elected, Ms. Friedman, Mr. Ostadan and Dr. Ronaghi will each hold office for a three-year term until the annual meeting of stockholders to be held in 2024 or until their successors are duly elected and qualified.</w:t>
      </w:r>
    </w:p>
    <w:p>
      <w:pPr>
        <w:spacing w:after="0" w:line="202"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following table sets forth the names, ages as of March 31, 2021 and certain other information for each of the directors with terms expiring at the Annual Meeting (who are also nominees for election as a director at the Annual Meeting), and for each of the continuing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Current Term</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Expiration of Term</w:t>
            </w:r>
          </w:p>
        </w:tc>
        <w:tc>
          <w:tcPr>
            <w:tcW w:w="0" w:type="dxa"/>
            <w:vAlign w:val="bottom"/>
          </w:tcPr>
          <w:p>
            <w:pPr>
              <w:spacing w:after="0"/>
              <w:rPr>
                <w:sz w:val="1"/>
                <w:szCs w:val="1"/>
                <w:color w:val="auto"/>
              </w:rPr>
            </w:pPr>
          </w:p>
        </w:tc>
      </w:tr>
      <w:tr>
        <w:trPr>
          <w:trHeight w:val="135"/>
        </w:trPr>
        <w:tc>
          <w:tcPr>
            <w:tcW w:w="3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Class</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Age</w:t>
            </w:r>
          </w:p>
        </w:tc>
        <w:tc>
          <w:tcPr>
            <w:tcW w:w="22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Position</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Director Since</w:t>
            </w:r>
          </w:p>
        </w:tc>
        <w:tc>
          <w:tcPr>
            <w:tcW w:w="1420" w:type="dxa"/>
            <w:vAlign w:val="bottom"/>
            <w:gridSpan w:val="2"/>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For Which</w:t>
            </w:r>
          </w:p>
        </w:tc>
        <w:tc>
          <w:tcPr>
            <w:tcW w:w="0" w:type="dxa"/>
            <w:vAlign w:val="bottom"/>
          </w:tcPr>
          <w:p>
            <w:pPr>
              <w:spacing w:after="0"/>
              <w:rPr>
                <w:sz w:val="1"/>
                <w:szCs w:val="1"/>
                <w:color w:val="auto"/>
              </w:rPr>
            </w:pPr>
          </w:p>
        </w:tc>
      </w:tr>
      <w:tr>
        <w:trPr>
          <w:trHeight w:val="175"/>
        </w:trPr>
        <w:tc>
          <w:tcPr>
            <w:tcW w:w="33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Expires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Nominated</w:t>
            </w: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Director Nominees</w:t>
            </w:r>
          </w:p>
        </w:tc>
        <w:tc>
          <w:tcPr>
            <w:tcW w:w="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I</w:t>
            </w:r>
          </w:p>
        </w:tc>
        <w:tc>
          <w:tcPr>
            <w:tcW w:w="660" w:type="dxa"/>
            <w:vAlign w:val="bottom"/>
          </w:tcPr>
          <w:p>
            <w:pPr>
              <w:jc w:val="center"/>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22"/>
        </w:trPr>
        <w:tc>
          <w:tcPr>
            <w:tcW w:w="3360" w:type="dxa"/>
            <w:vAlign w:val="bottom"/>
            <w:gridSpan w:val="2"/>
          </w:tcPr>
          <w:p>
            <w:pPr>
              <w:ind w:left="240"/>
              <w:spacing w:after="0" w:line="222" w:lineRule="exact"/>
              <w:rPr>
                <w:sz w:val="20"/>
                <w:szCs w:val="20"/>
                <w:color w:val="auto"/>
              </w:rPr>
            </w:pPr>
            <w:r>
              <w:rPr>
                <w:rFonts w:ascii="Arial" w:cs="Arial" w:eastAsia="Arial" w:hAnsi="Arial"/>
                <w:sz w:val="16"/>
                <w:szCs w:val="16"/>
                <w:color w:val="auto"/>
              </w:rPr>
              <w:t xml:space="preserve">Catherine Friedman </w:t>
            </w:r>
            <w:r>
              <w:rPr>
                <w:rFonts w:ascii="Arial" w:cs="Arial" w:eastAsia="Arial" w:hAnsi="Arial"/>
                <w:sz w:val="21"/>
                <w:szCs w:val="21"/>
                <w:color w:val="auto"/>
                <w:vertAlign w:val="superscript"/>
              </w:rPr>
              <w:t>(1)(3)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center"/>
              <w:ind w:right="80"/>
              <w:spacing w:after="0" w:line="178" w:lineRule="exact"/>
              <w:rPr>
                <w:sz w:val="20"/>
                <w:szCs w:val="20"/>
                <w:color w:val="auto"/>
              </w:rPr>
            </w:pPr>
            <w:r>
              <w:rPr>
                <w:rFonts w:ascii="Arial" w:cs="Arial" w:eastAsia="Arial" w:hAnsi="Arial"/>
                <w:sz w:val="16"/>
                <w:szCs w:val="16"/>
                <w:color w:val="auto"/>
                <w:w w:val="88"/>
              </w:rPr>
              <w:t>I</w:t>
            </w:r>
          </w:p>
        </w:tc>
        <w:tc>
          <w:tcPr>
            <w:tcW w:w="660" w:type="dxa"/>
            <w:vAlign w:val="bottom"/>
            <w:shd w:val="clear" w:color="auto" w:fill="CFF0FC"/>
          </w:tcPr>
          <w:p>
            <w:pPr>
              <w:jc w:val="center"/>
              <w:spacing w:after="0" w:line="178" w:lineRule="exact"/>
              <w:rPr>
                <w:sz w:val="20"/>
                <w:szCs w:val="20"/>
                <w:color w:val="auto"/>
              </w:rPr>
            </w:pPr>
            <w:r>
              <w:rPr>
                <w:rFonts w:ascii="Arial" w:cs="Arial" w:eastAsia="Arial" w:hAnsi="Arial"/>
                <w:sz w:val="16"/>
                <w:szCs w:val="16"/>
                <w:color w:val="auto"/>
              </w:rPr>
              <w:t>49</w:t>
            </w:r>
          </w:p>
        </w:tc>
        <w:tc>
          <w:tcPr>
            <w:tcW w:w="100" w:type="dxa"/>
            <w:vAlign w:val="bottom"/>
            <w:shd w:val="clear" w:color="auto" w:fill="CFF0FC"/>
          </w:tcPr>
          <w:p>
            <w:pPr>
              <w:spacing w:after="0"/>
              <w:rPr>
                <w:sz w:val="15"/>
                <w:szCs w:val="15"/>
                <w:color w:val="auto"/>
              </w:rPr>
            </w:pPr>
          </w:p>
        </w:tc>
        <w:tc>
          <w:tcPr>
            <w:tcW w:w="2240" w:type="dxa"/>
            <w:vAlign w:val="bottom"/>
            <w:gridSpan w:val="2"/>
            <w:shd w:val="clear" w:color="auto" w:fill="CFF0FC"/>
          </w:tcPr>
          <w:p>
            <w:pPr>
              <w:ind w:left="20"/>
              <w:spacing w:after="0" w:line="178" w:lineRule="exact"/>
              <w:rPr>
                <w:sz w:val="20"/>
                <w:szCs w:val="20"/>
                <w:color w:val="auto"/>
              </w:rPr>
            </w:pPr>
            <w:r>
              <w:rPr>
                <w:rFonts w:ascii="Arial" w:cs="Arial" w:eastAsia="Arial" w:hAnsi="Arial"/>
                <w:sz w:val="16"/>
                <w:szCs w:val="16"/>
                <w:color w:val="auto"/>
              </w:rPr>
              <w:t>President, Chief Operating</w:t>
            </w:r>
          </w:p>
        </w:tc>
        <w:tc>
          <w:tcPr>
            <w:tcW w:w="1320" w:type="dxa"/>
            <w:vAlign w:val="bottom"/>
            <w:shd w:val="clear" w:color="auto" w:fill="CFF0FC"/>
          </w:tcPr>
          <w:p>
            <w:pPr>
              <w:jc w:val="center"/>
              <w:spacing w:after="0" w:line="178" w:lineRule="exact"/>
              <w:rPr>
                <w:sz w:val="20"/>
                <w:szCs w:val="20"/>
                <w:color w:val="auto"/>
              </w:rPr>
            </w:pPr>
            <w:r>
              <w:rPr>
                <w:rFonts w:ascii="Arial" w:cs="Arial" w:eastAsia="Arial" w:hAnsi="Arial"/>
                <w:sz w:val="16"/>
                <w:szCs w:val="16"/>
                <w:color w:val="auto"/>
              </w:rPr>
              <w:t>2020</w:t>
            </w: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center"/>
              <w:spacing w:after="0" w:line="178" w:lineRule="exact"/>
              <w:rPr>
                <w:sz w:val="20"/>
                <w:szCs w:val="20"/>
                <w:color w:val="auto"/>
              </w:rPr>
            </w:pPr>
            <w:r>
              <w:rPr>
                <w:rFonts w:ascii="Arial" w:cs="Arial" w:eastAsia="Arial" w:hAnsi="Arial"/>
                <w:sz w:val="16"/>
                <w:szCs w:val="16"/>
                <w:color w:val="auto"/>
              </w:rPr>
              <w:t>2021</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center"/>
              <w:spacing w:after="0" w:line="178" w:lineRule="exact"/>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35"/>
        </w:trPr>
        <w:tc>
          <w:tcPr>
            <w:tcW w:w="33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6"/>
                <w:szCs w:val="16"/>
                <w:color w:val="auto"/>
              </w:rPr>
              <w:t>Omead Ostadan</w:t>
            </w:r>
          </w:p>
        </w:tc>
        <w:tc>
          <w:tcPr>
            <w:tcW w:w="6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Officer and Director</w:t>
            </w:r>
          </w:p>
        </w:tc>
        <w:tc>
          <w:tcPr>
            <w:tcW w:w="13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I</w:t>
            </w:r>
          </w:p>
        </w:tc>
        <w:tc>
          <w:tcPr>
            <w:tcW w:w="660" w:type="dxa"/>
            <w:vAlign w:val="bottom"/>
          </w:tcPr>
          <w:p>
            <w:pPr>
              <w:jc w:val="center"/>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19"/>
        </w:trPr>
        <w:tc>
          <w:tcPr>
            <w:tcW w:w="3360" w:type="dxa"/>
            <w:vAlign w:val="bottom"/>
            <w:gridSpan w:val="2"/>
          </w:tcPr>
          <w:p>
            <w:pPr>
              <w:ind w:left="240"/>
              <w:spacing w:after="0"/>
              <w:rPr>
                <w:sz w:val="20"/>
                <w:szCs w:val="20"/>
                <w:color w:val="auto"/>
              </w:rPr>
            </w:pPr>
            <w:r>
              <w:rPr>
                <w:rFonts w:ascii="Arial" w:cs="Arial" w:eastAsia="Arial" w:hAnsi="Arial"/>
                <w:sz w:val="16"/>
                <w:szCs w:val="16"/>
                <w:color w:val="auto"/>
              </w:rPr>
              <w:t>Mostafa Ronaghi, Ph.D.</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Continuing Directors</w:t>
            </w: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Robert Langer Sc.D. </w:t>
            </w:r>
            <w:r>
              <w:rPr>
                <w:rFonts w:ascii="Arial" w:cs="Arial" w:eastAsia="Arial" w:hAnsi="Arial"/>
                <w:sz w:val="21"/>
                <w:szCs w:val="21"/>
                <w:color w:val="auto"/>
                <w:vertAlign w:val="superscript"/>
              </w:rPr>
              <w:t>(3)</w:t>
            </w: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II</w:t>
            </w:r>
          </w:p>
        </w:tc>
        <w:tc>
          <w:tcPr>
            <w:tcW w:w="660" w:type="dxa"/>
            <w:vAlign w:val="bottom"/>
          </w:tcPr>
          <w:p>
            <w:pPr>
              <w:jc w:val="center"/>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2017</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Deep Nishar</w:t>
            </w:r>
          </w:p>
        </w:tc>
        <w:tc>
          <w:tcPr>
            <w:tcW w:w="760" w:type="dxa"/>
            <w:vAlign w:val="bottom"/>
            <w:gridSpan w:val="2"/>
            <w:shd w:val="clear" w:color="auto" w:fill="CFF0FC"/>
          </w:tcPr>
          <w:p>
            <w:pPr>
              <w:jc w:val="center"/>
              <w:ind w:right="80"/>
              <w:spacing w:after="0"/>
              <w:rPr>
                <w:sz w:val="20"/>
                <w:szCs w:val="20"/>
                <w:color w:val="auto"/>
              </w:rPr>
            </w:pPr>
            <w:r>
              <w:rPr>
                <w:rFonts w:ascii="Arial" w:cs="Arial" w:eastAsia="Arial" w:hAnsi="Arial"/>
                <w:sz w:val="16"/>
                <w:szCs w:val="16"/>
                <w:color w:val="auto"/>
                <w:w w:val="89"/>
              </w:rPr>
              <w:t>II</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36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David Singer </w:t>
            </w:r>
            <w:r>
              <w:rPr>
                <w:rFonts w:ascii="Arial" w:cs="Arial" w:eastAsia="Arial" w:hAnsi="Arial"/>
                <w:sz w:val="21"/>
                <w:szCs w:val="21"/>
                <w:color w:val="auto"/>
                <w:vertAlign w:val="superscript"/>
              </w:rPr>
              <w:t>(1)(2)</w:t>
            </w: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II</w:t>
            </w:r>
          </w:p>
        </w:tc>
        <w:tc>
          <w:tcPr>
            <w:tcW w:w="660" w:type="dxa"/>
            <w:vAlign w:val="bottom"/>
          </w:tcPr>
          <w:p>
            <w:pPr>
              <w:jc w:val="center"/>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2017</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77"/>
        </w:trPr>
        <w:tc>
          <w:tcPr>
            <w:tcW w:w="3360" w:type="dxa"/>
            <w:vAlign w:val="bottom"/>
            <w:gridSpan w:val="2"/>
            <w:shd w:val="clear" w:color="auto" w:fill="CFF0FC"/>
          </w:tcPr>
          <w:p>
            <w:pPr>
              <w:ind w:left="240"/>
              <w:spacing w:after="0" w:line="178" w:lineRule="exact"/>
              <w:rPr>
                <w:sz w:val="20"/>
                <w:szCs w:val="20"/>
                <w:color w:val="auto"/>
              </w:rPr>
            </w:pPr>
            <w:r>
              <w:rPr>
                <w:rFonts w:ascii="Arial" w:cs="Arial" w:eastAsia="Arial" w:hAnsi="Arial"/>
                <w:sz w:val="16"/>
                <w:szCs w:val="16"/>
                <w:color w:val="auto"/>
              </w:rPr>
              <w:t>Omid Farokhzad, M.D.</w:t>
            </w:r>
          </w:p>
        </w:tc>
        <w:tc>
          <w:tcPr>
            <w:tcW w:w="760" w:type="dxa"/>
            <w:vAlign w:val="bottom"/>
            <w:gridSpan w:val="2"/>
            <w:shd w:val="clear" w:color="auto" w:fill="CFF0FC"/>
          </w:tcPr>
          <w:p>
            <w:pPr>
              <w:jc w:val="center"/>
              <w:ind w:right="80"/>
              <w:spacing w:after="0" w:line="178" w:lineRule="exact"/>
              <w:rPr>
                <w:sz w:val="20"/>
                <w:szCs w:val="20"/>
                <w:color w:val="auto"/>
              </w:rPr>
            </w:pPr>
            <w:r>
              <w:rPr>
                <w:rFonts w:ascii="Arial" w:cs="Arial" w:eastAsia="Arial" w:hAnsi="Arial"/>
                <w:sz w:val="16"/>
                <w:szCs w:val="16"/>
                <w:color w:val="auto"/>
                <w:w w:val="89"/>
              </w:rPr>
              <w:t>III</w:t>
            </w:r>
          </w:p>
        </w:tc>
        <w:tc>
          <w:tcPr>
            <w:tcW w:w="660" w:type="dxa"/>
            <w:vAlign w:val="bottom"/>
            <w:shd w:val="clear" w:color="auto" w:fill="CFF0FC"/>
          </w:tcPr>
          <w:p>
            <w:pPr>
              <w:jc w:val="center"/>
              <w:spacing w:after="0" w:line="178" w:lineRule="exact"/>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5"/>
                <w:szCs w:val="15"/>
                <w:color w:val="auto"/>
              </w:rPr>
            </w:pPr>
          </w:p>
        </w:tc>
        <w:tc>
          <w:tcPr>
            <w:tcW w:w="2240" w:type="dxa"/>
            <w:vAlign w:val="bottom"/>
            <w:gridSpan w:val="2"/>
            <w:shd w:val="clear" w:color="auto" w:fill="CFF0FC"/>
          </w:tcPr>
          <w:p>
            <w:pPr>
              <w:ind w:left="20"/>
              <w:spacing w:after="0" w:line="178" w:lineRule="exact"/>
              <w:rPr>
                <w:sz w:val="20"/>
                <w:szCs w:val="20"/>
                <w:color w:val="auto"/>
              </w:rPr>
            </w:pPr>
            <w:r>
              <w:rPr>
                <w:rFonts w:ascii="Arial" w:cs="Arial" w:eastAsia="Arial" w:hAnsi="Arial"/>
                <w:sz w:val="16"/>
                <w:szCs w:val="16"/>
                <w:color w:val="auto"/>
              </w:rPr>
              <w:t>Chief Executive Officer,</w:t>
            </w:r>
          </w:p>
        </w:tc>
        <w:tc>
          <w:tcPr>
            <w:tcW w:w="1320" w:type="dxa"/>
            <w:vAlign w:val="bottom"/>
            <w:shd w:val="clear" w:color="auto" w:fill="CFF0FC"/>
          </w:tcPr>
          <w:p>
            <w:pPr>
              <w:jc w:val="center"/>
              <w:spacing w:after="0" w:line="178" w:lineRule="exact"/>
              <w:rPr>
                <w:sz w:val="20"/>
                <w:szCs w:val="20"/>
                <w:color w:val="auto"/>
              </w:rPr>
            </w:pPr>
            <w:r>
              <w:rPr>
                <w:rFonts w:ascii="Arial" w:cs="Arial" w:eastAsia="Arial" w:hAnsi="Arial"/>
                <w:sz w:val="16"/>
                <w:szCs w:val="16"/>
                <w:color w:val="auto"/>
              </w:rPr>
              <w:t>2017</w:t>
            </w: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center"/>
              <w:spacing w:after="0" w:line="178" w:lineRule="exact"/>
              <w:rPr>
                <w:sz w:val="20"/>
                <w:szCs w:val="20"/>
                <w:color w:val="auto"/>
              </w:rPr>
            </w:pPr>
            <w:r>
              <w:rPr>
                <w:rFonts w:ascii="Arial" w:cs="Arial" w:eastAsia="Arial" w:hAnsi="Arial"/>
                <w:sz w:val="16"/>
                <w:szCs w:val="16"/>
                <w:color w:val="auto"/>
              </w:rPr>
              <w:t>2023</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center"/>
              <w:spacing w:after="0" w:line="178" w:lineRule="exact"/>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4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6"/>
                <w:szCs w:val="16"/>
                <w:color w:val="auto"/>
              </w:rPr>
              <w:t>Chair of the Board of</w:t>
            </w:r>
          </w:p>
        </w:tc>
        <w:tc>
          <w:tcPr>
            <w:tcW w:w="1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Directors</w:t>
            </w: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David Hallal </w:t>
            </w:r>
            <w:r>
              <w:rPr>
                <w:rFonts w:ascii="Arial" w:cs="Arial" w:eastAsia="Arial" w:hAnsi="Arial"/>
                <w:sz w:val="21"/>
                <w:szCs w:val="21"/>
                <w:color w:val="auto"/>
                <w:vertAlign w:val="superscript"/>
              </w:rPr>
              <w:t>(2)(3)</w:t>
            </w: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III</w:t>
            </w:r>
          </w:p>
        </w:tc>
        <w:tc>
          <w:tcPr>
            <w:tcW w:w="660" w:type="dxa"/>
            <w:vAlign w:val="bottom"/>
          </w:tcPr>
          <w:p>
            <w:pPr>
              <w:jc w:val="center"/>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Lead Independent 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FF0FC"/>
          </w:tcPr>
          <w:p>
            <w:pPr>
              <w:ind w:left="240"/>
              <w:spacing w:after="0" w:line="216" w:lineRule="exact"/>
              <w:rPr>
                <w:sz w:val="20"/>
                <w:szCs w:val="20"/>
                <w:color w:val="auto"/>
              </w:rPr>
            </w:pPr>
            <w:r>
              <w:rPr>
                <w:rFonts w:ascii="Arial" w:cs="Arial" w:eastAsia="Arial" w:hAnsi="Arial"/>
                <w:sz w:val="16"/>
                <w:szCs w:val="16"/>
                <w:color w:val="auto"/>
              </w:rPr>
              <w:t xml:space="preserve">Terrance McGuire </w:t>
            </w:r>
            <w:r>
              <w:rPr>
                <w:rFonts w:ascii="Arial" w:cs="Arial" w:eastAsia="Arial" w:hAnsi="Arial"/>
                <w:sz w:val="21"/>
                <w:szCs w:val="21"/>
                <w:color w:val="auto"/>
                <w:vertAlign w:val="superscript"/>
              </w:rPr>
              <w:t>(1)(2)</w:t>
            </w:r>
          </w:p>
        </w:tc>
        <w:tc>
          <w:tcPr>
            <w:tcW w:w="760" w:type="dxa"/>
            <w:vAlign w:val="bottom"/>
            <w:gridSpan w:val="2"/>
            <w:shd w:val="clear" w:color="auto" w:fill="CFF0FC"/>
          </w:tcPr>
          <w:p>
            <w:pPr>
              <w:jc w:val="center"/>
              <w:ind w:right="80"/>
              <w:spacing w:after="0"/>
              <w:rPr>
                <w:sz w:val="20"/>
                <w:szCs w:val="20"/>
                <w:color w:val="auto"/>
              </w:rPr>
            </w:pPr>
            <w:r>
              <w:rPr>
                <w:rFonts w:ascii="Arial" w:cs="Arial" w:eastAsia="Arial" w:hAnsi="Arial"/>
                <w:sz w:val="16"/>
                <w:szCs w:val="16"/>
                <w:color w:val="auto"/>
                <w:w w:val="89"/>
              </w:rPr>
              <w:t>III</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2017</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our audit committee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our talent and compensation committee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our corporate governance and nominating committee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Catherine J. Friedman </w:t>
      </w:r>
      <w:r>
        <w:rPr>
          <w:rFonts w:ascii="Arial" w:cs="Arial" w:eastAsia="Arial" w:hAnsi="Arial"/>
          <w:sz w:val="18"/>
          <w:szCs w:val="18"/>
          <w:color w:val="auto"/>
        </w:rPr>
        <w:t>has served as a member of our board of directors since September 2020. Ms. Friedman has been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consultant serving public and 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as Chairperson of the board at GRAIL, Inc., a cancer testing company, and on the board of directors of Radius Health, Inc., a biopharmaceutical company, and Revolution Health Care Acquisition Corp., a blank check company. Ms. Friedman previously served on the board of directors of Altaba Inc., EnteroMedics, Inc., GSV Capital Corp., Innoviva, Inc. (formerly Theravance, Inc.), and XenoPort, Inc. Ms. Friedman currently serves as a member of the board of directors of several privately-held companies. She holds an A.B. in Economics from Harvard University and an M.B.A. from the University of Virginia Darden School of Business, where she serves as a member of the Darden School Foundation Board of Trustees.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1" w:right="339" w:bottom="1440" w:gutter="0" w:footer="0" w:header="0"/>
        </w:sectPr>
      </w:pPr>
    </w:p>
    <w:bookmarkStart w:id="12" w:name="page13"/>
    <w:bookmarkEnd w:id="12"/>
    <w:p>
      <w:pPr>
        <w:ind w:right="180"/>
        <w:spacing w:after="0" w:line="261" w:lineRule="auto"/>
        <w:rPr>
          <w:sz w:val="20"/>
          <w:szCs w:val="20"/>
          <w:color w:val="auto"/>
        </w:rPr>
      </w:pPr>
      <w:r>
        <w:rPr>
          <w:rFonts w:ascii="Arial" w:cs="Arial" w:eastAsia="Arial" w:hAnsi="Arial"/>
          <w:sz w:val="18"/>
          <w:szCs w:val="18"/>
          <w:color w:val="auto"/>
        </w:rPr>
        <w:t>We believe Ms. Friedman is qualified to serve on our board of directors because of her financial expertise, 23-year tenure as an investment banker and extensive experience serving as a member on other public company boards.</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Omead Ostadan </w:t>
      </w:r>
      <w:r>
        <w:rPr>
          <w:rFonts w:ascii="Arial" w:cs="Arial" w:eastAsia="Arial" w:hAnsi="Arial"/>
          <w:sz w:val="18"/>
          <w:szCs w:val="18"/>
          <w:color w:val="auto"/>
        </w:rPr>
        <w:t>has served as our President and Chief Operating Officer since July 2020 and as a member of our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2020. Prior to joining us, Mr. Ostadan was with Illumina, Inc., a biotechnology company, from January 2007 to June 2020 where he served in various executive roles, most recently as Senior Vice President &amp; Chief Products and Marketing Officer from July 2019 to June 2020 and Senior Vice President, Products &amp; Marketing from April 2015 to June 2019. Mr. Ostadan holds a B.Sc in Biochemistry from the University of California, Davis and an M.B.A. from the Wharton School of Business.</w:t>
      </w:r>
    </w:p>
    <w:p>
      <w:pPr>
        <w:spacing w:after="0" w:line="20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believe Mr. Ostadan is qualified to serve on our board of directors because of his extensive experience in product development at life science companies, his leadership skills, as well as his strong strategic planning and product knowledge.</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Mostafa Ronaghi, Ph.D. </w:t>
      </w:r>
      <w:r>
        <w:rPr>
          <w:rFonts w:ascii="Arial" w:cs="Arial" w:eastAsia="Arial" w:hAnsi="Arial"/>
          <w:sz w:val="18"/>
          <w:szCs w:val="18"/>
          <w:color w:val="auto"/>
        </w:rPr>
        <w:t>has served as a member of our board of directors since February 2021. He also serves as Co-Chairman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Advisory Board. Most recently, Dr. Ronaghi was with Illumina, Inc., a developer, manufacturer, and marketer of life science tools and integrated systems for large-scale analysis of genetic variation and function, where he served as Senior Vice President, Entrepreneurial Development, from June 2020 to January 2021 and as Senior Vice President and Chief Technology Officer from July 2008 to June 2020. He co-founded GRAIL, Illumina Accelerator, a business accelerator focused solely on creating an innovation ecosystem for the genomics industry, Avantome, a sequencing company acquired by Illumina, NextBio, a search engine for life science data acquired by Illumina, and ParAllele Bioscience, Inc., a genetic discovery solutions company, acquired by Affymetrix, Inc. Dr. Ronaghi currently serves as a member of the board of directors of several privately-held companies. He holds a B.Sc. in biochemistry from Kalmar University and a Ph.D. in biotechnology from the Royal Institute of Technology in Sweden.</w:t>
      </w:r>
    </w:p>
    <w:p>
      <w:pPr>
        <w:spacing w:after="0" w:line="23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believe Dr. Ronaghi is qualified to serve on our board of directors because of his extensive academic training, his technical and scientific expertise as well as his operating experience in several genomic companies.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Omid Farokhzad, M.D. </w:t>
      </w:r>
      <w:r>
        <w:rPr>
          <w:rFonts w:ascii="Arial" w:cs="Arial" w:eastAsia="Arial" w:hAnsi="Arial"/>
          <w:sz w:val="18"/>
          <w:szCs w:val="18"/>
          <w:color w:val="auto"/>
        </w:rPr>
        <w:t>co-founded our company and has served as our Chief Executive Officer since February 2018 and as a member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since March 2017, serving as the Chair since September 2020.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Selecta Biosciences and BIND Therapeutics. He holds an M.A. and M.D. from Boston University and an M.B.A. from Massachusetts Institute of Technology Sloan School of Management.</w:t>
      </w:r>
    </w:p>
    <w:p>
      <w:pPr>
        <w:spacing w:after="0" w:line="205"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 xml:space="preserve">David Hallal </w:t>
      </w:r>
      <w:r>
        <w:rPr>
          <w:rFonts w:ascii="Arial" w:cs="Arial" w:eastAsia="Arial" w:hAnsi="Arial"/>
          <w:sz w:val="18"/>
          <w:szCs w:val="18"/>
          <w:color w:val="auto"/>
        </w:rPr>
        <w:t>has served as a member of our board of directors since February 2018 and as Lead Independent Director since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Mr. Hallal has served as Chief Executive Officer of AlloVir, Inc., a biotechnology company since September 2018 and as Chief Executive Officer of ElevateBio LLC, a biotechnology company he co-founded, since December 2017. From June 2006 to December 2016, he served in various executive roles at Alexion Pharmaceuticals, Inc., a pharmaceutical company, most recently as Chief Executive Officer from April 2015 until December 2016, and as Chief Operating Officer from September 2014 until April 2015. Mr. Hallal currently serves as Chairman of the board at AlloVir, ElevateBio, Scholar Rock Holding Corp. and iTeos Therapeutics S.A. He holds a B.A. in Psychology from the University of New Hampshire.</w:t>
      </w:r>
    </w:p>
    <w:p>
      <w:pPr>
        <w:spacing w:after="0" w:line="20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We believe Mr. Hallal is qualified to serve on our board of directors because of his extensive business experience and knowledge of company operations, and his experience working with companies in the life sciences industry.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65" w:right="339" w:bottom="1440" w:gutter="0" w:footer="0" w:header="0"/>
        </w:sectPr>
      </w:pPr>
    </w:p>
    <w:bookmarkStart w:id="13" w:name="page14"/>
    <w:bookmarkEnd w:id="13"/>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Robert Langer, Sc.D. </w:t>
      </w:r>
      <w:r>
        <w:rPr>
          <w:rFonts w:ascii="Arial" w:cs="Arial" w:eastAsia="Arial" w:hAnsi="Arial"/>
          <w:sz w:val="18"/>
          <w:szCs w:val="18"/>
          <w:color w:val="auto"/>
        </w:rPr>
        <w:t>has served as a member of our board of directors since December 2017. Dr. Langer has served as an Institute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Professor at the Massachusetts Institute of Technology since July 2005. He currently serves on the board of directors of Abpro Bio Co. Ltd., Frequency Therapeutics, Inc., Moderna, Inc. and Puretech Health plc, and previously served on the board of directors of Alkermes, Inc., Lyra Therapeutics, Inc., Kala Pharmaceuticals, Inc., Momenta Pharmaceuticals, Inc., Millipore Corp., Rubius Therapeutics and Wyeth. Dr. Langer holds a B.S. in Chemical Engineering from Cornell University and an Sc.D. in Chemical Engineering from Massachusetts Institute of Technology.</w:t>
      </w:r>
    </w:p>
    <w:p>
      <w:pPr>
        <w:spacing w:after="0" w:line="20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We believe Dr. Langer is qualified to serve on our board of directors because of his pioneering academic work, extensive medical and scientific knowledge, and experience serving on public company boards of directors.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Terrance McGuire </w:t>
      </w:r>
      <w:r>
        <w:rPr>
          <w:rFonts w:ascii="Arial" w:cs="Arial" w:eastAsia="Arial" w:hAnsi="Arial"/>
          <w:sz w:val="18"/>
          <w:szCs w:val="18"/>
          <w:color w:val="auto"/>
        </w:rPr>
        <w:t>has served as a member of our board of directors since December 2017. Mr. McGuire serves as a General Partner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Polaris Partners, a venture capital firm he co-founded in 1996. He currently serves on the board of directors of Alector, Inc. and Cyclerion, Inc., and previously served on the board of directors of Acceleron Pharma, Inc., Arsanis, Inc., Ironwood Pharmaceuticals, Inc., Pulmatrix, Inc., and The David H. Koch Institute for Integrative Cancer Research at the Massachusetts Institute of Technology. Mr. McGuire also serves as a member of the Board of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w:t>
      </w:r>
    </w:p>
    <w:p>
      <w:pPr>
        <w:spacing w:after="0" w:line="20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We believe Mr. McGuire is qualified to serve on our board of directors because of his substantial corporate development and business strategy expertise gained in the venture capital industry.</w:t>
      </w:r>
    </w:p>
    <w:p>
      <w:pPr>
        <w:spacing w:after="0" w:line="17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Dipchand (Deep) Nishar </w:t>
      </w:r>
      <w:r>
        <w:rPr>
          <w:rFonts w:ascii="Arial" w:cs="Arial" w:eastAsia="Arial" w:hAnsi="Arial"/>
          <w:sz w:val="18"/>
          <w:szCs w:val="18"/>
          <w:color w:val="auto"/>
        </w:rPr>
        <w:t>has served as a member of our board of directors since February 2021. Mr. Nishar has served as a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Partner of SoftBank Investment Advisers (US) Inc., a private equity company, since June 2015. From January 2009 to October 2014, he was with LinkedIn Corporation, an employment-oriented online service company acquired by Microsoft Corporation, where he served as Senior Vice President, Product and User Experience from May 2011 to October 2014 and as Vice President, Products from January 2009 to May 2011. From August 2003 to January 2009, Mr. Nishar served in various executive roles with Google Inc., a technology company that specializes in Internet-related services and products, most recently as the Senior Director of Products for the Asia-Pacific region. He currently serves on the board of directors of Relay Therapeutics, Inc. and Vir Biotechnology, Inc. and previously served on the board of directors of Guardant Health, Inc., Opower, Inc. and TripAdvisor, Inc. Mr. Nishar holds a B. Tech from the Indian Institute of Technology, an M.S. in Electrical Engineering from the University of Illinois, Urbana-Champaign and an M.B.A. from Harvard Business School.</w:t>
      </w:r>
    </w:p>
    <w:p>
      <w:pPr>
        <w:spacing w:after="0" w:line="20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believe Mr. Nishar is qualified to serve on our board of directors due to his extensive background in the technology industry and his investment activities in the life science sector.</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David B. Singer </w:t>
      </w:r>
      <w:r>
        <w:rPr>
          <w:rFonts w:ascii="Arial" w:cs="Arial" w:eastAsia="Arial" w:hAnsi="Arial"/>
          <w:sz w:val="18"/>
          <w:szCs w:val="18"/>
          <w:color w:val="auto"/>
        </w:rPr>
        <w:t>has served as a member of our board of directors since December 2017. Mr. Singer has held various positions at Maverick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Ventures, a venture capital firm, or its affiliates, since December 2004, including Managing Partner of Maverick Ventures since February 2015. Mr. Singer currently serves on the board of directors of 1Life Healthcare, Inc. (OneMedical), Castlight Health, Inc. and several privately-held companies. Previously, Mr. Singer served on the board of four other public companies, including Pacific BioSciences of California, Inc. and Affymetrix, Inc., where he was the founding CEO. He previously served as a health commissioner of San Francisco and a member of the San Francisco General Hospital Joint Conference Committee from July 2013 to January 2017. He holds a B.A. in History from Yale University and an M.B.A. from Stanford University.</w:t>
      </w:r>
    </w:p>
    <w:p>
      <w:pPr>
        <w:spacing w:after="0" w:line="20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believe Mr. Singer is qualified to serve on our board of directors because of his knowledge of the healthcare industry and his substantial corporate development and business strategy expertise gained in the venture capital industry.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143"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Director Independence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common stock is listed on the Nasdaq Global Select Market. Under the listing standards of Nasdaq, independent directors must comprise a majority of a listed company’s board of directors within one year of the completion of our initial public offering. In addition, the listing standards of Nasdaq require that, subject to specified exceptions, each member of a listed company’s audit, compensation and nominating and governance committees be independent. Audit committee members and compensation committee members must also satisfy the independence criteria set forth in Rule 10A-3 and Rule 10C-1, respectively, under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To be considered to be independent for purposes of Rule 10A-3 and under the listing standards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To be considered independent for purposes of Rule 10C-1 and under the listing standards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Catherine Friedman, David Hallal, Terrance McGuire, Deep Nishar and David Singer, representing five of our nine directors, do not have a relationship that would interfere with the exercise of independent judgment in carrying out the responsibilities of a director and that each of these directors is “independent” as that term is defined under the listing standards of Nasdaq. In addition, our board of directors has determined that all members of our audit, compensation, and corporate governance and nominating committees satisfy the independence standards for committee members established by applicable SEC rules and regulations and the listing standards of Nasdaq.</w:t>
      </w:r>
    </w:p>
    <w:p>
      <w:pPr>
        <w:spacing w:after="0" w:line="2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and Other Transactions.”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board of directors has appointed David Hallal to serve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board of directors has established an audit committee, a talent and compensation committee, a corporate governance and nominating committee, and a science and technology committee. The composition and responsibilities of each of the committees of our board of directors are described below. Members serve on these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1" w:right="339" w:bottom="1440" w:gutter="0" w:footer="0" w:header="0"/>
        </w:sectPr>
      </w:pPr>
    </w:p>
    <w:bookmarkStart w:id="15" w:name="page16"/>
    <w:bookmarkEnd w:id="15"/>
    <w:p>
      <w:pPr>
        <w:ind w:right="740"/>
        <w:spacing w:after="0" w:line="261" w:lineRule="auto"/>
        <w:rPr>
          <w:sz w:val="20"/>
          <w:szCs w:val="20"/>
          <w:color w:val="auto"/>
        </w:rPr>
      </w:pPr>
      <w:r>
        <w:rPr>
          <w:rFonts w:ascii="Arial" w:cs="Arial" w:eastAsia="Arial" w:hAnsi="Arial"/>
          <w:sz w:val="18"/>
          <w:szCs w:val="18"/>
          <w:color w:val="auto"/>
        </w:rPr>
        <w:t>committees until their resignation or until otherwise determined by our board of directors. Our board of directors may establish other committees as it deems necessary or appropriate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4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audit committee consists of Catherine Friedman, Terrance McGuire and David Singer, with Ms. Friedman serving as Chair. Our board of directors has determined that each of the members of our audit committee satisfies the independence requirements under the listing standards of Nasdaq and Rule 10A-3 of the Exchange Act. Our board of directors has determined that Ms. Friedman is an “audit committee financial expert” within the meaning of SEC rules and regulations. Each member of our audit committee can read and understand fundamental financial statements in accordance with applicable requirements. In arriving at these determinations, our board of directors examined each audit committee member’s scope of experience and the nature of their employment in the corporate finance sector.</w:t>
      </w:r>
    </w:p>
    <w:p>
      <w:pPr>
        <w:spacing w:after="0" w:line="20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Our audit committee is also responsible for, among other things:</w:t>
      </w:r>
    </w:p>
    <w:p>
      <w:pPr>
        <w:spacing w:after="0" w:line="19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 to audit our financial statements;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approving audit and non-audit services and fees;</w:t>
      </w:r>
    </w:p>
    <w:p>
      <w:pPr>
        <w:spacing w:after="0" w:line="225" w:lineRule="exact"/>
        <w:rPr>
          <w:rFonts w:ascii="Arial" w:cs="Arial" w:eastAsia="Arial" w:hAnsi="Arial"/>
          <w:sz w:val="18"/>
          <w:szCs w:val="18"/>
          <w:color w:val="auto"/>
        </w:rPr>
      </w:pPr>
    </w:p>
    <w:p>
      <w:pPr>
        <w:ind w:left="980" w:right="60" w:hanging="324"/>
        <w:spacing w:after="0" w:line="256"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20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to be included in our annual proxy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reports and communications from the independent registered public accounting firm;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 and disclosure controls and procedures;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225"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monitoring conflicts of interest situations, and approving or prohibiting any involvement in matters that may involve a conflict of interest or taking of a corporate opportunity;</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225" w:lineRule="exact"/>
        <w:rPr>
          <w:rFonts w:ascii="Arial" w:cs="Arial" w:eastAsia="Arial" w:hAnsi="Arial"/>
          <w:sz w:val="18"/>
          <w:szCs w:val="18"/>
          <w:color w:val="auto"/>
        </w:rPr>
      </w:pPr>
    </w:p>
    <w:p>
      <w:pPr>
        <w:ind w:left="980" w:right="660" w:hanging="324"/>
        <w:spacing w:after="0" w:line="261"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overseeing procedures for the receipt, retention and treatment of accounting related complaints and the confidential submission by our employees of concerns regarding questionable accounting or auditing matters.</w:t>
      </w:r>
    </w:p>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Nasdaq. A copy of the charter for our audit committee is available on our investor relations website at investor.seer.bio. Our audit committee was formed in connection with our initial public offering and did not meet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and Compensation Committee</w:t>
      </w:r>
    </w:p>
    <w:p>
      <w:pPr>
        <w:spacing w:after="0" w:line="24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talent and compensation committee consists of David Hallal, Terrance McGuire and David Singer, with Mr. McGuire serving as Chair. Our board of directors has determined that each of the members of our talent and</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165" w:right="379" w:bottom="1440" w:gutter="0" w:footer="0" w:header="0"/>
        </w:sectPr>
      </w:pPr>
    </w:p>
    <w:bookmarkStart w:id="16" w:name="page17"/>
    <w:bookmarkEnd w:id="16"/>
    <w:p>
      <w:pPr>
        <w:ind w:right="480"/>
        <w:spacing w:after="0" w:line="261" w:lineRule="auto"/>
        <w:rPr>
          <w:sz w:val="20"/>
          <w:szCs w:val="20"/>
          <w:color w:val="auto"/>
        </w:rPr>
      </w:pPr>
      <w:r>
        <w:rPr>
          <w:rFonts w:ascii="Arial" w:cs="Arial" w:eastAsia="Arial" w:hAnsi="Arial"/>
          <w:sz w:val="18"/>
          <w:szCs w:val="18"/>
          <w:color w:val="auto"/>
        </w:rPr>
        <w:t>compensation committee is independent under the listing standards of Nasdaq and a “non-employee director” as defined in Rule 16b-3 under the Exchange Act.</w:t>
      </w:r>
    </w:p>
    <w:p>
      <w:pPr>
        <w:spacing w:after="0" w:line="19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talent and compensation committee oversees our compensation policies, plans, and benefits programs. The compensation committee is also responsible for, among other things:</w:t>
      </w:r>
    </w:p>
    <w:p>
      <w:pPr>
        <w:spacing w:after="0" w:line="19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our overall compensation philosophy and compensation policies, plans and benefit programs;</w:t>
      </w:r>
    </w:p>
    <w:p>
      <w:pPr>
        <w:spacing w:after="0" w:line="225"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for approval, the compensation of our executive officers and directors;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compensation committee report that the SEC requires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talent and compensation committee operates under a written charter that satisfies the applicable rules and regulations of the SEC and the listing standards of Nasdaq. A copy of the charter for our talent and compensation committee is available on our investor relations website at investor.seer.bio. Our talent and compensation committee was formed in connection with our initial public offering and did not meet in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corporate governance and nominating committee consists of Catherine Friedman, David Hallal and Robert Langer, Sc.D., with Mr. Hallal serving as Chair. Our board of directors has determined that David Hallal and Catherine Friedman are independent under the listing standards of Nasdaq. Dr. Langer serves on our scientific advisory board and receives compensation for such service and is therefore not independent under the applicable rules. However, pursuant to Nasdaq Rule 5605(e)(3), Dr. Langer was selected to serve on the corporate governance and nominating committee because (i) the corporate governance and nominating committee is comprised of two independent directors in addition to Dr. Langer, (ii) Dr. Langer was neither a current executive officer or employee of the Company at the time of his appointment to the corporate governance and nominating committee, nor a family member of any current executive officer of the Company, and (iii) the Board determined that Dr. Langer’s membership on the corporate governance and nominating committee, in this limited circumstance, was warranted and in the best interests of the Company and its stockholders, because he would be able to provide substantial insight and guidance on potential director nominees and succession planning given his experience serving on multiple boards of directors. Until the corporate governance and nominating committee consists solely of independent directors, director nominees must either be selected, or recommended for the board of directors’ selection, by independent directors constituting a majority of the board of directors’ independent directors in a vote in which only independent directors participate.</w:t>
      </w:r>
    </w:p>
    <w:p>
      <w:pPr>
        <w:spacing w:after="0" w:line="21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corporate governance and nominating committee oversees and assists our board of directors in reviewing and recommending nominees for election as directors. The corporate governance and nominating committee is also responsible for, among other things:</w:t>
      </w:r>
    </w:p>
    <w:p>
      <w:pPr>
        <w:spacing w:after="0" w:line="198" w:lineRule="exact"/>
        <w:rPr>
          <w:sz w:val="20"/>
          <w:szCs w:val="20"/>
          <w:color w:val="auto"/>
        </w:rPr>
      </w:pPr>
    </w:p>
    <w:p>
      <w:pPr>
        <w:ind w:left="980" w:right="240" w:hanging="324"/>
        <w:spacing w:after="0" w:line="261"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evaluating, and making recommendations to our board of directors regarding nominees for election to our board of directors and its committees;</w:t>
      </w:r>
    </w:p>
    <w:p>
      <w:pPr>
        <w:spacing w:after="0" w:line="197" w:lineRule="exact"/>
        <w:rPr>
          <w:rFonts w:ascii="Arial" w:cs="Arial" w:eastAsia="Arial" w:hAnsi="Arial"/>
          <w:sz w:val="18"/>
          <w:szCs w:val="18"/>
          <w:color w:val="auto"/>
        </w:rPr>
      </w:pPr>
    </w:p>
    <w:p>
      <w:pPr>
        <w:ind w:left="980" w:right="220" w:hanging="324"/>
        <w:spacing w:after="0" w:line="261"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of our board of directors and its committees;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165" w:right="379" w:bottom="1440" w:gutter="0" w:footer="0" w:header="0"/>
        </w:sectPr>
      </w:pPr>
    </w:p>
    <w:bookmarkStart w:id="17" w:name="page18"/>
    <w:bookmarkEnd w:id="17"/>
    <w:p>
      <w:pPr>
        <w:jc w:val="both"/>
        <w:ind w:right="120"/>
        <w:spacing w:after="0" w:line="256" w:lineRule="auto"/>
        <w:rPr>
          <w:sz w:val="20"/>
          <w:szCs w:val="20"/>
          <w:color w:val="auto"/>
        </w:rPr>
      </w:pPr>
      <w:r>
        <w:rPr>
          <w:rFonts w:ascii="Arial" w:cs="Arial" w:eastAsia="Arial" w:hAnsi="Arial"/>
          <w:sz w:val="18"/>
          <w:szCs w:val="18"/>
          <w:color w:val="auto"/>
        </w:rPr>
        <w:t>Our corporate governance and nominating committee operates under a written charter that satisfies the listing standards of Nasdaq. A copy of the charter for our corporate governance and nominating committee is available on our investor relations website at investor.seer.bio. Our corporate governance and nominating committee was formed in connection with our initial public offering and did not meet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Science and Technology Committee</w:t>
      </w:r>
    </w:p>
    <w:p>
      <w:pPr>
        <w:spacing w:after="0" w:line="2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April 2021, our board of directors formed our science and technology committee. Our science and technology committee consists of Robert Langer, Sc.D., Deep Nishar and Mostafa Ronaghi, Ph.D., with Dr. Langer serving as Chair. Our science and technology committee oversees and assists our board of directors in its oversight of our scientific and technological strategies and research and development plans and goals. The science and technology committee is also responsible for, among other things:</w:t>
      </w:r>
    </w:p>
    <w:p>
      <w:pPr>
        <w:spacing w:after="0" w:line="204" w:lineRule="exact"/>
        <w:rPr>
          <w:sz w:val="20"/>
          <w:szCs w:val="20"/>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evaluating our performance relating to our research and development plans and goals;</w:t>
      </w:r>
    </w:p>
    <w:p>
      <w:pPr>
        <w:spacing w:after="0" w:line="225" w:lineRule="exact"/>
        <w:rPr>
          <w:rFonts w:ascii="Arial" w:cs="Arial" w:eastAsia="Arial" w:hAnsi="Arial"/>
          <w:sz w:val="18"/>
          <w:szCs w:val="18"/>
          <w:color w:val="auto"/>
        </w:rPr>
      </w:pPr>
    </w:p>
    <w:p>
      <w:pPr>
        <w:ind w:left="900" w:right="20" w:hanging="244"/>
        <w:spacing w:after="0" w:line="26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evaluating our scientific and technological strategies and research and development plans, and goals, including the competitive environment;</w:t>
      </w:r>
    </w:p>
    <w:p>
      <w:pPr>
        <w:spacing w:after="0" w:line="197" w:lineRule="exact"/>
        <w:rPr>
          <w:rFonts w:ascii="Arial" w:cs="Arial" w:eastAsia="Arial" w:hAnsi="Arial"/>
          <w:sz w:val="18"/>
          <w:szCs w:val="18"/>
          <w:color w:val="auto"/>
        </w:rPr>
      </w:pPr>
    </w:p>
    <w:p>
      <w:pPr>
        <w:ind w:left="900" w:right="160" w:hanging="244"/>
        <w:spacing w:after="0" w:line="26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and discussing significant emerging science and technology issues and trends, including their potential impact on our scientific and technological strategies and research and development plans and goals; and</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conducting a periodic review of our intellectual property portfolio and strategy, including our overall competitiveness.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Stockholder Meetings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our fiscal year ended December 31, 2020, our board of directors held nine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spacing w:after="0" w:line="2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strongly encourage, but do not require, our directors to attend. This is our first annual meeting of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4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2020, David Hallal, Terrance McGuire and David Singer served on our talent and compensation committee. None of the members of our talent and compensation committee is currently, or has been at any time, one of our officers or employees. None of our executive officers currently serves, or has served during the past fiscal year, as a member of the board of directors or the talent and compensation committee (or other board committee performing equivalent functions or, in the absence of any such committee, the entire board of directors) of any entity that has one or more of its executive officers serving as a member of our board of directors or our talent compensation committee.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65" w:right="339" w:bottom="1440" w:gutter="0" w:footer="0" w:header="0"/>
        </w:sectPr>
      </w:pPr>
    </w:p>
    <w:bookmarkStart w:id="18" w:name="page19"/>
    <w:bookmarkEnd w:id="18"/>
    <w:p>
      <w:pPr>
        <w:ind w:right="220"/>
        <w:spacing w:after="0" w:line="269" w:lineRule="auto"/>
        <w:rPr>
          <w:sz w:val="20"/>
          <w:szCs w:val="20"/>
          <w:color w:val="auto"/>
        </w:rPr>
      </w:pPr>
      <w:r>
        <w:rPr>
          <w:rFonts w:ascii="Arial" w:cs="Arial" w:eastAsia="Arial" w:hAnsi="Arial"/>
          <w:sz w:val="17"/>
          <w:szCs w:val="17"/>
          <w:color w:val="auto"/>
        </w:rPr>
        <w:t>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spacing w:after="0" w:line="1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24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corporate governance and nominating committee will consider director candidates recommended by stockholders holding no less than $2,000 in market value, or one percent (1%), of the outstanding shares of our common stock continuously for at least 12 months prior to the date of the submission of the recommendation or nomination, so long as such recommendations or nominations comply with our amended and restated certificate of incorporation, amended and restated bylaws, and applicable laws, rules and regulations, including those promulgated by the SEC. Our corporate governance and nominating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Secretary in writing. Such recommendations must include information about the candidate, a statement of support of the candidate by the recommending stockholder, evidence of the recommending stockholder’s ownership of our capital stock, a signed letter from the candidate confirming willingness to serve on our board of directors, information regarding any relationships between us and the candidate and any additional information required by our amended and restated bylaws. Our corporate governance and nominating committee has discretion to decide which individuals to recommend for nomination as directors.</w:t>
      </w:r>
    </w:p>
    <w:p>
      <w:pPr>
        <w:spacing w:after="0" w:line="21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our amended and restated bylaws, stockholders may also directly nominate persons for election to our board of directors. Any nomination must comply with the requirements set forth in our amended and restated bylaws and should be sent in writing to our Corporate Secretary at Seer, Inc., 3800 Bridge Parkway, Suite 102, Redwood City, California 94065. To be timely for the 2022 annual meeting of stockholders, nominations must be received by our Corporate Secretary not later than the 45th day nor earlier than the 75th day before the one-year anniversary of the date on which we first mailed our proxy materials or a notice of availability of proxy materials (whichever is earlier) for the preceding year’s annual meeting. In the event that no annual meeting was held in the previous year or if the date of the annual meeting is advanced by more than 30 days prior to or delayed by more than 60 days after the one-year anniversary of the date of the previous year’s annual meeting, then notice by the stockholder to be timely must be so received by our Corporate Secretary not earlier than the close of business on the 120th day prior to such annual meeting and not later than the close of business on the later of (i) the 90th day prior to such annual meeting and (ii) the 10th day following the day on which public announcement of the date of such annual meeting is first made.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16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Interested parties wishing to communicate with non-management members of our board of directors may do so by writing and mailing the correspondence to our Corporate Secretary at Seer, Inc., 3800 Bridge Parkway, Suite 102, Redwood City, California 94065. Our Corporate Secretary monitors these communications and will provide a summary of all received bona fide messages to our board of directors at each regularly scheduled meeting of our board of directors. Where the nature of a communication warrants, our Corporate Secretary may determine, in his or her judgment, to obtain the more immediate attention of the appropriate committee of the board of directors or non-management director, of independent advisors or of our management.</w:t>
      </w:r>
    </w:p>
    <w:p>
      <w:pPr>
        <w:spacing w:after="0" w:line="2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Diversity</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Diversity is important to us, and we have always had diversity within our management team and across the company. We believe that our management and board of directors should be diverse, including a diversity of experience, competency in relevant fields, gender, race, ethnicity and age. In making determinations regarding nominations of directors, our nominating and governance committee takes into account the benefits of diverse viewpoints. In September 2020, we were pleased to announce that Catherine Friedman joined our board of directors. In February, 2021, we were pleased to add further diversity to our board of directors with the addition of Deep Nishar. Our corporate governance and nominating committee will also consider these and other factors as it oversees the annual board of directors and committee evaluations. Our board of directors is also advancing our human capital management strategy to ensure more opportunities for diverse candidates, including new programs to recruit diverse candidates. Currently, 41% of our senior management team, which is comprised of our CEO, his direct reports and other senior leaders, identify as women and other underrepresented groups.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website at investor.seer.bio. We will post any amendments to our Code of Business Conduct and Ethics and any waivers of our Code of Business Conduct and Ethics for directors and executive officers on the same website or in filings under the Exchange Act.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Prohibitions</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employees (including our executive officers and the non-employee members of our board of directors) are prohibited from holding our common stock in a margin account or pledging our securities as collateral for a loan.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Our talent and compensation committee is responsible for overseeing the management of risks relating to our executive compensation plans and arrangements. Our audit committee is responsible for overseeing the company’s significant business risks, including risks relating to accounting matters and financial reporting. Our corporate governance and</w:t>
      </w: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1251" w:right="439" w:bottom="1440" w:gutter="0" w:footer="0" w:header="0"/>
        </w:sectPr>
      </w:pPr>
    </w:p>
    <w:bookmarkStart w:id="20" w:name="page21"/>
    <w:bookmarkEnd w:id="20"/>
    <w:p>
      <w:pPr>
        <w:spacing w:after="0" w:line="254" w:lineRule="auto"/>
        <w:rPr>
          <w:sz w:val="20"/>
          <w:szCs w:val="20"/>
          <w:color w:val="auto"/>
        </w:rPr>
      </w:pPr>
      <w:r>
        <w:rPr>
          <w:rFonts w:ascii="Arial" w:cs="Arial" w:eastAsia="Arial" w:hAnsi="Arial"/>
          <w:sz w:val="18"/>
          <w:szCs w:val="18"/>
          <w:color w:val="auto"/>
        </w:rPr>
        <w:t>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our initial public offering, our board of directors adopted, and our stockholders approved, a new compensation policy for our non-employee directors. This policy was developed with input from our talent and compensation committee’s independent compensation consultant, Radford, a business of Rewards Solutions, Aon (Radford), regarding practices and compensation levels at comparable companies. It is designed to attract, retain and reward non-employee directors.</w:t>
      </w:r>
    </w:p>
    <w:p>
      <w:pPr>
        <w:spacing w:after="0" w:line="204"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Under the outside director compensation policy, each non-employee director receives the cash and equity compensation for his or her services as a member of our board of directors, as described below. We also reimburse our non-employee directors for reasonable, customary and documented travel expenses to meetings of our board of directors or its committees.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director compensation policy includes a maximum annual limit of $750,000 or, in the first year of a non-employee director’s service on our board of directors, $1,000,000, of cash compensation and equity awards that may be paid, issued or granted to a non-employee director in any fiscal year. For purposes of these limitations, the value of an equity award is based on its grant date fair value (determined in accordance with generally accepted accounting principles, or GAAP).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outside director compensation policy provides for the following cash compensation program for our non-employee directors:</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$20,000 per year for service as lead independent director;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$20,000 per year for service as Chair of the audit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$10,000 per year for service as a member of the audit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$12,000 per year for service as Chair of the talent and compensation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$6,000 per year for service as a member of the talent and compensation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$10,000 per year for service as Chair of the corporate governance and nominating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$5,000 per year for service as a member of the corporate governance and nominating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$10,000 per year for service as Chair of the science and technology committee;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$5,000 per year for service as a member of the science and technology committee.</w:t>
      </w:r>
    </w:p>
    <w:p>
      <w:pPr>
        <w:spacing w:after="0" w:line="22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Each non-employee director who serves as a committee Chair receives only the additional annual cash fee as the Chair of the committee, and not the additional annual fee as a member of the committee. All cash payments to non-employee directors are paid quarterly in arrears on a prorated basis.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165"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Equity Compensation</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Initial Awards</w:t>
      </w:r>
      <w:r>
        <w:rPr>
          <w:rFonts w:ascii="Arial" w:cs="Arial" w:eastAsia="Arial" w:hAnsi="Arial"/>
          <w:sz w:val="18"/>
          <w:szCs w:val="18"/>
          <w:color w:val="auto"/>
        </w:rPr>
        <w:t>. Pursuant to our outside director compensation policy, each person who first becomes a non-employee director will receive, on the first trading day on or after the date that the person first becomes a non-employee director, an initial award of stock options to purchase 30,000 shares of our common stock (the Initial Award).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20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u w:val="single" w:color="auto"/>
          <w:color w:val="auto"/>
        </w:rPr>
        <w:t>Annual Awards</w:t>
      </w:r>
      <w:r>
        <w:rPr>
          <w:rFonts w:ascii="Arial" w:cs="Arial" w:eastAsia="Arial" w:hAnsi="Arial"/>
          <w:sz w:val="18"/>
          <w:szCs w:val="18"/>
          <w:color w:val="auto"/>
        </w:rPr>
        <w:t>. Each non-employee director automatically will receive, on the first trading day immediately after the date of each annual meeting of our stockholders (an Annual Meeting), an annual award of stock options to purchase 15,000 shares of our common stock (the Annual Award), except if an individual began service as a non-employee director after the date of the Annual Meeting that occurred immediately prior to such Annual Meeting (or if there is no such prior Annual Meeting, then December 3, 2020),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 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21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our change in control, as defined in our 2020 Equity Incentive Plan, each non-employee director’s then outstanding equity awards covering shares of our common stock that were granted to him or her while a non-employee director will accelerate vesting in full, provided that he or she remains a non-employee director through the date of our change in control.</w:t>
      </w:r>
    </w:p>
    <w:p>
      <w:pPr>
        <w:spacing w:after="0" w:line="202" w:lineRule="exact"/>
        <w:rPr>
          <w:sz w:val="20"/>
          <w:szCs w:val="20"/>
          <w:color w:val="auto"/>
        </w:rPr>
      </w:pPr>
    </w:p>
    <w:p>
      <w:pPr>
        <w:jc w:val="both"/>
        <w:ind w:right="380"/>
        <w:spacing w:after="0" w:line="278" w:lineRule="auto"/>
        <w:rPr>
          <w:sz w:val="20"/>
          <w:szCs w:val="20"/>
          <w:color w:val="auto"/>
        </w:rPr>
      </w:pPr>
      <w:r>
        <w:rPr>
          <w:rFonts w:ascii="Arial" w:cs="Arial" w:eastAsia="Arial" w:hAnsi="Arial"/>
          <w:sz w:val="17"/>
          <w:szCs w:val="17"/>
          <w:u w:val="single" w:color="auto"/>
          <w:color w:val="auto"/>
        </w:rPr>
        <w:t>Other Award Terms</w:t>
      </w:r>
      <w:r>
        <w:rPr>
          <w:rFonts w:ascii="Arial" w:cs="Arial" w:eastAsia="Arial" w:hAnsi="Arial"/>
          <w:sz w:val="17"/>
          <w:szCs w:val="17"/>
          <w:color w:val="auto"/>
        </w:rPr>
        <w:t>. Each Initial Award and Annual Award will be granted under our 2020 Equity Incentive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Compensation</w:t>
      </w:r>
    </w:p>
    <w:p>
      <w:pPr>
        <w:spacing w:after="0" w:line="2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Omid Farokhzad, M.D. and Omead Ostadan were our employee directors during 2020. See the section titled “Executive Compensation” for additional information about Dr. Farokhzad’s and Mr. Ostadan’s compensation.</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2020. Other than as set forth in the table, we did not pay any compensation, make any equity awards or non-equity awards to or pay any other compensation to any of our non-employee directors in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Fees Earned or</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1840" w:type="dxa"/>
            <w:vAlign w:val="bottom"/>
            <w:gridSpan w:val="2"/>
          </w:tcPr>
          <w:p>
            <w:pPr>
              <w:ind w:left="520"/>
              <w:spacing w:after="0"/>
              <w:rPr>
                <w:sz w:val="20"/>
                <w:szCs w:val="20"/>
                <w:color w:val="auto"/>
              </w:rPr>
            </w:pPr>
            <w:r>
              <w:rPr>
                <w:rFonts w:ascii="Arial" w:cs="Arial" w:eastAsia="Arial" w:hAnsi="Arial"/>
                <w:sz w:val="14"/>
                <w:szCs w:val="14"/>
                <w:b w:val="1"/>
                <w:bCs w:val="1"/>
                <w:color w:val="auto"/>
              </w:rPr>
              <w:t>All Other</w:t>
            </w:r>
          </w:p>
        </w:tc>
        <w:tc>
          <w:tcPr>
            <w:tcW w:w="20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4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Paid in Cash($)</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738,398</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743,815</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David Hallal</w:t>
            </w:r>
          </w:p>
        </w:tc>
        <w:tc>
          <w:tcPr>
            <w:tcW w:w="1420" w:type="dxa"/>
            <w:vAlign w:val="bottom"/>
          </w:tcPr>
          <w:p>
            <w:pPr>
              <w:jc w:val="right"/>
              <w:spacing w:after="0"/>
              <w:rPr>
                <w:sz w:val="20"/>
                <w:szCs w:val="20"/>
                <w:color w:val="auto"/>
              </w:rPr>
            </w:pPr>
            <w:r>
              <w:rPr>
                <w:rFonts w:ascii="Arial" w:cs="Arial" w:eastAsia="Arial" w:hAnsi="Arial"/>
                <w:sz w:val="18"/>
                <w:szCs w:val="18"/>
                <w:color w:val="auto"/>
              </w:rPr>
              <w:t>5,925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617,782</w:t>
            </w:r>
          </w:p>
        </w:tc>
        <w:tc>
          <w:tcPr>
            <w:tcW w:w="100" w:type="dxa"/>
            <w:vAlign w:val="bottom"/>
          </w:tcPr>
          <w:p>
            <w:pPr>
              <w:spacing w:after="0"/>
              <w:rPr>
                <w:sz w:val="19"/>
                <w:szCs w:val="19"/>
                <w:color w:val="auto"/>
              </w:rPr>
            </w:pPr>
          </w:p>
        </w:tc>
        <w:tc>
          <w:tcPr>
            <w:tcW w:w="18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623,707</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983,707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920"/>
              <w:spacing w:after="0" w:line="230" w:lineRule="exact"/>
              <w:rPr>
                <w:sz w:val="20"/>
                <w:szCs w:val="20"/>
                <w:color w:val="auto"/>
              </w:rPr>
            </w:pPr>
            <w:r>
              <w:rPr>
                <w:rFonts w:ascii="Arial" w:cs="Arial" w:eastAsia="Arial" w:hAnsi="Arial"/>
                <w:sz w:val="18"/>
                <w:szCs w:val="18"/>
                <w:color w:val="auto"/>
                <w:w w:val="94"/>
              </w:rPr>
              <w:t>75,000</w:t>
            </w:r>
            <w:r>
              <w:rPr>
                <w:rFonts w:ascii="Arial" w:cs="Arial" w:eastAsia="Arial" w:hAnsi="Arial"/>
                <w:sz w:val="23"/>
                <w:szCs w:val="23"/>
                <w:color w:val="auto"/>
                <w:w w:val="94"/>
                <w:vertAlign w:val="superscript"/>
              </w:rPr>
              <w:t>(3)</w:t>
            </w: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1,062,215</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Mark McClellan, Ph.D.</w:t>
            </w:r>
            <w:r>
              <w:rPr>
                <w:rFonts w:ascii="Arial" w:cs="Arial" w:eastAsia="Arial" w:hAnsi="Arial"/>
                <w:sz w:val="23"/>
                <w:szCs w:val="23"/>
                <w:color w:val="auto"/>
                <w:vertAlign w:val="superscript"/>
              </w:rPr>
              <w:t>(4)</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219,011</w:t>
            </w:r>
          </w:p>
        </w:tc>
        <w:tc>
          <w:tcPr>
            <w:tcW w:w="100" w:type="dxa"/>
            <w:vAlign w:val="bottom"/>
          </w:tcPr>
          <w:p>
            <w:pPr>
              <w:spacing w:after="0"/>
              <w:rPr>
                <w:sz w:val="19"/>
                <w:szCs w:val="19"/>
                <w:color w:val="auto"/>
              </w:rPr>
            </w:pPr>
          </w:p>
        </w:tc>
        <w:tc>
          <w:tcPr>
            <w:tcW w:w="18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219,011</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Terrance McGuire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485,633</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490,466</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David Singer</w:t>
            </w:r>
          </w:p>
        </w:tc>
        <w:tc>
          <w:tcPr>
            <w:tcW w:w="1420" w:type="dxa"/>
            <w:vAlign w:val="bottom"/>
          </w:tcPr>
          <w:p>
            <w:pPr>
              <w:jc w:val="right"/>
              <w:spacing w:after="0"/>
              <w:rPr>
                <w:sz w:val="20"/>
                <w:szCs w:val="20"/>
                <w:color w:val="auto"/>
              </w:rPr>
            </w:pPr>
            <w:r>
              <w:rPr>
                <w:rFonts w:ascii="Arial" w:cs="Arial" w:eastAsia="Arial" w:hAnsi="Arial"/>
                <w:sz w:val="18"/>
                <w:szCs w:val="18"/>
                <w:color w:val="auto"/>
              </w:rPr>
              <w:t>4,366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410,428</w:t>
            </w:r>
          </w:p>
        </w:tc>
        <w:tc>
          <w:tcPr>
            <w:tcW w:w="100" w:type="dxa"/>
            <w:vAlign w:val="bottom"/>
          </w:tcPr>
          <w:p>
            <w:pPr>
              <w:spacing w:after="0"/>
              <w:rPr>
                <w:sz w:val="19"/>
                <w:szCs w:val="19"/>
                <w:color w:val="auto"/>
              </w:rPr>
            </w:pPr>
          </w:p>
        </w:tc>
        <w:tc>
          <w:tcPr>
            <w:tcW w:w="18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414,794</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Mostafa Ronaghi, Ph.D.</w:t>
            </w:r>
            <w:r>
              <w:rPr>
                <w:rFonts w:ascii="Arial" w:cs="Arial" w:eastAsia="Arial" w:hAnsi="Arial"/>
                <w:sz w:val="23"/>
                <w:szCs w:val="23"/>
                <w:color w:val="auto"/>
                <w:vertAlign w:val="superscript"/>
              </w:rPr>
              <w:t>(5)</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920"/>
              <w:spacing w:after="0" w:line="230" w:lineRule="exact"/>
              <w:rPr>
                <w:sz w:val="20"/>
                <w:szCs w:val="20"/>
                <w:color w:val="auto"/>
              </w:rPr>
            </w:pPr>
            <w:r>
              <w:rPr>
                <w:rFonts w:ascii="Arial" w:cs="Arial" w:eastAsia="Arial" w:hAnsi="Arial"/>
                <w:sz w:val="18"/>
                <w:szCs w:val="18"/>
                <w:color w:val="auto"/>
                <w:w w:val="94"/>
              </w:rPr>
              <w:t>20,000</w:t>
            </w:r>
            <w:r>
              <w:rPr>
                <w:rFonts w:ascii="Arial" w:cs="Arial" w:eastAsia="Arial" w:hAnsi="Arial"/>
                <w:sz w:val="23"/>
                <w:szCs w:val="23"/>
                <w:color w:val="auto"/>
                <w:w w:val="94"/>
                <w:vertAlign w:val="superscript"/>
              </w:rPr>
              <w:t>(6)</w:t>
            </w: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161,698</w:t>
            </w:r>
          </w:p>
        </w:tc>
        <w:tc>
          <w:tcPr>
            <w:tcW w:w="0" w:type="dxa"/>
            <w:vAlign w:val="bottom"/>
          </w:tcPr>
          <w:p>
            <w:pPr>
              <w:spacing w:after="0"/>
              <w:rPr>
                <w:sz w:val="1"/>
                <w:szCs w:val="1"/>
                <w:color w:val="auto"/>
              </w:rPr>
            </w:pPr>
          </w:p>
        </w:tc>
      </w:tr>
      <w:tr>
        <w:trPr>
          <w:trHeight w:val="301"/>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Deep Nishar</w:t>
            </w:r>
            <w:r>
              <w:rPr>
                <w:rFonts w:ascii="Arial" w:cs="Arial" w:eastAsia="Arial" w:hAnsi="Arial"/>
                <w:sz w:val="23"/>
                <w:szCs w:val="23"/>
                <w:color w:val="auto"/>
                <w:vertAlign w:val="superscript"/>
              </w:rPr>
              <w:t>(5)</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2" w:lineRule="exact"/>
        <w:rPr>
          <w:sz w:val="20"/>
          <w:szCs w:val="20"/>
          <w:color w:val="auto"/>
        </w:rPr>
      </w:pPr>
    </w:p>
    <w:p>
      <w:pPr>
        <w:ind w:left="660" w:right="100" w:hanging="652"/>
        <w:spacing w:after="0" w:line="253"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 in this column represents the aggregate grant-date fair value of the award as computed as of the grant date of each option awarded in fiscal 2020 in accordance with Financial Accounting Standard Board Accounting Standards Codification Topic 718, or ASC Topic 718. The assumptions used in calculating the grant-date fair value of the awards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147" w:right="339" w:bottom="1440" w:gutter="0" w:footer="0" w:header="0"/>
          <w:type w:val="continuous"/>
        </w:sectPr>
      </w:pPr>
    </w:p>
    <w:bookmarkStart w:id="22" w:name="page23"/>
    <w:bookmarkEnd w:id="22"/>
    <w:p>
      <w:pPr>
        <w:ind w:left="660" w:right="420"/>
        <w:spacing w:after="0" w:line="246" w:lineRule="auto"/>
        <w:rPr>
          <w:sz w:val="20"/>
          <w:szCs w:val="20"/>
          <w:color w:val="auto"/>
        </w:rPr>
      </w:pPr>
      <w:r>
        <w:rPr>
          <w:rFonts w:ascii="Arial" w:cs="Arial" w:eastAsia="Arial" w:hAnsi="Arial"/>
          <w:sz w:val="16"/>
          <w:szCs w:val="16"/>
          <w:color w:val="auto"/>
        </w:rPr>
        <w:t>reported in this column are set forth in the notes to our financial statements included in our Annual Report on Form 10-K filed with the SEC on March 29, 2021.</w:t>
      </w:r>
    </w:p>
    <w:p>
      <w:pPr>
        <w:spacing w:after="0" w:line="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Ms. Friedman joined our board of directors in September 2020.</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Langer received consulting fees for his service on our Scientific Advisory Board in 2020.</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McClellan resigned from our board of directors in September 2020.</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Ronaghi and Mr. Nishar joined our board of directors in February 2021, and therefore earned no board of director fees in 2020.</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Ronaghi received consulting fees for his service on our Scientific Advisory Board in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non-employee directors as of December 31,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rPr>
              <w:t>Securities</w:t>
            </w:r>
          </w:p>
        </w:tc>
        <w:tc>
          <w:tcPr>
            <w:tcW w:w="13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Securities</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Option Exercise</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rPr>
              <w:t>Underlying</w:t>
            </w:r>
          </w:p>
        </w:tc>
        <w:tc>
          <w:tcPr>
            <w:tcW w:w="13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Underlying</w:t>
            </w:r>
          </w:p>
        </w:tc>
        <w:tc>
          <w:tcPr>
            <w:tcW w:w="1380" w:type="dxa"/>
            <w:vAlign w:val="bottom"/>
            <w:gridSpan w:val="2"/>
            <w:vMerge w:val="continue"/>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35"/>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1"/>
                <w:szCs w:val="11"/>
                <w:color w:val="auto"/>
              </w:rPr>
            </w:pPr>
          </w:p>
        </w:tc>
        <w:tc>
          <w:tcPr>
            <w:tcW w:w="12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1"/>
                <w:szCs w:val="11"/>
                <w:color w:val="auto"/>
              </w:rPr>
            </w:pPr>
          </w:p>
        </w:tc>
        <w:tc>
          <w:tcPr>
            <w:tcW w:w="136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rPr>
              <w:t>Unvested Stock</w:t>
            </w:r>
          </w:p>
        </w:tc>
        <w:tc>
          <w:tcPr>
            <w:tcW w:w="13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Unexercised</w:t>
            </w:r>
          </w:p>
        </w:tc>
        <w:tc>
          <w:tcPr>
            <w:tcW w:w="13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Price Per Share</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center"/>
              <w:ind w:left="274"/>
              <w:spacing w:after="0"/>
              <w:rPr>
                <w:sz w:val="20"/>
                <w:szCs w:val="20"/>
                <w:color w:val="auto"/>
              </w:rPr>
            </w:pPr>
            <w:r>
              <w:rPr>
                <w:rFonts w:ascii="Arial" w:cs="Arial" w:eastAsia="Arial" w:hAnsi="Arial"/>
                <w:sz w:val="14"/>
                <w:szCs w:val="14"/>
                <w:b w:val="1"/>
                <w:bCs w:val="1"/>
                <w:color w:val="auto"/>
                <w:w w:val="98"/>
              </w:rPr>
              <w:t>Awards</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Options (#)</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9/11/2020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131,425</w:t>
            </w:r>
          </w:p>
        </w:tc>
        <w:tc>
          <w:tcPr>
            <w:tcW w:w="4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18,691</w:t>
            </w: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12/2/2030</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line="178" w:lineRule="exact"/>
              <w:rPr>
                <w:sz w:val="20"/>
                <w:szCs w:val="20"/>
                <w:color w:val="auto"/>
              </w:rPr>
            </w:pPr>
            <w:r>
              <w:rPr>
                <w:rFonts w:ascii="Arial" w:cs="Arial" w:eastAsia="Arial" w:hAnsi="Arial"/>
                <w:sz w:val="18"/>
                <w:szCs w:val="18"/>
                <w:color w:val="auto"/>
              </w:rPr>
              <w:t>David Hallal</w:t>
            </w:r>
          </w:p>
        </w:tc>
        <w:tc>
          <w:tcPr>
            <w:tcW w:w="1380" w:type="dxa"/>
            <w:vAlign w:val="bottom"/>
            <w:gridSpan w:val="2"/>
          </w:tcPr>
          <w:p>
            <w:pPr>
              <w:jc w:val="right"/>
              <w:spacing w:after="0" w:line="178" w:lineRule="exact"/>
              <w:rPr>
                <w:sz w:val="20"/>
                <w:szCs w:val="20"/>
                <w:color w:val="auto"/>
              </w:rPr>
            </w:pPr>
            <w:r>
              <w:rPr>
                <w:rFonts w:ascii="Arial" w:cs="Arial" w:eastAsia="Arial" w:hAnsi="Arial"/>
                <w:sz w:val="18"/>
                <w:szCs w:val="18"/>
                <w:color w:val="auto"/>
              </w:rPr>
              <w:t>2/19/2018</w:t>
            </w:r>
          </w:p>
        </w:tc>
        <w:tc>
          <w:tcPr>
            <w:tcW w:w="960" w:type="dxa"/>
            <w:vAlign w:val="bottom"/>
            <w:gridSpan w:val="2"/>
          </w:tcPr>
          <w:p>
            <w:pPr>
              <w:jc w:val="right"/>
              <w:spacing w:after="0" w:line="178" w:lineRule="exact"/>
              <w:rPr>
                <w:sz w:val="20"/>
                <w:szCs w:val="20"/>
                <w:color w:val="auto"/>
              </w:rPr>
            </w:pPr>
            <w:r>
              <w:rPr>
                <w:rFonts w:ascii="Arial" w:cs="Arial" w:eastAsia="Arial" w:hAnsi="Arial"/>
                <w:sz w:val="18"/>
                <w:szCs w:val="18"/>
                <w:color w:val="auto"/>
              </w:rPr>
              <w:t>49,852</w:t>
            </w: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ind w:left="1040"/>
              <w:spacing w:after="0" w:line="178"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7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1"/>
        </w:trPr>
        <w:tc>
          <w:tcPr>
            <w:tcW w:w="33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5/18/2018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32,512</w:t>
            </w:r>
          </w:p>
        </w:tc>
        <w:tc>
          <w:tcPr>
            <w:tcW w:w="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1380" w:type="dxa"/>
            <w:vAlign w:val="bottom"/>
            <w:gridSpan w:val="2"/>
          </w:tcPr>
          <w:p>
            <w:pPr>
              <w:jc w:val="right"/>
              <w:spacing w:after="0" w:line="178" w:lineRule="exact"/>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78"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8"/>
                <w:szCs w:val="18"/>
                <w:color w:val="auto"/>
              </w:rPr>
              <w:t>101,886</w:t>
            </w: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8"/>
                <w:szCs w:val="18"/>
                <w:color w:val="auto"/>
              </w:rPr>
              <w:t>2.70</w:t>
            </w:r>
          </w:p>
        </w:tc>
        <w:tc>
          <w:tcPr>
            <w:tcW w:w="8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51,753</w:t>
            </w:r>
          </w:p>
        </w:tc>
        <w:tc>
          <w:tcPr>
            <w:tcW w:w="420" w:type="dxa"/>
            <w:vAlign w:val="bottom"/>
          </w:tcPr>
          <w:p>
            <w:pPr>
              <w:ind w:left="4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9/11/2020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38,422</w:t>
            </w:r>
          </w:p>
        </w:tc>
        <w:tc>
          <w:tcPr>
            <w:tcW w:w="420" w:type="dxa"/>
            <w:vAlign w:val="bottom"/>
          </w:tcPr>
          <w:p>
            <w:pPr>
              <w:ind w:left="4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09/10/2030</w:t>
            </w:r>
          </w:p>
        </w:tc>
        <w:tc>
          <w:tcPr>
            <w:tcW w:w="0" w:type="dxa"/>
            <w:vAlign w:val="bottom"/>
          </w:tcPr>
          <w:p>
            <w:pPr>
              <w:spacing w:after="0"/>
              <w:rPr>
                <w:sz w:val="1"/>
                <w:szCs w:val="1"/>
                <w:color w:val="auto"/>
              </w:rPr>
            </w:pPr>
          </w:p>
        </w:tc>
      </w:tr>
      <w:tr>
        <w:trPr>
          <w:trHeight w:val="281"/>
        </w:trPr>
        <w:tc>
          <w:tcPr>
            <w:tcW w:w="33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18,691</w:t>
            </w:r>
          </w:p>
        </w:tc>
        <w:tc>
          <w:tcPr>
            <w:tcW w:w="420" w:type="dxa"/>
            <w:vAlign w:val="bottom"/>
          </w:tcPr>
          <w:p>
            <w:pPr>
              <w:ind w:left="4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12/2/2030</w:t>
            </w:r>
          </w:p>
        </w:tc>
        <w:tc>
          <w:tcPr>
            <w:tcW w:w="0" w:type="dxa"/>
            <w:vAlign w:val="bottom"/>
          </w:tcPr>
          <w:p>
            <w:pPr>
              <w:spacing w:after="0"/>
              <w:rPr>
                <w:sz w:val="1"/>
                <w:szCs w:val="1"/>
                <w:color w:val="auto"/>
              </w:rPr>
            </w:pPr>
          </w:p>
        </w:tc>
      </w:tr>
      <w:tr>
        <w:trPr>
          <w:trHeight w:val="178"/>
        </w:trPr>
        <w:tc>
          <w:tcPr>
            <w:tcW w:w="336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Robert Langer, Sc.D.</w:t>
            </w:r>
          </w:p>
        </w:tc>
        <w:tc>
          <w:tcPr>
            <w:tcW w:w="1380" w:type="dxa"/>
            <w:vAlign w:val="bottom"/>
            <w:gridSpan w:val="2"/>
          </w:tcPr>
          <w:p>
            <w:pPr>
              <w:jc w:val="right"/>
              <w:spacing w:after="0" w:line="178" w:lineRule="exact"/>
              <w:rPr>
                <w:sz w:val="20"/>
                <w:szCs w:val="20"/>
                <w:color w:val="auto"/>
              </w:rPr>
            </w:pPr>
            <w:r>
              <w:rPr>
                <w:rFonts w:ascii="Arial" w:cs="Arial" w:eastAsia="Arial" w:hAnsi="Arial"/>
                <w:sz w:val="18"/>
                <w:szCs w:val="18"/>
                <w:color w:val="auto"/>
              </w:rPr>
              <w:t>9/20/2017</w:t>
            </w:r>
          </w:p>
        </w:tc>
        <w:tc>
          <w:tcPr>
            <w:tcW w:w="960" w:type="dxa"/>
            <w:vAlign w:val="bottom"/>
            <w:gridSpan w:val="2"/>
          </w:tcPr>
          <w:p>
            <w:pPr>
              <w:jc w:val="right"/>
              <w:spacing w:after="0" w:line="178" w:lineRule="exact"/>
              <w:rPr>
                <w:sz w:val="20"/>
                <w:szCs w:val="20"/>
                <w:color w:val="auto"/>
              </w:rPr>
            </w:pPr>
            <w:r>
              <w:rPr>
                <w:rFonts w:ascii="Arial" w:cs="Arial" w:eastAsia="Arial" w:hAnsi="Arial"/>
                <w:sz w:val="18"/>
                <w:szCs w:val="18"/>
                <w:color w:val="auto"/>
              </w:rPr>
              <w:t>26,789</w:t>
            </w: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ind w:left="1040"/>
              <w:spacing w:after="0" w:line="178"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7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
        </w:trPr>
        <w:tc>
          <w:tcPr>
            <w:tcW w:w="3360" w:type="dxa"/>
            <w:vAlign w:val="bottom"/>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2/19/2018</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11,589</w:t>
            </w:r>
          </w:p>
        </w:tc>
        <w:tc>
          <w:tcPr>
            <w:tcW w:w="40" w:type="dxa"/>
            <w:vAlign w:val="bottom"/>
          </w:tcPr>
          <w:p>
            <w:pPr>
              <w:spacing w:after="0"/>
              <w:rPr>
                <w:sz w:val="4"/>
                <w:szCs w:val="4"/>
                <w:color w:val="auto"/>
              </w:rPr>
            </w:pPr>
          </w:p>
        </w:tc>
        <w:tc>
          <w:tcPr>
            <w:tcW w:w="360" w:type="dxa"/>
            <w:vAlign w:val="bottom"/>
            <w:vMerge w:val="restart"/>
          </w:tcPr>
          <w:p>
            <w:pPr>
              <w:spacing w:after="0"/>
              <w:rPr>
                <w:sz w:val="20"/>
                <w:szCs w:val="20"/>
                <w:color w:val="auto"/>
              </w:rPr>
            </w:pPr>
            <w:r>
              <w:rPr>
                <w:rFonts w:ascii="Arial" w:cs="Arial" w:eastAsia="Arial" w:hAnsi="Arial"/>
                <w:sz w:val="12"/>
                <w:szCs w:val="12"/>
                <w:color w:val="auto"/>
              </w:rPr>
              <w:t>(10)</w:t>
            </w:r>
          </w:p>
        </w:tc>
        <w:tc>
          <w:tcPr>
            <w:tcW w:w="100" w:type="dxa"/>
            <w:vAlign w:val="bottom"/>
            <w:vMerge w:val="restart"/>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4"/>
                <w:szCs w:val="4"/>
                <w:color w:val="auto"/>
              </w:rPr>
            </w:pPr>
          </w:p>
        </w:tc>
        <w:tc>
          <w:tcPr>
            <w:tcW w:w="138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78"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8"/>
                <w:szCs w:val="18"/>
                <w:color w:val="auto"/>
              </w:rPr>
              <w:t>104,048</w:t>
            </w: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8"/>
                <w:szCs w:val="18"/>
                <w:color w:val="auto"/>
              </w:rPr>
              <w:t>0.05</w:t>
            </w:r>
          </w:p>
        </w:tc>
        <w:tc>
          <w:tcPr>
            <w:tcW w:w="8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8"/>
                <w:szCs w:val="18"/>
                <w:color w:val="auto"/>
              </w:rPr>
              <w:t>05/17/2028</w:t>
            </w:r>
          </w:p>
        </w:tc>
        <w:tc>
          <w:tcPr>
            <w:tcW w:w="0" w:type="dxa"/>
            <w:vAlign w:val="bottom"/>
          </w:tcPr>
          <w:p>
            <w:pPr>
              <w:spacing w:after="0"/>
              <w:rPr>
                <w:sz w:val="1"/>
                <w:szCs w:val="1"/>
                <w:color w:val="auto"/>
              </w:rPr>
            </w:pPr>
          </w:p>
        </w:tc>
      </w:tr>
      <w:tr>
        <w:trPr>
          <w:trHeight w:val="52"/>
        </w:trPr>
        <w:tc>
          <w:tcPr>
            <w:tcW w:w="3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4"/>
                <w:szCs w:val="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101,886</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(6)</w:t>
            </w:r>
          </w:p>
        </w:tc>
        <w:tc>
          <w:tcPr>
            <w:tcW w:w="100" w:type="dxa"/>
            <w:vAlign w:val="bottom"/>
            <w:vMerge w:val="restart"/>
          </w:tcPr>
          <w:p>
            <w:pPr>
              <w:spacing w:after="0"/>
              <w:rPr>
                <w:sz w:val="4"/>
                <w:szCs w:val="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4"/>
                <w:szCs w:val="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178"/>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3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(7)</w:t>
            </w:r>
          </w:p>
        </w:tc>
        <w:tc>
          <w:tcPr>
            <w:tcW w:w="100" w:type="dxa"/>
            <w:vAlign w:val="bottom"/>
            <w:vMerge w:val="restart"/>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7/28/2020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8"/>
                <w:szCs w:val="18"/>
                <w:color w:val="auto"/>
              </w:rPr>
              <w:t>121,562</w:t>
            </w:r>
          </w:p>
        </w:tc>
        <w:tc>
          <w:tcPr>
            <w:tcW w:w="4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8"/>
                <w:szCs w:val="18"/>
                <w:color w:val="auto"/>
              </w:rPr>
              <w:t>3.47</w:t>
            </w:r>
          </w:p>
        </w:tc>
        <w:tc>
          <w:tcPr>
            <w:tcW w:w="8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261"/>
        </w:trPr>
        <w:tc>
          <w:tcPr>
            <w:tcW w:w="3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18,691</w:t>
            </w:r>
          </w:p>
        </w:tc>
        <w:tc>
          <w:tcPr>
            <w:tcW w:w="420" w:type="dxa"/>
            <w:vAlign w:val="bottom"/>
          </w:tcPr>
          <w:p>
            <w:pPr>
              <w:ind w:left="4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12/2/2030</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line="178" w:lineRule="exact"/>
              <w:rPr>
                <w:sz w:val="20"/>
                <w:szCs w:val="20"/>
                <w:color w:val="auto"/>
              </w:rPr>
            </w:pPr>
            <w:r>
              <w:rPr>
                <w:rFonts w:ascii="Arial" w:cs="Arial" w:eastAsia="Arial" w:hAnsi="Arial"/>
                <w:sz w:val="16"/>
                <w:szCs w:val="16"/>
                <w:color w:val="auto"/>
              </w:rPr>
              <w:t>Mark McClellan, Ph.D.</w:t>
            </w:r>
            <w:r>
              <w:rPr>
                <w:rFonts w:ascii="Arial" w:cs="Arial" w:eastAsia="Arial" w:hAnsi="Arial"/>
                <w:sz w:val="20"/>
                <w:szCs w:val="20"/>
                <w:color w:val="auto"/>
                <w:vertAlign w:val="superscript"/>
              </w:rPr>
              <w:t>(12)</w:t>
            </w:r>
          </w:p>
        </w:tc>
        <w:tc>
          <w:tcPr>
            <w:tcW w:w="1380" w:type="dxa"/>
            <w:vAlign w:val="bottom"/>
            <w:gridSpan w:val="2"/>
          </w:tcPr>
          <w:p>
            <w:pPr>
              <w:jc w:val="right"/>
              <w:spacing w:after="0" w:line="178" w:lineRule="exact"/>
              <w:rPr>
                <w:sz w:val="20"/>
                <w:szCs w:val="20"/>
                <w:color w:val="auto"/>
              </w:rPr>
            </w:pPr>
            <w:r>
              <w:rPr>
                <w:rFonts w:ascii="Arial" w:cs="Arial" w:eastAsia="Arial" w:hAnsi="Arial"/>
                <w:sz w:val="18"/>
                <w:szCs w:val="18"/>
                <w:color w:val="auto"/>
              </w:rPr>
              <w:t>6/27/2019</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78"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8"/>
                <w:szCs w:val="18"/>
                <w:color w:val="auto"/>
              </w:rPr>
              <w:t>152,768</w:t>
            </w:r>
          </w:p>
        </w:tc>
        <w:tc>
          <w:tcPr>
            <w:tcW w:w="420" w:type="dxa"/>
            <w:vAlign w:val="bottom"/>
          </w:tcPr>
          <w:p>
            <w:pPr>
              <w:ind w:left="40"/>
              <w:spacing w:after="0" w:line="88" w:lineRule="exact"/>
              <w:rPr>
                <w:sz w:val="20"/>
                <w:szCs w:val="20"/>
                <w:color w:val="auto"/>
              </w:rPr>
            </w:pPr>
            <w:r>
              <w:rPr>
                <w:rFonts w:ascii="Arial" w:cs="Arial" w:eastAsia="Arial" w:hAnsi="Arial"/>
                <w:sz w:val="9"/>
                <w:szCs w:val="9"/>
                <w:color w:val="auto"/>
              </w:rPr>
              <w:t>(13)</w:t>
            </w:r>
          </w:p>
        </w:tc>
        <w:tc>
          <w:tcPr>
            <w:tcW w:w="1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8"/>
                <w:szCs w:val="18"/>
                <w:color w:val="auto"/>
              </w:rPr>
              <w:t>2.21</w:t>
            </w:r>
          </w:p>
        </w:tc>
        <w:tc>
          <w:tcPr>
            <w:tcW w:w="8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8"/>
                <w:szCs w:val="18"/>
                <w:color w:val="auto"/>
              </w:rPr>
              <w:t>06/26/2029</w:t>
            </w:r>
          </w:p>
        </w:tc>
        <w:tc>
          <w:tcPr>
            <w:tcW w:w="0" w:type="dxa"/>
            <w:vAlign w:val="bottom"/>
          </w:tcPr>
          <w:p>
            <w:pPr>
              <w:spacing w:after="0"/>
              <w:rPr>
                <w:sz w:val="1"/>
                <w:szCs w:val="1"/>
                <w:color w:val="auto"/>
              </w:rPr>
            </w:pPr>
          </w:p>
        </w:tc>
      </w:tr>
      <w:tr>
        <w:trPr>
          <w:trHeight w:val="281"/>
        </w:trPr>
        <w:tc>
          <w:tcPr>
            <w:tcW w:w="33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9,349</w:t>
            </w:r>
          </w:p>
        </w:tc>
        <w:tc>
          <w:tcPr>
            <w:tcW w:w="420" w:type="dxa"/>
            <w:vAlign w:val="bottom"/>
          </w:tcPr>
          <w:p>
            <w:pPr>
              <w:ind w:left="4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178"/>
        </w:trPr>
        <w:tc>
          <w:tcPr>
            <w:tcW w:w="336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Terrance McGuire</w:t>
            </w:r>
          </w:p>
        </w:tc>
        <w:tc>
          <w:tcPr>
            <w:tcW w:w="1380" w:type="dxa"/>
            <w:vAlign w:val="bottom"/>
            <w:gridSpan w:val="2"/>
          </w:tcPr>
          <w:p>
            <w:pPr>
              <w:jc w:val="right"/>
              <w:spacing w:after="0" w:line="178" w:lineRule="exact"/>
              <w:rPr>
                <w:sz w:val="20"/>
                <w:szCs w:val="20"/>
                <w:color w:val="auto"/>
              </w:rPr>
            </w:pPr>
            <w:r>
              <w:rPr>
                <w:rFonts w:ascii="Arial" w:cs="Arial" w:eastAsia="Arial" w:hAnsi="Arial"/>
                <w:sz w:val="18"/>
                <w:szCs w:val="18"/>
                <w:color w:val="auto"/>
              </w:rPr>
              <w:t>11/15/2017</w:t>
            </w:r>
          </w:p>
        </w:tc>
        <w:tc>
          <w:tcPr>
            <w:tcW w:w="960" w:type="dxa"/>
            <w:vAlign w:val="bottom"/>
            <w:gridSpan w:val="2"/>
          </w:tcPr>
          <w:p>
            <w:pPr>
              <w:jc w:val="right"/>
              <w:spacing w:after="0" w:line="178" w:lineRule="exact"/>
              <w:rPr>
                <w:sz w:val="20"/>
                <w:szCs w:val="20"/>
                <w:color w:val="auto"/>
              </w:rPr>
            </w:pPr>
            <w:r>
              <w:rPr>
                <w:rFonts w:ascii="Arial" w:cs="Arial" w:eastAsia="Arial" w:hAnsi="Arial"/>
                <w:sz w:val="18"/>
                <w:szCs w:val="18"/>
                <w:color w:val="auto"/>
              </w:rPr>
              <w:t>31,656</w:t>
            </w: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ind w:left="1040"/>
              <w:spacing w:after="0" w:line="178"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7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
        </w:trPr>
        <w:tc>
          <w:tcPr>
            <w:tcW w:w="3360" w:type="dxa"/>
            <w:vAlign w:val="bottom"/>
            <w:shd w:val="clear" w:color="auto" w:fill="CCEEFF"/>
          </w:tcPr>
          <w:p>
            <w:pPr>
              <w:spacing w:after="0"/>
              <w:rPr>
                <w:sz w:val="4"/>
                <w:szCs w:val="4"/>
                <w:color w:val="auto"/>
              </w:rPr>
            </w:pPr>
          </w:p>
        </w:tc>
        <w:tc>
          <w:tcPr>
            <w:tcW w:w="1380" w:type="dxa"/>
            <w:vAlign w:val="bottom"/>
            <w:gridSpan w:val="2"/>
          </w:tcPr>
          <w:p>
            <w:pPr>
              <w:spacing w:after="0"/>
              <w:rPr>
                <w:sz w:val="4"/>
                <w:szCs w:val="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11,566</w:t>
            </w:r>
          </w:p>
        </w:tc>
        <w:tc>
          <w:tcPr>
            <w:tcW w:w="40" w:type="dxa"/>
            <w:vAlign w:val="bottom"/>
          </w:tcPr>
          <w:p>
            <w:pPr>
              <w:spacing w:after="0"/>
              <w:rPr>
                <w:sz w:val="4"/>
                <w:szCs w:val="4"/>
                <w:color w:val="auto"/>
              </w:rPr>
            </w:pPr>
          </w:p>
        </w:tc>
        <w:tc>
          <w:tcPr>
            <w:tcW w:w="360" w:type="dxa"/>
            <w:vAlign w:val="bottom"/>
            <w:vMerge w:val="restart"/>
          </w:tcPr>
          <w:p>
            <w:pPr>
              <w:spacing w:after="0"/>
              <w:rPr>
                <w:sz w:val="20"/>
                <w:szCs w:val="20"/>
                <w:color w:val="auto"/>
              </w:rPr>
            </w:pPr>
            <w:r>
              <w:rPr>
                <w:rFonts w:ascii="Arial" w:cs="Arial" w:eastAsia="Arial" w:hAnsi="Arial"/>
                <w:sz w:val="12"/>
                <w:szCs w:val="12"/>
                <w:color w:val="auto"/>
              </w:rPr>
              <w:t>(16)</w:t>
            </w:r>
          </w:p>
        </w:tc>
        <w:tc>
          <w:tcPr>
            <w:tcW w:w="100" w:type="dxa"/>
            <w:vAlign w:val="bottom"/>
            <w:vMerge w:val="restart"/>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4"/>
                <w:szCs w:val="4"/>
                <w:color w:val="auto"/>
              </w:rPr>
            </w:pPr>
          </w:p>
        </w:tc>
        <w:tc>
          <w:tcPr>
            <w:tcW w:w="138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2/19/2018</w:t>
            </w:r>
          </w:p>
        </w:tc>
        <w:tc>
          <w:tcPr>
            <w:tcW w:w="9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78"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8"/>
                <w:szCs w:val="18"/>
                <w:color w:val="auto"/>
              </w:rPr>
              <w:t>104,048</w:t>
            </w: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8"/>
                <w:szCs w:val="18"/>
                <w:color w:val="auto"/>
              </w:rPr>
              <w:t>0.05</w:t>
            </w:r>
          </w:p>
        </w:tc>
        <w:tc>
          <w:tcPr>
            <w:tcW w:w="8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8"/>
                <w:szCs w:val="18"/>
                <w:color w:val="auto"/>
              </w:rPr>
              <w:t>05/17/2028</w:t>
            </w:r>
          </w:p>
        </w:tc>
        <w:tc>
          <w:tcPr>
            <w:tcW w:w="0" w:type="dxa"/>
            <w:vAlign w:val="bottom"/>
          </w:tcPr>
          <w:p>
            <w:pPr>
              <w:spacing w:after="0"/>
              <w:rPr>
                <w:sz w:val="1"/>
                <w:szCs w:val="1"/>
                <w:color w:val="auto"/>
              </w:rPr>
            </w:pPr>
          </w:p>
        </w:tc>
      </w:tr>
      <w:tr>
        <w:trPr>
          <w:trHeight w:val="52"/>
        </w:trPr>
        <w:tc>
          <w:tcPr>
            <w:tcW w:w="3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4"/>
                <w:szCs w:val="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101,886</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(6)</w:t>
            </w:r>
          </w:p>
        </w:tc>
        <w:tc>
          <w:tcPr>
            <w:tcW w:w="100" w:type="dxa"/>
            <w:vAlign w:val="bottom"/>
            <w:vMerge w:val="restart"/>
          </w:tcPr>
          <w:p>
            <w:pPr>
              <w:spacing w:after="0"/>
              <w:rPr>
                <w:sz w:val="4"/>
                <w:szCs w:val="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4"/>
                <w:szCs w:val="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178"/>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3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(7)</w:t>
            </w:r>
          </w:p>
        </w:tc>
        <w:tc>
          <w:tcPr>
            <w:tcW w:w="100" w:type="dxa"/>
            <w:vAlign w:val="bottom"/>
            <w:vMerge w:val="restart"/>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7/28/2020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8"/>
                <w:szCs w:val="18"/>
                <w:color w:val="auto"/>
              </w:rPr>
              <w:t>58,415</w:t>
            </w:r>
          </w:p>
        </w:tc>
        <w:tc>
          <w:tcPr>
            <w:tcW w:w="4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8"/>
                <w:szCs w:val="18"/>
                <w:color w:val="auto"/>
              </w:rPr>
              <w:t>3.47</w:t>
            </w:r>
          </w:p>
        </w:tc>
        <w:tc>
          <w:tcPr>
            <w:tcW w:w="8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261"/>
        </w:trPr>
        <w:tc>
          <w:tcPr>
            <w:tcW w:w="3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18,691</w:t>
            </w:r>
          </w:p>
        </w:tc>
        <w:tc>
          <w:tcPr>
            <w:tcW w:w="420" w:type="dxa"/>
            <w:vAlign w:val="bottom"/>
          </w:tcPr>
          <w:p>
            <w:pPr>
              <w:ind w:left="4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12/2/2030</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David Singer</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37,383</w:t>
            </w:r>
          </w:p>
        </w:tc>
        <w:tc>
          <w:tcPr>
            <w:tcW w:w="420" w:type="dxa"/>
            <w:vAlign w:val="bottom"/>
          </w:tcPr>
          <w:p>
            <w:pPr>
              <w:ind w:left="40"/>
              <w:spacing w:after="0" w:line="88" w:lineRule="exact"/>
              <w:rPr>
                <w:sz w:val="20"/>
                <w:szCs w:val="20"/>
                <w:color w:val="auto"/>
              </w:rPr>
            </w:pPr>
            <w:r>
              <w:rPr>
                <w:rFonts w:ascii="Arial" w:cs="Arial" w:eastAsia="Arial" w:hAnsi="Arial"/>
                <w:sz w:val="9"/>
                <w:szCs w:val="9"/>
                <w:color w:val="auto"/>
              </w:rPr>
              <w:t>(18)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-3359785</wp:posOffset>
            </wp:positionV>
            <wp:extent cx="650621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0621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-2185670</wp:posOffset>
            </wp:positionV>
            <wp:extent cx="6506210" cy="874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06210" cy="8743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6506210" cy="874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06210" cy="8743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Friedman joined our board of directors in September 2020.</w:t>
      </w:r>
    </w:p>
    <w:p>
      <w:pPr>
        <w:spacing w:after="0" w:line="5" w:lineRule="exact"/>
        <w:rPr>
          <w:rFonts w:ascii="Arial" w:cs="Arial" w:eastAsia="Arial" w:hAnsi="Arial"/>
          <w:sz w:val="16"/>
          <w:szCs w:val="16"/>
          <w:color w:val="auto"/>
        </w:rPr>
      </w:pPr>
    </w:p>
    <w:p>
      <w:pPr>
        <w:ind w:left="660" w:hanging="652"/>
        <w:spacing w:after="0" w:line="246"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shares were acquired pursuant to an early option exercise and vest in 45 equal monthly installments beginning on January 15, 2021, subject to continued service to the Company.</w:t>
      </w: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Shares subject to the option vest in 6 equal monthly installments beginning on January 3, 2021, subject to continued service to the Company.</w:t>
      </w:r>
    </w:p>
    <w:p>
      <w:pPr>
        <w:spacing w:after="0" w:line="5" w:lineRule="exact"/>
        <w:rPr>
          <w:rFonts w:ascii="Arial" w:cs="Arial" w:eastAsia="Arial" w:hAnsi="Arial"/>
          <w:sz w:val="16"/>
          <w:szCs w:val="16"/>
          <w:color w:val="auto"/>
        </w:rPr>
      </w:pPr>
    </w:p>
    <w:p>
      <w:pPr>
        <w:ind w:left="660" w:hanging="652"/>
        <w:spacing w:after="0" w:line="246"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shares were acquired pursuant to a restricted stock award and vest in 15 equal monthly installments beginning on January 23, 2021, subject to continued service to the Company.</w:t>
      </w:r>
    </w:p>
    <w:p>
      <w:pPr>
        <w:ind w:left="660" w:hanging="652"/>
        <w:spacing w:after="0" w:line="246"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shares were acquired pursuant to an early option exercise and vest in 15 equal monthly installments beginning on January 23, 2021, subject to continued service to the Company.</w:t>
      </w: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February 28, 2020, subject to continued service to the Company.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August 28, 2020, subject to continued service to the Company.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October 11, 2020, subject to continued service to the Company.</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951" w:right="379" w:bottom="1440" w:gutter="0" w:footer="0" w:header="0"/>
        </w:sectPr>
      </w:pPr>
    </w:p>
    <w:bookmarkStart w:id="23" w:name="page24"/>
    <w:bookmarkEnd w:id="23"/>
    <w:p>
      <w:pPr>
        <w:ind w:left="652" w:hanging="652"/>
        <w:spacing w:after="0" w:line="246" w:lineRule="auto"/>
        <w:tabs>
          <w:tab w:leader="none" w:pos="6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were acquired pursuant to a restricted stock award and vest in 11 equal monthly installments beginning on January 31, 2021, subject to continued service to the Company.</w:t>
      </w:r>
    </w:p>
    <w:p>
      <w:pPr>
        <w:ind w:left="652" w:hanging="652"/>
        <w:spacing w:after="0" w:line="246" w:lineRule="auto"/>
        <w:tabs>
          <w:tab w:leader="none" w:pos="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were acquired pursuant to a restricted stock award and vest in 13 equal monthly installments beginning on January 31, 2021, subject to continued service to the Company.</w:t>
      </w:r>
    </w:p>
    <w:p>
      <w:pPr>
        <w:ind w:left="652" w:right="200" w:hanging="652"/>
        <w:spacing w:after="0" w:line="246" w:lineRule="auto"/>
        <w:tabs>
          <w:tab w:leader="none" w:pos="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vested on March 23, 2019, and 1/48th of the shares vest monthly thereafter, subject to continued service to the Company.</w:t>
      </w:r>
    </w:p>
    <w:p>
      <w:pPr>
        <w:ind w:left="632" w:hanging="632"/>
        <w:spacing w:after="0"/>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McClellan resigned from our board of directors in September 2020.</w:t>
      </w:r>
    </w:p>
    <w:p>
      <w:pPr>
        <w:spacing w:after="0" w:line="5" w:lineRule="exact"/>
        <w:rPr>
          <w:rFonts w:ascii="Arial" w:cs="Arial" w:eastAsia="Arial" w:hAnsi="Arial"/>
          <w:sz w:val="16"/>
          <w:szCs w:val="16"/>
          <w:color w:val="auto"/>
        </w:rPr>
      </w:pPr>
    </w:p>
    <w:p>
      <w:pPr>
        <w:ind w:left="652" w:right="120" w:hanging="652"/>
        <w:spacing w:after="0" w:line="246" w:lineRule="auto"/>
        <w:tabs>
          <w:tab w:leader="none" w:pos="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113,012 of the shares underlying the option vested on September 1, 2020, and 1/48th of the shares vest monthly thereafter, subject to continued service to the Company.</w:t>
      </w:r>
    </w:p>
    <w:p>
      <w:pPr>
        <w:ind w:left="632" w:hanging="632"/>
        <w:spacing w:after="0"/>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underlying the option are fully vested and immediately exercisable.</w:t>
      </w:r>
    </w:p>
    <w:p>
      <w:pPr>
        <w:spacing w:after="0" w:line="5" w:lineRule="exact"/>
        <w:rPr>
          <w:rFonts w:ascii="Arial" w:cs="Arial" w:eastAsia="Arial" w:hAnsi="Arial"/>
          <w:sz w:val="16"/>
          <w:szCs w:val="16"/>
          <w:color w:val="auto"/>
        </w:rPr>
      </w:pPr>
    </w:p>
    <w:p>
      <w:pPr>
        <w:ind w:left="652" w:right="200" w:hanging="652"/>
        <w:spacing w:after="0" w:line="246" w:lineRule="auto"/>
        <w:tabs>
          <w:tab w:leader="none" w:pos="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are held of record by Strong Bridge LLC (Strong Bridge) for which Mr. McGuire serves as an operating manager. The shares were acquired pursuant to a restricted stock award and vest in 13 equal monthly installments beginning on January 31, 2021, subject to Mr. McGuire’s continued service to the Company.</w:t>
      </w:r>
    </w:p>
    <w:p>
      <w:pPr>
        <w:spacing w:after="0" w:line="1" w:lineRule="exact"/>
        <w:rPr>
          <w:rFonts w:ascii="Arial" w:cs="Arial" w:eastAsia="Arial" w:hAnsi="Arial"/>
          <w:sz w:val="16"/>
          <w:szCs w:val="16"/>
          <w:color w:val="auto"/>
        </w:rPr>
      </w:pPr>
    </w:p>
    <w:p>
      <w:pPr>
        <w:ind w:left="652" w:right="280" w:hanging="652"/>
        <w:spacing w:after="0" w:line="246" w:lineRule="auto"/>
        <w:tabs>
          <w:tab w:leader="none" w:pos="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are held of record by Strong Bridge. The shares were acquired pursuant to an early exercise provision and vest in 13 equal monthly installments beginning on January 31, 2021, subject to Mr. McGuire’s continued service to the Company.</w:t>
      </w:r>
    </w:p>
    <w:p>
      <w:pPr>
        <w:ind w:left="652" w:right="100" w:hanging="652"/>
        <w:spacing w:after="0" w:line="246" w:lineRule="auto"/>
        <w:tabs>
          <w:tab w:leader="none" w:pos="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option is held of record by Strong Bridge. The shares underlying the option are subject to an early exercise provision and are immediately exercisable. One-fourth of the shares underlying the option vested on March 23, 2019, and 1/48th of the shares vest monthly thereafter, subject to Mr. McGuire’s continued service to the Company.</w:t>
      </w:r>
    </w:p>
    <w:p>
      <w:pPr>
        <w:spacing w:after="0" w:line="1" w:lineRule="exact"/>
        <w:rPr>
          <w:rFonts w:ascii="Arial" w:cs="Arial" w:eastAsia="Arial" w:hAnsi="Arial"/>
          <w:sz w:val="16"/>
          <w:szCs w:val="16"/>
          <w:color w:val="auto"/>
        </w:rPr>
      </w:pPr>
    </w:p>
    <w:p>
      <w:pPr>
        <w:ind w:left="632" w:hanging="632"/>
        <w:spacing w:after="0"/>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Shares subject to the option vest in 36 equal monthly installments beginning on January 3, 2021, subject to continued service to the Company.</w:t>
      </w:r>
    </w:p>
    <w:p>
      <w:pPr>
        <w:spacing w:after="0" w:line="200" w:lineRule="exact"/>
        <w:rPr>
          <w:sz w:val="20"/>
          <w:szCs w:val="20"/>
          <w:color w:val="auto"/>
        </w:rPr>
      </w:pPr>
    </w:p>
    <w:p>
      <w:pPr>
        <w:spacing w:after="0" w:line="39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92"/>
          </w:cols>
          <w:pgMar w:left="328" w:top="951" w:right="37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board of directors is currently composed of nine members. In accordance with our amended and restated certificate of incorporation, our board of directors is divided into three classes with staggered three-year terms. At the Annual Meeting, three Class I directors will be elected for a three-year term to succeed the same class whose term is then expiring.</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3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corporate governance and nominating committee has recommended, and our board of directors has approved, Catherine Friedman, Omead Ostadan and Mostafa Ronaghi, Ph.D. as nominees for election as Class I directors at the Annual Meeting. If elected, each of Ms. Friedman, Mr. Ostadan and Dr. Ronaghi will serve as a Class I director until the 2024 annual meeting of stockholders or until his or her successor is duly elected and qualified. Ms. Friedman, Mr. Ostadan and Dr. Ronaghi are currently directors of our company, and each has agreed to being named in this proxy statement as a nominee. For information concerning the nominees, please see the section titled “Board of Directors and Corporate Governance.”</w:t>
      </w:r>
    </w:p>
    <w:p>
      <w:pPr>
        <w:spacing w:after="0" w:line="20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you are a stockholder of record and you sign your proxy card or vote over the Internet or by telephone but do not give instructions with respect to the voting of directors, your shares will be voted FOR the election of Ms. Friedman, Mr. Ostadan and Dr. Ronaghi. If you are a street name stockholder of shares of our common stock and you do not give voting instructions to your broker, bank or other nominee, then your broker, bank or other nominee will leave your shares unvoted on this matter. We expect that Ms. Friedman, Mr. Ostadan and Dr. Ronaghi will accept such nomination; however, in the event that a director nominee is unable or declines to serve as a director at the time of the Annual Meeting, the proxies will be voted for any nominee who shall be designated by our board of directors to fill such vacancy.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election of Class I directors requires a plurality of the votes of the shares of our common stock present in person (including virtually) or represented by proxy at the Annual Meeting and entitled to vote thereon to be approved. “Plurality” means that the three nominees who receive the most votes cast FOR will be elected as Class I directors. As a result, any shares not voted FOR a particular nominee (whether as a result of voting withheld or a broker non-vote) will not be counted in such nominee’s favor and will have no effect on the outcome of the election.</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THE BOARD OF DIRECTORS RECOMMENDS A VOTE “FOR” THE ELECTION OF EACH OF THE THREE NOMINEES NAMED ABOVE AS CLASS I DIRECTORS TO SERVE FOR A THREE-YEAR TERM.</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251" w:right="3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audit committee has appointed Deloitte &amp; Touche LLP, an independent registered public accounting firm, to audit our financial statements for our fiscal year ending December 31, 2021. Deloitte &amp; Touche LLP has served as our independent registered public accounting firm since 2018.</w:t>
      </w:r>
    </w:p>
    <w:p>
      <w:pPr>
        <w:spacing w:after="0" w:line="2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At the Annual Meeting, our stockholders are being asked to ratify the appointment of Deloitte &amp; Touche LLP as our independent registered public accounting firm for our fiscal year ending December 31, 2021. Stockholder ratification of the appointment of Deloitte &amp; Touche LLP is not required by our bylaws or other applicable legal requirements. However, our board of directors is submitting the appointment of Deloitte &amp; Touche LLP to our stockholders for ratification as a matter of good corporate governance. In the event that this appointment is not ratified by the affirmative vote of a majority of the shares present in person (including virtually)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2021 if our audit committee believes that such a change would be in the best interests our company and our stockholders. A representative of Deloitte &amp; Touche LLP is expected to be present at the Annual Meeting, will have an opportunity to make a statement if he or she wishes to do so, and is expected to be available to respond to appropriate questions from stockholders.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24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Deloitte &amp; Touche LLP for our fiscal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213"/>
        </w:trPr>
        <w:tc>
          <w:tcPr>
            <w:tcW w:w="8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Audit Fees (1)</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1,301,420</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120,617</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 Fees (2)</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178,108</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All Other Fees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Fees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1,479,528</w:t>
            </w:r>
          </w:p>
        </w:tc>
        <w:tc>
          <w:tcPr>
            <w:tcW w:w="3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120,617</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ind w:left="660" w:right="160" w:hanging="652"/>
        <w:spacing w:after="0" w:line="246"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“Audit Fees” consist of fees billed for professional services rendered in connection with the audit of our annual financial statements and reviews of our quarterly financial statements for those fiscal years. This category also includes fees for services incurred in connection with our initial public offering.</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“Tax Fees” consist of fees billed for professional services rendered by Deloitte &amp; Touche LLP for tax compliance, tax advice and tax planning.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24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our fiscal year ended December 31, 2020, there were no other professional services provided by Deloitte &amp; Touche LLP that would have required our audit committee to consider their compatibility with maintaining the independence of Deloitte &amp; Touche LLP.</w:t>
      </w:r>
    </w:p>
    <w:p>
      <w:pPr>
        <w:spacing w:after="0" w:line="284"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Deloitte &amp; Touche LLP for our fiscal years ended December 31, 2020 and 2019 were pre-approved by our audit committee.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Vote Required</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ratification of the appointment of Deloitte &amp; Touche LLP as our independent registered public accounting firm for our fiscal year ending December 31, 2021 requires the affirmative vote of a majority of the shares of our common stock present in person (including virtually) or represented by proxy at the Annual Meeting and entitled to vote thereon. Abstentions will have the effect of a vote AGAINST this proposal, and broker non-votes will have no effect.</w:t>
      </w:r>
    </w:p>
    <w:p>
      <w:pPr>
        <w:spacing w:after="0" w:line="182" w:lineRule="exact"/>
        <w:rPr>
          <w:sz w:val="20"/>
          <w:szCs w:val="20"/>
          <w:color w:val="auto"/>
        </w:rPr>
      </w:pPr>
    </w:p>
    <w:p>
      <w:pPr>
        <w:spacing w:after="0" w:line="318" w:lineRule="auto"/>
        <w:rPr>
          <w:sz w:val="20"/>
          <w:szCs w:val="20"/>
          <w:color w:val="auto"/>
        </w:rPr>
      </w:pPr>
      <w:r>
        <w:rPr>
          <w:rFonts w:ascii="Arial" w:cs="Arial" w:eastAsia="Arial" w:hAnsi="Arial"/>
          <w:sz w:val="17"/>
          <w:szCs w:val="17"/>
          <w:b w:val="1"/>
          <w:bCs w:val="1"/>
          <w:color w:val="auto"/>
        </w:rPr>
        <w:t>THE BOARD OF DIRECTORS RECOMMENDS A VOTE “FOR” THE RATIFICATION OF THE APPOINTMENT OF DELOITTE &amp; TOUCHE LLP AS OUR INDEPENDENT REGISTERED PUBLIC ACCOUNTING FIRM FOR OUR FISCAL YEAR ENDING DECEMBER 31, 2021.</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320" w:top="1251" w:right="39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investor.seer.bio. The audit committee reviews and assesses the adequacy of its charter and the audit committee’s performance on an annual basis.</w:t>
      </w:r>
    </w:p>
    <w:p>
      <w:pPr>
        <w:spacing w:after="0" w:line="20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performance of its oversight function, the audit committee has:</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Deloitte;</w:t>
      </w:r>
    </w:p>
    <w:p>
      <w:pPr>
        <w:spacing w:after="0" w:line="225" w:lineRule="exact"/>
        <w:rPr>
          <w:rFonts w:ascii="Arial" w:cs="Arial" w:eastAsia="Arial" w:hAnsi="Arial"/>
          <w:sz w:val="18"/>
          <w:szCs w:val="18"/>
          <w:color w:val="auto"/>
        </w:rPr>
      </w:pPr>
    </w:p>
    <w:p>
      <w:pPr>
        <w:ind w:left="980" w:right="180" w:hanging="324"/>
        <w:spacing w:after="0" w:line="261"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Deloitte the matters required to be discussed by the applicable requirements of the Public Company Accounting Oversight Board (PCAOB) and the SEC; and</w:t>
      </w:r>
    </w:p>
    <w:p>
      <w:pPr>
        <w:spacing w:after="0" w:line="197" w:lineRule="exact"/>
        <w:rPr>
          <w:rFonts w:ascii="Arial" w:cs="Arial" w:eastAsia="Arial" w:hAnsi="Arial"/>
          <w:sz w:val="18"/>
          <w:szCs w:val="18"/>
          <w:color w:val="auto"/>
        </w:rPr>
      </w:pPr>
    </w:p>
    <w:p>
      <w:pPr>
        <w:ind w:left="980" w:right="200" w:hanging="324"/>
        <w:spacing w:after="0" w:line="256"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Deloitte required by applicable requirements of the PCAOB regarding the independent accountant’s communications with the audit committee concerning independence and has discussed with Deloitte its independence.</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Based on the audit committee’s review and discussions with management and Deloitte, the audit committee recommended to the board of directors that the audited financial statements be included in the Company’s Annual Report on Form 10-K for the fiscal year ended December 31, 2020 for filing with the SEC.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Catherine Friedman (Chair)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Terrance McGuire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Singer</w:t>
      </w:r>
    </w:p>
    <w:p>
      <w:pPr>
        <w:spacing w:after="0" w:line="20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4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following table sets forth certain information about our executive officers as of March 31, 2021. Officers are elected by our board of directors to hold office until their successors are elected and qualified.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Age</w:t>
            </w:r>
          </w:p>
        </w:tc>
        <w:tc>
          <w:tcPr>
            <w:tcW w:w="80" w:type="dxa"/>
            <w:vAlign w:val="bottom"/>
            <w:tcBorders>
              <w:bottom w:val="single" w:sz="8" w:color="CFF0FC"/>
            </w:tcBorders>
          </w:tcPr>
          <w:p>
            <w:pPr>
              <w:spacing w:after="0"/>
              <w:rPr>
                <w:sz w:val="18"/>
                <w:szCs w:val="18"/>
                <w:color w:val="auto"/>
              </w:rPr>
            </w:pPr>
          </w:p>
        </w:tc>
        <w:tc>
          <w:tcPr>
            <w:tcW w:w="4380" w:type="dxa"/>
            <w:vAlign w:val="bottom"/>
            <w:tcBorders>
              <w:bottom w:val="single" w:sz="8" w:color="auto"/>
            </w:tcBorders>
          </w:tcPr>
          <w:p>
            <w:pPr>
              <w:ind w:left="1880"/>
              <w:spacing w:after="0"/>
              <w:rPr>
                <w:sz w:val="20"/>
                <w:szCs w:val="20"/>
                <w:color w:val="auto"/>
              </w:rPr>
            </w:pPr>
            <w:r>
              <w:rPr>
                <w:rFonts w:ascii="Arial" w:cs="Arial" w:eastAsia="Arial" w:hAnsi="Arial"/>
                <w:sz w:val="16"/>
                <w:szCs w:val="16"/>
                <w:b w:val="1"/>
                <w:bCs w:val="1"/>
                <w:color w:val="auto"/>
              </w:rPr>
              <w:t>Position</w:t>
            </w:r>
          </w:p>
        </w:tc>
      </w:tr>
      <w:tr>
        <w:trPr>
          <w:trHeight w:val="213"/>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Omid Farokhzad, M.D.</w:t>
            </w:r>
          </w:p>
        </w:tc>
        <w:tc>
          <w:tcPr>
            <w:tcW w:w="6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52</w:t>
            </w:r>
          </w:p>
        </w:tc>
        <w:tc>
          <w:tcPr>
            <w:tcW w:w="80" w:type="dxa"/>
            <w:vAlign w:val="bottom"/>
            <w:shd w:val="clear" w:color="auto" w:fill="CFF0FC"/>
          </w:tcPr>
          <w:p>
            <w:pPr>
              <w:spacing w:after="0"/>
              <w:rPr>
                <w:sz w:val="18"/>
                <w:szCs w:val="18"/>
                <w:color w:val="auto"/>
              </w:rPr>
            </w:pPr>
          </w:p>
        </w:tc>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Executive Officer, Chair of the Board of Directors</w:t>
            </w:r>
          </w:p>
        </w:tc>
      </w:tr>
      <w:tr>
        <w:trPr>
          <w:trHeight w:val="213"/>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Omead Ostadan</w:t>
            </w:r>
          </w:p>
        </w:tc>
        <w:tc>
          <w:tcPr>
            <w:tcW w:w="680" w:type="dxa"/>
            <w:vAlign w:val="bottom"/>
          </w:tcPr>
          <w:p>
            <w:pPr>
              <w:jc w:val="center"/>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President, Chief Operating Officer and Director</w:t>
            </w:r>
          </w:p>
        </w:tc>
      </w:tr>
      <w:tr>
        <w:trPr>
          <w:trHeight w:val="219"/>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David R. Horn</w:t>
            </w:r>
          </w:p>
        </w:tc>
        <w:tc>
          <w:tcPr>
            <w:tcW w:w="6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53</w:t>
            </w:r>
          </w:p>
        </w:tc>
        <w:tc>
          <w:tcPr>
            <w:tcW w:w="80" w:type="dxa"/>
            <w:vAlign w:val="bottom"/>
            <w:shd w:val="clear" w:color="auto" w:fill="CFF0FC"/>
          </w:tcPr>
          <w:p>
            <w:pPr>
              <w:spacing w:after="0"/>
              <w:rPr>
                <w:sz w:val="19"/>
                <w:szCs w:val="19"/>
                <w:color w:val="auto"/>
              </w:rPr>
            </w:pPr>
          </w:p>
        </w:tc>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Financial Officer</w:t>
            </w:r>
          </w:p>
        </w:tc>
      </w:tr>
      <w:tr>
        <w:trPr>
          <w:trHeight w:val="210"/>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Elona Kogan</w:t>
            </w:r>
          </w:p>
        </w:tc>
        <w:tc>
          <w:tcPr>
            <w:tcW w:w="680" w:type="dxa"/>
            <w:vAlign w:val="bottom"/>
          </w:tcPr>
          <w:p>
            <w:pPr>
              <w:jc w:val="center"/>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General Counsel and Secretary</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biographies of Omid Farokhzad, M.D. and Omead Ostadan, please see “Board of Directors and Corporate Governance.”</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David R. Horn </w:t>
      </w:r>
      <w:r>
        <w:rPr>
          <w:rFonts w:ascii="Arial" w:cs="Arial" w:eastAsia="Arial" w:hAnsi="Arial"/>
          <w:sz w:val="18"/>
          <w:szCs w:val="18"/>
          <w:color w:val="auto"/>
        </w:rPr>
        <w:t>has served as our Chief Financial Officer since May 2020. Prior to joining us, Mr. Horn was with Morgan Stanley,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bank 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Elona Kogan </w:t>
      </w:r>
      <w:r>
        <w:rPr>
          <w:rFonts w:ascii="Arial" w:cs="Arial" w:eastAsia="Arial" w:hAnsi="Arial"/>
          <w:sz w:val="18"/>
          <w:szCs w:val="18"/>
          <w:color w:val="auto"/>
        </w:rPr>
        <w:t>has served as our General Counsel and Secretary since November 2020. Prior to joining us, Ms. Kogan served as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Counsel and Secretary of Selecta 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also a member of the board of Cardax, Inc. and serves as the Chairperson of the Compensation Committee and a member of the Audit Committee. Ms. Kogan is a graduate of the SCALE program at Southwestern University School of Law. Ms. Kogan graduated cum laude from Columbia University, Barnard College, with a B.A. in Economics.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1"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Processes and Procedures for Compensation Decisions</w:t>
      </w: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talent and compensation committee is responsible for the executive compensation programs for our executive officers and reports to our board of directors on its discussions, decisions and other actions. Typically, our Chief Executive Officer makes recommendations to our talent and compensation committee, often attends committee meetings and is involved in the determination of compensation for the respective executive officers who report to him, except that the Chief Executive Officer does not make recommendations as to his own compensation. Our Chief Executive Officer makes recommendations to our talent and compensation committee regarding short- and long-term compensation for all executive officers (other than himself) based on our results, an individual executive officer’s contribution toward these results and performance toward individual goal achievement. Our talent and compensation committee then reviews the recommendations and other data. Our talent and compensation committee makes decisions as to total compensation for each executive officer, although it may instead, in its discretion, make recommendations to our board of directors regarding executive compensation for its approval.</w:t>
      </w:r>
    </w:p>
    <w:p>
      <w:pPr>
        <w:spacing w:after="0" w:line="19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talent and compensation committee is authorized to retain the services of one or more executive compensation advisors, as it sees fit, in connection with the establishment of our compensation programs and related policies. In 2020, our talent and compensation committee retained Radford, a national compensation consultant, to provide it with information, recommendations and other advice relating to executive compensation on an ongoing basis. Radford serves at the discretion of our talent and compensation committee. As part of its engagement, Radford assists our talent and compensation committee in developing an appropriate group of peer companies to help us determine the appropriate level of overall compensation for our executive officers, as well as assess each separate element of compensation, with a goal of ensuring that the compensation we offer to our executive officers is competitive and fair.</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talent and compensation committee periodically considers and assesses Radford’s independence, including whether Radford has any potential conflicts of interest with our company or members of our talent and compensation committee. In connection with Radford’s engagement, our talent and compensation committee conducted such a review and concluded that it was not aware of any conflict of interest that had been raised by work performed by Radford or the individual consultants employed by Radford that perform services for our talent and compensation committee.</w:t>
      </w:r>
    </w:p>
    <w:p>
      <w:pPr>
        <w:spacing w:after="0" w:line="20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named executive officers for the fiscal year ended December 31, 2020, which consist of our principal executive officer and the next two most highly compensated executive officers who were serving as executive officers as of December 31, 2020 are:</w:t>
      </w:r>
    </w:p>
    <w:p>
      <w:pPr>
        <w:spacing w:after="0" w:line="198"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Omid Farokhzad, M.D., our Chief Executive Officer and Chair of the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Omead Ostadan, our President, Chief Operating Officer and Director;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David R. Horn, our Chief Financial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5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Summary Compensation Table</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during the years ended December 31, 2019 and 2020.</w:t>
      </w:r>
    </w:p>
    <w:tbl>
      <w:tblPr>
        <w:tblLayout w:type="fixed"/>
        <w:tblInd w:w="0" w:type="dxa"/>
        <w:tblCellMar>
          <w:top w:w="0" w:type="dxa"/>
          <w:left w:w="0" w:type="dxa"/>
          <w:bottom w:w="0" w:type="dxa"/>
          <w:right w:w="0" w:type="dxa"/>
        </w:tblCellMar>
      </w:tblPr>
      <w:tr>
        <w:trPr>
          <w:trHeight w:val="131"/>
        </w:trPr>
        <w:tc>
          <w:tcPr>
            <w:tcW w:w="2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vMerge w:val="restart"/>
          </w:tcPr>
          <w:p>
            <w:pPr>
              <w:jc w:val="right"/>
              <w:ind w:right="271"/>
              <w:spacing w:after="0"/>
              <w:rPr>
                <w:sz w:val="20"/>
                <w:szCs w:val="20"/>
                <w:color w:val="auto"/>
              </w:rPr>
            </w:pPr>
            <w:r>
              <w:rPr>
                <w:rFonts w:ascii="Arial" w:cs="Arial" w:eastAsia="Arial" w:hAnsi="Arial"/>
                <w:sz w:val="13"/>
                <w:szCs w:val="13"/>
                <w:b w:val="1"/>
                <w:bCs w:val="1"/>
                <w:color w:val="auto"/>
              </w:rPr>
              <w:t>Stock</w:t>
            </w:r>
          </w:p>
        </w:tc>
        <w:tc>
          <w:tcPr>
            <w:tcW w:w="92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1"/>
                <w:szCs w:val="11"/>
                <w:color w:val="auto"/>
              </w:rPr>
            </w:pPr>
          </w:p>
        </w:tc>
        <w:tc>
          <w:tcPr>
            <w:tcW w:w="1040" w:type="dxa"/>
            <w:vAlign w:val="bottom"/>
          </w:tcPr>
          <w:p>
            <w:pPr>
              <w:jc w:val="center"/>
              <w:ind w:right="91"/>
              <w:spacing w:after="0" w:line="131" w:lineRule="exact"/>
              <w:rPr>
                <w:sz w:val="20"/>
                <w:szCs w:val="20"/>
                <w:color w:val="auto"/>
              </w:rPr>
            </w:pPr>
            <w:r>
              <w:rPr>
                <w:rFonts w:ascii="Arial" w:cs="Arial" w:eastAsia="Arial" w:hAnsi="Arial"/>
                <w:sz w:val="13"/>
                <w:szCs w:val="13"/>
                <w:b w:val="1"/>
                <w:bCs w:val="1"/>
                <w:color w:val="auto"/>
                <w:w w:val="98"/>
              </w:rPr>
              <w:t>Non-Equity</w:t>
            </w:r>
          </w:p>
        </w:tc>
        <w:tc>
          <w:tcPr>
            <w:tcW w:w="1280" w:type="dxa"/>
            <w:vAlign w:val="bottom"/>
            <w:vMerge w:val="restart"/>
          </w:tcPr>
          <w:p>
            <w:pPr>
              <w:jc w:val="right"/>
              <w:ind w:right="291"/>
              <w:spacing w:after="0"/>
              <w:rPr>
                <w:sz w:val="20"/>
                <w:szCs w:val="20"/>
                <w:color w:val="auto"/>
              </w:rPr>
            </w:pPr>
            <w:r>
              <w:rPr>
                <w:rFonts w:ascii="Arial" w:cs="Arial" w:eastAsia="Arial" w:hAnsi="Arial"/>
                <w:sz w:val="13"/>
                <w:szCs w:val="13"/>
                <w:b w:val="1"/>
                <w:bCs w:val="1"/>
                <w:color w:val="auto"/>
              </w:rPr>
              <w:t>All Other</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66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10"/>
                <w:szCs w:val="10"/>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3"/>
                <w:szCs w:val="13"/>
                <w:b w:val="1"/>
                <w:bCs w:val="1"/>
                <w:color w:val="auto"/>
              </w:rPr>
              <w:t>Salary</w:t>
            </w:r>
          </w:p>
        </w:tc>
        <w:tc>
          <w:tcPr>
            <w:tcW w:w="82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Bonus</w:t>
            </w:r>
          </w:p>
        </w:tc>
        <w:tc>
          <w:tcPr>
            <w:tcW w:w="9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center"/>
              <w:ind w:right="91"/>
              <w:spacing w:after="0" w:line="122" w:lineRule="exact"/>
              <w:rPr>
                <w:sz w:val="20"/>
                <w:szCs w:val="20"/>
                <w:color w:val="auto"/>
              </w:rPr>
            </w:pPr>
            <w:r>
              <w:rPr>
                <w:rFonts w:ascii="Arial" w:cs="Arial" w:eastAsia="Arial" w:hAnsi="Arial"/>
                <w:sz w:val="13"/>
                <w:szCs w:val="13"/>
                <w:b w:val="1"/>
                <w:bCs w:val="1"/>
                <w:color w:val="auto"/>
                <w:w w:val="96"/>
              </w:rPr>
              <w:t>Incentive Plan</w:t>
            </w:r>
          </w:p>
        </w:tc>
        <w:tc>
          <w:tcPr>
            <w:tcW w:w="12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1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2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CCEEFF"/>
            </w:tcBorders>
          </w:tcPr>
          <w:p>
            <w:pPr>
              <w:jc w:val="right"/>
              <w:ind w:right="231"/>
              <w:spacing w:after="0"/>
              <w:rPr>
                <w:sz w:val="20"/>
                <w:szCs w:val="20"/>
                <w:color w:val="auto"/>
              </w:rPr>
            </w:pPr>
            <w:r>
              <w:rPr>
                <w:rFonts w:ascii="Arial" w:cs="Arial" w:eastAsia="Arial" w:hAnsi="Arial"/>
                <w:sz w:val="13"/>
                <w:szCs w:val="13"/>
                <w:b w:val="1"/>
                <w:bCs w:val="1"/>
                <w:color w:val="auto"/>
              </w:rPr>
              <w:t>Awards</w:t>
            </w:r>
          </w:p>
        </w:tc>
        <w:tc>
          <w:tcPr>
            <w:tcW w:w="920" w:type="dxa"/>
            <w:vAlign w:val="bottom"/>
            <w:tcBorders>
              <w:bottom w:val="single" w:sz="8" w:color="CCEEFF"/>
            </w:tcBorders>
          </w:tcPr>
          <w:p>
            <w:pPr>
              <w:jc w:val="right"/>
              <w:ind w:right="191"/>
              <w:spacing w:after="0"/>
              <w:rPr>
                <w:sz w:val="20"/>
                <w:szCs w:val="20"/>
                <w:color w:val="auto"/>
              </w:rPr>
            </w:pPr>
            <w:r>
              <w:rPr>
                <w:rFonts w:ascii="Arial" w:cs="Arial" w:eastAsia="Arial" w:hAnsi="Arial"/>
                <w:sz w:val="13"/>
                <w:szCs w:val="13"/>
                <w:b w:val="1"/>
                <w:bCs w:val="1"/>
                <w:color w:val="auto"/>
              </w:rPr>
              <w:t>Awards</w:t>
            </w: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jc w:val="center"/>
              <w:ind w:right="91"/>
              <w:spacing w:after="0"/>
              <w:rPr>
                <w:sz w:val="20"/>
                <w:szCs w:val="20"/>
                <w:color w:val="auto"/>
              </w:rPr>
            </w:pPr>
            <w:r>
              <w:rPr>
                <w:rFonts w:ascii="Arial" w:cs="Arial" w:eastAsia="Arial" w:hAnsi="Arial"/>
                <w:sz w:val="13"/>
                <w:szCs w:val="13"/>
                <w:b w:val="1"/>
                <w:bCs w:val="1"/>
                <w:color w:val="auto"/>
                <w:w w:val="97"/>
              </w:rPr>
              <w:t>Compensation</w:t>
            </w:r>
          </w:p>
        </w:tc>
        <w:tc>
          <w:tcPr>
            <w:tcW w:w="1280" w:type="dxa"/>
            <w:vAlign w:val="bottom"/>
            <w:tcBorders>
              <w:bottom w:val="single" w:sz="8" w:color="CCEEFF"/>
            </w:tcBorders>
          </w:tcPr>
          <w:p>
            <w:pPr>
              <w:jc w:val="right"/>
              <w:ind w:right="51"/>
              <w:spacing w:after="0" w:line="175" w:lineRule="exact"/>
              <w:rPr>
                <w:sz w:val="20"/>
                <w:szCs w:val="20"/>
                <w:color w:val="auto"/>
              </w:rPr>
            </w:pPr>
            <w:r>
              <w:rPr>
                <w:rFonts w:ascii="Arial" w:cs="Arial" w:eastAsia="Arial" w:hAnsi="Arial"/>
                <w:sz w:val="13"/>
                <w:szCs w:val="13"/>
                <w:b w:val="1"/>
                <w:bCs w:val="1"/>
                <w:color w:val="auto"/>
              </w:rPr>
              <w:t xml:space="preserve">Compensation </w:t>
            </w:r>
            <w:r>
              <w:rPr>
                <w:rFonts w:ascii="Arial" w:cs="Arial" w:eastAsia="Arial" w:hAnsi="Arial"/>
                <w:sz w:val="16"/>
                <w:szCs w:val="16"/>
                <w:b w:val="1"/>
                <w:bCs w:val="1"/>
                <w:color w:val="auto"/>
                <w:vertAlign w:val="superscript"/>
              </w:rPr>
              <w:t>(2)</w:t>
            </w:r>
          </w:p>
        </w:tc>
        <w:tc>
          <w:tcPr>
            <w:tcW w:w="2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Omid Farokhzad, M.D.</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2020</w:t>
            </w:r>
          </w:p>
        </w:tc>
        <w:tc>
          <w:tcPr>
            <w:tcW w:w="2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0"/>
              <w:spacing w:after="0" w:line="142" w:lineRule="exact"/>
              <w:rPr>
                <w:sz w:val="20"/>
                <w:szCs w:val="20"/>
                <w:color w:val="auto"/>
              </w:rPr>
            </w:pPr>
            <w:r>
              <w:rPr>
                <w:rFonts w:ascii="Arial" w:cs="Arial" w:eastAsia="Arial" w:hAnsi="Arial"/>
                <w:sz w:val="14"/>
                <w:szCs w:val="14"/>
                <w:color w:val="auto"/>
              </w:rPr>
              <w:t>434,448</w:t>
            </w:r>
          </w:p>
        </w:tc>
        <w:tc>
          <w:tcPr>
            <w:tcW w:w="820" w:type="dxa"/>
            <w:vAlign w:val="bottom"/>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424,092</w:t>
            </w:r>
          </w:p>
        </w:tc>
        <w:tc>
          <w:tcPr>
            <w:tcW w:w="960" w:type="dxa"/>
            <w:vAlign w:val="bottom"/>
            <w:shd w:val="clear" w:color="auto" w:fill="CCEEFF"/>
          </w:tcPr>
          <w:p>
            <w:pPr>
              <w:jc w:val="right"/>
              <w:ind w:right="111"/>
              <w:spacing w:after="0" w:line="142" w:lineRule="exact"/>
              <w:rPr>
                <w:sz w:val="20"/>
                <w:szCs w:val="20"/>
                <w:color w:val="auto"/>
              </w:rPr>
            </w:pPr>
            <w:r>
              <w:rPr>
                <w:rFonts w:ascii="Arial" w:cs="Arial" w:eastAsia="Arial" w:hAnsi="Arial"/>
                <w:sz w:val="14"/>
                <w:szCs w:val="14"/>
                <w:color w:val="auto"/>
              </w:rPr>
              <w:t>424,092</w:t>
            </w:r>
          </w:p>
        </w:tc>
        <w:tc>
          <w:tcPr>
            <w:tcW w:w="920" w:type="dxa"/>
            <w:vAlign w:val="bottom"/>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rPr>
              <w:t>9,080,012</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1"/>
              <w:spacing w:after="0" w:line="142"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rPr>
              <w:t>113,542</w:t>
            </w:r>
          </w:p>
        </w:tc>
        <w:tc>
          <w:tcPr>
            <w:tcW w:w="2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10,476,186</w:t>
            </w:r>
          </w:p>
        </w:tc>
        <w:tc>
          <w:tcPr>
            <w:tcW w:w="0" w:type="dxa"/>
            <w:vAlign w:val="bottom"/>
          </w:tcPr>
          <w:p>
            <w:pPr>
              <w:spacing w:after="0"/>
              <w:rPr>
                <w:sz w:val="1"/>
                <w:szCs w:val="1"/>
                <w:color w:val="auto"/>
              </w:rPr>
            </w:pPr>
          </w:p>
        </w:tc>
      </w:tr>
      <w:tr>
        <w:trPr>
          <w:trHeight w:val="176"/>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421,011</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214,240</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115,872</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751,123</w:t>
            </w:r>
          </w:p>
        </w:tc>
        <w:tc>
          <w:tcPr>
            <w:tcW w:w="0" w:type="dxa"/>
            <w:vAlign w:val="bottom"/>
          </w:tcPr>
          <w:p>
            <w:pPr>
              <w:spacing w:after="0"/>
              <w:rPr>
                <w:sz w:val="1"/>
                <w:szCs w:val="1"/>
                <w:color w:val="auto"/>
              </w:rPr>
            </w:pPr>
          </w:p>
        </w:tc>
      </w:tr>
      <w:tr>
        <w:trPr>
          <w:trHeight w:val="148"/>
        </w:trPr>
        <w:tc>
          <w:tcPr>
            <w:tcW w:w="2200" w:type="dxa"/>
            <w:vAlign w:val="bottom"/>
          </w:tcPr>
          <w:p>
            <w:pPr>
              <w:ind w:left="20"/>
              <w:spacing w:after="0" w:line="149" w:lineRule="exact"/>
              <w:rPr>
                <w:sz w:val="20"/>
                <w:szCs w:val="20"/>
                <w:color w:val="auto"/>
              </w:rPr>
            </w:pPr>
            <w:r>
              <w:rPr>
                <w:rFonts w:ascii="Arial" w:cs="Arial" w:eastAsia="Arial" w:hAnsi="Arial"/>
                <w:sz w:val="14"/>
                <w:szCs w:val="14"/>
                <w:color w:val="auto"/>
              </w:rPr>
              <w:t>Omead Ostadan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2020</w:t>
            </w: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line="149" w:lineRule="exact"/>
              <w:rPr>
                <w:sz w:val="20"/>
                <w:szCs w:val="20"/>
                <w:color w:val="auto"/>
              </w:rPr>
            </w:pPr>
            <w:r>
              <w:rPr>
                <w:rFonts w:ascii="Arial" w:cs="Arial" w:eastAsia="Arial" w:hAnsi="Arial"/>
                <w:sz w:val="14"/>
                <w:szCs w:val="14"/>
                <w:color w:val="auto"/>
              </w:rPr>
              <w:t>215,577</w:t>
            </w:r>
          </w:p>
        </w:tc>
        <w:tc>
          <w:tcPr>
            <w:tcW w:w="820" w:type="dxa"/>
            <w:vAlign w:val="bottom"/>
          </w:tcPr>
          <w:p>
            <w:pPr>
              <w:jc w:val="right"/>
              <w:ind w:right="70"/>
              <w:spacing w:after="0" w:line="149" w:lineRule="exact"/>
              <w:rPr>
                <w:sz w:val="20"/>
                <w:szCs w:val="20"/>
                <w:color w:val="auto"/>
              </w:rPr>
            </w:pPr>
            <w:r>
              <w:rPr>
                <w:rFonts w:ascii="Arial" w:cs="Arial" w:eastAsia="Arial" w:hAnsi="Arial"/>
                <w:sz w:val="14"/>
                <w:szCs w:val="14"/>
                <w:color w:val="auto"/>
              </w:rPr>
              <w:t>282,071</w:t>
            </w:r>
          </w:p>
        </w:tc>
        <w:tc>
          <w:tcPr>
            <w:tcW w:w="9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1,092,068</w:t>
            </w:r>
          </w:p>
        </w:tc>
        <w:tc>
          <w:tcPr>
            <w:tcW w:w="9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5,052,575</w:t>
            </w:r>
          </w:p>
        </w:tc>
        <w:tc>
          <w:tcPr>
            <w:tcW w:w="160" w:type="dxa"/>
            <w:vAlign w:val="bottom"/>
          </w:tcPr>
          <w:p>
            <w:pPr>
              <w:spacing w:after="0"/>
              <w:rPr>
                <w:sz w:val="12"/>
                <w:szCs w:val="12"/>
                <w:color w:val="auto"/>
              </w:rPr>
            </w:pPr>
          </w:p>
        </w:tc>
        <w:tc>
          <w:tcPr>
            <w:tcW w:w="1040" w:type="dxa"/>
            <w:vAlign w:val="bottom"/>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31"/>
              <w:spacing w:after="0" w:line="149" w:lineRule="exact"/>
              <w:rPr>
                <w:sz w:val="20"/>
                <w:szCs w:val="20"/>
                <w:color w:val="auto"/>
              </w:rPr>
            </w:pPr>
            <w:r>
              <w:rPr>
                <w:rFonts w:ascii="Arial" w:cs="Arial" w:eastAsia="Arial" w:hAnsi="Arial"/>
                <w:sz w:val="14"/>
                <w:szCs w:val="14"/>
                <w:color w:val="auto"/>
              </w:rPr>
              <w:t>32,511</w:t>
            </w:r>
          </w:p>
        </w:tc>
        <w:tc>
          <w:tcPr>
            <w:tcW w:w="2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6,674,802</w:t>
            </w: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i w:val="1"/>
                <w:iCs w:val="1"/>
                <w:color w:val="auto"/>
              </w:rPr>
              <w:t>President and Chief Operating</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rPr>
                <w:sz w:val="20"/>
                <w:szCs w:val="20"/>
                <w:color w:val="auto"/>
              </w:rPr>
            </w:pPr>
            <w:r>
              <w:rPr>
                <w:rFonts w:ascii="Arial" w:cs="Arial" w:eastAsia="Arial" w:hAnsi="Arial"/>
                <w:sz w:val="14"/>
                <w:szCs w:val="14"/>
                <w:i w:val="1"/>
                <w:iCs w:val="1"/>
                <w:color w:val="auto"/>
              </w:rPr>
              <w:t>Officer</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David R. Horn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w:t>
            </w: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0"/>
              <w:spacing w:after="0" w:line="149" w:lineRule="exact"/>
              <w:rPr>
                <w:sz w:val="20"/>
                <w:szCs w:val="20"/>
                <w:color w:val="auto"/>
              </w:rPr>
            </w:pPr>
            <w:r>
              <w:rPr>
                <w:rFonts w:ascii="Arial" w:cs="Arial" w:eastAsia="Arial" w:hAnsi="Arial"/>
                <w:sz w:val="14"/>
                <w:szCs w:val="14"/>
                <w:color w:val="auto"/>
              </w:rPr>
              <w:t>227,269</w:t>
            </w:r>
          </w:p>
        </w:tc>
        <w:tc>
          <w:tcPr>
            <w:tcW w:w="82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212,934</w:t>
            </w:r>
          </w:p>
        </w:tc>
        <w:tc>
          <w:tcPr>
            <w:tcW w:w="96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534,436</w:t>
            </w:r>
          </w:p>
        </w:tc>
        <w:tc>
          <w:tcPr>
            <w:tcW w:w="920" w:type="dxa"/>
            <w:vAlign w:val="bottom"/>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3,288,345</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455</w:t>
            </w:r>
          </w:p>
        </w:tc>
        <w:tc>
          <w:tcPr>
            <w:tcW w:w="2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4,263,439</w:t>
            </w: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20"/>
              <w:spacing w:after="0" w:line="149" w:lineRule="exact"/>
              <w:rPr>
                <w:sz w:val="20"/>
                <w:szCs w:val="20"/>
                <w:color w:val="auto"/>
              </w:rPr>
            </w:pPr>
            <w:r>
              <w:rPr>
                <w:rFonts w:ascii="Arial" w:cs="Arial" w:eastAsia="Arial" w:hAnsi="Arial"/>
                <w:sz w:val="14"/>
                <w:szCs w:val="14"/>
                <w:color w:val="auto"/>
              </w:rPr>
              <w:t xml:space="preserve">Philip Ma, Ph.D. </w:t>
            </w:r>
            <w:r>
              <w:rPr>
                <w:rFonts w:ascii="Arial" w:cs="Arial" w:eastAsia="Arial" w:hAnsi="Arial"/>
                <w:sz w:val="17"/>
                <w:szCs w:val="17"/>
                <w:color w:val="auto"/>
                <w:vertAlign w:val="superscript"/>
              </w:rPr>
              <w:t>(1)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2019</w:t>
            </w: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line="149" w:lineRule="exact"/>
              <w:rPr>
                <w:sz w:val="20"/>
                <w:szCs w:val="20"/>
                <w:color w:val="auto"/>
              </w:rPr>
            </w:pPr>
            <w:r>
              <w:rPr>
                <w:rFonts w:ascii="Arial" w:cs="Arial" w:eastAsia="Arial" w:hAnsi="Arial"/>
                <w:sz w:val="14"/>
                <w:szCs w:val="14"/>
                <w:color w:val="auto"/>
              </w:rPr>
              <w:t>342,071</w:t>
            </w:r>
          </w:p>
        </w:tc>
        <w:tc>
          <w:tcPr>
            <w:tcW w:w="82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51"/>
              <w:spacing w:after="0" w:line="149" w:lineRule="exact"/>
              <w:rPr>
                <w:sz w:val="20"/>
                <w:szCs w:val="20"/>
                <w:color w:val="auto"/>
              </w:rPr>
            </w:pPr>
            <w:r>
              <w:rPr>
                <w:rFonts w:ascii="Arial" w:cs="Arial" w:eastAsia="Arial" w:hAnsi="Arial"/>
                <w:sz w:val="14"/>
                <w:szCs w:val="14"/>
                <w:color w:val="auto"/>
              </w:rPr>
              <w:t>130,000</w:t>
            </w:r>
          </w:p>
        </w:tc>
        <w:tc>
          <w:tcPr>
            <w:tcW w:w="1280" w:type="dxa"/>
            <w:vAlign w:val="bottom"/>
          </w:tcPr>
          <w:p>
            <w:pPr>
              <w:jc w:val="right"/>
              <w:ind w:right="31"/>
              <w:spacing w:after="0" w:line="149" w:lineRule="exact"/>
              <w:rPr>
                <w:sz w:val="20"/>
                <w:szCs w:val="20"/>
                <w:color w:val="auto"/>
              </w:rPr>
            </w:pPr>
            <w:r>
              <w:rPr>
                <w:rFonts w:ascii="Arial" w:cs="Arial" w:eastAsia="Arial" w:hAnsi="Arial"/>
                <w:sz w:val="14"/>
                <w:szCs w:val="14"/>
                <w:color w:val="auto"/>
              </w:rPr>
              <w:t>15,014</w:t>
            </w:r>
          </w:p>
        </w:tc>
        <w:tc>
          <w:tcPr>
            <w:tcW w:w="2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487,085</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i w:val="1"/>
                <w:iCs w:val="1"/>
                <w:color w:val="auto"/>
              </w:rPr>
              <w:t>Chief Business Officer</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ind w:left="660" w:right="20" w:hanging="652"/>
        <w:spacing w:after="0" w:line="246"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 Ma transitioned to PrognomIQ to serve as its full-time chief executive officer as of October 15, 2020. He will remain a consultant of the Company until April 15, 2022.</w:t>
      </w: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other compensation consists of reimbursement of commuting costs and tax gross ups related thereto.</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Year-End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outstanding equity awards held by our named executive officers as of December 31,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w w:val="99"/>
              </w:rPr>
              <w:t>Option Awards</w:t>
            </w: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3"/>
                <w:szCs w:val="13"/>
                <w:b w:val="1"/>
                <w:bCs w:val="1"/>
                <w:color w:val="auto"/>
                <w:w w:val="97"/>
              </w:rPr>
              <w:t>Stock Awards</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left="231"/>
              <w:spacing w:after="0"/>
              <w:rPr>
                <w:sz w:val="20"/>
                <w:szCs w:val="20"/>
                <w:color w:val="auto"/>
              </w:rPr>
            </w:pPr>
            <w:r>
              <w:rPr>
                <w:rFonts w:ascii="Arial" w:cs="Arial" w:eastAsia="Arial" w:hAnsi="Arial"/>
                <w:sz w:val="13"/>
                <w:szCs w:val="13"/>
                <w:b w:val="1"/>
                <w:bCs w:val="1"/>
                <w:color w:val="auto"/>
                <w:w w:val="95"/>
              </w:rPr>
              <w:t>Number of</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ind w:left="251"/>
              <w:spacing w:after="0"/>
              <w:rPr>
                <w:sz w:val="20"/>
                <w:szCs w:val="20"/>
                <w:color w:val="auto"/>
              </w:rPr>
            </w:pPr>
            <w:r>
              <w:rPr>
                <w:rFonts w:ascii="Arial" w:cs="Arial" w:eastAsia="Arial" w:hAnsi="Arial"/>
                <w:sz w:val="13"/>
                <w:szCs w:val="13"/>
                <w:b w:val="1"/>
                <w:bCs w:val="1"/>
                <w:color w:val="auto"/>
                <w:w w:val="95"/>
              </w:rPr>
              <w:t>Number of</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left="251"/>
              <w:spacing w:after="0" w:line="122" w:lineRule="exact"/>
              <w:rPr>
                <w:sz w:val="20"/>
                <w:szCs w:val="20"/>
                <w:color w:val="auto"/>
              </w:rPr>
            </w:pPr>
            <w:r>
              <w:rPr>
                <w:rFonts w:ascii="Arial" w:cs="Arial" w:eastAsia="Arial" w:hAnsi="Arial"/>
                <w:sz w:val="13"/>
                <w:szCs w:val="13"/>
                <w:b w:val="1"/>
                <w:bCs w:val="1"/>
                <w:color w:val="auto"/>
                <w:w w:val="96"/>
              </w:rPr>
              <w:t>Securities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left="251"/>
              <w:spacing w:after="0" w:line="122" w:lineRule="exact"/>
              <w:rPr>
                <w:sz w:val="20"/>
                <w:szCs w:val="20"/>
                <w:color w:val="auto"/>
              </w:rPr>
            </w:pPr>
            <w:r>
              <w:rPr>
                <w:rFonts w:ascii="Arial" w:cs="Arial" w:eastAsia="Arial" w:hAnsi="Arial"/>
                <w:sz w:val="13"/>
                <w:szCs w:val="13"/>
                <w:b w:val="1"/>
                <w:bCs w:val="1"/>
                <w:color w:val="auto"/>
                <w:w w:val="99"/>
              </w:rPr>
              <w:t>Securities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Market Value of</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42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97"/>
              </w:rPr>
              <w:t>Underlying</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Option</w:t>
            </w: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Number of Shares or</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Unexercised</w:t>
            </w:r>
          </w:p>
        </w:tc>
        <w:tc>
          <w:tcPr>
            <w:tcW w:w="142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95"/>
              </w:rPr>
              <w:t>Unexercised</w:t>
            </w:r>
          </w:p>
        </w:tc>
        <w:tc>
          <w:tcPr>
            <w:tcW w:w="78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Shares or Units of</w:t>
            </w:r>
          </w:p>
        </w:tc>
        <w:tc>
          <w:tcPr>
            <w:tcW w:w="0" w:type="dxa"/>
            <w:vAlign w:val="bottom"/>
          </w:tcPr>
          <w:p>
            <w:pPr>
              <w:spacing w:after="0"/>
              <w:rPr>
                <w:sz w:val="1"/>
                <w:szCs w:val="1"/>
                <w:color w:val="auto"/>
              </w:rPr>
            </w:pPr>
          </w:p>
        </w:tc>
      </w:tr>
      <w:tr>
        <w:trPr>
          <w:trHeight w:val="122"/>
        </w:trPr>
        <w:tc>
          <w:tcPr>
            <w:tcW w:w="1780" w:type="dxa"/>
            <w:vAlign w:val="bottom"/>
            <w:vMerge w:val="restart"/>
          </w:tcPr>
          <w:p>
            <w:pPr>
              <w:ind w:left="7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0"/>
                <w:szCs w:val="10"/>
                <w:color w:val="auto"/>
              </w:rPr>
            </w:pPr>
          </w:p>
        </w:tc>
        <w:tc>
          <w:tcPr>
            <w:tcW w:w="10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16"/>
                <w:szCs w:val="16"/>
                <w:b w:val="1"/>
                <w:bCs w:val="1"/>
                <w:color w:val="auto"/>
                <w:vertAlign w:val="superscript"/>
              </w:rPr>
              <w:t>(1)</w:t>
            </w:r>
          </w:p>
        </w:tc>
        <w:tc>
          <w:tcPr>
            <w:tcW w:w="100" w:type="dxa"/>
            <w:vAlign w:val="bottom"/>
          </w:tcPr>
          <w:p>
            <w:pPr>
              <w:spacing w:after="0"/>
              <w:rPr>
                <w:sz w:val="10"/>
                <w:szCs w:val="10"/>
                <w:color w:val="auto"/>
              </w:rPr>
            </w:pPr>
          </w:p>
        </w:tc>
        <w:tc>
          <w:tcPr>
            <w:tcW w:w="1320" w:type="dxa"/>
            <w:vAlign w:val="bottom"/>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Options (#)</w:t>
            </w:r>
          </w:p>
        </w:tc>
        <w:tc>
          <w:tcPr>
            <w:tcW w:w="142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96"/>
              </w:rPr>
              <w:t>Options (#)</w:t>
            </w: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3"/>
              </w:rPr>
              <w:t>Exercise</w:t>
            </w:r>
          </w:p>
        </w:tc>
        <w:tc>
          <w:tcPr>
            <w:tcW w:w="10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Expiration</w:t>
            </w:r>
          </w:p>
        </w:tc>
        <w:tc>
          <w:tcPr>
            <w:tcW w:w="138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Units of Stock That</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Stock That Have Not</w:t>
            </w:r>
          </w:p>
        </w:tc>
        <w:tc>
          <w:tcPr>
            <w:tcW w:w="0" w:type="dxa"/>
            <w:vAlign w:val="bottom"/>
          </w:tcPr>
          <w:p>
            <w:pPr>
              <w:spacing w:after="0"/>
              <w:rPr>
                <w:sz w:val="1"/>
                <w:szCs w:val="1"/>
                <w:color w:val="auto"/>
              </w:rPr>
            </w:pPr>
          </w:p>
        </w:tc>
      </w:tr>
      <w:tr>
        <w:trPr>
          <w:trHeight w:val="175"/>
        </w:trPr>
        <w:tc>
          <w:tcPr>
            <w:tcW w:w="1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80" w:type="dxa"/>
            <w:vAlign w:val="bottom"/>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Unexercisable</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7"/>
              </w:rPr>
              <w:t>Price ($)</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5"/>
                <w:szCs w:val="15"/>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Have Not Vested (#)</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Vested ($)</w:t>
            </w:r>
            <w:r>
              <w:rPr>
                <w:rFonts w:ascii="Arial" w:cs="Arial" w:eastAsia="Arial" w:hAnsi="Arial"/>
                <w:sz w:val="16"/>
                <w:szCs w:val="16"/>
                <w:b w:val="1"/>
                <w:bCs w:val="1"/>
                <w:color w:val="auto"/>
                <w:w w:val="93"/>
                <w:vertAlign w:val="superscript"/>
              </w:rPr>
              <w:t>(2)</w:t>
            </w:r>
          </w:p>
        </w:tc>
        <w:tc>
          <w:tcPr>
            <w:tcW w:w="0" w:type="dxa"/>
            <w:vAlign w:val="bottom"/>
          </w:tcPr>
          <w:p>
            <w:pPr>
              <w:spacing w:after="0"/>
              <w:rPr>
                <w:sz w:val="1"/>
                <w:szCs w:val="1"/>
                <w:color w:val="auto"/>
              </w:rPr>
            </w:pPr>
          </w:p>
        </w:tc>
      </w:tr>
      <w:tr>
        <w:trPr>
          <w:trHeight w:val="142"/>
        </w:trPr>
        <w:tc>
          <w:tcPr>
            <w:tcW w:w="17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Omid Farokhzad, M.D.</w:t>
            </w: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9/20/2017</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11"/>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line="142"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292,056</w:t>
            </w:r>
          </w:p>
        </w:tc>
        <w:tc>
          <w:tcPr>
            <w:tcW w:w="380" w:type="dxa"/>
            <w:vAlign w:val="bottom"/>
          </w:tcPr>
          <w:p>
            <w:pPr>
              <w:ind w:left="80"/>
              <w:spacing w:after="0"/>
              <w:rPr>
                <w:sz w:val="20"/>
                <w:szCs w:val="20"/>
                <w:color w:val="auto"/>
              </w:rPr>
            </w:pPr>
            <w:r>
              <w:rPr>
                <w:rFonts w:ascii="Arial" w:cs="Arial" w:eastAsia="Arial" w:hAnsi="Arial"/>
                <w:sz w:val="9"/>
                <w:szCs w:val="9"/>
                <w:color w:val="auto"/>
              </w:rPr>
              <w:t>(3)</w:t>
            </w:r>
          </w:p>
        </w:tc>
        <w:tc>
          <w:tcPr>
            <w:tcW w:w="100" w:type="dxa"/>
            <w:vAlign w:val="bottom"/>
          </w:tcPr>
          <w:p>
            <w:pPr>
              <w:spacing w:after="0"/>
              <w:rPr>
                <w:sz w:val="12"/>
                <w:szCs w:val="12"/>
                <w:color w:val="auto"/>
              </w:rPr>
            </w:pPr>
          </w:p>
        </w:tc>
        <w:tc>
          <w:tcPr>
            <w:tcW w:w="1300" w:type="dxa"/>
            <w:vAlign w:val="bottom"/>
          </w:tcPr>
          <w:p>
            <w:pPr>
              <w:jc w:val="right"/>
              <w:ind w:right="10"/>
              <w:spacing w:after="0" w:line="142" w:lineRule="exact"/>
              <w:rPr>
                <w:sz w:val="20"/>
                <w:szCs w:val="20"/>
                <w:color w:val="auto"/>
              </w:rPr>
            </w:pPr>
            <w:r>
              <w:rPr>
                <w:rFonts w:ascii="Arial" w:cs="Arial" w:eastAsia="Arial" w:hAnsi="Arial"/>
                <w:sz w:val="14"/>
                <w:szCs w:val="14"/>
                <w:color w:val="auto"/>
              </w:rPr>
              <w:t>16,396,024</w:t>
            </w:r>
          </w:p>
        </w:tc>
        <w:tc>
          <w:tcPr>
            <w:tcW w:w="0" w:type="dxa"/>
            <w:vAlign w:val="bottom"/>
          </w:tcPr>
          <w:p>
            <w:pPr>
              <w:spacing w:after="0"/>
              <w:rPr>
                <w:sz w:val="1"/>
                <w:szCs w:val="1"/>
                <w:color w:val="auto"/>
              </w:rPr>
            </w:pPr>
          </w:p>
        </w:tc>
      </w:tr>
      <w:tr>
        <w:trPr>
          <w:trHeight w:val="40"/>
        </w:trPr>
        <w:tc>
          <w:tcPr>
            <w:tcW w:w="1780" w:type="dxa"/>
            <w:vAlign w:val="bottom"/>
            <w:shd w:val="clear" w:color="auto" w:fill="CCEEFF"/>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2/19/2018</w:t>
            </w:r>
          </w:p>
        </w:tc>
        <w:tc>
          <w:tcPr>
            <w:tcW w:w="100" w:type="dxa"/>
            <w:vAlign w:val="bottom"/>
          </w:tcPr>
          <w:p>
            <w:pPr>
              <w:spacing w:after="0"/>
              <w:rPr>
                <w:sz w:val="3"/>
                <w:szCs w:val="3"/>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spacing w:after="0"/>
              <w:rPr>
                <w:sz w:val="20"/>
                <w:szCs w:val="20"/>
                <w:color w:val="auto"/>
              </w:rPr>
            </w:pPr>
            <w:r>
              <w:rPr>
                <w:rFonts w:ascii="Arial" w:cs="Arial" w:eastAsia="Arial" w:hAnsi="Arial"/>
                <w:sz w:val="9"/>
                <w:szCs w:val="9"/>
                <w:color w:val="auto"/>
              </w:rPr>
              <w:t>(5)</w:t>
            </w:r>
          </w:p>
        </w:tc>
        <w:tc>
          <w:tcPr>
            <w:tcW w:w="80" w:type="dxa"/>
            <w:vAlign w:val="bottom"/>
          </w:tcPr>
          <w:p>
            <w:pPr>
              <w:spacing w:after="0"/>
              <w:rPr>
                <w:sz w:val="3"/>
                <w:szCs w:val="3"/>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115,657</w:t>
            </w:r>
          </w:p>
        </w:tc>
        <w:tc>
          <w:tcPr>
            <w:tcW w:w="380" w:type="dxa"/>
            <w:vAlign w:val="bottom"/>
            <w:vMerge w:val="restart"/>
          </w:tcPr>
          <w:p>
            <w:pPr>
              <w:ind w:left="80"/>
              <w:spacing w:after="0"/>
              <w:rPr>
                <w:sz w:val="20"/>
                <w:szCs w:val="20"/>
                <w:color w:val="auto"/>
              </w:rPr>
            </w:pPr>
            <w:r>
              <w:rPr>
                <w:rFonts w:ascii="Arial" w:cs="Arial" w:eastAsia="Arial" w:hAnsi="Arial"/>
                <w:sz w:val="9"/>
                <w:szCs w:val="9"/>
                <w:color w:val="auto"/>
              </w:rPr>
              <w:t>(4)</w:t>
            </w:r>
          </w:p>
        </w:tc>
        <w:tc>
          <w:tcPr>
            <w:tcW w:w="100" w:type="dxa"/>
            <w:vAlign w:val="bottom"/>
            <w:vMerge w:val="restart"/>
          </w:tcPr>
          <w:p>
            <w:pPr>
              <w:spacing w:after="0"/>
              <w:rPr>
                <w:sz w:val="3"/>
                <w:szCs w:val="3"/>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4"/>
                <w:szCs w:val="14"/>
                <w:color w:val="auto"/>
              </w:rPr>
              <w:t>6,492,984</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5/18/2018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520,248</w:t>
            </w:r>
          </w:p>
        </w:tc>
        <w:tc>
          <w:tcPr>
            <w:tcW w:w="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Arial" w:cs="Arial" w:eastAsia="Arial" w:hAnsi="Arial"/>
                <w:sz w:val="14"/>
                <w:szCs w:val="14"/>
                <w:color w:val="auto"/>
              </w:rPr>
              <w:t>0.05</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5/17/2028</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
        </w:trPr>
        <w:tc>
          <w:tcPr>
            <w:tcW w:w="1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1/28/2020</w:t>
            </w:r>
          </w:p>
        </w:tc>
        <w:tc>
          <w:tcPr>
            <w:tcW w:w="100" w:type="dxa"/>
            <w:vAlign w:val="bottom"/>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915,524</w:t>
            </w:r>
          </w:p>
        </w:tc>
        <w:tc>
          <w:tcPr>
            <w:tcW w:w="40" w:type="dxa"/>
            <w:vAlign w:val="bottom"/>
          </w:tcPr>
          <w:p>
            <w:pPr>
              <w:spacing w:after="0"/>
              <w:rPr>
                <w:sz w:val="3"/>
                <w:szCs w:val="3"/>
                <w:color w:val="auto"/>
              </w:rPr>
            </w:pPr>
          </w:p>
        </w:tc>
        <w:tc>
          <w:tcPr>
            <w:tcW w:w="320" w:type="dxa"/>
            <w:vAlign w:val="bottom"/>
            <w:vMerge w:val="restart"/>
          </w:tcPr>
          <w:p>
            <w:pPr>
              <w:spacing w:after="0"/>
              <w:rPr>
                <w:sz w:val="20"/>
                <w:szCs w:val="20"/>
                <w:color w:val="auto"/>
              </w:rPr>
            </w:pPr>
            <w:r>
              <w:rPr>
                <w:rFonts w:ascii="Arial" w:cs="Arial" w:eastAsia="Arial" w:hAnsi="Arial"/>
                <w:sz w:val="9"/>
                <w:szCs w:val="9"/>
                <w:color w:val="auto"/>
              </w:rPr>
              <w:t>(6)</w:t>
            </w:r>
          </w:p>
        </w:tc>
        <w:tc>
          <w:tcPr>
            <w:tcW w:w="80" w:type="dxa"/>
            <w:vAlign w:val="bottom"/>
            <w:vMerge w:val="restart"/>
          </w:tcPr>
          <w:p>
            <w:pPr>
              <w:spacing w:after="0"/>
              <w:rPr>
                <w:sz w:val="3"/>
                <w:szCs w:val="3"/>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3"/>
                <w:szCs w:val="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1/27/2030</w:t>
            </w:r>
          </w:p>
        </w:tc>
        <w:tc>
          <w:tcPr>
            <w:tcW w:w="10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vMerge w:val="restart"/>
          </w:tcPr>
          <w:p>
            <w:pPr>
              <w:spacing w:after="0"/>
              <w:rPr>
                <w:sz w:val="20"/>
                <w:szCs w:val="20"/>
                <w:color w:val="auto"/>
              </w:rPr>
            </w:pPr>
            <w:r>
              <w:rPr>
                <w:rFonts w:ascii="Arial" w:cs="Arial" w:eastAsia="Arial" w:hAnsi="Arial"/>
                <w:sz w:val="9"/>
                <w:szCs w:val="9"/>
                <w:color w:val="auto"/>
              </w:rPr>
              <w:t>(7)</w:t>
            </w:r>
          </w:p>
        </w:tc>
        <w:tc>
          <w:tcPr>
            <w:tcW w:w="80" w:type="dxa"/>
            <w:vAlign w:val="bottom"/>
            <w:vMerge w:val="restart"/>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7/28/2020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532,718</w:t>
            </w:r>
          </w:p>
        </w:tc>
        <w:tc>
          <w:tcPr>
            <w:tcW w:w="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7/27/2030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584,265</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90"/>
              </w:rPr>
              <w:t>(8)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19.00</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12/2/2030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CCEEFF"/>
            </w:tcBorders>
          </w:tcPr>
          <w:p>
            <w:pPr>
              <w:spacing w:after="0"/>
              <w:rPr>
                <w:sz w:val="16"/>
                <w:szCs w:val="16"/>
                <w:color w:val="auto"/>
              </w:rPr>
            </w:pPr>
          </w:p>
        </w:tc>
        <w:tc>
          <w:tcPr>
            <w:tcW w:w="320" w:type="dxa"/>
            <w:vAlign w:val="bottom"/>
            <w:vMerge w:val="restart"/>
          </w:tcPr>
          <w:p>
            <w:pPr>
              <w:spacing w:after="0"/>
              <w:rPr>
                <w:sz w:val="20"/>
                <w:szCs w:val="20"/>
                <w:color w:val="auto"/>
              </w:rPr>
            </w:pPr>
            <w:r>
              <w:rPr>
                <w:rFonts w:ascii="Arial" w:cs="Arial" w:eastAsia="Arial" w:hAnsi="Arial"/>
                <w:sz w:val="9"/>
                <w:szCs w:val="9"/>
                <w:color w:val="auto"/>
              </w:rPr>
              <w:t>(10)</w:t>
            </w:r>
          </w:p>
        </w:tc>
        <w:tc>
          <w:tcPr>
            <w:tcW w:w="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22,320</w:t>
            </w:r>
          </w:p>
        </w:tc>
        <w:tc>
          <w:tcPr>
            <w:tcW w:w="380" w:type="dxa"/>
            <w:vAlign w:val="bottom"/>
          </w:tcPr>
          <w:p>
            <w:pPr>
              <w:ind w:left="80"/>
              <w:spacing w:after="0"/>
              <w:rPr>
                <w:sz w:val="20"/>
                <w:szCs w:val="20"/>
                <w:color w:val="auto"/>
              </w:rPr>
            </w:pPr>
            <w:r>
              <w:rPr>
                <w:rFonts w:ascii="Arial" w:cs="Arial" w:eastAsia="Arial" w:hAnsi="Arial"/>
                <w:sz w:val="9"/>
                <w:szCs w:val="9"/>
                <w:color w:val="auto"/>
              </w:rPr>
              <w:t>(9)</w:t>
            </w:r>
          </w:p>
        </w:tc>
        <w:tc>
          <w:tcPr>
            <w:tcW w:w="10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1,253,045</w:t>
            </w:r>
          </w:p>
        </w:tc>
        <w:tc>
          <w:tcPr>
            <w:tcW w:w="0" w:type="dxa"/>
            <w:vAlign w:val="bottom"/>
          </w:tcPr>
          <w:p>
            <w:pPr>
              <w:spacing w:after="0"/>
              <w:rPr>
                <w:sz w:val="1"/>
                <w:szCs w:val="1"/>
                <w:color w:val="auto"/>
              </w:rPr>
            </w:pPr>
          </w:p>
        </w:tc>
      </w:tr>
      <w:tr>
        <w:trPr>
          <w:trHeight w:val="149"/>
        </w:trPr>
        <w:tc>
          <w:tcPr>
            <w:tcW w:w="1780" w:type="dxa"/>
            <w:vAlign w:val="bottom"/>
          </w:tcPr>
          <w:p>
            <w:pPr>
              <w:ind w:left="20"/>
              <w:spacing w:after="0" w:line="149" w:lineRule="exact"/>
              <w:rPr>
                <w:sz w:val="20"/>
                <w:szCs w:val="20"/>
                <w:color w:val="auto"/>
              </w:rPr>
            </w:pPr>
            <w:r>
              <w:rPr>
                <w:rFonts w:ascii="Arial" w:cs="Arial" w:eastAsia="Arial" w:hAnsi="Arial"/>
                <w:sz w:val="14"/>
                <w:szCs w:val="14"/>
                <w:color w:val="auto"/>
              </w:rPr>
              <w:t>Omead Ostadan</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3/5/2020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852,793</w:t>
            </w:r>
          </w:p>
        </w:tc>
        <w:tc>
          <w:tcPr>
            <w:tcW w:w="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Arial" w:cs="Arial" w:eastAsia="Arial" w:hAnsi="Arial"/>
                <w:sz w:val="14"/>
                <w:szCs w:val="14"/>
                <w:color w:val="auto"/>
              </w:rPr>
              <w:t>2.70</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3/4/2030</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17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3/5/2020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365,481</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9"/>
                <w:szCs w:val="9"/>
                <w:color w:val="auto"/>
              </w:rPr>
              <w:t>(11)</w:t>
            </w:r>
          </w:p>
        </w:tc>
        <w:tc>
          <w:tcPr>
            <w:tcW w:w="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3/4/2030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80"/>
              <w:spacing w:after="0"/>
              <w:rPr>
                <w:sz w:val="20"/>
                <w:szCs w:val="20"/>
                <w:color w:val="auto"/>
              </w:rPr>
            </w:pPr>
            <w:r>
              <w:rPr>
                <w:rFonts w:ascii="Arial" w:cs="Arial" w:eastAsia="Arial" w:hAnsi="Arial"/>
                <w:sz w:val="9"/>
                <w:szCs w:val="9"/>
                <w:color w:val="auto"/>
              </w:rPr>
              <w:t>(12)</w:t>
            </w:r>
          </w:p>
        </w:tc>
        <w:tc>
          <w:tcPr>
            <w:tcW w:w="1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7/28/2020</w:t>
            </w:r>
          </w:p>
        </w:tc>
        <w:tc>
          <w:tcPr>
            <w:tcW w:w="1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spacing w:after="0"/>
              <w:rPr>
                <w:sz w:val="20"/>
                <w:szCs w:val="20"/>
                <w:color w:val="auto"/>
              </w:rPr>
            </w:pPr>
            <w:r>
              <w:rPr>
                <w:rFonts w:ascii="Arial" w:cs="Arial" w:eastAsia="Arial" w:hAnsi="Arial"/>
                <w:sz w:val="9"/>
                <w:szCs w:val="9"/>
                <w:color w:val="auto"/>
              </w:rPr>
              <w:t>(7)</w:t>
            </w:r>
          </w:p>
        </w:tc>
        <w:tc>
          <w:tcPr>
            <w:tcW w:w="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233,672</w:t>
            </w: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13,118,346</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7/28/2020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290,572</w:t>
            </w:r>
          </w:p>
        </w:tc>
        <w:tc>
          <w:tcPr>
            <w:tcW w:w="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7/27/2030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201,909</w:t>
            </w:r>
          </w:p>
        </w:tc>
        <w:tc>
          <w:tcPr>
            <w:tcW w:w="300" w:type="dxa"/>
            <w:vAlign w:val="bottom"/>
          </w:tcPr>
          <w:p>
            <w:pPr>
              <w:jc w:val="right"/>
              <w:ind w:right="133"/>
              <w:spacing w:after="0"/>
              <w:rPr>
                <w:sz w:val="20"/>
                <w:szCs w:val="20"/>
                <w:color w:val="auto"/>
              </w:rPr>
            </w:pPr>
            <w:r>
              <w:rPr>
                <w:rFonts w:ascii="Arial" w:cs="Arial" w:eastAsia="Arial" w:hAnsi="Arial"/>
                <w:sz w:val="9"/>
                <w:szCs w:val="9"/>
                <w:color w:val="auto"/>
                <w:w w:val="90"/>
              </w:rPr>
              <w:t>(8)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19.00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12/2/2030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80"/>
              <w:spacing w:after="0"/>
              <w:rPr>
                <w:sz w:val="20"/>
                <w:szCs w:val="20"/>
                <w:color w:val="auto"/>
              </w:rPr>
            </w:pPr>
            <w:r>
              <w:rPr>
                <w:rFonts w:ascii="Arial" w:cs="Arial" w:eastAsia="Arial" w:hAnsi="Arial"/>
                <w:sz w:val="9"/>
                <w:szCs w:val="9"/>
                <w:color w:val="auto"/>
              </w:rPr>
              <w:t>(9)</w:t>
            </w:r>
          </w:p>
        </w:tc>
        <w:tc>
          <w:tcPr>
            <w:tcW w:w="10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14,845</w:t>
            </w: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833,398</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R. Horn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4/1/2020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710,659</w:t>
            </w:r>
          </w:p>
        </w:tc>
        <w:tc>
          <w:tcPr>
            <w:tcW w:w="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Arial" w:cs="Arial" w:eastAsia="Arial" w:hAnsi="Arial"/>
                <w:sz w:val="9"/>
                <w:szCs w:val="9"/>
                <w:color w:val="auto"/>
              </w:rPr>
              <w:t>(13)</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3/31/2030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4/1/2020</w:t>
            </w:r>
          </w:p>
        </w:tc>
        <w:tc>
          <w:tcPr>
            <w:tcW w:w="1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spacing w:after="0"/>
              <w:rPr>
                <w:sz w:val="20"/>
                <w:szCs w:val="20"/>
                <w:color w:val="auto"/>
              </w:rPr>
            </w:pPr>
            <w:r>
              <w:rPr>
                <w:rFonts w:ascii="Arial" w:cs="Arial" w:eastAsia="Arial" w:hAnsi="Arial"/>
                <w:sz w:val="9"/>
                <w:szCs w:val="9"/>
                <w:color w:val="auto"/>
              </w:rPr>
              <w:t>(7)</w:t>
            </w:r>
          </w:p>
        </w:tc>
        <w:tc>
          <w:tcPr>
            <w:tcW w:w="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101,522</w:t>
            </w:r>
          </w:p>
        </w:tc>
        <w:tc>
          <w:tcPr>
            <w:tcW w:w="380" w:type="dxa"/>
            <w:vAlign w:val="bottom"/>
          </w:tcPr>
          <w:p>
            <w:pPr>
              <w:ind w:left="80"/>
              <w:spacing w:after="0"/>
              <w:rPr>
                <w:sz w:val="20"/>
                <w:szCs w:val="20"/>
                <w:color w:val="auto"/>
              </w:rPr>
            </w:pPr>
            <w:r>
              <w:rPr>
                <w:rFonts w:ascii="Arial" w:cs="Arial" w:eastAsia="Arial" w:hAnsi="Arial"/>
                <w:sz w:val="9"/>
                <w:szCs w:val="9"/>
                <w:color w:val="auto"/>
              </w:rPr>
              <w:t>(12)</w:t>
            </w:r>
          </w:p>
        </w:tc>
        <w:tc>
          <w:tcPr>
            <w:tcW w:w="10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5,699,455</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7/28/2020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169,500</w:t>
            </w:r>
          </w:p>
        </w:tc>
        <w:tc>
          <w:tcPr>
            <w:tcW w:w="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7/27/2030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135,100</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90"/>
              </w:rPr>
              <w:t>(8)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19.00</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12/2/2030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11,207</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629,161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-2167890</wp:posOffset>
            </wp:positionV>
            <wp:extent cx="650621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06210" cy="60833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-1439545</wp:posOffset>
            </wp:positionV>
            <wp:extent cx="402907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29075" cy="12001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-479425</wp:posOffset>
            </wp:positionV>
            <wp:extent cx="537464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74640" cy="24003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of the outstanding equity awards was granted pursuant to our 2017 Plan or 2020 Plan.</w:t>
      </w:r>
    </w:p>
    <w:p>
      <w:pPr>
        <w:spacing w:after="0" w:line="5" w:lineRule="exact"/>
        <w:rPr>
          <w:rFonts w:ascii="Arial" w:cs="Arial" w:eastAsia="Arial" w:hAnsi="Arial"/>
          <w:sz w:val="16"/>
          <w:szCs w:val="16"/>
          <w:color w:val="auto"/>
        </w:rPr>
      </w:pPr>
    </w:p>
    <w:p>
      <w:pPr>
        <w:ind w:left="660" w:hanging="652"/>
        <w:spacing w:after="0" w:line="246"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amounts in this column are based upon the last reported price of our Class A common stock on the Nasdaq Global Select Market on December 31, 2020, which was $56.14.</w:t>
      </w:r>
    </w:p>
    <w:p>
      <w:pPr>
        <w:ind w:left="660" w:right="40" w:hanging="652"/>
        <w:spacing w:after="0" w:line="260"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shares were acquired pursuant to a restricted stock award and vest in 12 equal monthly installments beginning on January 20, 2021, subject to continued service to the Company.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1" w:right="339" w:bottom="1440" w:gutter="0" w:footer="0" w:header="0"/>
        </w:sectPr>
      </w:pPr>
    </w:p>
    <w:bookmarkStart w:id="31" w:name="page32"/>
    <w:bookmarkEnd w:id="31"/>
    <w:p>
      <w:pPr>
        <w:ind w:left="660" w:hanging="652"/>
        <w:spacing w:after="0" w:line="24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were acquired pursuant to a restricted stock award and vest in 14 equal monthly installments beginning on January 31, 2021, subject to continued service to the Company.</w:t>
      </w:r>
    </w:p>
    <w:p>
      <w:pPr>
        <w:ind w:left="660" w:right="40" w:hanging="652"/>
        <w:spacing w:after="0" w:line="24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spacing w:after="0" w:line="1" w:lineRule="exact"/>
        <w:rPr>
          <w:rFonts w:ascii="Arial" w:cs="Arial" w:eastAsia="Arial" w:hAnsi="Arial"/>
          <w:sz w:val="16"/>
          <w:szCs w:val="16"/>
          <w:color w:val="auto"/>
        </w:rPr>
      </w:pPr>
    </w:p>
    <w:p>
      <w:pPr>
        <w:ind w:left="660" w:right="80" w:hanging="652"/>
        <w:spacing w:after="0" w:line="24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January 28, 2021, and the remaining shares vest in 36 equal monthly installments thereafter, subject to continued service to the Company.</w:t>
      </w:r>
    </w:p>
    <w:p>
      <w:pPr>
        <w:spacing w:after="0" w:line="1" w:lineRule="exact"/>
        <w:rPr>
          <w:rFonts w:ascii="Arial" w:cs="Arial" w:eastAsia="Arial" w:hAnsi="Arial"/>
          <w:sz w:val="16"/>
          <w:szCs w:val="16"/>
          <w:color w:val="auto"/>
        </w:rPr>
      </w:pPr>
    </w:p>
    <w:p>
      <w:pPr>
        <w:ind w:left="660" w:right="200" w:hanging="652"/>
        <w:spacing w:after="0" w:line="24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July 28, 2021, and the remaining shares vest in 36 equal monthly installments thereafter, subject to continued service to the Company.</w:t>
      </w:r>
    </w:p>
    <w:p>
      <w:pPr>
        <w:spacing w:after="0" w:line="1" w:lineRule="exact"/>
        <w:rPr>
          <w:rFonts w:ascii="Arial" w:cs="Arial" w:eastAsia="Arial" w:hAnsi="Arial"/>
          <w:sz w:val="16"/>
          <w:szCs w:val="16"/>
          <w:color w:val="auto"/>
        </w:rPr>
      </w:pPr>
    </w:p>
    <w:p>
      <w:pPr>
        <w:ind w:left="660" w:right="680" w:hanging="652"/>
        <w:spacing w:after="0" w:line="24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One-fourth of the shares underlying the option vest on December 3, 2021, and the remaining shares vest in 36 equal monthly installments thereafter, subject to continued service to the Company.</w:t>
      </w:r>
    </w:p>
    <w:p>
      <w:pPr>
        <w:ind w:left="660" w:right="120" w:hanging="652"/>
        <w:spacing w:after="0" w:line="24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50% of the shares underlying the RSU award vest on January 1, 2022 and 50% of the shares underlying the RSU award vest on January 1, 2023, subject to continued service to the Company.</w:t>
      </w:r>
    </w:p>
    <w:p>
      <w:pPr>
        <w:ind w:left="660" w:right="200" w:hanging="652"/>
        <w:spacing w:after="0" w:line="246"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June 15, 2021, and the remaining shares vest in 36 equal monthly installments thereafter, subject to continued service to the Company.</w:t>
      </w:r>
    </w:p>
    <w:p>
      <w:pPr>
        <w:spacing w:after="0" w:line="1" w:lineRule="exact"/>
        <w:rPr>
          <w:rFonts w:ascii="Arial" w:cs="Arial" w:eastAsia="Arial" w:hAnsi="Arial"/>
          <w:sz w:val="16"/>
          <w:szCs w:val="16"/>
          <w:color w:val="auto"/>
        </w:rPr>
      </w:pPr>
    </w:p>
    <w:p>
      <w:pPr>
        <w:ind w:left="660" w:right="160" w:hanging="652"/>
        <w:spacing w:after="0" w:line="246"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The shares vest in 48 equal monthly installments beginning on April 6, 2020, subject to continued service to the Company.</w:t>
      </w:r>
    </w:p>
    <w:p>
      <w:pPr>
        <w:ind w:left="660" w:right="220" w:hanging="652"/>
        <w:spacing w:after="0" w:line="246"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50% of the shares underlying the RSU award vest on December 3, 2021 and 50% of the shares underlying the RSU award vest on December 3, 2022, subject to continued service to the Company.</w:t>
      </w:r>
    </w:p>
    <w:p>
      <w:pPr>
        <w:ind w:left="660" w:right="200" w:hanging="652"/>
        <w:spacing w:after="0" w:line="253"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April 1, 2021, and the remaining shares vest in 36 equal monthly installments thereafter, subject to continued service to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24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Omid Farokhzad, M.D.</w:t>
      </w:r>
    </w:p>
    <w:p>
      <w:pPr>
        <w:spacing w:after="0" w:line="24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have entered into a confirmatory employment letter with Dr. Farokhzad, our chief executive officer. The confirmatory employment letter has no specific term and provides that Dr. Farokhzad is an at-will employee. Dr. Farokhzad’s annual base salary is currently $530,400 and his annual target cash incentive bonus for 2021 is 65% of his annual base salary. The employment letter provides for our reimbursement of Dr. Farokhzad’s reasonable travel and lodging expenses incurred by him for his travel between his primary residence and our offices in Redwood City, California, as well as for additional payments sufficient to make such reimbursements tax neutral to Dr. Farokhzad.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Omead Ostadan</w:t>
      </w:r>
    </w:p>
    <w:p>
      <w:pPr>
        <w:spacing w:after="0" w:line="24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have entered into a confirmatory employment letter with Mr. Ostadan, our president and chief operating officer. The confirmatory employment letter has no specific term and provides that Mr. Ostadan is an at-will employee. Mr. Ostadan’s annual base salary is currently $446,679 and his annual target cash incentive bonus for 2021 is 45% of his annual base salary. The employment letter provides for our reimbursement of Mr. Ostadan’s reasonable travel and lodging expenses incurred by him for his work-related travel between his primary residence and our offices in Redwood City, California, until the earlier of the date on which we open an office in San Diego, California, or the date on which Mr. Ostadan relocates his primary residence to Redwood City or surrounding Bay Area in California. Such travel-related reimbursements may not exceed $50,000 annually and are subject to Mr. Ostadan’s employment with us through the date such reimbursements are paid. Additionally, the employment letter provides for additional payments sufficient to make such reimbursements tax neutral to Mr. Ostadan, subject to Mr. Ostadan’s continued employment with us through the date such reimbursements are paid.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Horn</w:t>
      </w:r>
    </w:p>
    <w:p>
      <w:pPr>
        <w:spacing w:after="0" w:line="243"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We have entered into a confirmatory employment letter with Mr. Horn, our executive vice president and chief financial officer. The confirmatory employment letter has no specific term and provides that Mr. Horn is an at-will employee. Mr. Horn’s annual base salary is currently $407,597 and his annual target cash incentive bonus for 2021 is 40% of his annual base salary.</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95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24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have entered into a change in control and severance agreement (the Severance Agreement) with Dr. Farokhzad which provides for certain severance and change in control benefits as described below.</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232" w:lineRule="exact"/>
        <w:rPr>
          <w:sz w:val="20"/>
          <w:szCs w:val="20"/>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1" w:lineRule="exact"/>
        <w:rPr>
          <w:rFonts w:ascii="Arial" w:cs="Arial" w:eastAsia="Arial" w:hAnsi="Arial"/>
          <w:sz w:val="18"/>
          <w:szCs w:val="18"/>
          <w:color w:val="auto"/>
        </w:rPr>
      </w:pPr>
    </w:p>
    <w:p>
      <w:pPr>
        <w:jc w:val="both"/>
        <w:ind w:left="660" w:right="4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1" w:lineRule="exact"/>
        <w:rPr>
          <w:rFonts w:ascii="Arial" w:cs="Arial" w:eastAsia="Arial" w:hAnsi="Arial"/>
          <w:sz w:val="18"/>
          <w:szCs w:val="18"/>
          <w:color w:val="auto"/>
        </w:rPr>
      </w:pPr>
    </w:p>
    <w:p>
      <w:pPr>
        <w:ind w:left="660" w:right="80" w:hanging="328"/>
        <w:spacing w:after="0" w:line="252"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or, with respect to the shares of company restricted stock received by Dr. Farokhzad under restricted stock purchase agreements entered into with the Company on September 20, 2017, as amended December 20, 2017 and on February 19, 2018, if greater, 100% acceleration of the number of shares that are otherwise scheduled to vest if Dr. Farokhzad remained employed by the Company (or any parent or subsidiary of the Company) through the one year anniversary of his termination.</w:t>
      </w:r>
    </w:p>
    <w:p>
      <w:pPr>
        <w:spacing w:after="0" w:line="2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during the Change in Control Period, Dr. Farokhzad’s employment with the Company is terminated either (1) by the Company without cause and not by reason of death or disability or (2) by Dr. Farokhzad as a good reason termination, Dr. Farokhzad will receive the following benefits if he timely signs and does not revoke a separation agreement and release of claims in our favor:</w:t>
      </w:r>
    </w:p>
    <w:p>
      <w:pPr>
        <w:spacing w:after="0" w:line="229" w:lineRule="exact"/>
        <w:rPr>
          <w:sz w:val="20"/>
          <w:szCs w:val="20"/>
          <w:color w:val="auto"/>
        </w:rPr>
      </w:pPr>
    </w:p>
    <w:p>
      <w:pPr>
        <w:ind w:left="660" w:right="22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cash payment equal to 150% of Dr. Farokhzad’s annualized target bonus as in effect for the performance period in which such termination occurs, or, if greater, as in effect for the performance period in which the change in control occurs;</w:t>
      </w:r>
    </w:p>
    <w:p>
      <w:pPr>
        <w:ind w:left="660" w:right="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Dr. Farokhzad’s outstanding time-based equity awards.</w:t>
      </w:r>
    </w:p>
    <w:p>
      <w:pPr>
        <w:spacing w:after="0" w:line="252"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w:t>
      </w:r>
    </w:p>
    <w:p>
      <w:pPr>
        <w:spacing w:after="0" w:line="2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Dr. Farokhzad begins employment or enters into a consultant relationship with a new employer during the period he is receiving severance benefits from us under the Severance Agreement, then any cash compensation paid to him by the new employer will reduce our cash severance benefit obligations under the Severance Agreement, and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1" w:right="339" w:bottom="1440" w:gutter="0" w:footer="0" w:header="0"/>
        </w:sectPr>
      </w:pPr>
    </w:p>
    <w:bookmarkStart w:id="33" w:name="page34"/>
    <w:bookmarkEnd w:id="33"/>
    <w:p>
      <w:pPr>
        <w:ind w:right="160"/>
        <w:spacing w:after="0" w:line="261" w:lineRule="auto"/>
        <w:rPr>
          <w:sz w:val="20"/>
          <w:szCs w:val="20"/>
          <w:color w:val="auto"/>
        </w:rPr>
      </w:pPr>
      <w:r>
        <w:rPr>
          <w:rFonts w:ascii="Arial" w:cs="Arial" w:eastAsia="Arial" w:hAnsi="Arial"/>
          <w:sz w:val="18"/>
          <w:szCs w:val="18"/>
          <w:color w:val="auto"/>
        </w:rPr>
        <w:t>we will have no obligation to provide COBRA benefits for medical, vision and dental coverage if the new employer provides such benefits to Dr. Farokhzad.</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spacing w:after="0" w:line="23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the initial existence of the good reason condition, and we must have failed to materially remedy such event within 30 days after receipt of such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Executive Change in Control and Severance Plan</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adopted a Key Executive Change in Control and Severance Plan (the Severance Plan) in December 2020, in order to provide specified severance and change in control pay and benefits, to key executives selected by us. We have entered into participation agreements with each of Mr. Ostadan or Mr. Horn (each, a Participation Agreement) under our Severance Plan.</w:t>
      </w:r>
    </w:p>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Severance Plan and related Participation Agreements provide that if Mr. Ostadan or Mr. Horn’s employment is terminated outside the period beginning on the date of a change in control and ending on the one-year anniversary date of such change in control (the Change in Control Period) either (1) by the Company without “cause” and not by reason of death or disability or (2) by the named executive officer as a “good reason termination” (as such terms are defined in his or her Participation Agreement), the named executive officer will receive the following benefits if he timely signs and does not revoke a separation agreement and release of claims in our favor:</w:t>
      </w:r>
    </w:p>
    <w:p>
      <w:pPr>
        <w:spacing w:after="0" w:line="232" w:lineRule="exact"/>
        <w:rPr>
          <w:sz w:val="20"/>
          <w:szCs w:val="20"/>
          <w:color w:val="auto"/>
        </w:rPr>
      </w:pPr>
    </w:p>
    <w:p>
      <w:pPr>
        <w:ind w:left="660" w:right="2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949" w:right="339" w:bottom="1440" w:gutter="0" w:footer="0" w:header="0"/>
        </w:sectPr>
      </w:pPr>
    </w:p>
    <w:bookmarkStart w:id="34" w:name="page35"/>
    <w:bookmarkEnd w:id="34"/>
    <w:p>
      <w:pPr>
        <w:ind w:left="660" w:right="42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premiums for coverage under COBRA, for the named executive officer and his eligible dependents, if any, for up to nine months.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during the Change in Control Period, Mr. Ostadan or Mr. Horn’s employment with the Company is terminated either (1) by the Company without cause and not by reason of death or disability or (2) by the named executive officer as a good reason termination, the named executive officer will receive the following benefits if he timely signs and does not revoke a separation agreement and release of claims in our favor:</w:t>
      </w:r>
    </w:p>
    <w:p>
      <w:pPr>
        <w:spacing w:after="0" w:line="231" w:lineRule="exact"/>
        <w:rPr>
          <w:sz w:val="20"/>
          <w:szCs w:val="20"/>
          <w:color w:val="auto"/>
        </w:rPr>
      </w:pPr>
    </w:p>
    <w:p>
      <w:pPr>
        <w:ind w:left="660" w:hanging="328"/>
        <w:spacing w:after="0" w:line="265"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jc w:val="both"/>
        <w:ind w:left="660" w:right="200" w:hanging="328"/>
        <w:spacing w:after="0" w:line="265"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ind w:left="660" w:right="24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payment of premiums for coverage under COBRA, for a named executive officer and his eligible dependents, if any, for up to twelve months;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a named executive officer’s outstanding time-based equity awards.</w:t>
      </w:r>
    </w:p>
    <w:p>
      <w:pPr>
        <w:spacing w:after="0" w:line="252" w:lineRule="exact"/>
        <w:rPr>
          <w:sz w:val="20"/>
          <w:szCs w:val="20"/>
          <w:color w:val="auto"/>
        </w:rPr>
      </w:pPr>
    </w:p>
    <w:p>
      <w:pPr>
        <w:jc w:val="both"/>
        <w:ind w:right="460"/>
        <w:spacing w:after="0" w:line="278" w:lineRule="auto"/>
        <w:rPr>
          <w:sz w:val="20"/>
          <w:szCs w:val="20"/>
          <w:color w:val="auto"/>
        </w:rPr>
      </w:pPr>
      <w:r>
        <w:rPr>
          <w:rFonts w:ascii="Arial" w:cs="Arial" w:eastAsia="Arial" w:hAnsi="Arial"/>
          <w:sz w:val="17"/>
          <w:szCs w:val="17"/>
          <w:color w:val="auto"/>
        </w:rPr>
        <w:t>In addition to signing and not revoking a separation agreement and release of claims in our favor, Mr. Ostadan or Mr. Horn’s receipt and retention of any severance benefits under his Participation Agreement is subject to his compliance with the terms of any confidentiality, information and inventions agreement or other written agreement with us under which he has a material duty or obligation to us.</w:t>
      </w: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If Mr. Ostadan or Mr. Horn begins employment or enters into a consultant relationship with a new employer during the period he is receiving severance benefits from us under the Severance Plan and a related Participation Agreement, then any cash compensation paid the named executive officer by the new employer will reduce our cash severance benefit obligations under the Severance Plan, and we will have no obligation to provide for (or provide any payments in lieu of) medical, vision and dental coverage if the new employer provides such benefits to such named executive officer.</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if, (a) during the time period beginning upon the consummation of a change in control and ending on the date immediately prior to the two year anniversary of the change in control (such two-year anniversary, the Retention Date), the employment of Mr. Ostadan or Mr. Horn with the Company (or any parent or subsidiary of the Company) is terminated either (1) by the Company without cause and not by reason of death or disability, or (2) by the named executive officer as a good reason termination, or (b) such named executive officer remains employed by the Company (or any parent or subsidiary of the Company) through the Retention Date, and if he timely signs and does not revoke a release of claims in our favor, the named executive officer will receive 100% accelerated vesting of all of his then-unvested and outstanding Company equity awards that were granted prior to our initial public offering.</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spacing w:after="0" w:line="2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each of Mr. Ostadan or Mr. Horn’s Participation Agreements, “cause” generally means a named executive officer’s: failure to significantly perform his assigned duties or responsibilities as an employee (other than a failure 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949" w:right="339" w:bottom="1440" w:gutter="0" w:footer="0" w:header="0"/>
        </w:sectPr>
      </w:pPr>
    </w:p>
    <w:bookmarkStart w:id="35" w:name="page36"/>
    <w:bookmarkEnd w:id="35"/>
    <w:p>
      <w:pPr>
        <w:ind w:right="260"/>
        <w:spacing w:after="0" w:line="261" w:lineRule="auto"/>
        <w:rPr>
          <w:sz w:val="20"/>
          <w:szCs w:val="20"/>
          <w:color w:val="auto"/>
        </w:rPr>
      </w:pPr>
      <w:r>
        <w:rPr>
          <w:rFonts w:ascii="Arial" w:cs="Arial" w:eastAsia="Arial" w:hAnsi="Arial"/>
          <w:sz w:val="18"/>
          <w:szCs w:val="18"/>
          <w:color w:val="auto"/>
        </w:rPr>
        <w:t>turpitude; or willful misconduct which significantly and adversely reflects upon the business, operations, or reputation of the Company, and failure to cure such misconduct within ten days after receiving written notice from the Company.</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each of Mr. Ostadan or Mr. Horn’s Participation Agreements, “good reason termination” generally means that such named executive officer resigns from the Company within 60 days following the end of our cure period discussed below as a result of any of the following that occurs without his written consent: a material reduction in his base salary as compared to his base salary in effect immediately prior to such reduction; a material change in the geographic location of his primary work facility or location, provided, that a relocation that increases his commute by 50 miles or less or to his home as the executive’s primary work location will not be considered a material change in geographic location; or a material reduction of his authority, duties or responsibilities, unless he is provided with a comparable position. For a resignation to qualify as a “good reason termination,” a named executive officer also must provide written notice within 60 days following the initial existence of the good reason condition, and such action must not have been reversed, remedied or cured within 30 days following our receipt of such written notice.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provides information as of December 31, 2020 with respect to shares of our common stock that may be issued under our existing equity compensation plans.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Available for Future</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Securities to be</w:t>
            </w: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Issuance Under</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Issued upon</w:t>
            </w:r>
          </w:p>
        </w:tc>
        <w:tc>
          <w:tcPr>
            <w:tcW w:w="15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Exercise of</w:t>
            </w:r>
          </w:p>
        </w:tc>
        <w:tc>
          <w:tcPr>
            <w:tcW w:w="1540" w:type="dxa"/>
            <w:vAlign w:val="bottom"/>
            <w:gridSpan w:val="3"/>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1"/>
                <w:szCs w:val="11"/>
                <w:color w:val="auto"/>
              </w:rPr>
            </w:pP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Exercise Price of</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Options, Restricted</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Outstanding</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35"/>
        </w:trPr>
        <w:tc>
          <w:tcPr>
            <w:tcW w:w="6640" w:type="dxa"/>
            <w:vAlign w:val="bottom"/>
            <w:gridSpan w:val="2"/>
            <w:vMerge w:val="restart"/>
          </w:tcPr>
          <w:p>
            <w:pPr>
              <w:jc w:val="center"/>
              <w:ind w:right="5539"/>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1"/>
                <w:szCs w:val="11"/>
                <w:color w:val="auto"/>
              </w:rPr>
            </w:pP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Stock Units and</w:t>
            </w:r>
          </w:p>
        </w:tc>
        <w:tc>
          <w:tcPr>
            <w:tcW w:w="15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Options and Rights</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Reflected in the first</w:t>
            </w:r>
          </w:p>
        </w:tc>
        <w:tc>
          <w:tcPr>
            <w:tcW w:w="0" w:type="dxa"/>
            <w:vAlign w:val="bottom"/>
          </w:tcPr>
          <w:p>
            <w:pPr>
              <w:spacing w:after="0"/>
              <w:rPr>
                <w:sz w:val="1"/>
                <w:szCs w:val="1"/>
                <w:color w:val="auto"/>
              </w:rPr>
            </w:pPr>
          </w:p>
        </w:tc>
      </w:tr>
      <w:tr>
        <w:trPr>
          <w:trHeight w:val="175"/>
        </w:trPr>
        <w:tc>
          <w:tcPr>
            <w:tcW w:w="66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 (#)</w:t>
            </w: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w:t>
            </w:r>
          </w:p>
        </w:tc>
        <w:tc>
          <w:tcPr>
            <w:tcW w:w="0" w:type="dxa"/>
            <w:vAlign w:val="bottom"/>
          </w:tcPr>
          <w:p>
            <w:pPr>
              <w:spacing w:after="0"/>
              <w:rPr>
                <w:sz w:val="1"/>
                <w:szCs w:val="1"/>
                <w:color w:val="auto"/>
              </w:rPr>
            </w:pPr>
          </w:p>
        </w:tc>
      </w:tr>
      <w:tr>
        <w:trPr>
          <w:trHeight w:val="210"/>
        </w:trPr>
        <w:tc>
          <w:tcPr>
            <w:tcW w:w="67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center"/>
              <w:ind w:left="260"/>
              <w:spacing w:after="0"/>
              <w:rPr>
                <w:sz w:val="20"/>
                <w:szCs w:val="20"/>
                <w:color w:val="auto"/>
              </w:rPr>
            </w:pPr>
            <w:r>
              <w:rPr>
                <w:rFonts w:ascii="Arial" w:cs="Arial" w:eastAsia="Arial" w:hAnsi="Arial"/>
                <w:sz w:val="16"/>
                <w:szCs w:val="16"/>
                <w:i w:val="1"/>
                <w:iCs w:val="1"/>
                <w:color w:val="auto"/>
              </w:rPr>
              <w:t>2017</w:t>
            </w:r>
          </w:p>
        </w:tc>
        <w:tc>
          <w:tcPr>
            <w:tcW w:w="6000" w:type="dxa"/>
            <w:vAlign w:val="bottom"/>
            <w:gridSpan w:val="2"/>
          </w:tcPr>
          <w:p>
            <w:pPr>
              <w:ind w:left="20"/>
              <w:spacing w:after="0" w:line="216" w:lineRule="exact"/>
              <w:rPr>
                <w:sz w:val="20"/>
                <w:szCs w:val="20"/>
                <w:color w:val="auto"/>
              </w:rPr>
            </w:pPr>
            <w:r>
              <w:rPr>
                <w:rFonts w:ascii="Arial" w:cs="Arial" w:eastAsia="Arial" w:hAnsi="Arial"/>
                <w:sz w:val="16"/>
                <w:szCs w:val="16"/>
                <w:i w:val="1"/>
                <w:iCs w:val="1"/>
                <w:color w:val="auto"/>
              </w:rPr>
              <w:t xml:space="preserve">Stock Incentive Plan </w:t>
            </w:r>
            <w:r>
              <w:rPr>
                <w:rFonts w:ascii="Arial" w:cs="Arial" w:eastAsia="Arial" w:hAnsi="Arial"/>
                <w:sz w:val="21"/>
                <w:szCs w:val="21"/>
                <w:i w:val="1"/>
                <w:iCs w:val="1"/>
                <w:color w:val="auto"/>
                <w:vertAlign w:val="superscript"/>
              </w:rPr>
              <w:t>(1)</w:t>
            </w: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7,980,097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40" w:type="dxa"/>
            <w:vAlign w:val="bottom"/>
            <w:shd w:val="clear" w:color="auto" w:fill="CFF0FC"/>
          </w:tcPr>
          <w:p>
            <w:pPr>
              <w:jc w:val="center"/>
              <w:ind w:left="260"/>
              <w:spacing w:after="0"/>
              <w:rPr>
                <w:sz w:val="20"/>
                <w:szCs w:val="20"/>
                <w:color w:val="auto"/>
              </w:rPr>
            </w:pPr>
            <w:r>
              <w:rPr>
                <w:rFonts w:ascii="Arial" w:cs="Arial" w:eastAsia="Arial" w:hAnsi="Arial"/>
                <w:sz w:val="16"/>
                <w:szCs w:val="16"/>
                <w:i w:val="1"/>
                <w:iCs w:val="1"/>
                <w:color w:val="auto"/>
              </w:rPr>
              <w:t>2020</w:t>
            </w:r>
          </w:p>
        </w:tc>
        <w:tc>
          <w:tcPr>
            <w:tcW w:w="600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6"/>
                <w:szCs w:val="16"/>
                <w:i w:val="1"/>
                <w:iCs w:val="1"/>
                <w:color w:val="auto"/>
              </w:rPr>
              <w:t xml:space="preserve">Equity Incentive Plan </w:t>
            </w:r>
            <w:r>
              <w:rPr>
                <w:rFonts w:ascii="Arial" w:cs="Arial" w:eastAsia="Arial" w:hAnsi="Arial"/>
                <w:sz w:val="21"/>
                <w:szCs w:val="21"/>
                <w:i w:val="1"/>
                <w:iCs w:val="1"/>
                <w:color w:val="auto"/>
                <w:vertAlign w:val="superscript"/>
              </w:rPr>
              <w:t>(2)</w:t>
            </w: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1,680,304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19.00</w:t>
            </w: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3,782,850</w:t>
            </w:r>
          </w:p>
        </w:tc>
        <w:tc>
          <w:tcPr>
            <w:tcW w:w="0" w:type="dxa"/>
            <w:vAlign w:val="bottom"/>
          </w:tcPr>
          <w:p>
            <w:pPr>
              <w:spacing w:after="0"/>
              <w:rPr>
                <w:sz w:val="1"/>
                <w:szCs w:val="1"/>
                <w:color w:val="auto"/>
              </w:rPr>
            </w:pPr>
          </w:p>
        </w:tc>
      </w:tr>
      <w:tr>
        <w:trPr>
          <w:trHeight w:val="216"/>
        </w:trPr>
        <w:tc>
          <w:tcPr>
            <w:tcW w:w="740" w:type="dxa"/>
            <w:vAlign w:val="bottom"/>
          </w:tcPr>
          <w:p>
            <w:pPr>
              <w:jc w:val="center"/>
              <w:ind w:left="260"/>
              <w:spacing w:after="0"/>
              <w:rPr>
                <w:sz w:val="20"/>
                <w:szCs w:val="20"/>
                <w:color w:val="auto"/>
              </w:rPr>
            </w:pPr>
            <w:r>
              <w:rPr>
                <w:rFonts w:ascii="Arial" w:cs="Arial" w:eastAsia="Arial" w:hAnsi="Arial"/>
                <w:sz w:val="16"/>
                <w:szCs w:val="16"/>
                <w:i w:val="1"/>
                <w:iCs w:val="1"/>
                <w:color w:val="auto"/>
              </w:rPr>
              <w:t>2020</w:t>
            </w:r>
          </w:p>
        </w:tc>
        <w:tc>
          <w:tcPr>
            <w:tcW w:w="6000" w:type="dxa"/>
            <w:vAlign w:val="bottom"/>
            <w:gridSpan w:val="2"/>
          </w:tcPr>
          <w:p>
            <w:pPr>
              <w:ind w:left="20"/>
              <w:spacing w:after="0" w:line="216" w:lineRule="exact"/>
              <w:rPr>
                <w:sz w:val="20"/>
                <w:szCs w:val="20"/>
                <w:color w:val="auto"/>
              </w:rPr>
            </w:pPr>
            <w:r>
              <w:rPr>
                <w:rFonts w:ascii="Arial" w:cs="Arial" w:eastAsia="Arial" w:hAnsi="Arial"/>
                <w:sz w:val="16"/>
                <w:szCs w:val="16"/>
                <w:i w:val="1"/>
                <w:iCs w:val="1"/>
                <w:color w:val="auto"/>
              </w:rPr>
              <w:t xml:space="preserve">Employee Stock Purchase Plan </w:t>
            </w:r>
            <w:r>
              <w:rPr>
                <w:rFonts w:ascii="Arial" w:cs="Arial" w:eastAsia="Arial" w:hAnsi="Arial"/>
                <w:sz w:val="21"/>
                <w:szCs w:val="21"/>
                <w:i w:val="1"/>
                <w:iCs w:val="1"/>
                <w:color w:val="auto"/>
                <w:vertAlign w:val="superscript"/>
              </w:rPr>
              <w:t>(3)</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602,570</w:t>
            </w:r>
          </w:p>
        </w:tc>
        <w:tc>
          <w:tcPr>
            <w:tcW w:w="0" w:type="dxa"/>
            <w:vAlign w:val="bottom"/>
          </w:tcPr>
          <w:p>
            <w:pPr>
              <w:spacing w:after="0"/>
              <w:rPr>
                <w:sz w:val="1"/>
                <w:szCs w:val="1"/>
                <w:color w:val="auto"/>
              </w:rPr>
            </w:pPr>
          </w:p>
        </w:tc>
      </w:tr>
      <w:tr>
        <w:trPr>
          <w:trHeight w:val="216"/>
        </w:trPr>
        <w:tc>
          <w:tcPr>
            <w:tcW w:w="740" w:type="dxa"/>
            <w:vAlign w:val="bottom"/>
            <w:shd w:val="clear" w:color="auto" w:fill="CFF0FC"/>
          </w:tcPr>
          <w:p>
            <w:pPr>
              <w:jc w:val="center"/>
              <w:ind w:left="260"/>
              <w:spacing w:after="0"/>
              <w:rPr>
                <w:sz w:val="20"/>
                <w:szCs w:val="20"/>
                <w:color w:val="auto"/>
              </w:rPr>
            </w:pPr>
            <w:r>
              <w:rPr>
                <w:rFonts w:ascii="Arial" w:cs="Arial" w:eastAsia="Arial" w:hAnsi="Arial"/>
                <w:sz w:val="16"/>
                <w:szCs w:val="16"/>
                <w:i w:val="1"/>
                <w:iCs w:val="1"/>
                <w:color w:val="auto"/>
              </w:rPr>
              <w:t>2020</w:t>
            </w:r>
          </w:p>
        </w:tc>
        <w:tc>
          <w:tcPr>
            <w:tcW w:w="600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6"/>
                <w:szCs w:val="16"/>
                <w:i w:val="1"/>
                <w:iCs w:val="1"/>
                <w:color w:val="auto"/>
              </w:rPr>
              <w:t xml:space="preserve">RSU Equity Incentive Plan </w:t>
            </w:r>
            <w:r>
              <w:rPr>
                <w:rFonts w:ascii="Arial" w:cs="Arial" w:eastAsia="Arial" w:hAnsi="Arial"/>
                <w:sz w:val="21"/>
                <w:szCs w:val="21"/>
                <w:i w:val="1"/>
                <w:iCs w:val="1"/>
                <w:color w:val="auto"/>
                <w:vertAlign w:val="superscript"/>
              </w:rPr>
              <w:t>(4)</w:t>
            </w: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381,922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40" w:type="dxa"/>
            <w:vAlign w:val="bottom"/>
          </w:tcPr>
          <w:p>
            <w:pPr>
              <w:ind w:left="20"/>
              <w:spacing w:after="0"/>
              <w:rPr>
                <w:sz w:val="20"/>
                <w:szCs w:val="20"/>
                <w:color w:val="auto"/>
              </w:rPr>
            </w:pPr>
            <w:r>
              <w:rPr>
                <w:rFonts w:ascii="Arial" w:cs="Arial" w:eastAsia="Arial" w:hAnsi="Arial"/>
                <w:sz w:val="16"/>
                <w:szCs w:val="16"/>
                <w:color w:val="auto"/>
              </w:rPr>
              <w:t>TOTAL</w:t>
            </w: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10,042,323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4,385,420</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ind w:left="660" w:right="20" w:hanging="652"/>
        <w:spacing w:after="0" w:line="250"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2017 Stock Incentive Plan, as amended and restated (the 2017 Plan). In connection with our initial public offering and the adoption of the 2020 Plan, we no longer grant awards under the 2017 Plan; however, all outstanding options issued pursuant to the 2017 Plan continue to be governed by their existing terms. To the extent that any such awards are forfeited or lapse unexercised or are repurchased, the shares of common stock subject to such awards will become available for issuance under the 2020 Plan. Includes options to purchase 7,980,097 shares of our common stock outstanding under the 2017 Plan.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949" w:right="339" w:bottom="1440" w:gutter="0" w:footer="0" w:header="0"/>
        </w:sectPr>
      </w:pPr>
    </w:p>
    <w:bookmarkStart w:id="36" w:name="page37"/>
    <w:bookmarkEnd w:id="36"/>
    <w:p>
      <w:pPr>
        <w:ind w:left="660" w:right="140" w:hanging="652"/>
        <w:spacing w:after="0" w:line="246"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9,037,149 shares, (ii) five percent (5%) of the outstanding shares of common stock on the last day of the immediately preceding fiscal year or (iii) such other amount as our board of directors may determine. Includes 1,680,304 shares of our common stock issuable under options to purchase common stock and restricted stock units outstanding under our 2020 Plan.</w:t>
      </w:r>
    </w:p>
    <w:p>
      <w:pPr>
        <w:spacing w:after="0" w:line="2" w:lineRule="exact"/>
        <w:rPr>
          <w:rFonts w:ascii="Arial" w:cs="Arial" w:eastAsia="Arial" w:hAnsi="Arial"/>
          <w:sz w:val="16"/>
          <w:szCs w:val="16"/>
          <w:color w:val="auto"/>
        </w:rPr>
      </w:pPr>
    </w:p>
    <w:p>
      <w:pPr>
        <w:ind w:left="660" w:right="60" w:hanging="652"/>
        <w:spacing w:after="0" w:line="246"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board of directors adopted, and our shareholders approved, the 2020 Employee Stock Purchase Plan (the ESPP). The ESPP provides that the number of shares available for issuance under the ESPP will be increased on the first day of each fiscal year beginning with the 2021 fiscal year, in an amount equal to the least of (i) 1,807,476 shares, (ii) one percent (1%) of the outstanding shares of common stock on the last day of the immediately preceding fiscal year or (iii) such other amount as may be determined by our board of directors.</w:t>
      </w:r>
    </w:p>
    <w:p>
      <w:pPr>
        <w:spacing w:after="0" w:line="1" w:lineRule="exact"/>
        <w:rPr>
          <w:rFonts w:ascii="Arial" w:cs="Arial" w:eastAsia="Arial" w:hAnsi="Arial"/>
          <w:sz w:val="16"/>
          <w:szCs w:val="16"/>
          <w:color w:val="auto"/>
        </w:rPr>
      </w:pPr>
    </w:p>
    <w:p>
      <w:pPr>
        <w:ind w:left="660" w:right="120" w:hanging="652"/>
        <w:spacing w:after="0" w:line="253"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2020 RSU Equity Incentive Plan, as amended and restated (the RSU Plan). In connection with our initial public offering, we no longer grant awards under the RSU Plan; however, all outstanding restricted stock units (RSUs) issued pursuant to the RSU Plan continue to be governed by their existing terms. Includes 491,318 RSUs outstanding under the RSU Plan.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2021 for:</w:t>
      </w:r>
    </w:p>
    <w:p>
      <w:pPr>
        <w:spacing w:after="0" w:line="225"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person or group known by us to be the beneficial owner of more than 5% of our common stock.</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based our calculation of the percentage of beneficial ownership prior to this offering on 56,606,968 shares of our Class A common stock and 4,702,381 shares of our Class B common stock outstanding as of March 31, 2021. We have deemed shares of our Class A common stock subject to stock options that are currently exercisable or exercisable within 60 days of March 31, 2021, or issuable pursuant to RSAs which are subject to vesting and settlement conditions expected to occur within 60 days of March 31, 2021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Holders of our Class A common stock are entitled to one vote for each share held on all matters submitted to a vote of stockholders and holders of our Class B common stock are entitled to ten votes for each share held.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8, 2025.</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951" w:right="339" w:bottom="1440" w:gutter="0" w:footer="0" w:header="0"/>
        </w:sectPr>
      </w:pPr>
    </w:p>
    <w:bookmarkStart w:id="37" w:name="page38"/>
    <w:bookmarkEnd w:id="37"/>
    <w:p>
      <w:pPr>
        <w:ind w:right="200"/>
        <w:spacing w:after="0" w:line="261" w:lineRule="auto"/>
        <w:rPr>
          <w:sz w:val="20"/>
          <w:szCs w:val="20"/>
          <w:color w:val="auto"/>
        </w:rPr>
      </w:pPr>
      <w:r>
        <w:rPr>
          <w:rFonts w:ascii="Arial" w:cs="Arial" w:eastAsia="Arial" w:hAnsi="Arial"/>
          <w:sz w:val="18"/>
          <w:szCs w:val="18"/>
          <w:color w:val="auto"/>
        </w:rPr>
        <w:t>Unless otherwise indicated, the address of each beneficial owner listed in the table below is c/o Seer, Inc. 3800 Bridge Parkway, Suite 102, Redwood City, California 94065.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Amount and Nature of Beneficial Ownership</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Voting % of Total</w:t>
            </w:r>
          </w:p>
        </w:tc>
        <w:tc>
          <w:tcPr>
            <w:tcW w:w="0" w:type="dxa"/>
            <w:vAlign w:val="bottom"/>
          </w:tcPr>
          <w:p>
            <w:pPr>
              <w:spacing w:after="0"/>
              <w:rPr>
                <w:sz w:val="1"/>
                <w:szCs w:val="1"/>
                <w:color w:val="auto"/>
              </w:rPr>
            </w:pPr>
          </w:p>
        </w:tc>
      </w:tr>
      <w:tr>
        <w:trPr>
          <w:trHeight w:val="101"/>
        </w:trPr>
        <w:tc>
          <w:tcPr>
            <w:tcW w:w="4320" w:type="dxa"/>
            <w:vAlign w:val="bottom"/>
          </w:tcPr>
          <w:p>
            <w:pPr>
              <w:spacing w:after="0"/>
              <w:rPr>
                <w:sz w:val="8"/>
                <w:szCs w:val="8"/>
                <w:color w:val="auto"/>
              </w:rPr>
            </w:pPr>
          </w:p>
        </w:tc>
        <w:tc>
          <w:tcPr>
            <w:tcW w:w="22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Class A Common Stock</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Class B Common Stock</w:t>
            </w:r>
          </w:p>
        </w:tc>
        <w:tc>
          <w:tcPr>
            <w:tcW w:w="10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2240" w:type="dxa"/>
            <w:vAlign w:val="bottom"/>
            <w:tcBorders>
              <w:bottom w:val="single" w:sz="8" w:color="auto"/>
            </w:tcBorders>
            <w:gridSpan w:val="4"/>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Borders>
              <w:bottom w:val="single" w:sz="8" w:color="auto"/>
            </w:tcBorders>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24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98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Capital Stock</w:t>
            </w:r>
          </w:p>
        </w:tc>
        <w:tc>
          <w:tcPr>
            <w:tcW w:w="0" w:type="dxa"/>
            <w:vAlign w:val="bottom"/>
          </w:tcPr>
          <w:p>
            <w:pPr>
              <w:spacing w:after="0"/>
              <w:rPr>
                <w:sz w:val="1"/>
                <w:szCs w:val="1"/>
                <w:color w:val="auto"/>
              </w:rPr>
            </w:pPr>
          </w:p>
        </w:tc>
      </w:tr>
      <w:tr>
        <w:trPr>
          <w:trHeight w:val="16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Named Executive Officers:</w:t>
            </w:r>
          </w:p>
        </w:tc>
        <w:tc>
          <w:tcPr>
            <w:tcW w:w="12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Omid Farokhzad, M.D.</w:t>
            </w:r>
            <w:r>
              <w:rPr>
                <w:rFonts w:ascii="Arial" w:cs="Arial" w:eastAsia="Arial" w:hAnsi="Arial"/>
                <w:sz w:val="18"/>
                <w:szCs w:val="18"/>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6"/>
                <w:szCs w:val="16"/>
                <w:color w:val="auto"/>
              </w:rPr>
              <w:t>1,728,449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3,555,195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75.6</w:t>
            </w:r>
          </w:p>
        </w:tc>
        <w:tc>
          <w:tcPr>
            <w:tcW w:w="1420" w:type="dxa"/>
            <w:vAlign w:val="bottom"/>
            <w:gridSpan w:val="2"/>
          </w:tcPr>
          <w:p>
            <w:pPr>
              <w:jc w:val="right"/>
              <w:ind w:right="6"/>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R. Horn</w:t>
            </w:r>
            <w:r>
              <w:rPr>
                <w:rFonts w:ascii="Arial" w:cs="Arial" w:eastAsia="Arial" w:hAnsi="Arial"/>
                <w:sz w:val="18"/>
                <w:szCs w:val="18"/>
                <w:color w:val="auto"/>
                <w:vertAlign w:val="superscript"/>
              </w:rPr>
              <w:t>(2)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Omead Ostadan</w:t>
            </w:r>
            <w:r>
              <w:rPr>
                <w:rFonts w:ascii="Arial" w:cs="Arial" w:eastAsia="Arial" w:hAnsi="Arial"/>
                <w:sz w:val="18"/>
                <w:szCs w:val="18"/>
                <w:color w:val="auto"/>
                <w:vertAlign w:val="superscript"/>
              </w:rPr>
              <w:t>(3)</w:t>
            </w:r>
          </w:p>
        </w:tc>
        <w:tc>
          <w:tcPr>
            <w:tcW w:w="1240" w:type="dxa"/>
            <w:vAlign w:val="bottom"/>
          </w:tcPr>
          <w:p>
            <w:pPr>
              <w:jc w:val="right"/>
              <w:spacing w:after="0"/>
              <w:rPr>
                <w:sz w:val="20"/>
                <w:szCs w:val="20"/>
                <w:color w:val="auto"/>
              </w:rPr>
            </w:pPr>
            <w:r>
              <w:rPr>
                <w:rFonts w:ascii="Arial" w:cs="Arial" w:eastAsia="Arial" w:hAnsi="Arial"/>
                <w:sz w:val="16"/>
                <w:szCs w:val="16"/>
                <w:color w:val="auto"/>
              </w:rPr>
              <w:t>1,596,527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6"/>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Hallal</w:t>
            </w:r>
            <w:r>
              <w:rPr>
                <w:rFonts w:ascii="Arial" w:cs="Arial" w:eastAsia="Arial" w:hAnsi="Arial"/>
                <w:sz w:val="18"/>
                <w:szCs w:val="18"/>
                <w:color w:val="auto"/>
                <w:vertAlign w:val="superscript"/>
              </w:rPr>
              <w:t>(4)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471,199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Catherine J. Friedman</w:t>
            </w:r>
            <w:r>
              <w:rPr>
                <w:rFonts w:ascii="Arial" w:cs="Arial" w:eastAsia="Arial" w:hAnsi="Arial"/>
                <w:sz w:val="18"/>
                <w:szCs w:val="18"/>
                <w:color w:val="auto"/>
                <w:vertAlign w:val="superscript"/>
              </w:rPr>
              <w:t>(5)</w:t>
            </w:r>
          </w:p>
        </w:tc>
        <w:tc>
          <w:tcPr>
            <w:tcW w:w="1240" w:type="dxa"/>
            <w:vAlign w:val="bottom"/>
          </w:tcPr>
          <w:p>
            <w:pPr>
              <w:jc w:val="right"/>
              <w:spacing w:after="0"/>
              <w:rPr>
                <w:sz w:val="20"/>
                <w:szCs w:val="20"/>
                <w:color w:val="auto"/>
              </w:rPr>
            </w:pPr>
            <w:r>
              <w:rPr>
                <w:rFonts w:ascii="Arial" w:cs="Arial" w:eastAsia="Arial" w:hAnsi="Arial"/>
                <w:sz w:val="16"/>
                <w:szCs w:val="16"/>
                <w:color w:val="auto"/>
              </w:rPr>
              <w:t>155,762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Langer, Sc.D.</w:t>
            </w:r>
            <w:r>
              <w:rPr>
                <w:rFonts w:ascii="Arial" w:cs="Arial" w:eastAsia="Arial" w:hAnsi="Arial"/>
                <w:sz w:val="18"/>
                <w:szCs w:val="18"/>
                <w:color w:val="auto"/>
                <w:vertAlign w:val="superscript"/>
              </w:rPr>
              <w:t>(6)</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708,429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42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Terrance McGuire</w:t>
            </w:r>
            <w:r>
              <w:rPr>
                <w:rFonts w:ascii="Arial" w:cs="Arial" w:eastAsia="Arial" w:hAnsi="Arial"/>
                <w:sz w:val="18"/>
                <w:szCs w:val="18"/>
                <w:color w:val="auto"/>
                <w:vertAlign w:val="superscript"/>
              </w:rPr>
              <w:t>(7)</w:t>
            </w:r>
          </w:p>
        </w:tc>
        <w:tc>
          <w:tcPr>
            <w:tcW w:w="1240" w:type="dxa"/>
            <w:vAlign w:val="bottom"/>
          </w:tcPr>
          <w:p>
            <w:pPr>
              <w:jc w:val="right"/>
              <w:spacing w:after="0"/>
              <w:rPr>
                <w:sz w:val="20"/>
                <w:szCs w:val="20"/>
                <w:color w:val="auto"/>
              </w:rPr>
            </w:pPr>
            <w:r>
              <w:rPr>
                <w:rFonts w:ascii="Arial" w:cs="Arial" w:eastAsia="Arial" w:hAnsi="Arial"/>
                <w:sz w:val="16"/>
                <w:szCs w:val="16"/>
                <w:color w:val="auto"/>
              </w:rPr>
              <w:t>490,907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Deep Nishar</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Mostafa Ronaghi, Ph.D.</w:t>
            </w:r>
            <w:r>
              <w:rPr>
                <w:rFonts w:ascii="Arial" w:cs="Arial" w:eastAsia="Arial" w:hAnsi="Arial"/>
                <w:sz w:val="18"/>
                <w:szCs w:val="18"/>
                <w:color w:val="auto"/>
                <w:vertAlign w:val="superscript"/>
              </w:rPr>
              <w:t>(8)</w:t>
            </w:r>
          </w:p>
        </w:tc>
        <w:tc>
          <w:tcPr>
            <w:tcW w:w="1240" w:type="dxa"/>
            <w:vAlign w:val="bottom"/>
          </w:tcPr>
          <w:p>
            <w:pPr>
              <w:jc w:val="right"/>
              <w:spacing w:after="0"/>
              <w:rPr>
                <w:sz w:val="20"/>
                <w:szCs w:val="20"/>
                <w:color w:val="auto"/>
              </w:rPr>
            </w:pPr>
            <w:r>
              <w:rPr>
                <w:rFonts w:ascii="Arial" w:cs="Arial" w:eastAsia="Arial" w:hAnsi="Arial"/>
                <w:sz w:val="16"/>
                <w:szCs w:val="16"/>
                <w:color w:val="auto"/>
              </w:rPr>
              <w:t>439,166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Singer</w:t>
            </w:r>
            <w:r>
              <w:rPr>
                <w:rFonts w:ascii="Arial" w:cs="Arial" w:eastAsia="Arial" w:hAnsi="Arial"/>
                <w:sz w:val="18"/>
                <w:szCs w:val="18"/>
                <w:color w:val="auto"/>
                <w:vertAlign w:val="superscript"/>
              </w:rPr>
              <w:t>(9)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5,430,705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42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All executive officers and directors as a group (11 persons)</w:t>
            </w:r>
            <w:r>
              <w:rPr>
                <w:rFonts w:ascii="Arial" w:cs="Arial" w:eastAsia="Arial" w:hAnsi="Arial"/>
                <w:sz w:val="18"/>
                <w:szCs w:val="18"/>
                <w:color w:val="auto"/>
                <w:vertAlign w:val="superscript"/>
              </w:rPr>
              <w:t>(10)</w:t>
            </w:r>
          </w:p>
        </w:tc>
        <w:tc>
          <w:tcPr>
            <w:tcW w:w="1240" w:type="dxa"/>
            <w:vAlign w:val="bottom"/>
          </w:tcPr>
          <w:p>
            <w:pPr>
              <w:jc w:val="right"/>
              <w:spacing w:after="0"/>
              <w:rPr>
                <w:sz w:val="20"/>
                <w:szCs w:val="20"/>
                <w:color w:val="auto"/>
              </w:rPr>
            </w:pPr>
            <w:r>
              <w:rPr>
                <w:rFonts w:ascii="Arial" w:cs="Arial" w:eastAsia="Arial" w:hAnsi="Arial"/>
                <w:sz w:val="16"/>
                <w:szCs w:val="16"/>
                <w:color w:val="auto"/>
              </w:rPr>
              <w:t>12,275,134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4,068,333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86.5</w:t>
            </w:r>
          </w:p>
        </w:tc>
        <w:tc>
          <w:tcPr>
            <w:tcW w:w="1420" w:type="dxa"/>
            <w:vAlign w:val="bottom"/>
            <w:gridSpan w:val="2"/>
          </w:tcPr>
          <w:p>
            <w:pPr>
              <w:jc w:val="right"/>
              <w:ind w:right="6"/>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Greater than 5% Stockholders:</w:t>
            </w: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Entities affiliated with aMoon Fund</w:t>
            </w:r>
            <w:r>
              <w:rPr>
                <w:rFonts w:ascii="Arial" w:cs="Arial" w:eastAsia="Arial" w:hAnsi="Arial"/>
                <w:sz w:val="18"/>
                <w:szCs w:val="18"/>
                <w:color w:val="auto"/>
                <w:vertAlign w:val="superscript"/>
              </w:rPr>
              <w:t>(11)</w:t>
            </w:r>
          </w:p>
        </w:tc>
        <w:tc>
          <w:tcPr>
            <w:tcW w:w="1240" w:type="dxa"/>
            <w:vAlign w:val="bottom"/>
          </w:tcPr>
          <w:p>
            <w:pPr>
              <w:jc w:val="right"/>
              <w:spacing w:after="0"/>
              <w:rPr>
                <w:sz w:val="20"/>
                <w:szCs w:val="20"/>
                <w:color w:val="auto"/>
              </w:rPr>
            </w:pPr>
            <w:r>
              <w:rPr>
                <w:rFonts w:ascii="Arial" w:cs="Arial" w:eastAsia="Arial" w:hAnsi="Arial"/>
                <w:sz w:val="16"/>
                <w:szCs w:val="16"/>
                <w:color w:val="auto"/>
              </w:rPr>
              <w:t>5,923,196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6"/>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Invus Public Equities, LP </w:t>
            </w:r>
            <w:r>
              <w:rPr>
                <w:rFonts w:ascii="Arial" w:cs="Arial" w:eastAsia="Arial" w:hAnsi="Arial"/>
                <w:sz w:val="18"/>
                <w:szCs w:val="18"/>
                <w:color w:val="auto"/>
                <w:vertAlign w:val="superscript"/>
              </w:rPr>
              <w:t>(12)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5,588,366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Entities affiliated with Maverick Capital Ventures, LLC</w:t>
            </w:r>
            <w:r>
              <w:rPr>
                <w:rFonts w:ascii="Arial" w:cs="Arial" w:eastAsia="Arial" w:hAnsi="Arial"/>
                <w:sz w:val="18"/>
                <w:szCs w:val="18"/>
                <w:color w:val="auto"/>
                <w:vertAlign w:val="superscript"/>
              </w:rPr>
              <w:t>(13)</w:t>
            </w:r>
          </w:p>
        </w:tc>
        <w:tc>
          <w:tcPr>
            <w:tcW w:w="1240" w:type="dxa"/>
            <w:vAlign w:val="bottom"/>
          </w:tcPr>
          <w:p>
            <w:pPr>
              <w:jc w:val="right"/>
              <w:spacing w:after="0"/>
              <w:rPr>
                <w:sz w:val="20"/>
                <w:szCs w:val="20"/>
                <w:color w:val="auto"/>
              </w:rPr>
            </w:pPr>
            <w:r>
              <w:rPr>
                <w:rFonts w:ascii="Arial" w:cs="Arial" w:eastAsia="Arial" w:hAnsi="Arial"/>
                <w:sz w:val="16"/>
                <w:szCs w:val="16"/>
                <w:color w:val="auto"/>
              </w:rPr>
              <w:t>5,425,513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163,550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c>
          <w:tcPr>
            <w:tcW w:w="1420" w:type="dxa"/>
            <w:vAlign w:val="bottom"/>
            <w:gridSpan w:val="2"/>
          </w:tcPr>
          <w:p>
            <w:pPr>
              <w:jc w:val="right"/>
              <w:ind w:right="6"/>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Fidelity</w:t>
            </w:r>
            <w:r>
              <w:rPr>
                <w:rFonts w:ascii="Arial" w:cs="Arial" w:eastAsia="Arial" w:hAnsi="Arial"/>
                <w:sz w:val="18"/>
                <w:szCs w:val="18"/>
                <w:color w:val="auto"/>
                <w:vertAlign w:val="superscript"/>
              </w:rPr>
              <w:t>(14)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7,567,168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Entities affiliated with T. Rowe Price</w:t>
            </w:r>
            <w:r>
              <w:rPr>
                <w:rFonts w:ascii="Arial" w:cs="Arial" w:eastAsia="Arial" w:hAnsi="Arial"/>
                <w:sz w:val="18"/>
                <w:szCs w:val="18"/>
                <w:color w:val="auto"/>
                <w:vertAlign w:val="superscript"/>
              </w:rPr>
              <w:t>(15)</w:t>
            </w:r>
          </w:p>
        </w:tc>
        <w:tc>
          <w:tcPr>
            <w:tcW w:w="1240" w:type="dxa"/>
            <w:vAlign w:val="bottom"/>
          </w:tcPr>
          <w:p>
            <w:pPr>
              <w:jc w:val="right"/>
              <w:spacing w:after="0"/>
              <w:rPr>
                <w:sz w:val="20"/>
                <w:szCs w:val="20"/>
                <w:color w:val="auto"/>
              </w:rPr>
            </w:pPr>
            <w:r>
              <w:rPr>
                <w:rFonts w:ascii="Arial" w:cs="Arial" w:eastAsia="Arial" w:hAnsi="Arial"/>
                <w:sz w:val="16"/>
                <w:szCs w:val="16"/>
                <w:color w:val="auto"/>
              </w:rPr>
              <w:t>8,162,170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6"/>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SoftBank</w:t>
            </w:r>
            <w:r>
              <w:rPr>
                <w:rFonts w:ascii="Arial" w:cs="Arial" w:eastAsia="Arial" w:hAnsi="Arial"/>
                <w:sz w:val="18"/>
                <w:szCs w:val="18"/>
                <w:color w:val="auto"/>
                <w:vertAlign w:val="superscript"/>
              </w:rPr>
              <w:t>(16)</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2,896,578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w:t>
      </w: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beneficial ownership of less than 1%.</w:t>
      </w:r>
    </w:p>
    <w:p>
      <w:pPr>
        <w:spacing w:after="0" w:line="5" w:lineRule="exact"/>
        <w:rPr>
          <w:sz w:val="20"/>
          <w:szCs w:val="20"/>
          <w:color w:val="auto"/>
        </w:rPr>
      </w:pPr>
    </w:p>
    <w:p>
      <w:pPr>
        <w:jc w:val="both"/>
        <w:ind w:left="660" w:right="120" w:hanging="652"/>
        <w:spacing w:after="0" w:line="246" w:lineRule="auto"/>
        <w:tabs>
          <w:tab w:leader="none" w:pos="282"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Percentage total voting power represents voting power with respect to all shares of our Class A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law.</w:t>
      </w:r>
    </w:p>
    <w:p>
      <w:pPr>
        <w:spacing w:after="0" w:line="5" w:lineRule="exact"/>
        <w:rPr>
          <w:sz w:val="20"/>
          <w:szCs w:val="20"/>
          <w:color w:val="auto"/>
        </w:rPr>
      </w:pPr>
    </w:p>
    <w:p>
      <w:pPr>
        <w:ind w:left="660" w:right="200" w:hanging="652"/>
        <w:spacing w:after="0" w:line="246"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(i) 69,272 shares of Class A common stock held of record by Dr. Farokhzad, of which 56,637 may be repurchased by us at the original exercise price; (ii) 1,303,478 shares of Class B common stock held of record by Dynamics Group LLC for which Dr. Farokhzad serves as the sole member; (iii) 2,251,717 shares of Class B shares held of record by SAF-BND Trust for which Dr. Farokhzad’s spouse serves as trustee; and (iv) 1,659,177 shares of Class A common stock subject to options exercisable within 60 days of March 31, 2021, of which 96,236 are fully vested. Dr. Farokhzad disclaims beneficial ownership of the shares held by the SAF-BND Trust.</w:t>
      </w:r>
    </w:p>
    <w:p>
      <w:pPr>
        <w:spacing w:after="0" w:line="2" w:lineRule="exact"/>
        <w:rPr>
          <w:rFonts w:ascii="Arial" w:cs="Arial" w:eastAsia="Arial" w:hAnsi="Arial"/>
          <w:sz w:val="16"/>
          <w:szCs w:val="16"/>
          <w:color w:val="auto"/>
        </w:rPr>
      </w:pPr>
    </w:p>
    <w:p>
      <w:pPr>
        <w:ind w:left="660" w:right="100" w:hanging="652"/>
        <w:spacing w:after="0" w:line="246"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(i) 84,112 shares of Class A common stock, all of which may be repurchased by us at the original exercise price, held of record by Mr. Horn, and (ii) 796,047 shares of Class A common stock subject to options exercisable within 60 days of March 31, 2021, of which 108,357 are fully vested.</w:t>
      </w:r>
    </w:p>
    <w:p>
      <w:pPr>
        <w:spacing w:after="0" w:line="1" w:lineRule="exact"/>
        <w:rPr>
          <w:rFonts w:ascii="Arial" w:cs="Arial" w:eastAsia="Arial" w:hAnsi="Arial"/>
          <w:sz w:val="16"/>
          <w:szCs w:val="16"/>
          <w:color w:val="auto"/>
        </w:rPr>
      </w:pPr>
    </w:p>
    <w:p>
      <w:pPr>
        <w:ind w:left="660" w:right="160" w:hanging="652"/>
        <w:spacing w:after="0" w:line="246"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(i) 87,681 shares of Class A common stock and 4,088 shares of Class B common stock held of record by Mr. Ostadan; and (ii) 1,508,846 shares of Class A common stock subject to options exercisable within 60 days of March 31, 2021, of which 91,370 are fully vested.</w:t>
      </w:r>
    </w:p>
    <w:p>
      <w:pPr>
        <w:ind w:left="660" w:right="200" w:hanging="652"/>
        <w:spacing w:after="0" w:line="246"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(i) 263,562 shares of Class A common stock held of record by Mr. Hallal, of which 65,891 may be repurchased by us at the original exercise price and (ii) 207,637 shares of Class A common stock subject to options exercisable within 60 days of March 31, 2021, of which 52,489 are fully vested.</w:t>
      </w:r>
    </w:p>
    <w:p>
      <w:pPr>
        <w:spacing w:after="0" w:line="1" w:lineRule="exact"/>
        <w:rPr>
          <w:rFonts w:ascii="Arial" w:cs="Arial" w:eastAsia="Arial" w:hAnsi="Arial"/>
          <w:sz w:val="16"/>
          <w:szCs w:val="16"/>
          <w:color w:val="auto"/>
        </w:rPr>
      </w:pPr>
    </w:p>
    <w:p>
      <w:pPr>
        <w:ind w:left="660" w:right="420" w:hanging="652"/>
        <w:spacing w:after="0" w:line="246"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140,186 shares of Class A common stock held of record by Ms. Friedman, of which 122,663 shares may be repurchased by us at the original exercise price.</w:t>
      </w:r>
    </w:p>
    <w:p>
      <w:pPr>
        <w:ind w:left="660" w:right="40" w:hanging="652"/>
        <w:spacing w:after="0" w:line="246"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(i) 365,357 shares of Class A common stock, of which 28,411 may be repurchased by us at the original exercise price and 327,102 shares of Class B common stock held of record by Dr. Langer; and (ii) 343,072 shares of Class A common stock subject to options exercisable within 60 days of March 31, 2021, of which 137,358 are fully vested.</w:t>
      </w:r>
    </w:p>
    <w:p>
      <w:pPr>
        <w:spacing w:after="0" w:line="1" w:lineRule="exact"/>
        <w:rPr>
          <w:rFonts w:ascii="Arial" w:cs="Arial" w:eastAsia="Arial" w:hAnsi="Arial"/>
          <w:sz w:val="16"/>
          <w:szCs w:val="16"/>
          <w:color w:val="auto"/>
        </w:rPr>
      </w:pPr>
    </w:p>
    <w:p>
      <w:pPr>
        <w:ind w:left="660" w:right="40" w:hanging="652"/>
        <w:spacing w:after="0" w:line="260"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(i) 210,982 shares of Class A common stock, of which 33,254 may be repurchased by us at the original exercise price and 4,088 shares of Class B common stock held of record by Strong Bridge, LLC for which Mr. McGuire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65" w:right="339" w:bottom="1440" w:gutter="0" w:footer="0" w:header="0"/>
        </w:sectPr>
      </w:pPr>
    </w:p>
    <w:bookmarkStart w:id="38" w:name="page39"/>
    <w:bookmarkEnd w:id="38"/>
    <w:p>
      <w:pPr>
        <w:ind w:left="652" w:right="40"/>
        <w:spacing w:after="0" w:line="246" w:lineRule="auto"/>
        <w:rPr>
          <w:sz w:val="20"/>
          <w:szCs w:val="20"/>
          <w:color w:val="auto"/>
        </w:rPr>
      </w:pPr>
      <w:r>
        <w:rPr>
          <w:rFonts w:ascii="Arial" w:cs="Arial" w:eastAsia="Arial" w:hAnsi="Arial"/>
          <w:sz w:val="16"/>
          <w:szCs w:val="16"/>
          <w:color w:val="auto"/>
        </w:rPr>
        <w:t>serves as an operating manager and (ii) 279,925 shares of Class A common stock subject to options exercisable within 60 days of March 31, 2021, of which 126,833 are fully vested.</w:t>
      </w:r>
    </w:p>
    <w:p>
      <w:pPr>
        <w:spacing w:after="0" w:line="1" w:lineRule="exact"/>
        <w:rPr>
          <w:sz w:val="20"/>
          <w:szCs w:val="20"/>
          <w:color w:val="auto"/>
        </w:rPr>
      </w:pPr>
    </w:p>
    <w:p>
      <w:pPr>
        <w:ind w:left="652" w:right="60" w:hanging="652"/>
        <w:spacing w:after="0" w:line="246" w:lineRule="auto"/>
        <w:tabs>
          <w:tab w:leader="none" w:pos="647"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(i) 191,515 shares of Class A common stock held of record by Dr. Ronaghi, of which 50,720 may be repurchased by us at the original exercise price; (ii) 14,310 shares of Class B common stock held of record by Dr. Ronaghi; (iii) 15,157 shares of Class A shares held of record by Phi-X Capital, LLC for which Dr. Ronaghi serves as a manager; (iv) 76,722 shares of Class A common stock held of record by First Republic Trust Company of Delaware LLC, trustee of a dynasty trust for the reporting person's minor daughter for which the Dr. Ronaghi serves as an investment advisor; (v) 76,722 shares of Class A common stock held of record by First Republic Trust Company of Delaware LLC, trustee of a dynasty trust for the reporting person's minor son for which the Dr. Ronaghi serves as an investment advisor; (vi) 76,722 shares of Class A common stock held of record by The Ronaghi Children's Trust UTD December 2014, for which the Dr. Ronaghi serves as a trustee and, (vii) 2,328 shares of Class A common stock subject to options exercisable within 60 days of March 31, 2021, of which 776 are vested..</w:t>
      </w:r>
    </w:p>
    <w:p>
      <w:pPr>
        <w:spacing w:after="0" w:line="3" w:lineRule="exact"/>
        <w:rPr>
          <w:rFonts w:ascii="Arial" w:cs="Arial" w:eastAsia="Arial" w:hAnsi="Arial"/>
          <w:sz w:val="16"/>
          <w:szCs w:val="16"/>
          <w:color w:val="auto"/>
        </w:rPr>
      </w:pPr>
    </w:p>
    <w:p>
      <w:pPr>
        <w:jc w:val="both"/>
        <w:ind w:left="652" w:hanging="652"/>
        <w:spacing w:after="0" w:line="246" w:lineRule="auto"/>
        <w:tabs>
          <w:tab w:leader="none" w:pos="647"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(i) 5,325,513 shares of Class A common stock and 163,550 shares of Class B common stock disclosed in footnote (14) below that are held of record by entities affiliated with Maverick Capital Ventures, LLC; and 2,076 shares of Class A common stock subject to options exercisable within 60 days of March 31, 2021, of which none are vested.</w:t>
      </w:r>
    </w:p>
    <w:p>
      <w:pPr>
        <w:spacing w:after="0" w:line="1" w:lineRule="exact"/>
        <w:rPr>
          <w:rFonts w:ascii="Arial" w:cs="Arial" w:eastAsia="Arial" w:hAnsi="Arial"/>
          <w:sz w:val="16"/>
          <w:szCs w:val="16"/>
          <w:color w:val="auto"/>
        </w:rPr>
      </w:pPr>
    </w:p>
    <w:p>
      <w:pPr>
        <w:ind w:left="652" w:right="100" w:hanging="652"/>
        <w:spacing w:after="0" w:line="246" w:lineRule="auto"/>
        <w:tabs>
          <w:tab w:leader="none" w:pos="6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(i) 7,083,503 shares of Class A common stock of which 441,688 may be repurchased by us at the original exercise price and 4,068,333 shares of Class B common stock beneficially owned by our executive officers and directors and (ii) 5,191,631 shares of Class A common stock subject to options exercisable within 60 days of March 31, 2021 and held by our executive officers and directors, of which 627,957 are fully vested.</w:t>
      </w:r>
    </w:p>
    <w:p>
      <w:pPr>
        <w:spacing w:after="0" w:line="1" w:lineRule="exact"/>
        <w:rPr>
          <w:rFonts w:ascii="Arial" w:cs="Arial" w:eastAsia="Arial" w:hAnsi="Arial"/>
          <w:sz w:val="16"/>
          <w:szCs w:val="16"/>
          <w:color w:val="auto"/>
        </w:rPr>
      </w:pPr>
    </w:p>
    <w:p>
      <w:pPr>
        <w:ind w:left="652" w:right="120" w:hanging="652"/>
        <w:spacing w:after="0" w:line="246" w:lineRule="auto"/>
        <w:tabs>
          <w:tab w:leader="none" w:pos="6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reported on Schedule 13G filed with the SEC on February 8, 2021. Includes (i) 4,947,513 shares of Class A common stock held of record by aMoon Growth Fund Limited Partnership (aMoon Growth) and (ii) 975,683 shares of Class A common stock held of record by aMoon Co-Investment SPV I, L.P. (aMoon Co-Investment). aMoon Growth Fund G.P. Limited Partnership (aMoon Growth Fund G.P.) is the sole General Partner of aMoon Growth and aMoon Co-Investment and aMoon General Partner Ltd. (aMoon General Partner) is the sole General Partner of aMoon Growth Fund G.P. Dr. Yair Schindel is the sole shareholder of aMoon General Partner. By virtue of such relationships, aMoon Grwoth Fund G.P., aMoon General Partner and Dr. Schindel may be deemed to have shared voting and investment power with respect to the capital stock held by aMoon Growth Fund and aMoon Co-Investment. Each of aMoon Grwoth Fund G.P., aMoon General Partner and Dr. Schindel disclaims beneficial ownership of the shares held by aMoon Growth Fund and aMoon General Partner, except to the extent of its or his pecuniary interest therein, if any. The address for these entities is 34 Yerushalaim Road, Beit Gamla, 6th Floor, Ra-anana, 4350110, Israel.</w:t>
      </w:r>
    </w:p>
    <w:p>
      <w:pPr>
        <w:spacing w:after="0" w:line="3" w:lineRule="exact"/>
        <w:rPr>
          <w:rFonts w:ascii="Arial" w:cs="Arial" w:eastAsia="Arial" w:hAnsi="Arial"/>
          <w:sz w:val="16"/>
          <w:szCs w:val="16"/>
          <w:color w:val="auto"/>
        </w:rPr>
      </w:pPr>
    </w:p>
    <w:p>
      <w:pPr>
        <w:ind w:left="652" w:right="20" w:hanging="652"/>
        <w:spacing w:after="0" w:line="246" w:lineRule="auto"/>
        <w:tabs>
          <w:tab w:leader="none" w:pos="6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reported on Schedule 13G/A filed with the SEC on February 16, 2021, 5,840,911 shares of Class A common stock were held. 252,545 shares were sold in our registered offering on February 1, 2021; therefore, includes 5,588,366 shares of Class A common stock held of record by Invus Public Equities, L.P. Invus PE Advisors, as the general partner of Invus Public Equities, controls Invus Public Equities and accordingly may be deemed to beneficially own the Shares held by Invus Public Equities. Artal Treasury, as the managing member of Invus PE Advisors, controls Invus PE Advisors, and accordingly may be deemed to beneficially own the Shares that Invus PE Advisors may be deemed to beneficially own. Artal International, as its Geneva branch is the sole stockholder of Artal Treasury, may be deemed to beneficially own the Shares that Artal Treasury may be deemed to beneficially own. Artal International Management, as the managing partner of Artal International, controls Artal International and, accordingly, may be deemed to beneficially own the Shares that Artal International may be deemed to beneficially own. Artal Group, as the parent company of Artal International Management, controls Artal International Management and, accordingly, may be deemed to beneficially own the Shares that Artal International Management may be deemed to beneficially own. Westend, as the parent company of Artal Group, controls Artal Group and, accordingly, may be deemed to beneficially own the Shares that Artal Group may be deemed to beneficially own. The Stichting, as the majority stockholder of Westend, controls Westend and, accordingly, may be deemed to beneficially own the Shares that Westend may be deemed to beneficially own. As of January 11, 2021, Mr. Wittouck, as the sole member of the board of the Stichting, controls the Stichting and, accordingly, may be deemed to beneficially own the Shares that the Stichting may be deemed to beneficially own. The address for Invus Public Equities, L.P. is 750 Lexington Avenue, 30th Floor, New York, NY 10022.</w:t>
      </w:r>
    </w:p>
    <w:p>
      <w:pPr>
        <w:spacing w:after="0" w:line="6" w:lineRule="exact"/>
        <w:rPr>
          <w:rFonts w:ascii="Arial" w:cs="Arial" w:eastAsia="Arial" w:hAnsi="Arial"/>
          <w:sz w:val="16"/>
          <w:szCs w:val="16"/>
          <w:color w:val="auto"/>
        </w:rPr>
      </w:pPr>
    </w:p>
    <w:p>
      <w:pPr>
        <w:ind w:left="652" w:right="80" w:hanging="652"/>
        <w:spacing w:after="0" w:line="246" w:lineRule="auto"/>
        <w:tabs>
          <w:tab w:leader="none" w:pos="6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reported on Schedule 13G filed with the SEC on January 4, 2021. Includes (i) 3,390,559 shares of Class A common stock and 101,761 shares of Class B common stock held of record by Maverick Ventures Investment Fund, L.P. (Maverick Ventures Fund), (ii) 1,934,954 shares of Class A common stock and 61,789 shares of Class B common stock held of record by Maverick Advisors Fund, L.P. (Maverick Advisors), and (iii) 100,000 shares of Class A common stock held by funds managed by Maverick Capital, Ltd. Maverick Capital Ventures, LLC (Maverick Ventures) is the general partner of Maverick Ventures Fund and Maverick Advisors. Lee S. Ainslie III and David B. Singer, one of our directors, are the Managing Partners of Maverick Ventures. MCV Management Company, LLC is the investment manager of Maverick Ventures Fund and Maverick Advisors. Maverick Capital Management is the general partner of Maverick Capital Advisors, L.P. (the controlling member of Maverick Capital Ventures, LLC) and Maverick Capital, Ltd. (the controlling member of MCV Management Company, LLC). Mr. Ainslie is the manager of Maverick Capital Management, LLC. The address for these entities is c/o Maverick Capital, 1900 N. Pearl Street, 20th Floor, Dallas, Texas 75201.</w:t>
      </w:r>
    </w:p>
    <w:p>
      <w:pPr>
        <w:spacing w:after="0" w:line="3" w:lineRule="exact"/>
        <w:rPr>
          <w:rFonts w:ascii="Arial" w:cs="Arial" w:eastAsia="Arial" w:hAnsi="Arial"/>
          <w:sz w:val="16"/>
          <w:szCs w:val="16"/>
          <w:color w:val="auto"/>
        </w:rPr>
      </w:pPr>
    </w:p>
    <w:p>
      <w:pPr>
        <w:ind w:left="652" w:right="120" w:hanging="652"/>
        <w:spacing w:after="0" w:line="250" w:lineRule="auto"/>
        <w:tabs>
          <w:tab w:leader="none" w:pos="6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reported on Schedule 13G filed with the SEC on January 11, 2021. Includes 7,567,168 shares of Class A common stock held of record by accounts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w:t>
      </w:r>
    </w:p>
    <w:p>
      <w:pPr>
        <w:spacing w:after="0" w:line="200" w:lineRule="exact"/>
        <w:rPr>
          <w:sz w:val="20"/>
          <w:szCs w:val="20"/>
          <w:color w:val="auto"/>
        </w:rPr>
      </w:pP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32"/>
          </w:cols>
          <w:pgMar w:left="328" w:top="951" w:right="339" w:bottom="1440" w:gutter="0" w:footer="0" w:header="0"/>
        </w:sectPr>
      </w:pPr>
    </w:p>
    <w:bookmarkStart w:id="39" w:name="page40"/>
    <w:bookmarkEnd w:id="39"/>
    <w:p>
      <w:pPr>
        <w:ind w:left="652" w:right="20"/>
        <w:spacing w:after="0" w:line="246" w:lineRule="auto"/>
        <w:rPr>
          <w:sz w:val="20"/>
          <w:szCs w:val="20"/>
          <w:color w:val="auto"/>
        </w:rPr>
      </w:pPr>
      <w:r>
        <w:rPr>
          <w:rFonts w:ascii="Arial" w:cs="Arial" w:eastAsia="Arial" w:hAnsi="Arial"/>
          <w:sz w:val="16"/>
          <w:szCs w:val="16"/>
          <w:color w:val="auto"/>
        </w:rPr>
        <w:t>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(the Fidelity Funds), advised by Fidelity Management &amp; Research Company, a wholly owned subsidiary of FMR LLC, which power resides in the Fidelity Funds’ Boards of Trustees. Fidelity Management &amp; Research Company carries out the voting of the shares under written guidelines established by the Fidelity Funds’ Boards of Trustees. The address for FMR LLC is 200 Seaport Boulevard V12E, Boston, Massachusetts 02210.</w:t>
      </w:r>
    </w:p>
    <w:p>
      <w:pPr>
        <w:spacing w:after="0" w:line="3" w:lineRule="exact"/>
        <w:rPr>
          <w:sz w:val="20"/>
          <w:szCs w:val="20"/>
          <w:color w:val="auto"/>
        </w:rPr>
      </w:pPr>
    </w:p>
    <w:p>
      <w:pPr>
        <w:ind w:left="652" w:hanging="652"/>
        <w:spacing w:after="0" w:line="246" w:lineRule="auto"/>
        <w:tabs>
          <w:tab w:leader="none" w:pos="6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reported on Schedule 13G filed with the SEC on February 16, 2021. Includes (i) 5,317,035 shares of Class A common stock held of record by T. Rowe Price Associates, Inc. (Price Associates); (ii) 2,845,135 shares of Class A common stock held of record by T. Rowe Price Health Sciences Fund, Inc. Price Associates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 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 The address for these entities is c/o T. Rowe Price Associates, Inc. 100 East Pratt Street, Baltimore, Maryland 21202, attention Andrew Baek, Vice President.</w:t>
      </w:r>
    </w:p>
    <w:p>
      <w:pPr>
        <w:spacing w:after="0" w:line="4" w:lineRule="exact"/>
        <w:rPr>
          <w:rFonts w:ascii="Arial" w:cs="Arial" w:eastAsia="Arial" w:hAnsi="Arial"/>
          <w:sz w:val="16"/>
          <w:szCs w:val="16"/>
          <w:color w:val="auto"/>
        </w:rPr>
      </w:pPr>
    </w:p>
    <w:p>
      <w:pPr>
        <w:ind w:left="652" w:right="60" w:hanging="652"/>
        <w:spacing w:after="0" w:line="248" w:lineRule="auto"/>
        <w:tabs>
          <w:tab w:leader="none" w:pos="6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reported on Schedule 13G filed with the SEC on December 18, 2020. Includes 2,896,578 shares of Class A common stock held of record by SVF II AIV-1 (DE) L.P. (SVF). SB Investment Advisers (UK) Limited (SBIA UK) has been appointed as alternative investment fund manager (AIFM) and is exclusively responsible for managing SVF in accordance with the Alternative Investment Fund Managers Directive and is authorized and regulated by the UK Financial Conduct Authority accordingly. As AIFM of SVF, SBIA UK is exclusively responsible for portfolio management and risk management. Deep Nishar is one of our directors and a Senior Managing Partner of SoftBank Investment Advisers (US) Inc.; Mr. Nishar disclaims beneficial ownership of any of the shares held by SVF. The address for SVF is 251 Little Falls Drive, Wilmington, DE 19808. The address for SBIA UK is 69 Grosvenor Street, London W1K 3JP,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12"/>
          </w:cols>
          <w:pgMar w:left="328" w:top="951" w:right="3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CERTAIN RELATIONSHIPS, RELATED PARTY AND OTHER TRANSACTIONS</w:t>
      </w:r>
    </w:p>
    <w:p>
      <w:pPr>
        <w:spacing w:after="0" w:line="2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describe below transactions and series of similar transactions, since January 1, 2019, to which we were a party or will be a party, in which:</w:t>
      </w:r>
    </w:p>
    <w:p>
      <w:pPr>
        <w:spacing w:after="0" w:line="198"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25" w:lineRule="exact"/>
        <w:rPr>
          <w:rFonts w:ascii="Arial" w:cs="Arial" w:eastAsia="Arial" w:hAnsi="Arial"/>
          <w:sz w:val="18"/>
          <w:szCs w:val="18"/>
          <w:color w:val="auto"/>
        </w:rPr>
      </w:pPr>
    </w:p>
    <w:p>
      <w:pPr>
        <w:jc w:val="both"/>
        <w:ind w:left="980" w:right="340" w:hanging="324"/>
        <w:spacing w:after="0" w:line="256"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2020 Private Placement</w:t>
      </w:r>
    </w:p>
    <w:p>
      <w:pPr>
        <w:spacing w:after="0" w:line="274" w:lineRule="exact"/>
        <w:rPr>
          <w:sz w:val="20"/>
          <w:szCs w:val="20"/>
          <w:color w:val="auto"/>
        </w:rPr>
      </w:pPr>
    </w:p>
    <w:p>
      <w:pPr>
        <w:jc w:val="both"/>
        <w:ind w:right="300"/>
        <w:spacing w:after="0" w:line="265" w:lineRule="auto"/>
        <w:rPr>
          <w:sz w:val="20"/>
          <w:szCs w:val="20"/>
          <w:color w:val="auto"/>
        </w:rPr>
      </w:pPr>
      <w:r>
        <w:rPr>
          <w:rFonts w:ascii="Arial" w:cs="Arial" w:eastAsia="Arial" w:hAnsi="Arial"/>
          <w:sz w:val="17"/>
          <w:szCs w:val="17"/>
          <w:color w:val="auto"/>
        </w:rPr>
        <w:t>On December 9, 2020, each of Fidelity Management &amp; Research Company LLC, accounts advised by T. Rowe Price Associates, Inc. and aMoon Fund purchased from us in a private placement shares of our Class A common stock at a price per share equal to the initial public offering price of $19.00 per share. Each of Fidelity Management &amp; Research Company LLC and certain funds and accounts advised by T.</w:t>
      </w:r>
    </w:p>
    <w:p>
      <w:pPr>
        <w:ind w:right="20"/>
        <w:spacing w:after="0" w:line="261" w:lineRule="auto"/>
        <w:rPr>
          <w:sz w:val="20"/>
          <w:szCs w:val="20"/>
          <w:color w:val="auto"/>
        </w:rPr>
      </w:pPr>
      <w:r>
        <w:rPr>
          <w:rFonts w:ascii="Arial" w:cs="Arial" w:eastAsia="Arial" w:hAnsi="Arial"/>
          <w:sz w:val="18"/>
          <w:szCs w:val="18"/>
          <w:color w:val="auto"/>
        </w:rPr>
        <w:t>Rowe Price Associates, Inc. each purchased 2,105,263 shares of our Class A common stock and aMoon Fund purchased 789,473 shares of our Class A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 Transaction</w:t>
      </w:r>
    </w:p>
    <w:p>
      <w:pPr>
        <w:spacing w:after="0" w:line="27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August 21, 2020, we consummated a transaction whereby we spun off our subsidiary PrognomIQ, Inc. through a distribution of shares of Class A common stock, Class B common stock and preferred stock of PrognomIQ to our stockholders. As a result of this transaction, those individuals who were our stockholders as of 5:00 p.m. Eastern Time on August 20, 2020, including certain of our directors and executive officers and venture capital funds that beneficially own more than 5% of our outstanding capital stock and/or are represented on our board of directors, received a distribution of shares of the relevant class of stock of PrognomIQ.</w:t>
      </w:r>
    </w:p>
    <w:p>
      <w:pPr>
        <w:spacing w:after="0" w:line="216" w:lineRule="exact"/>
        <w:rPr>
          <w:sz w:val="20"/>
          <w:szCs w:val="20"/>
          <w:color w:val="auto"/>
        </w:rPr>
      </w:pPr>
    </w:p>
    <w:p>
      <w:pPr>
        <w:ind w:right="180"/>
        <w:spacing w:after="0" w:line="213" w:lineRule="auto"/>
        <w:rPr>
          <w:sz w:val="20"/>
          <w:szCs w:val="20"/>
          <w:color w:val="auto"/>
        </w:rPr>
      </w:pPr>
      <w:r>
        <w:rPr>
          <w:rFonts w:ascii="Arial" w:cs="Arial" w:eastAsia="Arial" w:hAnsi="Arial"/>
          <w:sz w:val="18"/>
          <w:szCs w:val="18"/>
          <w:color w:val="auto"/>
        </w:rPr>
        <w:t>We have non-exclusively licensed our patents and patent applications and have non-exclusively sublicensed certain patent applications we exclusively licensed from BWH, in each case, to PrognomIQ for use in the field of human diagnostics. Pursuant to our agreement with PrognomIQ, we also assigned a patent application related to lung cancer biomarkers to PrognomIQ. We will also be providing general transition services and support, including laboratory and office space to PrognomIQ pursuant to a transition services agreement during the transition period.</w:t>
      </w:r>
    </w:p>
    <w:p>
      <w:pPr>
        <w:spacing w:after="0" w:line="216"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Philip Ma, Ph.D., our co-Founder and former Chief Business Officer, serves as the Chief Executive Officer of PrognomIQ. While Dr. Ma has transitioned to a full-time employee of PrognomIQ, he will remain a consultant of the Company until April 2022. Our Chief Executive Officer and Chair of our board of directors, Omid Farokhzad, M.D., is the Chair of PrognomIQ’s board of directors.</w:t>
      </w:r>
    </w:p>
    <w:p>
      <w:pPr>
        <w:spacing w:after="0" w:line="21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following table presents the number of PrognomIQ shares distributed and equity awards granted in connection with the PrognomIQ transaction to our directors, executive officers and 5% stockholders.</w:t>
      </w:r>
    </w:p>
    <w:tbl>
      <w:tblPr>
        <w:tblLayout w:type="fixed"/>
        <w:tblInd w:w="14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2380" w:type="dxa"/>
            <w:vAlign w:val="bottom"/>
            <w:gridSpan w:val="2"/>
          </w:tcPr>
          <w:p>
            <w:pPr>
              <w:jc w:val="right"/>
              <w:ind w:right="420"/>
              <w:spacing w:after="0" w:line="176" w:lineRule="exact"/>
              <w:rPr>
                <w:sz w:val="20"/>
                <w:szCs w:val="20"/>
                <w:color w:val="auto"/>
              </w:rPr>
            </w:pPr>
            <w:r>
              <w:rPr>
                <w:rFonts w:ascii="Arial" w:cs="Arial" w:eastAsia="Arial" w:hAnsi="Arial"/>
                <w:sz w:val="18"/>
                <w:szCs w:val="18"/>
                <w:b w:val="1"/>
                <w:bCs w:val="1"/>
                <w:color w:val="auto"/>
              </w:rPr>
              <w:t>Class A</w:t>
            </w:r>
          </w:p>
        </w:tc>
        <w:tc>
          <w:tcPr>
            <w:tcW w:w="1520" w:type="dxa"/>
            <w:vAlign w:val="bottom"/>
            <w:gridSpan w:val="2"/>
          </w:tcPr>
          <w:p>
            <w:pPr>
              <w:jc w:val="right"/>
              <w:ind w:right="400"/>
              <w:spacing w:after="0" w:line="176" w:lineRule="exact"/>
              <w:rPr>
                <w:sz w:val="20"/>
                <w:szCs w:val="20"/>
                <w:color w:val="auto"/>
              </w:rPr>
            </w:pPr>
            <w:r>
              <w:rPr>
                <w:rFonts w:ascii="Arial" w:cs="Arial" w:eastAsia="Arial" w:hAnsi="Arial"/>
                <w:sz w:val="18"/>
                <w:szCs w:val="18"/>
                <w:b w:val="1"/>
                <w:bCs w:val="1"/>
                <w:color w:val="auto"/>
              </w:rPr>
              <w:t>Class B</w:t>
            </w:r>
          </w:p>
        </w:tc>
        <w:tc>
          <w:tcPr>
            <w:tcW w:w="14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Preferred</w:t>
            </w:r>
          </w:p>
        </w:tc>
        <w:tc>
          <w:tcPr>
            <w:tcW w:w="0" w:type="dxa"/>
            <w:vAlign w:val="bottom"/>
          </w:tcPr>
          <w:p>
            <w:pPr>
              <w:spacing w:after="0"/>
              <w:rPr>
                <w:sz w:val="1"/>
                <w:szCs w:val="1"/>
                <w:color w:val="auto"/>
              </w:rPr>
            </w:pPr>
          </w:p>
        </w:tc>
      </w:tr>
      <w:tr>
        <w:trPr>
          <w:trHeight w:val="176"/>
        </w:trPr>
        <w:tc>
          <w:tcPr>
            <w:tcW w:w="48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Investor</w:t>
            </w:r>
          </w:p>
        </w:tc>
        <w:tc>
          <w:tcPr>
            <w:tcW w:w="2380" w:type="dxa"/>
            <w:vAlign w:val="bottom"/>
            <w:gridSpan w:val="2"/>
          </w:tcPr>
          <w:p>
            <w:pPr>
              <w:jc w:val="right"/>
              <w:ind w:right="420"/>
              <w:spacing w:after="0" w:line="176" w:lineRule="exact"/>
              <w:rPr>
                <w:sz w:val="20"/>
                <w:szCs w:val="20"/>
                <w:color w:val="auto"/>
              </w:rPr>
            </w:pPr>
            <w:r>
              <w:rPr>
                <w:rFonts w:ascii="Arial" w:cs="Arial" w:eastAsia="Arial" w:hAnsi="Arial"/>
                <w:sz w:val="18"/>
                <w:szCs w:val="18"/>
                <w:b w:val="1"/>
                <w:bCs w:val="1"/>
                <w:color w:val="auto"/>
              </w:rPr>
              <w:t>Common</w:t>
            </w:r>
          </w:p>
        </w:tc>
        <w:tc>
          <w:tcPr>
            <w:tcW w:w="1520" w:type="dxa"/>
            <w:vAlign w:val="bottom"/>
            <w:gridSpan w:val="2"/>
          </w:tcPr>
          <w:p>
            <w:pPr>
              <w:jc w:val="right"/>
              <w:ind w:right="420"/>
              <w:spacing w:after="0" w:line="176" w:lineRule="exact"/>
              <w:rPr>
                <w:sz w:val="20"/>
                <w:szCs w:val="20"/>
                <w:color w:val="auto"/>
              </w:rPr>
            </w:pPr>
            <w:r>
              <w:rPr>
                <w:rFonts w:ascii="Arial" w:cs="Arial" w:eastAsia="Arial" w:hAnsi="Arial"/>
                <w:sz w:val="18"/>
                <w:szCs w:val="18"/>
                <w:b w:val="1"/>
                <w:bCs w:val="1"/>
                <w:color w:val="auto"/>
              </w:rPr>
              <w:t>Common</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auto"/>
            </w:tcBorders>
            <w:vMerge w:val="continue"/>
          </w:tcPr>
          <w:p>
            <w:pPr>
              <w:spacing w:after="0"/>
              <w:rPr>
                <w:sz w:val="19"/>
                <w:szCs w:val="19"/>
                <w:color w:val="auto"/>
              </w:rPr>
            </w:pPr>
          </w:p>
        </w:tc>
        <w:tc>
          <w:tcPr>
            <w:tcW w:w="2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David Hallal</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892,776</w:t>
            </w: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Emerson Collective Investments, LLC</w:t>
            </w: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5,326,807</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Entities affiliated with aMoon Fund</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10,772,174</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Entities affiliated with Fidelity</w:t>
            </w: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6,666,666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Entities affiliated with Maverick Capital Ventures, LLC</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349,999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11,396,607</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Entities affiliated with T. Rowe Price</w:t>
            </w: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5,169,230</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Invus Public Equities, L.P.</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10,808,953</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Omid Farokhzad, M.D. and affiliated entities</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5,918,990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17,545,007</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220,240</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Philip Ma, Ph.D. and affiliated entity</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2,152,360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220,240</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Arial" w:cs="Arial" w:eastAsia="Arial" w:hAnsi="Arial"/>
                <w:sz w:val="18"/>
                <w:szCs w:val="18"/>
                <w:color w:val="auto"/>
              </w:rPr>
              <w:t>Robert Langer, Sc.D.</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1,042,150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440,480</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Terrance McGuire and affiliated entity</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907,031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110,120</w:t>
            </w:r>
          </w:p>
        </w:tc>
        <w:tc>
          <w:tcPr>
            <w:tcW w:w="0" w:type="dxa"/>
            <w:vAlign w:val="bottom"/>
          </w:tcPr>
          <w:p>
            <w:pPr>
              <w:spacing w:after="0"/>
              <w:rPr>
                <w:sz w:val="1"/>
                <w:szCs w:val="1"/>
                <w:color w:val="auto"/>
              </w:rPr>
            </w:pPr>
          </w:p>
        </w:tc>
      </w:tr>
      <w:tr>
        <w:trPr>
          <w:trHeight w:val="904"/>
        </w:trPr>
        <w:tc>
          <w:tcPr>
            <w:tcW w:w="4880" w:type="dxa"/>
            <w:vAlign w:val="bottom"/>
          </w:tcPr>
          <w:p>
            <w:pPr>
              <w:spacing w:after="0"/>
              <w:rPr>
                <w:sz w:val="24"/>
                <w:szCs w:val="24"/>
                <w:color w:val="auto"/>
              </w:rPr>
            </w:pPr>
          </w:p>
        </w:tc>
        <w:tc>
          <w:tcPr>
            <w:tcW w:w="2300" w:type="dxa"/>
            <w:vAlign w:val="bottom"/>
          </w:tcPr>
          <w:p>
            <w:pPr>
              <w:jc w:val="right"/>
              <w:ind w:right="151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Convertible Preferred Stock Financings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D-1 Convertible Preferred Stock Transaction</w:t>
      </w:r>
    </w:p>
    <w:p>
      <w:pPr>
        <w:spacing w:after="0" w:line="2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2020, we issued and sold an aggregate of 6,853,571 shares of our Series D-1 convertible preferred stock at a purchase price of $8.03 per share for an aggregate purchase price of approximately $55.0 million. Purchasers of our Series D-1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tbl>
      <w:tblPr>
        <w:tblLayout w:type="fixed"/>
        <w:tblInd w:w="0" w:type="dxa"/>
        <w:tblCellMar>
          <w:top w:w="0" w:type="dxa"/>
          <w:left w:w="0" w:type="dxa"/>
          <w:bottom w:w="0" w:type="dxa"/>
          <w:right w:w="0" w:type="dxa"/>
        </w:tblCellMar>
      </w:tblPr>
      <w:tr>
        <w:trPr>
          <w:trHeight w:val="191"/>
        </w:trPr>
        <w:tc>
          <w:tcPr>
            <w:tcW w:w="5960" w:type="dxa"/>
            <w:vAlign w:val="bottom"/>
          </w:tcPr>
          <w:p>
            <w:pPr>
              <w:spacing w:after="0"/>
              <w:rPr>
                <w:sz w:val="16"/>
                <w:szCs w:val="16"/>
                <w:color w:val="auto"/>
              </w:rPr>
            </w:pPr>
          </w:p>
        </w:tc>
        <w:tc>
          <w:tcPr>
            <w:tcW w:w="2840" w:type="dxa"/>
            <w:vAlign w:val="bottom"/>
            <w:gridSpan w:val="2"/>
          </w:tcPr>
          <w:p>
            <w:pPr>
              <w:jc w:val="center"/>
              <w:ind w:left="1110"/>
              <w:spacing w:after="0" w:line="191" w:lineRule="exact"/>
              <w:rPr>
                <w:sz w:val="20"/>
                <w:szCs w:val="20"/>
                <w:color w:val="auto"/>
              </w:rPr>
            </w:pPr>
            <w:r>
              <w:rPr>
                <w:rFonts w:ascii="Arial" w:cs="Arial" w:eastAsia="Arial" w:hAnsi="Arial"/>
                <w:sz w:val="18"/>
                <w:szCs w:val="18"/>
                <w:b w:val="1"/>
                <w:bCs w:val="1"/>
                <w:color w:val="auto"/>
                <w:w w:val="99"/>
              </w:rPr>
              <w:t>Series D-1</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2840" w:type="dxa"/>
            <w:vAlign w:val="bottom"/>
            <w:gridSpan w:val="2"/>
          </w:tcPr>
          <w:p>
            <w:pPr>
              <w:jc w:val="center"/>
              <w:ind w:left="1130"/>
              <w:spacing w:after="0" w:line="176" w:lineRule="exact"/>
              <w:rPr>
                <w:sz w:val="20"/>
                <w:szCs w:val="20"/>
                <w:color w:val="auto"/>
              </w:rPr>
            </w:pPr>
            <w:r>
              <w:rPr>
                <w:rFonts w:ascii="Arial" w:cs="Arial" w:eastAsia="Arial" w:hAnsi="Arial"/>
                <w:sz w:val="18"/>
                <w:szCs w:val="18"/>
                <w:b w:val="1"/>
                <w:bCs w:val="1"/>
                <w:color w:val="auto"/>
                <w:w w:val="98"/>
              </w:rPr>
              <w:t>Convertible</w:t>
            </w:r>
          </w:p>
        </w:tc>
        <w:tc>
          <w:tcPr>
            <w:tcW w:w="14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Total Purchase</w:t>
            </w:r>
          </w:p>
        </w:tc>
        <w:tc>
          <w:tcPr>
            <w:tcW w:w="0" w:type="dxa"/>
            <w:vAlign w:val="bottom"/>
          </w:tcPr>
          <w:p>
            <w:pPr>
              <w:spacing w:after="0"/>
              <w:rPr>
                <w:sz w:val="1"/>
                <w:szCs w:val="1"/>
                <w:color w:val="auto"/>
              </w:rPr>
            </w:pPr>
          </w:p>
        </w:tc>
      </w:tr>
      <w:tr>
        <w:trPr>
          <w:trHeight w:val="175"/>
        </w:trPr>
        <w:tc>
          <w:tcPr>
            <w:tcW w:w="5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Investor</w:t>
            </w:r>
          </w:p>
        </w:tc>
        <w:tc>
          <w:tcPr>
            <w:tcW w:w="2840" w:type="dxa"/>
            <w:vAlign w:val="bottom"/>
            <w:gridSpan w:val="2"/>
          </w:tcPr>
          <w:p>
            <w:pPr>
              <w:jc w:val="center"/>
              <w:ind w:left="1110"/>
              <w:spacing w:after="0" w:line="176" w:lineRule="exact"/>
              <w:rPr>
                <w:sz w:val="20"/>
                <w:szCs w:val="20"/>
                <w:color w:val="auto"/>
              </w:rPr>
            </w:pPr>
            <w:r>
              <w:rPr>
                <w:rFonts w:ascii="Arial" w:cs="Arial" w:eastAsia="Arial" w:hAnsi="Arial"/>
                <w:sz w:val="18"/>
                <w:szCs w:val="18"/>
                <w:b w:val="1"/>
                <w:bCs w:val="1"/>
                <w:color w:val="auto"/>
                <w:w w:val="99"/>
              </w:rPr>
              <w:t>Preferred</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60" w:type="dxa"/>
            <w:vAlign w:val="bottom"/>
            <w:vMerge w:val="continue"/>
          </w:tcPr>
          <w:p>
            <w:pPr>
              <w:spacing w:after="0"/>
              <w:rPr>
                <w:sz w:val="19"/>
                <w:szCs w:val="19"/>
                <w:color w:val="auto"/>
              </w:rPr>
            </w:pPr>
          </w:p>
        </w:tc>
        <w:tc>
          <w:tcPr>
            <w:tcW w:w="284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99"/>
              </w:rPr>
              <w:t>Shares</w:t>
            </w:r>
          </w:p>
        </w:tc>
        <w:tc>
          <w:tcPr>
            <w:tcW w:w="300" w:type="dxa"/>
            <w:vAlign w:val="bottom"/>
          </w:tcPr>
          <w:p>
            <w:pPr>
              <w:spacing w:after="0"/>
              <w:rPr>
                <w:sz w:val="19"/>
                <w:szCs w:val="19"/>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Price</w:t>
            </w:r>
          </w:p>
        </w:tc>
        <w:tc>
          <w:tcPr>
            <w:tcW w:w="0" w:type="dxa"/>
            <w:vAlign w:val="bottom"/>
          </w:tcPr>
          <w:p>
            <w:pPr>
              <w:spacing w:after="0"/>
              <w:rPr>
                <w:sz w:val="1"/>
                <w:szCs w:val="1"/>
                <w:color w:val="auto"/>
              </w:rPr>
            </w:pPr>
          </w:p>
        </w:tc>
      </w:tr>
      <w:tr>
        <w:trPr>
          <w:trHeight w:val="223"/>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174,454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1,399,999</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2740" w:type="dxa"/>
            <w:vAlign w:val="bottom"/>
          </w:tcPr>
          <w:p>
            <w:pPr>
              <w:jc w:val="right"/>
              <w:spacing w:after="0"/>
              <w:rPr>
                <w:sz w:val="20"/>
                <w:szCs w:val="20"/>
                <w:color w:val="auto"/>
              </w:rPr>
            </w:pPr>
            <w:r>
              <w:rPr>
                <w:rFonts w:ascii="Arial" w:cs="Arial" w:eastAsia="Arial" w:hAnsi="Arial"/>
                <w:sz w:val="18"/>
                <w:szCs w:val="18"/>
                <w:color w:val="auto"/>
              </w:rPr>
              <w:t>1,370,715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10,999,999</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Fidelity</w:t>
            </w:r>
            <w:r>
              <w:rPr>
                <w:rFonts w:ascii="Arial" w:cs="Arial" w:eastAsia="Arial" w:hAnsi="Arial"/>
                <w:sz w:val="23"/>
                <w:szCs w:val="23"/>
                <w:color w:val="auto"/>
                <w:vertAlign w:val="superscript"/>
              </w:rPr>
              <w:t>(2)</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24,999,998</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(3)</w:t>
            </w:r>
          </w:p>
        </w:tc>
        <w:tc>
          <w:tcPr>
            <w:tcW w:w="2740" w:type="dxa"/>
            <w:vAlign w:val="bottom"/>
          </w:tcPr>
          <w:p>
            <w:pPr>
              <w:jc w:val="right"/>
              <w:spacing w:after="0"/>
              <w:rPr>
                <w:sz w:val="20"/>
                <w:szCs w:val="20"/>
                <w:color w:val="auto"/>
              </w:rPr>
            </w:pPr>
            <w:r>
              <w:rPr>
                <w:rFonts w:ascii="Arial" w:cs="Arial" w:eastAsia="Arial" w:hAnsi="Arial"/>
                <w:sz w:val="18"/>
                <w:szCs w:val="18"/>
                <w:color w:val="auto"/>
              </w:rPr>
              <w:t>373,831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(4)</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Invus Public Equities, L.P.</w:t>
            </w:r>
          </w:p>
        </w:tc>
        <w:tc>
          <w:tcPr>
            <w:tcW w:w="2740" w:type="dxa"/>
            <w:vAlign w:val="bottom"/>
          </w:tcPr>
          <w:p>
            <w:pPr>
              <w:jc w:val="right"/>
              <w:spacing w:after="0"/>
              <w:rPr>
                <w:sz w:val="20"/>
                <w:szCs w:val="20"/>
                <w:color w:val="auto"/>
              </w:rPr>
            </w:pPr>
            <w:r>
              <w:rPr>
                <w:rFonts w:ascii="Arial" w:cs="Arial" w:eastAsia="Arial" w:hAnsi="Arial"/>
                <w:sz w:val="18"/>
                <w:szCs w:val="18"/>
                <w:color w:val="auto"/>
              </w:rPr>
              <w:t>249,221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1,999,999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2" w:lineRule="exact"/>
        <w:rPr>
          <w:sz w:val="20"/>
          <w:szCs w:val="20"/>
          <w:color w:val="auto"/>
        </w:rPr>
      </w:pPr>
    </w:p>
    <w:p>
      <w:pPr>
        <w:ind w:left="660" w:right="540" w:hanging="652"/>
        <w:spacing w:after="0" w:line="246"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Entities affiliated with aMoon Fund whose shares are aggregated for the purposes of reporting ownership information include aMoon 2 Fund, Limited Partnership and aMoon Co-Investment SPV I, L.P.</w:t>
      </w:r>
    </w:p>
    <w:p>
      <w:pPr>
        <w:ind w:left="660" w:right="80" w:hanging="652"/>
        <w:spacing w:after="0" w:line="246"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Entities affiliated with Fidelity whose shares are aggregated for the purposes of reporting ownership information include Fidelity Growth Company Commingled Pool, Fidelity Mt. Vernon Street Trust: Fidelity Growth Company Fund, Fidelity Mt. Vernon Street Trust: Fidelity Growth Company K6 Fund, Fidelity Mt. Vernon Street Trust: Fidelity Series Growth Company Fund and Fidelity Select Portfolios Select Medical Technology and Devices Portfolio.</w:t>
      </w:r>
    </w:p>
    <w:p>
      <w:pPr>
        <w:spacing w:after="0" w:line="1" w:lineRule="exact"/>
        <w:rPr>
          <w:rFonts w:ascii="Arial" w:cs="Arial" w:eastAsia="Arial" w:hAnsi="Arial"/>
          <w:sz w:val="16"/>
          <w:szCs w:val="16"/>
          <w:color w:val="auto"/>
        </w:rPr>
      </w:pPr>
    </w:p>
    <w:p>
      <w:pPr>
        <w:ind w:left="660" w:right="340" w:hanging="652"/>
        <w:spacing w:after="0" w:line="246"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 w:lineRule="exact"/>
        <w:rPr>
          <w:rFonts w:ascii="Arial" w:cs="Arial" w:eastAsia="Arial" w:hAnsi="Arial"/>
          <w:sz w:val="16"/>
          <w:szCs w:val="16"/>
          <w:color w:val="auto"/>
        </w:rPr>
      </w:pPr>
    </w:p>
    <w:p>
      <w:pPr>
        <w:ind w:left="660" w:right="700" w:hanging="652"/>
        <w:spacing w:after="0" w:line="260"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Entities affiliated with T. Rowe Price include T. Rowe Price Health Sciences Portfolio, TD Mutual Funds - TD Health Sciences Fund, VALIC Company I - Health Sciences Fund and T. Rowe Price Health Sciences Fund,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Convertible Preferred Stock Transaction</w:t>
      </w:r>
    </w:p>
    <w:p>
      <w:pPr>
        <w:spacing w:after="0" w:line="27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November 2019 and December 2019, we issued and sold an aggregate of 7,907,968 shares of our Series D convertible preferred stock shares at a purchase price of $6.96 per share for an aggregate purchase price of approximately $55.0 million. Purchasers of our Series D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840" w:type="dxa"/>
            <w:vAlign w:val="bottom"/>
            <w:gridSpan w:val="2"/>
          </w:tcPr>
          <w:p>
            <w:pPr>
              <w:jc w:val="center"/>
              <w:ind w:left="1110"/>
              <w:spacing w:after="0" w:line="192" w:lineRule="exact"/>
              <w:rPr>
                <w:sz w:val="20"/>
                <w:szCs w:val="20"/>
                <w:color w:val="auto"/>
              </w:rPr>
            </w:pPr>
            <w:r>
              <w:rPr>
                <w:rFonts w:ascii="Arial" w:cs="Arial" w:eastAsia="Arial" w:hAnsi="Arial"/>
                <w:sz w:val="18"/>
                <w:szCs w:val="18"/>
                <w:b w:val="1"/>
                <w:bCs w:val="1"/>
                <w:color w:val="auto"/>
                <w:w w:val="99"/>
              </w:rPr>
              <w:t>Series D</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60" w:type="dxa"/>
            <w:vAlign w:val="bottom"/>
          </w:tcPr>
          <w:p>
            <w:pPr>
              <w:spacing w:after="0"/>
              <w:rPr>
                <w:sz w:val="15"/>
                <w:szCs w:val="15"/>
                <w:color w:val="auto"/>
              </w:rPr>
            </w:pPr>
          </w:p>
        </w:tc>
        <w:tc>
          <w:tcPr>
            <w:tcW w:w="2840" w:type="dxa"/>
            <w:vAlign w:val="bottom"/>
            <w:gridSpan w:val="2"/>
          </w:tcPr>
          <w:p>
            <w:pPr>
              <w:jc w:val="center"/>
              <w:ind w:left="1130"/>
              <w:spacing w:after="0" w:line="176" w:lineRule="exact"/>
              <w:rPr>
                <w:sz w:val="20"/>
                <w:szCs w:val="20"/>
                <w:color w:val="auto"/>
              </w:rPr>
            </w:pPr>
            <w:r>
              <w:rPr>
                <w:rFonts w:ascii="Arial" w:cs="Arial" w:eastAsia="Arial" w:hAnsi="Arial"/>
                <w:sz w:val="18"/>
                <w:szCs w:val="18"/>
                <w:b w:val="1"/>
                <w:bCs w:val="1"/>
                <w:color w:val="auto"/>
                <w:w w:val="98"/>
              </w:rPr>
              <w:t>Convertible</w:t>
            </w:r>
          </w:p>
        </w:tc>
        <w:tc>
          <w:tcPr>
            <w:tcW w:w="14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Total Purchase</w:t>
            </w:r>
          </w:p>
        </w:tc>
        <w:tc>
          <w:tcPr>
            <w:tcW w:w="0" w:type="dxa"/>
            <w:vAlign w:val="bottom"/>
          </w:tcPr>
          <w:p>
            <w:pPr>
              <w:spacing w:after="0"/>
              <w:rPr>
                <w:sz w:val="1"/>
                <w:szCs w:val="1"/>
                <w:color w:val="auto"/>
              </w:rPr>
            </w:pPr>
          </w:p>
        </w:tc>
      </w:tr>
      <w:tr>
        <w:trPr>
          <w:trHeight w:val="175"/>
        </w:trPr>
        <w:tc>
          <w:tcPr>
            <w:tcW w:w="5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Investor</w:t>
            </w:r>
          </w:p>
        </w:tc>
        <w:tc>
          <w:tcPr>
            <w:tcW w:w="2840" w:type="dxa"/>
            <w:vAlign w:val="bottom"/>
            <w:gridSpan w:val="2"/>
          </w:tcPr>
          <w:p>
            <w:pPr>
              <w:jc w:val="center"/>
              <w:ind w:left="1110"/>
              <w:spacing w:after="0" w:line="176" w:lineRule="exact"/>
              <w:rPr>
                <w:sz w:val="20"/>
                <w:szCs w:val="20"/>
                <w:color w:val="auto"/>
              </w:rPr>
            </w:pPr>
            <w:r>
              <w:rPr>
                <w:rFonts w:ascii="Arial" w:cs="Arial" w:eastAsia="Arial" w:hAnsi="Arial"/>
                <w:sz w:val="18"/>
                <w:szCs w:val="18"/>
                <w:b w:val="1"/>
                <w:bCs w:val="1"/>
                <w:color w:val="auto"/>
                <w:w w:val="99"/>
              </w:rPr>
              <w:t>Preferred</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60" w:type="dxa"/>
            <w:vAlign w:val="bottom"/>
            <w:vMerge w:val="continue"/>
          </w:tcPr>
          <w:p>
            <w:pPr>
              <w:spacing w:after="0"/>
              <w:rPr>
                <w:sz w:val="19"/>
                <w:szCs w:val="19"/>
                <w:color w:val="auto"/>
              </w:rPr>
            </w:pPr>
          </w:p>
        </w:tc>
        <w:tc>
          <w:tcPr>
            <w:tcW w:w="284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99"/>
              </w:rPr>
              <w:t>Shares</w:t>
            </w:r>
          </w:p>
        </w:tc>
        <w:tc>
          <w:tcPr>
            <w:tcW w:w="300" w:type="dxa"/>
            <w:vAlign w:val="bottom"/>
          </w:tcPr>
          <w:p>
            <w:pPr>
              <w:spacing w:after="0"/>
              <w:rPr>
                <w:sz w:val="19"/>
                <w:szCs w:val="19"/>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Price</w:t>
            </w:r>
          </w:p>
        </w:tc>
        <w:tc>
          <w:tcPr>
            <w:tcW w:w="0" w:type="dxa"/>
            <w:vAlign w:val="bottom"/>
          </w:tcPr>
          <w:p>
            <w:pPr>
              <w:spacing w:after="0"/>
              <w:rPr>
                <w:sz w:val="1"/>
                <w:szCs w:val="1"/>
                <w:color w:val="auto"/>
              </w:rPr>
            </w:pPr>
          </w:p>
        </w:tc>
      </w:tr>
      <w:tr>
        <w:trPr>
          <w:trHeight w:val="223"/>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3,684,652</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2740" w:type="dxa"/>
            <w:vAlign w:val="bottom"/>
          </w:tcPr>
          <w:p>
            <w:pPr>
              <w:jc w:val="right"/>
              <w:spacing w:after="0"/>
              <w:rPr>
                <w:sz w:val="20"/>
                <w:szCs w:val="20"/>
                <w:color w:val="auto"/>
              </w:rPr>
            </w:pPr>
            <w:r>
              <w:rPr>
                <w:rFonts w:ascii="Arial" w:cs="Arial" w:eastAsia="Arial" w:hAnsi="Arial"/>
                <w:sz w:val="18"/>
                <w:szCs w:val="18"/>
                <w:color w:val="auto"/>
              </w:rPr>
              <w:t>3,663,008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25,476,233</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(2)</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3,515,486</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(3)</w:t>
            </w:r>
          </w:p>
        </w:tc>
        <w:tc>
          <w:tcPr>
            <w:tcW w:w="2740" w:type="dxa"/>
            <w:vAlign w:val="bottom"/>
          </w:tcPr>
          <w:p>
            <w:pPr>
              <w:jc w:val="right"/>
              <w:spacing w:after="0"/>
              <w:rPr>
                <w:sz w:val="20"/>
                <w:szCs w:val="20"/>
                <w:color w:val="auto"/>
              </w:rPr>
            </w:pPr>
            <w:r>
              <w:rPr>
                <w:rFonts w:ascii="Arial" w:cs="Arial" w:eastAsia="Arial" w:hAnsi="Arial"/>
                <w:sz w:val="18"/>
                <w:szCs w:val="18"/>
                <w:color w:val="auto"/>
              </w:rPr>
              <w:t>1,294,030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8,999,998</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3,299,998</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2" w:lineRule="exact"/>
        <w:rPr>
          <w:sz w:val="20"/>
          <w:szCs w:val="20"/>
          <w:color w:val="auto"/>
        </w:rPr>
      </w:pPr>
    </w:p>
    <w:p>
      <w:pPr>
        <w:ind w:left="660" w:right="540" w:hanging="652"/>
        <w:spacing w:after="0" w:line="246"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Entities affiliated with aMoon Fund whose shares are aggregated for the purposes of reporting ownership information include aMoon 2 Fund, Limited Partnership and aMoon Co-Investment SPV I, L.P.</w:t>
      </w:r>
    </w:p>
    <w:p>
      <w:pPr>
        <w:ind w:left="660" w:right="340" w:hanging="652"/>
        <w:spacing w:after="0" w:line="246"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 w:lineRule="exact"/>
        <w:rPr>
          <w:rFonts w:ascii="Arial" w:cs="Arial" w:eastAsia="Arial" w:hAnsi="Arial"/>
          <w:sz w:val="16"/>
          <w:szCs w:val="16"/>
          <w:color w:val="auto"/>
        </w:rPr>
      </w:pPr>
    </w:p>
    <w:p>
      <w:pPr>
        <w:ind w:left="660" w:right="700" w:hanging="652"/>
        <w:spacing w:after="0" w:line="260"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Entities affiliated with T. Rowe Price include T. Rowe Price Health Sciences Portfolio, TD Mutual Funds - TD Health Sciences Fund, VALIC Company I - Health Sciences Fund and T. Rowe Price Health Sciences Fund,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7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Series C Convertible Preferred Stock Transaction</w:t>
      </w:r>
    </w:p>
    <w:p>
      <w:pPr>
        <w:spacing w:after="0" w:line="270"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In March and April 2019, we issued and sold an aggregate of 3,271,023 shares of our Series C convertible preferred stock at a purchase price of $5.35 per share for an aggregate purchase price of approximately $17.5 million. Purchasers of our Series C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840" w:type="dxa"/>
            <w:vAlign w:val="bottom"/>
            <w:gridSpan w:val="2"/>
          </w:tcPr>
          <w:p>
            <w:pPr>
              <w:jc w:val="center"/>
              <w:ind w:left="1110"/>
              <w:spacing w:after="0" w:line="193" w:lineRule="exact"/>
              <w:rPr>
                <w:sz w:val="20"/>
                <w:szCs w:val="20"/>
                <w:color w:val="auto"/>
              </w:rPr>
            </w:pPr>
            <w:r>
              <w:rPr>
                <w:rFonts w:ascii="Arial" w:cs="Arial" w:eastAsia="Arial" w:hAnsi="Arial"/>
                <w:sz w:val="18"/>
                <w:szCs w:val="18"/>
                <w:b w:val="1"/>
                <w:bCs w:val="1"/>
                <w:color w:val="auto"/>
                <w:w w:val="99"/>
              </w:rPr>
              <w:t>Series C</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2840" w:type="dxa"/>
            <w:vAlign w:val="bottom"/>
            <w:gridSpan w:val="2"/>
          </w:tcPr>
          <w:p>
            <w:pPr>
              <w:jc w:val="center"/>
              <w:ind w:left="1130"/>
              <w:spacing w:after="0" w:line="176" w:lineRule="exact"/>
              <w:rPr>
                <w:sz w:val="20"/>
                <w:szCs w:val="20"/>
                <w:color w:val="auto"/>
              </w:rPr>
            </w:pPr>
            <w:r>
              <w:rPr>
                <w:rFonts w:ascii="Arial" w:cs="Arial" w:eastAsia="Arial" w:hAnsi="Arial"/>
                <w:sz w:val="18"/>
                <w:szCs w:val="18"/>
                <w:b w:val="1"/>
                <w:bCs w:val="1"/>
                <w:color w:val="auto"/>
                <w:w w:val="98"/>
              </w:rPr>
              <w:t>Convertible</w:t>
            </w:r>
          </w:p>
        </w:tc>
        <w:tc>
          <w:tcPr>
            <w:tcW w:w="14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Total Purchase</w:t>
            </w:r>
          </w:p>
        </w:tc>
        <w:tc>
          <w:tcPr>
            <w:tcW w:w="0" w:type="dxa"/>
            <w:vAlign w:val="bottom"/>
          </w:tcPr>
          <w:p>
            <w:pPr>
              <w:spacing w:after="0"/>
              <w:rPr>
                <w:sz w:val="1"/>
                <w:szCs w:val="1"/>
                <w:color w:val="auto"/>
              </w:rPr>
            </w:pPr>
          </w:p>
        </w:tc>
      </w:tr>
      <w:tr>
        <w:trPr>
          <w:trHeight w:val="175"/>
        </w:trPr>
        <w:tc>
          <w:tcPr>
            <w:tcW w:w="5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Investor</w:t>
            </w:r>
          </w:p>
        </w:tc>
        <w:tc>
          <w:tcPr>
            <w:tcW w:w="2840" w:type="dxa"/>
            <w:vAlign w:val="bottom"/>
            <w:gridSpan w:val="2"/>
          </w:tcPr>
          <w:p>
            <w:pPr>
              <w:jc w:val="center"/>
              <w:ind w:left="1110"/>
              <w:spacing w:after="0" w:line="176" w:lineRule="exact"/>
              <w:rPr>
                <w:sz w:val="20"/>
                <w:szCs w:val="20"/>
                <w:color w:val="auto"/>
              </w:rPr>
            </w:pPr>
            <w:r>
              <w:rPr>
                <w:rFonts w:ascii="Arial" w:cs="Arial" w:eastAsia="Arial" w:hAnsi="Arial"/>
                <w:sz w:val="18"/>
                <w:szCs w:val="18"/>
                <w:b w:val="1"/>
                <w:bCs w:val="1"/>
                <w:color w:val="auto"/>
                <w:w w:val="99"/>
              </w:rPr>
              <w:t>Preferred</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60" w:type="dxa"/>
            <w:vAlign w:val="bottom"/>
            <w:vMerge w:val="continue"/>
          </w:tcPr>
          <w:p>
            <w:pPr>
              <w:spacing w:after="0"/>
              <w:rPr>
                <w:sz w:val="19"/>
                <w:szCs w:val="19"/>
                <w:color w:val="auto"/>
              </w:rPr>
            </w:pPr>
          </w:p>
        </w:tc>
        <w:tc>
          <w:tcPr>
            <w:tcW w:w="284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99"/>
              </w:rPr>
              <w:t>Shares</w:t>
            </w:r>
          </w:p>
        </w:tc>
        <w:tc>
          <w:tcPr>
            <w:tcW w:w="300" w:type="dxa"/>
            <w:vAlign w:val="bottom"/>
          </w:tcPr>
          <w:p>
            <w:pPr>
              <w:spacing w:after="0"/>
              <w:rPr>
                <w:sz w:val="19"/>
                <w:szCs w:val="19"/>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Price</w:t>
            </w:r>
          </w:p>
        </w:tc>
        <w:tc>
          <w:tcPr>
            <w:tcW w:w="0" w:type="dxa"/>
            <w:vAlign w:val="bottom"/>
          </w:tcPr>
          <w:p>
            <w:pPr>
              <w:spacing w:after="0"/>
              <w:rPr>
                <w:sz w:val="1"/>
                <w:szCs w:val="1"/>
                <w:color w:val="auto"/>
              </w:rPr>
            </w:pPr>
          </w:p>
        </w:tc>
      </w:tr>
      <w:tr>
        <w:trPr>
          <w:trHeight w:val="223"/>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(1)</w:t>
            </w:r>
          </w:p>
        </w:tc>
        <w:tc>
          <w:tcPr>
            <w:tcW w:w="2740" w:type="dxa"/>
            <w:vAlign w:val="bottom"/>
          </w:tcPr>
          <w:p>
            <w:pPr>
              <w:jc w:val="right"/>
              <w:spacing w:after="0"/>
              <w:rPr>
                <w:sz w:val="20"/>
                <w:szCs w:val="20"/>
                <w:color w:val="auto"/>
              </w:rPr>
            </w:pPr>
            <w:r>
              <w:rPr>
                <w:rFonts w:ascii="Arial" w:cs="Arial" w:eastAsia="Arial" w:hAnsi="Arial"/>
                <w:sz w:val="18"/>
                <w:szCs w:val="18"/>
                <w:color w:val="auto"/>
              </w:rPr>
              <w:t>411,214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2,200,000</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_________________</w:t>
      </w:r>
    </w:p>
    <w:p>
      <w:pPr>
        <w:ind w:left="660" w:right="260" w:hanging="652"/>
        <w:spacing w:after="0" w:line="253"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party to an amended and restated investors’ rights agreement, dated as of December 8, 2020 (IRA), which provides, among other things, that certain holders of our capital stock have the right to demand that we file a registration statement or request that their shares of our capital stock be covered by a registration statement that we are otherwise filing.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IRA and they will remain parties to the amended and restated IRA.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granted stock options, RSAs and RSUs to our executive officers and certain of our directors. See the sections titled “Executive Compensation—Outstanding Equity Awards at Fiscal Year-End” and “Management—Director Compensation” for a description of these stock incentive awards.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than as described above under this section titled “Certain Relationships and Related Party Transactions,” since January 1, 2019,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2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202"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980" w:right="520" w:hanging="324"/>
        <w:spacing w:after="0" w:line="261"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320" w:top="931" w:right="419" w:bottom="1440" w:gutter="0" w:footer="0" w:header="0"/>
        </w:sectPr>
      </w:pPr>
    </w:p>
    <w:bookmarkStart w:id="43" w:name="page44"/>
    <w:bookmarkEnd w:id="43"/>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231"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In addition, our amended and restated bylaws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amended and restated bylaws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2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limitation of liability and indemnification provisions that are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23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7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 party transactions,” which are transactions between us and related persons in which the aggregate amount involved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165" w:right="339" w:bottom="1440" w:gutter="0" w:footer="0" w:header="0"/>
        </w:sectPr>
      </w:pPr>
    </w:p>
    <w:bookmarkStart w:id="44" w:name="page45"/>
    <w:bookmarkEnd w:id="44"/>
    <w:p>
      <w:pPr>
        <w:spacing w:after="0" w:line="253" w:lineRule="auto"/>
        <w:rPr>
          <w:sz w:val="20"/>
          <w:szCs w:val="20"/>
          <w:color w:val="auto"/>
        </w:rPr>
      </w:pPr>
      <w:r>
        <w:rPr>
          <w:rFonts w:ascii="Arial" w:cs="Arial" w:eastAsia="Arial" w:hAnsi="Arial"/>
          <w:sz w:val="18"/>
          <w:szCs w:val="18"/>
          <w:color w:val="auto"/>
        </w:rPr>
        <w:t>exceeds or may be expected to exceed $ 120,000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949" w:right="439"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w:t>
      </w:r>
    </w:p>
    <w:p>
      <w:pPr>
        <w:spacing w:after="0" w:line="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year. Based solely on our review of forms we received, or written representations from reporting persons stating that they were not required to file these forms, we believe that during our fiscal year ended December 31, 2020, all executive officers, directors and greater than 10% stockholders complied with all applicable SEC filing requirements, with the exceptions noted below:</w:t>
      </w:r>
    </w:p>
    <w:p>
      <w:pPr>
        <w:spacing w:after="0" w:line="202" w:lineRule="exact"/>
        <w:rPr>
          <w:sz w:val="20"/>
          <w:szCs w:val="20"/>
          <w:color w:val="auto"/>
        </w:rPr>
      </w:pPr>
    </w:p>
    <w:p>
      <w:pPr>
        <w:jc w:val="both"/>
        <w:ind w:left="980" w:right="180" w:hanging="324"/>
        <w:spacing w:after="0" w:line="291" w:lineRule="auto"/>
        <w:tabs>
          <w:tab w:leader="none" w:pos="97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late Form 4 for each of Messrs. Hallal, McGuire and Singer, Ms. Friedman, Dr. Langer and Maverick Capital Ventures, LLC, each filed on December 11, 2020 in connection with option awards granted upon the effectiveness of our initial public offering;</w:t>
      </w:r>
    </w:p>
    <w:p>
      <w:pPr>
        <w:spacing w:after="0" w:line="173" w:lineRule="exact"/>
        <w:rPr>
          <w:rFonts w:ascii="Arial" w:cs="Arial" w:eastAsia="Arial" w:hAnsi="Arial"/>
          <w:sz w:val="17"/>
          <w:szCs w:val="17"/>
          <w:color w:val="auto"/>
        </w:rPr>
      </w:pPr>
    </w:p>
    <w:p>
      <w:pPr>
        <w:ind w:left="980" w:right="160" w:hanging="324"/>
        <w:spacing w:after="0" w:line="261"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late Form 4/A for Lee Ainslie filed on December 31, 2020 in connection with the purchase of Class A shares by the Maverick entities in our initial public offering; and</w:t>
      </w:r>
    </w:p>
    <w:p>
      <w:pPr>
        <w:spacing w:after="0" w:line="197" w:lineRule="exact"/>
        <w:rPr>
          <w:rFonts w:ascii="Arial" w:cs="Arial" w:eastAsia="Arial" w:hAnsi="Arial"/>
          <w:sz w:val="18"/>
          <w:szCs w:val="18"/>
          <w:color w:val="auto"/>
        </w:rPr>
      </w:pPr>
    </w:p>
    <w:p>
      <w:pPr>
        <w:jc w:val="both"/>
        <w:ind w:left="980" w:right="180" w:hanging="324"/>
        <w:spacing w:after="0" w:line="256"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late Form 4 for each of Dr. Farokhzad and Messrs. Ostadan and Horn filed on February 3, 2021 in connection with restricted stock unit and option awards granted upon the effectiveness of our initial public offering. Dr. Farokhzad’s Form 4 also reported the conversion of Class B common stock to Class A common stock on January 21, 2021.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Annual Report and SEC Filings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financial statements for our fiscal year ended December 31, 2020 are included in our Annual Report on Form 10-K filed with the SEC on March 29, 2021. This proxy statement and our Annual Report on Form 10-K are posted on our investor relations website at investor.seer.bio and are available from the SEC at its website at www.sec.gov. You may also obtain a copy of our Annual Report on Form 10-K without charge by sending a written request to Seer, Inc., Attention: Investor Relations, 3800 Bridge Parkway, Suite 102, Redwood City, California 94065.</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25"/>
          <w:szCs w:val="25"/>
          <w:color w:val="auto"/>
        </w:rPr>
        <w:t>* * *</w:t>
      </w:r>
    </w:p>
    <w:p>
      <w:pPr>
        <w:spacing w:after="0" w:line="22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that your shares of common stock be represented at the Annual Meeting, regardless of the number of shares that you</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hold. You are, therefore, urged to vote over the Internet or by telephone as instructed on the enclosed proxy card or execute and return, at your earliest convenience, the enclosed proxy card.</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BOARD OF DIRECTORS</w:t>
      </w:r>
    </w:p>
    <w:p>
      <w:pPr>
        <w:spacing w:after="0" w:line="200" w:lineRule="exact"/>
        <w:rPr>
          <w:sz w:val="20"/>
          <w:szCs w:val="20"/>
          <w:color w:val="auto"/>
        </w:rPr>
      </w:pPr>
    </w:p>
    <w:p>
      <w:pPr>
        <w:spacing w:after="0" w:line="2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Redwood City, California</w:t>
      </w:r>
    </w:p>
    <w:p>
      <w:pPr>
        <w:ind w:left="5640"/>
        <w:spacing w:after="0"/>
        <w:rPr>
          <w:sz w:val="20"/>
          <w:szCs w:val="20"/>
          <w:color w:val="auto"/>
        </w:rPr>
      </w:pPr>
      <w:r>
        <w:rPr>
          <w:rFonts w:ascii="Arial" w:cs="Arial" w:eastAsia="Arial" w:hAnsi="Arial"/>
          <w:sz w:val="18"/>
          <w:szCs w:val="18"/>
          <w:color w:val="auto"/>
        </w:rPr>
        <w:t>April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320" w:top="1251" w:right="41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249035" cy="8032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249035" cy="803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9019"/>
          </w:cols>
          <w:pgMar w:left="14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249035" cy="8023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249035" cy="802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o"/>
      <w:numFmt w:val="bullet"/>
      <w:start w:val="1"/>
    </w:lvl>
  </w:abstractNum>
  <w:abstractNum w:abstractNumId="1">
    <w:nsid w:val="79838CB2"/>
    <w:multiLevelType w:val="hybridMultilevel"/>
    <w:lvl w:ilvl="0">
      <w:lvlJc w:val="left"/>
      <w:lvlText w:val="x"/>
      <w:numFmt w:val="bullet"/>
      <w:start w:val="1"/>
    </w:lvl>
  </w:abstractNum>
  <w:abstractNum w:abstractNumId="2">
    <w:nsid w:val="4353D0CD"/>
    <w:multiLevelType w:val="hybridMultilevel"/>
    <w:lvl w:ilvl="0">
      <w:lvlJc w:val="left"/>
      <w:lvlText w:val="o"/>
      <w:numFmt w:val="bullet"/>
      <w:start w:val="1"/>
    </w:lvl>
    <w:lvl w:ilvl="1">
      <w:lvlJc w:val="left"/>
      <w:lvlText w:val="(%2)"/>
      <w:numFmt w:val="decimal"/>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9"/>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4"/>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2"/>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8"/>
    </w:lvl>
  </w:abstractNum>
  <w:abstractNum w:abstractNumId="40">
    <w:nsid w:val="2CD89A32"/>
    <w:multiLevelType w:val="hybridMultilevel"/>
    <w:lvl w:ilvl="0">
      <w:lvlJc w:val="left"/>
      <w:lvlText w:val="(%1)"/>
      <w:numFmt w:val="decimal"/>
      <w:start w:val="15"/>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2021-04-28T16:39:06Z</dcterms:created>
  <dcterms:modified xsi:type="dcterms:W3CDTF">2021-04-28T16:39:06Z</dcterms:modified>
</cp:coreProperties>
</file>