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1 )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Seer,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81578P106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29,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81578P106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Capital World Investors</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95-1411037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2,056,000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2,056,000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2,056,000 Beneficial ownership disclaimed pursuant to Rule 13d-4</w:t>
            </w: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3.4%</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620" w:right="8020" w:hanging="707"/>
        <w:spacing w:after="0" w:line="286" w:lineRule="auto"/>
        <w:tabs>
          <w:tab w:leader="none" w:pos="162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Issuer </w:t>
      </w:r>
      <w:r>
        <w:rPr>
          <w:rFonts w:ascii="Times New Roman" w:cs="Times New Roman" w:eastAsia="Times New Roman" w:hAnsi="Times New Roman"/>
          <w:sz w:val="21"/>
          <w:szCs w:val="21"/>
          <w:color w:val="auto"/>
        </w:rPr>
        <w:t>Seer, Inc.</w:t>
      </w:r>
    </w:p>
    <w:p>
      <w:pPr>
        <w:spacing w:after="0" w:line="45" w:lineRule="exact"/>
        <w:rPr>
          <w:rFonts w:ascii="Times New Roman" w:cs="Times New Roman" w:eastAsia="Times New Roman" w:hAnsi="Times New Roman"/>
          <w:sz w:val="21"/>
          <w:szCs w:val="21"/>
          <w:b w:val="1"/>
          <w:bCs w:val="1"/>
          <w:color w:val="auto"/>
        </w:rPr>
      </w:pPr>
    </w:p>
    <w:p>
      <w:pPr>
        <w:ind w:left="1620" w:hanging="707"/>
        <w:spacing w:after="0"/>
        <w:tabs>
          <w:tab w:leader="none" w:pos="162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of Issuer's Principal Executive Offices</w:t>
      </w:r>
    </w:p>
    <w:p>
      <w:pPr>
        <w:spacing w:after="0" w:line="18" w:lineRule="exact"/>
        <w:rPr>
          <w:rFonts w:ascii="Times New Roman" w:cs="Times New Roman" w:eastAsia="Times New Roman" w:hAnsi="Times New Roman"/>
          <w:sz w:val="22"/>
          <w:szCs w:val="22"/>
          <w:b w:val="1"/>
          <w:bCs w:val="1"/>
          <w:color w:val="auto"/>
        </w:rPr>
      </w:pPr>
    </w:p>
    <w:p>
      <w:pPr>
        <w:ind w:left="16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3800 Bridge Parkway, Suite 102, Redwood City, CA 94065</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jc w:val="both"/>
        <w:ind w:left="1620" w:right="734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Person Filing </w:t>
      </w:r>
      <w:r>
        <w:rPr>
          <w:rFonts w:ascii="Times New Roman" w:cs="Times New Roman" w:eastAsia="Times New Roman" w:hAnsi="Times New Roman"/>
          <w:sz w:val="21"/>
          <w:szCs w:val="21"/>
          <w:color w:val="auto"/>
        </w:rPr>
        <w:t>Capital World Investors</w:t>
      </w:r>
    </w:p>
    <w:p>
      <w:pPr>
        <w:spacing w:after="0" w:line="45" w:lineRule="exact"/>
        <w:rPr>
          <w:rFonts w:ascii="Times New Roman" w:cs="Times New Roman" w:eastAsia="Times New Roman" w:hAnsi="Times New Roman"/>
          <w:sz w:val="21"/>
          <w:szCs w:val="21"/>
          <w:b w:val="1"/>
          <w:bCs w:val="1"/>
          <w:color w:val="auto"/>
        </w:rPr>
      </w:pPr>
    </w:p>
    <w:p>
      <w:pPr>
        <w:ind w:left="1620" w:hanging="707"/>
        <w:spacing w:after="0"/>
        <w:tabs>
          <w:tab w:leader="none" w:pos="16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of Principal Business Office or, if None, Residence</w:t>
      </w:r>
    </w:p>
    <w:p>
      <w:pPr>
        <w:spacing w:after="0" w:line="18" w:lineRule="exact"/>
        <w:rPr>
          <w:rFonts w:ascii="Times New Roman" w:cs="Times New Roman" w:eastAsia="Times New Roman" w:hAnsi="Times New Roman"/>
          <w:sz w:val="22"/>
          <w:szCs w:val="22"/>
          <w:b w:val="1"/>
          <w:bCs w:val="1"/>
          <w:color w:val="auto"/>
        </w:rPr>
      </w:pPr>
    </w:p>
    <w:p>
      <w:pPr>
        <w:ind w:left="16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333 SOUTH HOPE STREET, 55TH FLOOR, LOS ANGELES, CALIFORNIA 90071</w:t>
      </w:r>
    </w:p>
    <w:p>
      <w:pPr>
        <w:spacing w:after="0" w:line="97" w:lineRule="exact"/>
        <w:rPr>
          <w:rFonts w:ascii="Times New Roman" w:cs="Times New Roman" w:eastAsia="Times New Roman" w:hAnsi="Times New Roman"/>
          <w:sz w:val="22"/>
          <w:szCs w:val="22"/>
          <w:b w:val="1"/>
          <w:bCs w:val="1"/>
          <w:color w:val="auto"/>
        </w:rPr>
      </w:pPr>
    </w:p>
    <w:p>
      <w:pPr>
        <w:ind w:left="1620" w:right="836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N/A</w:t>
      </w:r>
    </w:p>
    <w:p>
      <w:pPr>
        <w:spacing w:after="0" w:line="45" w:lineRule="exact"/>
        <w:rPr>
          <w:rFonts w:ascii="Times New Roman" w:cs="Times New Roman" w:eastAsia="Times New Roman" w:hAnsi="Times New Roman"/>
          <w:sz w:val="21"/>
          <w:szCs w:val="21"/>
          <w:b w:val="1"/>
          <w:bCs w:val="1"/>
          <w:color w:val="auto"/>
        </w:rPr>
      </w:pPr>
    </w:p>
    <w:p>
      <w:pPr>
        <w:ind w:left="1620" w:right="7000" w:hanging="707"/>
        <w:spacing w:after="0" w:line="262" w:lineRule="auto"/>
        <w:tabs>
          <w:tab w:leader="none" w:pos="16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620" w:right="794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81578P106</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ectPr>
          <w:pgSz w:w="11900" w:h="16838" w:orient="portrait"/>
          <w:cols w:equalWidth="0" w:num="1">
            <w:col w:w="11020"/>
          </w:cols>
          <w:pgMar w:left="400" w:top="419" w:right="479" w:bottom="0" w:gutter="0" w:footer="0" w:header="0"/>
        </w:sectPr>
      </w:pPr>
    </w:p>
    <w:p>
      <w:pPr>
        <w:spacing w:after="0" w:line="129"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2"/>
          <w:szCs w:val="22"/>
          <w:color w:val="auto"/>
        </w:rPr>
        <w:t>[X]</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(g)</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(h)</w:t>
      </w:r>
      <w:r>
        <w:rPr>
          <w:sz w:val="20"/>
          <w:szCs w:val="20"/>
          <w:color w:val="auto"/>
        </w:rPr>
        <w:tab/>
      </w:r>
      <w:r>
        <w:rPr>
          <w:rFonts w:ascii="Times New Roman" w:cs="Times New Roman" w:eastAsia="Times New Roman" w:hAnsi="Times New Roman"/>
          <w:sz w:val="22"/>
          <w:szCs w:val="22"/>
          <w:color w:val="auto"/>
        </w:rPr>
        <w:t>[ ]</w:t>
      </w:r>
    </w:p>
    <w:p>
      <w:pPr>
        <w:spacing w:after="0" w:line="368"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(j)</w:t>
      </w:r>
      <w:r>
        <w:rPr>
          <w:sz w:val="20"/>
          <w:szCs w:val="20"/>
          <w:color w:val="auto"/>
        </w:rPr>
        <w:tab/>
      </w:r>
      <w:r>
        <w:rPr>
          <w:rFonts w:ascii="Times New Roman" w:cs="Times New Roman" w:eastAsia="Times New Roman" w:hAnsi="Times New Roman"/>
          <w:sz w:val="22"/>
          <w:szCs w:val="22"/>
          <w:color w:val="auto"/>
        </w:rPr>
        <w:t>[ ]</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ind w:left="8" w:right="560"/>
        <w:spacing w:after="0" w:line="258"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left="8" w:right="44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ind w:left="8" w:right="240"/>
        <w:spacing w:after="0" w:line="258" w:lineRule="auto"/>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21"/>
          <w:szCs w:val="21"/>
          <w:color w:val="auto"/>
        </w:rPr>
        <w:t>A church plan that is excluded from the definition of an investment company under Section 3(c)</w:t>
      </w:r>
    </w:p>
    <w:p>
      <w:pPr>
        <w:spacing w:after="0" w:line="26" w:lineRule="exact"/>
        <w:rPr>
          <w:sz w:val="20"/>
          <w:szCs w:val="20"/>
          <w:color w:val="auto"/>
        </w:rPr>
      </w:pPr>
    </w:p>
    <w:p>
      <w:pPr>
        <w:ind w:left="8" w:right="3040" w:hanging="8"/>
        <w:spacing w:after="0" w:line="363" w:lineRule="auto"/>
        <w:tabs>
          <w:tab w:leader="none" w:pos="42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Investment Company Act of 1940 (15 U.S.C. 80a-3); Group, in accordance with Rule 240.13d-1(b)(1)(ii)(J).</w:t>
      </w:r>
    </w:p>
    <w:p>
      <w:pPr>
        <w:spacing w:after="0" w:line="344" w:lineRule="exact"/>
        <w:rPr>
          <w:sz w:val="20"/>
          <w:szCs w:val="20"/>
          <w:color w:val="auto"/>
        </w:rPr>
      </w:pPr>
    </w:p>
    <w:p>
      <w:pPr>
        <w:sectPr>
          <w:pgSz w:w="11900" w:h="16838" w:orient="portrait"/>
          <w:cols w:equalWidth="0" w:num="2">
            <w:col w:w="1980" w:space="432"/>
            <w:col w:w="8608"/>
          </w:cols>
          <w:pgMar w:left="400" w:top="419" w:right="479" w:bottom="0" w:gutter="0" w:footer="0" w:header="0"/>
          <w:type w:val="continuous"/>
        </w:sect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19" w:right="479" w:bottom="0" w:gutter="0" w:footer="0" w:header="0"/>
          <w:type w:val="continuous"/>
        </w:sectPr>
      </w:pPr>
    </w:p>
    <w:p>
      <w:pPr>
        <w:spacing w:after="0" w:line="77" w:lineRule="exact"/>
        <w:rPr>
          <w:sz w:val="20"/>
          <w:szCs w:val="20"/>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2,056,000 **</w:t>
      </w:r>
    </w:p>
    <w:p>
      <w:pPr>
        <w:spacing w:after="0" w:line="125" w:lineRule="exact"/>
        <w:rPr>
          <w:rFonts w:ascii="Times New Roman" w:cs="Times New Roman" w:eastAsia="Times New Roman" w:hAnsi="Times New Roman"/>
          <w:sz w:val="22"/>
          <w:szCs w:val="22"/>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3.4%</w:t>
      </w:r>
    </w:p>
    <w:p>
      <w:pPr>
        <w:spacing w:after="0" w:line="125" w:lineRule="exact"/>
        <w:rPr>
          <w:rFonts w:ascii="Times New Roman" w:cs="Times New Roman" w:eastAsia="Times New Roman" w:hAnsi="Times New Roman"/>
          <w:sz w:val="22"/>
          <w:szCs w:val="22"/>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 power to dispose or to direct the disposition of</w:t>
      </w:r>
    </w:p>
    <w:p>
      <w:pPr>
        <w:spacing w:after="0" w:line="172" w:lineRule="exact"/>
        <w:rPr>
          <w:rFonts w:ascii="Times New Roman" w:cs="Times New Roman" w:eastAsia="Times New Roman" w:hAnsi="Times New Roman"/>
          <w:sz w:val="39"/>
          <w:szCs w:val="39"/>
          <w:color w:val="auto"/>
          <w:vertAlign w:val="subscript"/>
        </w:rPr>
      </w:pPr>
    </w:p>
    <w:p>
      <w:pPr>
        <w:ind w:left="2420" w:right="780" w:hanging="805"/>
        <w:spacing w:after="0" w:line="185" w:lineRule="auto"/>
        <w:tabs>
          <w:tab w:leader="none" w:pos="242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2,056,000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2,056,000</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6" w:lineRule="exact"/>
        <w:rPr>
          <w:sz w:val="20"/>
          <w:szCs w:val="20"/>
          <w:color w:val="auto"/>
        </w:rPr>
      </w:pPr>
    </w:p>
    <w:p>
      <w:pPr>
        <w:sectPr>
          <w:pgSz w:w="11900" w:h="16838" w:orient="portrait"/>
          <w:cols w:equalWidth="0" w:num="2">
            <w:col w:w="6600" w:space="260"/>
            <w:col w:w="4160"/>
          </w:cols>
          <w:pgMar w:left="400" w:top="419" w:right="479" w:bottom="0" w:gutter="0" w:footer="0" w:header="0"/>
          <w:type w:val="continuous"/>
        </w:sectPr>
      </w:pPr>
    </w:p>
    <w:p>
      <w:pPr>
        <w:ind w:right="80"/>
        <w:spacing w:after="0" w:line="251" w:lineRule="auto"/>
        <w:rPr>
          <w:sz w:val="20"/>
          <w:szCs w:val="20"/>
          <w:color w:val="auto"/>
        </w:rPr>
      </w:pPr>
      <w:r>
        <w:rPr>
          <w:rFonts w:ascii="Times New Roman" w:cs="Times New Roman" w:eastAsia="Times New Roman" w:hAnsi="Times New Roman"/>
          <w:sz w:val="21"/>
          <w:szCs w:val="21"/>
          <w:color w:val="auto"/>
        </w:rPr>
        <w:t>**Capital World Investors ("CWI")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w:t>
      </w:r>
    </w:p>
    <w:p>
      <w:pPr>
        <w:sectPr>
          <w:pgSz w:w="11900" w:h="16838" w:orient="portrait"/>
          <w:cols w:equalWidth="0" w:num="1">
            <w:col w:w="11020"/>
          </w:cols>
          <w:pgMar w:left="400" w:top="419" w:right="479" w:bottom="0" w:gutter="0" w:footer="0" w:header="0"/>
          <w:type w:val="continuous"/>
        </w:sectPr>
      </w:pPr>
    </w:p>
    <w:bookmarkStart w:id="3" w:name="page4"/>
    <w:bookmarkEnd w:id="3"/>
    <w:p>
      <w:pPr>
        <w:ind w:right="360"/>
        <w:spacing w:after="0" w:line="259" w:lineRule="auto"/>
        <w:rPr>
          <w:sz w:val="20"/>
          <w:szCs w:val="20"/>
          <w:color w:val="auto"/>
        </w:rPr>
      </w:pPr>
      <w:r>
        <w:rPr>
          <w:rFonts w:ascii="Times New Roman" w:cs="Times New Roman" w:eastAsia="Times New Roman" w:hAnsi="Times New Roman"/>
          <w:sz w:val="22"/>
          <w:szCs w:val="22"/>
          <w:color w:val="auto"/>
        </w:rPr>
        <w:t>"Capital World Investors." CWI is deemed to be the beneficial owner of 2,056,000 shares or 3.4% of the 59,780,244 shares believed to be outstanding.</w:t>
      </w:r>
    </w:p>
    <w:p>
      <w:pPr>
        <w:spacing w:after="0" w:line="7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X ]</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ind w:left="920" w:right="36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2" w:right="499" w:bottom="1440" w:gutter="0" w:footer="0" w:header="0"/>
        </w:sectPr>
      </w:pPr>
    </w:p>
    <w:bookmarkStart w:id="4" w:name="page5"/>
    <w:bookmarkEnd w:id="4"/>
    <w:p>
      <w:pPr>
        <w:ind w:left="388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0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Erik A. Vayntrub</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Date: February 07, 2024</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Erik A. Vayntrub</w:t>
      </w:r>
    </w:p>
    <w:p>
      <w:pPr>
        <w:spacing w:after="0" w:line="44" w:lineRule="exact"/>
        <w:rPr>
          <w:sz w:val="20"/>
          <w:szCs w:val="20"/>
          <w:color w:val="auto"/>
        </w:rPr>
      </w:pPr>
    </w:p>
    <w:p>
      <w:pPr>
        <w:ind w:left="600"/>
        <w:spacing w:after="0" w:line="258" w:lineRule="auto"/>
        <w:rPr>
          <w:sz w:val="20"/>
          <w:szCs w:val="20"/>
          <w:color w:val="auto"/>
        </w:rPr>
      </w:pPr>
      <w:r>
        <w:rPr>
          <w:rFonts w:ascii="Times New Roman" w:cs="Times New Roman" w:eastAsia="Times New Roman" w:hAnsi="Times New Roman"/>
          <w:sz w:val="22"/>
          <w:szCs w:val="22"/>
          <w:color w:val="auto"/>
        </w:rPr>
        <w:t>Title: Senior Vice President and Senior Counsel, Fund Business Management Group, Capital Research and Management Company</w:t>
      </w:r>
    </w:p>
    <w:sectPr>
      <w:pgSz w:w="11900" w:h="16838" w:orient="portrait"/>
      <w:cols w:equalWidth="0" w:num="1">
        <w:col w:w="9840"/>
      </w:cols>
      <w:pgMar w:left="1440" w:top="405"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decimal"/>
      <w:start w:val="14"/>
    </w:lvl>
  </w:abstractNum>
  <w:abstractNum w:abstractNumId="4">
    <w:nsid w:val="46E87CC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2024-02-09T17:27:55Z</dcterms:created>
  <dcterms:modified xsi:type="dcterms:W3CDTF">2024-02-09T17:27:55Z</dcterms:modified>
</cp:coreProperties>
</file>