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26445-20260226.htm"/>
      <w:bookmarkStart w:id="1" w:name="ksck000172644520260226"/>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February 26,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w:t>
      </w:r>
      <w:r>
        <w:rPr>
          <w:rFonts w:ascii="Times New Roman" w:hAnsi="Times New Roman"/>
          <w:color w:val="000000"/>
          <w:sz w:val="20"/>
        </w:rPr>
        <w:t xml:space="preserve"> </w:t>
      </w:r>
      <w:r>
        <w:rPr>
          <w:rFonts w:ascii="Times New Roman" w:hAnsi="Times New Roman"/>
          <w:b/>
          <w:color w:val="000000"/>
          <w:sz w:val="20"/>
        </w:rPr>
        <w:t>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 xml:space="preserve">650-453-0000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2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916"/>
        <w:gridCol w:w="4096"/>
      </w:tblGrid>
      <w:tr>
        <w:trPr/>
        <w:tc>
          <w:tcPr>
            <w:tcW w:w="91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26, 2026, Seer, Inc. issued a press release (the “Press Release”) announcing results for the quarter and year ended December 31, 2025. A copy of the Press Release is attached as Exhibit 99.1 to this current report on Form 8-K and is incorporated by reference herein.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pPr>
      <w:r>
        <w:rPr/>
        <w:t> </w:t>
      </w:r>
    </w:p>
    <w:tbl>
      <w:tblPr>
        <w:tblW w:w="7618" w:type="dxa"/>
        <w:jc w:val="left"/>
        <w:tblInd w:w="0" w:type="dxa"/>
        <w:tblLayout w:type="fixed"/>
        <w:tblCellMar>
          <w:top w:w="28" w:type="dxa"/>
          <w:left w:w="28" w:type="dxa"/>
          <w:bottom w:w="28" w:type="dxa"/>
          <w:right w:w="28" w:type="dxa"/>
        </w:tblCellMar>
      </w:tblPr>
      <w:tblGrid>
        <w:gridCol w:w="1081"/>
        <w:gridCol w:w="146"/>
        <w:gridCol w:w="6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ck0001726445-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February 26, 2026.</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935" w:type="dxa"/>
        <w:jc w:val="left"/>
        <w:tblInd w:w="0" w:type="dxa"/>
        <w:tblLayout w:type="fixed"/>
        <w:tblCellMar>
          <w:top w:w="28" w:type="dxa"/>
          <w:left w:w="28" w:type="dxa"/>
          <w:bottom w:w="28" w:type="dxa"/>
          <w:right w:w="28" w:type="dxa"/>
        </w:tblCellMar>
      </w:tblPr>
      <w:tblGrid>
        <w:gridCol w:w="2086"/>
        <w:gridCol w:w="146"/>
        <w:gridCol w:w="406"/>
        <w:gridCol w:w="146"/>
        <w:gridCol w:w="315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Horn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3" w:name="ck0001726445-ex99_1.htm"/>
      <w:bookmarkStart w:id="4" w:name="ksck0001726445ex99_1"/>
      <w:bookmarkEnd w:id="3"/>
      <w:bookmarkEnd w:id="4"/>
      <w:r>
        <w:rPr/>
        <w:t> </w:t>
      </w:r>
      <w:r>
        <w:br w:type="page"/>
      </w:r>
    </w:p>
    <w:p>
      <w:pPr>
        <w:pStyle w:val="TextBody"/>
        <w:bidi w:val="0"/>
        <w:spacing w:before="0" w:after="120"/>
        <w:jc w:val="center"/>
        <w:rPr>
          <w:rFonts w:ascii="Times New Roman" w:hAnsi="Times New Roman"/>
          <w:sz w:val="20"/>
        </w:rPr>
      </w:pPr>
      <w:r>
        <w:rPr>
          <w:rFonts w:ascii="Arial" w:hAnsi="Arial"/>
          <w:b/>
          <w:color w:val="000000"/>
          <w:sz w:val="24"/>
        </w:rPr>
        <w:t>Seer Reports Fourth Quarter and Full Year 2025 Financial Results and Provides Full Year 2026 Outlook</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Arial" w:hAnsi="Arial"/>
          <w:b/>
          <w:color w:val="000000"/>
          <w:sz w:val="20"/>
        </w:rPr>
        <w:t xml:space="preserve">REDWOOD CITY, Calif. </w:t>
      </w:r>
      <w:r>
        <w:rPr>
          <w:rFonts w:ascii="Arial" w:hAnsi="Arial"/>
          <w:color w:val="000000"/>
          <w:sz w:val="20"/>
        </w:rPr>
        <w:t>February 26, 2026 – Seer, Inc. (Nasdaq: SEER), the pioneer and trusted partner for deep, unbiased proteomic insights, today reported financial results for the fourth quarter and full year ended December 31, 2025.</w:t>
      </w:r>
    </w:p>
    <w:p>
      <w:pPr>
        <w:pStyle w:val="TextBody"/>
        <w:bidi w:val="0"/>
        <w:spacing w:before="0" w:after="120"/>
        <w:jc w:val="both"/>
        <w:rPr>
          <w:rFonts w:ascii="Times New Roman" w:hAnsi="Times New Roman"/>
          <w:sz w:val="20"/>
        </w:rPr>
      </w:pPr>
      <w:r>
        <w:rPr>
          <w:rFonts w:ascii="Arial" w:hAnsi="Arial"/>
          <w:b/>
          <w:color w:val="000000"/>
          <w:sz w:val="20"/>
        </w:rPr>
        <w:t>Recent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Generated revenue of $4.2 million for the fourth quarter of 2025 and $16.6</w:t>
      </w:r>
      <w:r>
        <w:rPr>
          <w:color w:val="FF0000"/>
        </w:rPr>
        <w:t xml:space="preserve"> </w:t>
      </w:r>
      <w:r>
        <w:rPr>
          <w:rFonts w:ascii="Arial" w:hAnsi="Arial"/>
          <w:color w:val="000000"/>
          <w:sz w:val="20"/>
        </w:rPr>
        <w:t>million for the full year 2025</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Expanded installed base to 82 instruments, representing 67% year-over-year growth, with 33 total instruments installed during the full year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 xml:space="preserve">Seminal customer studies published in </w:t>
      </w:r>
      <w:r>
        <w:rPr>
          <w:rFonts w:ascii="Arial" w:hAnsi="Arial"/>
          <w:i/>
          <w:color w:val="000000"/>
          <w:sz w:val="20"/>
        </w:rPr>
        <w:t xml:space="preserve">Nature </w:t>
      </w:r>
      <w:r>
        <w:rPr>
          <w:rFonts w:ascii="Arial" w:hAnsi="Arial"/>
          <w:color w:val="000000"/>
          <w:sz w:val="20"/>
        </w:rPr>
        <w:t xml:space="preserve">and </w:t>
      </w:r>
      <w:r>
        <w:rPr>
          <w:rFonts w:ascii="Arial" w:hAnsi="Arial"/>
          <w:i/>
          <w:color w:val="000000"/>
          <w:sz w:val="20"/>
        </w:rPr>
        <w:t xml:space="preserve">Nature Genetics </w:t>
      </w:r>
      <w:r>
        <w:rPr>
          <w:rFonts w:ascii="Arial" w:hAnsi="Arial"/>
          <w:color w:val="000000"/>
          <w:sz w:val="20"/>
        </w:rPr>
        <w:t>highlighting the power of the Proteograph to enable clinically relevant biomarker discovery and deep biologic insight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Strong presence at the 2025 Human Proteome Organization World Congress with more than a dozen scientific presentations and sixteen posters presented that highlight the translational power of the Proteograph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Ended the year with approximately $240.6 million of cash, cash equivalents and investments</w:t>
      </w:r>
    </w:p>
    <w:p>
      <w:pPr>
        <w:pStyle w:val="TextBody"/>
        <w:bidi w:val="0"/>
        <w:spacing w:before="180" w:after="180"/>
        <w:jc w:val="left"/>
        <w:rPr>
          <w:color w:val="000000"/>
        </w:rPr>
      </w:pPr>
      <w:r>
        <w:rPr>
          <w:color w:val="000000"/>
        </w:rPr>
        <w:t>“</w:t>
      </w:r>
      <w:r>
        <w:rPr>
          <w:rFonts w:ascii="Arial" w:hAnsi="Arial"/>
          <w:color w:val="000000"/>
          <w:sz w:val="20"/>
        </w:rPr>
        <w:t>2025 was a challenging year as our customers navigated ongoing budgetary pressures, including uncertainty around NIH funding in the fourth quarter," said Omid Farokhzad, Chair and CEO of Seer. "Despite this persistently challenging funding environment, we made meaningful progress across our business. Our installed base grew significantly, consumable kit volume increased, the number of publications expanded throughout the year, and the Proteograph was selected to power multiple population-scale studies. I am more confident than ever in our opportunities in 2026 and beyond.”</w:t>
      </w:r>
    </w:p>
    <w:p>
      <w:pPr>
        <w:pStyle w:val="TextBody"/>
        <w:bidi w:val="0"/>
        <w:spacing w:before="0" w:after="120"/>
        <w:jc w:val="both"/>
        <w:rPr>
          <w:rFonts w:ascii="Times New Roman" w:hAnsi="Times New Roman"/>
          <w:sz w:val="20"/>
        </w:rPr>
      </w:pPr>
      <w:r>
        <w:rPr>
          <w:rFonts w:ascii="Arial" w:hAnsi="Arial"/>
          <w:b/>
          <w:color w:val="000000"/>
          <w:sz w:val="20"/>
        </w:rPr>
        <w:t>Fourth Quarter 2025 Financial Results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Arial" w:hAnsi="Arial"/>
          <w:color w:val="000000"/>
          <w:sz w:val="20"/>
        </w:rPr>
        <w:t>Revenue was $4.2 million for the fourth quarter of 2025, a 5% increase from $4.0 million for the corresponding prior year period, primarily due to higher product revenue in the quarter. Product revenue for the fourth quarter of 2025 was $2.8 million and consisted of sales of Proteograph instruments and consumable kits. Service revenue was $1.2 million for the fourth quarter of 2025 and primarily consisted of revenue related to Seer Technology Access Center service projects. Other revenue was $128 thousand for the fourth quarter of 2025.</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Gross profit was $2.2 million and gross margin was 52% for the fourth quarter of 2025.</w:t>
      </w:r>
      <w:r>
        <w:rPr>
          <w:rFonts w:ascii="Times New Roman" w:hAnsi="Times New Roman"/>
          <w:color w:val="000000"/>
          <w:sz w:val="20"/>
        </w:rPr>
        <w:t xml:space="preserve"> </w:t>
      </w:r>
    </w:p>
    <w:p>
      <w:pPr>
        <w:pStyle w:val="TextBody"/>
        <w:bidi w:val="0"/>
        <w:spacing w:before="180" w:after="180"/>
        <w:jc w:val="both"/>
        <w:rPr>
          <w:rFonts w:ascii="Times New Roman" w:hAnsi="Times New Roman"/>
          <w:sz w:val="20"/>
        </w:rPr>
      </w:pPr>
      <w:r>
        <w:rPr>
          <w:rFonts w:ascii="Arial" w:hAnsi="Arial"/>
          <w:color w:val="000000"/>
          <w:sz w:val="20"/>
        </w:rPr>
        <w:t>Operating expenses were $19.6 million for the fourth quarter of 2025, including $3.2 million of stock-based compensation, a decrease of 23% compared to $25.5 million for the corresponding prior year period, including $6.0 million of stock-based compensation. The decrease in operating expenses was primarily driven by a reduction in stock-based compensation, laboratory expenses, and professional services.</w:t>
      </w:r>
      <w:r>
        <w:rPr>
          <w:rFonts w:ascii="Times New Roman" w:hAnsi="Times New Roman"/>
          <w:color w:val="000000"/>
          <w:sz w:val="20"/>
        </w:rPr>
        <w:t xml:space="preserve"> </w:t>
      </w:r>
    </w:p>
    <w:p>
      <w:pPr>
        <w:pStyle w:val="TextBody"/>
        <w:bidi w:val="0"/>
        <w:spacing w:before="0" w:after="180"/>
        <w:jc w:val="both"/>
        <w:rPr>
          <w:rFonts w:ascii="Arial" w:hAnsi="Arial"/>
          <w:color w:val="000000"/>
          <w:sz w:val="20"/>
        </w:rPr>
      </w:pPr>
      <w:r>
        <w:rPr>
          <w:rFonts w:ascii="Arial" w:hAnsi="Arial"/>
          <w:color w:val="000000"/>
          <w:sz w:val="20"/>
        </w:rPr>
        <w:t>Net loss was $16.0 million for the fourth quarter of 2025, compared to $21.7 million for the corresponding prior year period.</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20"/>
        <w:jc w:val="both"/>
        <w:rPr>
          <w:rFonts w:ascii="Times New Roman" w:hAnsi="Times New Roman"/>
          <w:sz w:val="20"/>
        </w:rPr>
      </w:pPr>
      <w:r>
        <w:rPr>
          <w:rFonts w:ascii="Arial" w:hAnsi="Arial"/>
          <w:b/>
          <w:color w:val="000000"/>
          <w:sz w:val="20"/>
        </w:rPr>
        <w:t>Full Year 2025 Financial Results</w:t>
      </w:r>
      <w:r>
        <w:rPr>
          <w:rFonts w:ascii="Times New Roman" w:hAnsi="Times New Roman"/>
          <w:color w:val="000000"/>
          <w:sz w:val="20"/>
        </w:rPr>
        <w:t xml:space="preserve"> </w:t>
      </w:r>
    </w:p>
    <w:p>
      <w:pPr>
        <w:pStyle w:val="TextBody"/>
        <w:bidi w:val="0"/>
        <w:spacing w:before="60" w:after="180"/>
        <w:jc w:val="both"/>
        <w:rPr>
          <w:rFonts w:ascii="Times New Roman" w:hAnsi="Times New Roman"/>
          <w:sz w:val="20"/>
        </w:rPr>
      </w:pPr>
      <w:r>
        <w:rPr>
          <w:rFonts w:ascii="Arial" w:hAnsi="Arial"/>
          <w:color w:val="000000"/>
          <w:sz w:val="20"/>
        </w:rPr>
        <w:t>Revenue was $16.6 million for the full year 2025, a 17% increase from $14.2 million for the corresponding prior year period, driven by increased product sales and service revenue during the period. Product revenue for the full year 2025 was $11.2 million, including $5 thousand of related party revenue, and consisted of sales of Proteograph instruments and consumable kits. Service revenue was $4.9 million for the full year 2025, including $755 thousand of related party revenue, and primarily consisted of revenue related to Seer Technology Access Center service projects. Other revenue was $459 thousand for the full year 2025.</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Arial" w:hAnsi="Arial"/>
          <w:color w:val="000000"/>
          <w:sz w:val="20"/>
        </w:rPr>
        <w:t>Gross profit was $8.5 million and gross margin was 51% for the full year 2025.</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Operating expenses were $86.5 million for the full year 2025, including $15.0 million of stock-based compensation, a decrease of 19% compared to $107.2 million for the corresponding prior year period, including $26.6 million of stock-based compensation. The decrease in operating expenses was primarily driven by a reduction in stock-based compensation, professional services, and laboratory expenses.</w:t>
      </w:r>
    </w:p>
    <w:p>
      <w:pPr>
        <w:pStyle w:val="TextBody"/>
        <w:bidi w:val="0"/>
        <w:spacing w:before="180" w:after="180"/>
        <w:jc w:val="both"/>
        <w:rPr>
          <w:rFonts w:ascii="Arial" w:hAnsi="Arial"/>
          <w:color w:val="000000"/>
          <w:sz w:val="20"/>
        </w:rPr>
      </w:pPr>
      <w:r>
        <w:rPr>
          <w:rFonts w:ascii="Arial" w:hAnsi="Arial"/>
          <w:color w:val="000000"/>
          <w:sz w:val="20"/>
        </w:rPr>
        <w:t>Net loss was $73.6 million for the full year 2025, compared to $86.6 million for the corresponding prior year period.</w:t>
      </w:r>
    </w:p>
    <w:p>
      <w:pPr>
        <w:pStyle w:val="TextBody"/>
        <w:bidi w:val="0"/>
        <w:spacing w:before="0" w:after="180"/>
        <w:jc w:val="both"/>
        <w:rPr>
          <w:rFonts w:ascii="Arial" w:hAnsi="Arial"/>
          <w:color w:val="000000"/>
          <w:sz w:val="20"/>
        </w:rPr>
      </w:pPr>
      <w:r>
        <w:rPr>
          <w:rFonts w:ascii="Arial" w:hAnsi="Arial"/>
          <w:color w:val="000000"/>
          <w:sz w:val="20"/>
        </w:rPr>
        <w:t>Cash, cash equivalents and investments were approximately $240.6 million as of December 31, 2025.</w:t>
      </w:r>
    </w:p>
    <w:p>
      <w:pPr>
        <w:pStyle w:val="TextBody"/>
        <w:bidi w:val="0"/>
        <w:spacing w:before="0" w:after="180"/>
        <w:jc w:val="both"/>
        <w:rPr>
          <w:rFonts w:ascii="Times New Roman" w:hAnsi="Times New Roman"/>
          <w:sz w:val="20"/>
        </w:rPr>
      </w:pPr>
      <w:r>
        <w:rPr>
          <w:rFonts w:ascii="Arial" w:hAnsi="Arial"/>
          <w:b/>
          <w:color w:val="000000"/>
          <w:sz w:val="20"/>
        </w:rPr>
        <w:t>2026 Guidance</w:t>
      </w:r>
      <w:r>
        <w:rPr>
          <w:rFonts w:ascii="Times New Roman" w:hAnsi="Times New Roman"/>
          <w:color w:val="000000"/>
          <w:sz w:val="20"/>
        </w:rPr>
        <w:t xml:space="preserve"> </w:t>
      </w:r>
    </w:p>
    <w:p>
      <w:pPr>
        <w:pStyle w:val="TextBody"/>
        <w:bidi w:val="0"/>
        <w:spacing w:before="0" w:after="180"/>
        <w:jc w:val="both"/>
        <w:rPr>
          <w:rFonts w:ascii="Arial" w:hAnsi="Arial"/>
          <w:color w:val="000000"/>
          <w:sz w:val="20"/>
        </w:rPr>
      </w:pPr>
      <w:r>
        <w:rPr>
          <w:rFonts w:ascii="Arial" w:hAnsi="Arial"/>
          <w:color w:val="000000"/>
          <w:sz w:val="20"/>
        </w:rPr>
        <w:t>Seer expects full year 2026 revenue to be in the range of $16 million to $18 million, representing growth of approximately 3% at the midpoint over full year 2025.</w:t>
      </w:r>
    </w:p>
    <w:p>
      <w:pPr>
        <w:pStyle w:val="TextBody"/>
        <w:bidi w:val="0"/>
        <w:spacing w:before="0" w:after="180"/>
        <w:jc w:val="both"/>
        <w:rPr>
          <w:rFonts w:ascii="Arial" w:hAnsi="Arial"/>
          <w:b/>
          <w:color w:val="000000"/>
          <w:sz w:val="20"/>
        </w:rPr>
      </w:pPr>
      <w:r>
        <w:rPr>
          <w:rFonts w:ascii="Arial" w:hAnsi="Arial"/>
          <w:b/>
          <w:color w:val="000000"/>
          <w:sz w:val="20"/>
        </w:rPr>
        <w:t>Webcast Information</w:t>
      </w:r>
    </w:p>
    <w:p>
      <w:pPr>
        <w:pStyle w:val="TextBody"/>
        <w:bidi w:val="0"/>
        <w:spacing w:before="0" w:after="180"/>
        <w:jc w:val="both"/>
        <w:rPr>
          <w:rFonts w:ascii="Times New Roman" w:hAnsi="Times New Roman"/>
          <w:sz w:val="20"/>
        </w:rPr>
      </w:pPr>
      <w:r>
        <w:rPr>
          <w:rFonts w:ascii="Arial" w:hAnsi="Arial"/>
          <w:color w:val="000000"/>
          <w:sz w:val="20"/>
        </w:rPr>
        <w:t>Seer will host a conference call to discuss the fourth quarter and full year 2025 financial results on Thursday, February 26, 2026 at 1:30 pm Pacific Time / 4:30 pm Eastern Time. A webcast of the conference call can be accessed at https://investor.seer.bio. The webcast will be archived and available for replay for at least 90 days after the event.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Arial" w:hAnsi="Arial"/>
          <w:b/>
          <w:color w:val="000000"/>
          <w:sz w:val="20"/>
        </w:rPr>
        <w:t>About Seer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Arial" w:hAnsi="Arial"/>
          <w:color w:val="000000"/>
          <w:sz w:val="20"/>
        </w:rPr>
        <w:t xml:space="preserve">Seer, Inc. (Nasdaq: SEER) sets the standard in deep, unbiased proteomics, delivering insights with scale, speed, precision, and reproducibility previously unattainable by other proteomic methods. Seer’s Proteograph Product Suite uniquely integrates proprietary engineered nanoparticles, streamlined automation instrumentation, optimized consumables, and advanced analytical software to solve challenges conventional methods have failed to overcome. Traditional proteomic technologies have struggled with inconsistent data, limited throughput, and prohibitive complexity, but Seer’s robust and scalable workflow consistently reveals biological insights that others do not. Seer’s products are for research use only and are not intended for diagnostic procedures. For more information about Seer’s differentiated approach and ongoing leadership in proteomics, visit </w:t>
      </w:r>
      <w:r>
        <w:rPr>
          <w:rFonts w:ascii="Arial" w:hAnsi="Arial"/>
          <w:color w:val="0070C0"/>
          <w:sz w:val="20"/>
        </w:rPr>
        <w:t>www.seer.bio</w:t>
      </w:r>
      <w:r>
        <w:rPr>
          <w:rFonts w:ascii="Arial" w:hAnsi="Arial"/>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both"/>
        <w:rPr>
          <w:rFonts w:ascii="Times New Roman" w:hAnsi="Times New Roman"/>
          <w:sz w:val="20"/>
        </w:rPr>
      </w:pPr>
      <w:r>
        <w:rPr>
          <w:rFonts w:ascii="Arial" w:hAnsi="Arial"/>
          <w:b/>
          <w:color w:val="000000"/>
          <w:sz w:val="20"/>
        </w:rPr>
        <w:t>Forward Looking Statements</w:t>
      </w:r>
      <w:r>
        <w:rPr>
          <w:rFonts w:ascii="Times New Roman" w:hAnsi="Times New Roman"/>
          <w:color w:val="FF0000"/>
          <w:sz w:val="20"/>
        </w:rPr>
        <w:t xml:space="preserve"> </w:t>
      </w:r>
    </w:p>
    <w:p>
      <w:pPr>
        <w:pStyle w:val="TextBody"/>
        <w:bidi w:val="0"/>
        <w:spacing w:before="0" w:after="180"/>
        <w:jc w:val="both"/>
        <w:rPr>
          <w:rFonts w:ascii="Arial" w:hAnsi="Arial"/>
          <w:color w:val="000000"/>
          <w:sz w:val="20"/>
        </w:rPr>
      </w:pPr>
      <w:r>
        <w:rPr>
          <w:rFonts w:ascii="Arial" w:hAnsi="Arial"/>
          <w:color w:val="000000"/>
          <w:sz w:val="20"/>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expectations for future results of operations and its financial position, business strategy, partnerships, adoption of our products and outlook for fiscal year 2026.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pStyle w:val="TextBody"/>
        <w:bidi w:val="0"/>
        <w:jc w:val="left"/>
        <w:rPr/>
      </w:pPr>
      <w:r>
        <w:rPr/>
        <w:t> </w:t>
      </w:r>
    </w:p>
    <w:p>
      <w:pPr>
        <w:pStyle w:val="TextBody"/>
        <w:bidi w:val="0"/>
        <w:jc w:val="both"/>
        <w:rPr>
          <w:rFonts w:ascii="Arial" w:hAnsi="Arial"/>
          <w:color w:val="000000"/>
          <w:sz w:val="20"/>
          <w:u w:val="single"/>
        </w:rPr>
      </w:pPr>
      <w:r>
        <w:rPr>
          <w:rFonts w:ascii="Arial" w:hAnsi="Arial"/>
          <w:color w:val="000000"/>
          <w:sz w:val="20"/>
          <w:u w:val="single"/>
        </w:rPr>
        <w:t>Investor Contact:</w:t>
      </w:r>
    </w:p>
    <w:p>
      <w:pPr>
        <w:pStyle w:val="TextBody"/>
        <w:bidi w:val="0"/>
        <w:jc w:val="left"/>
        <w:rPr>
          <w:rFonts w:ascii="Arial" w:hAnsi="Arial"/>
          <w:color w:val="000000"/>
          <w:sz w:val="20"/>
        </w:rPr>
      </w:pPr>
      <w:r>
        <w:rPr>
          <w:rFonts w:ascii="Arial" w:hAnsi="Arial"/>
          <w:color w:val="000000"/>
          <w:sz w:val="20"/>
        </w:rPr>
        <w:t>Kelly Gura</w:t>
      </w:r>
    </w:p>
    <w:p>
      <w:pPr>
        <w:pStyle w:val="TextBody"/>
        <w:bidi w:val="0"/>
        <w:jc w:val="left"/>
        <w:rPr>
          <w:rFonts w:ascii="Arial" w:hAnsi="Arial"/>
          <w:color w:val="000000"/>
          <w:sz w:val="20"/>
        </w:rPr>
      </w:pPr>
      <w:r>
        <w:rPr>
          <w:rFonts w:ascii="Arial" w:hAnsi="Arial"/>
          <w:color w:val="000000"/>
          <w:sz w:val="20"/>
        </w:rPr>
        <w:t>investor@seer.bio</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u w:val="single"/>
        </w:rPr>
      </w:pPr>
      <w:r>
        <w:rPr>
          <w:rFonts w:ascii="Arial" w:hAnsi="Arial"/>
          <w:color w:val="000000"/>
          <w:sz w:val="20"/>
          <w:u w:val="single"/>
        </w:rPr>
        <w:t>Media Contact:</w:t>
      </w:r>
    </w:p>
    <w:p>
      <w:pPr>
        <w:pStyle w:val="TextBody"/>
        <w:bidi w:val="0"/>
        <w:jc w:val="left"/>
        <w:rPr>
          <w:rFonts w:ascii="Arial" w:hAnsi="Arial"/>
          <w:color w:val="000000"/>
          <w:sz w:val="20"/>
        </w:rPr>
      </w:pPr>
      <w:r>
        <w:rPr>
          <w:rFonts w:ascii="Arial" w:hAnsi="Arial"/>
          <w:color w:val="000000"/>
          <w:sz w:val="20"/>
        </w:rPr>
        <w:t>Patrick Schmidt</w:t>
      </w:r>
    </w:p>
    <w:p>
      <w:pPr>
        <w:pStyle w:val="TextBody"/>
        <w:bidi w:val="0"/>
        <w:jc w:val="left"/>
        <w:rPr>
          <w:rFonts w:ascii="Arial" w:hAnsi="Arial"/>
          <w:color w:val="000000"/>
          <w:sz w:val="20"/>
        </w:rPr>
      </w:pPr>
      <w:r>
        <w:rPr>
          <w:rFonts w:ascii="Arial" w:hAnsi="Arial"/>
          <w:color w:val="000000"/>
          <w:sz w:val="20"/>
        </w:rPr>
        <w:t>pr@seer.bio</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10"/>
        <w:gridCol w:w="211"/>
        <w:gridCol w:w="1036"/>
        <w:gridCol w:w="546"/>
        <w:gridCol w:w="546"/>
        <w:gridCol w:w="211"/>
        <w:gridCol w:w="1036"/>
        <w:gridCol w:w="546"/>
        <w:gridCol w:w="546"/>
        <w:gridCol w:w="211"/>
        <w:gridCol w:w="1036"/>
        <w:gridCol w:w="166"/>
        <w:gridCol w:w="146"/>
        <w:gridCol w:w="211"/>
        <w:gridCol w:w="1036"/>
        <w:gridCol w:w="611"/>
      </w:tblGrid>
      <w:tr>
        <w:trPr/>
        <w:tc>
          <w:tcPr>
            <w:tcW w:w="2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(15,994</w:t>
            </w:r>
          </w:p>
        </w:tc>
        <w:tc>
          <w:tcPr>
            <w:tcW w:w="5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(21,742</w:t>
            </w:r>
          </w:p>
        </w:tc>
        <w:tc>
          <w:tcPr>
            <w:tcW w:w="5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w:t>
            </w:r>
          </w:p>
        </w:tc>
        <w:tc>
          <w:tcPr>
            <w:tcW w:w="16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61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right"/>
              <w:rPr/>
            </w:pPr>
            <w:r>
              <w:rPr/>
              <w:t> </w:t>
            </w:r>
          </w:p>
        </w:tc>
      </w:tr>
      <w:tr>
        <w:trPr/>
        <w:tc>
          <w:tcPr>
            <w:tcW w:w="2110"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Net loss per share attributable to Class A and Class B common stockholders, basic and diluted</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54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54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11" w:type="dxa"/>
            <w:tcBorders>
              <w:bottom w:val="double" w:sz="4" w:space="0" w:color="000000"/>
            </w:tcBorders>
            <w:tcMar>
              <w:top w:w="0" w:type="dxa"/>
              <w:left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 xml:space="preserve">Weighted-average shares used in computing net loss per share attributable to Class A and Class B common stockholders, basic and diluted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56,019,318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59,091,817</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57,447,580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62,348,012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9584" w:type="dxa"/>
        <w:jc w:val="left"/>
        <w:tblInd w:w="0" w:type="dxa"/>
        <w:tblLayout w:type="fixed"/>
        <w:tblCellMar>
          <w:top w:w="28" w:type="dxa"/>
          <w:left w:w="28" w:type="dxa"/>
          <w:bottom w:w="28" w:type="dxa"/>
          <w:right w:w="28" w:type="dxa"/>
        </w:tblCellMar>
      </w:tblPr>
      <w:tblGrid>
        <w:gridCol w:w="6411"/>
        <w:gridCol w:w="146"/>
        <w:gridCol w:w="211"/>
        <w:gridCol w:w="841"/>
        <w:gridCol w:w="166"/>
        <w:gridCol w:w="146"/>
        <w:gridCol w:w="211"/>
        <w:gridCol w:w="841"/>
        <w:gridCol w:w="611"/>
      </w:tblGrid>
      <w:tr>
        <w:trPr/>
        <w:tc>
          <w:tcPr>
            <w:tcW w:w="6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195,657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253,323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366,597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Preferred stock, $0.00001 par value; 5,000,000 shares authorized as of</w:t>
              <w:br/>
              <w:t xml:space="preserve">    December 31, 2025 and 2024; zero shares issued and outstanding </w:t>
              <w:br/>
              <w:t>    as of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Class A common stock, $0.00001 par value; 94,000,000 shares authorized</w:t>
              <w:br/>
              <w:t xml:space="preserve">    as of December 31, 2025 and 2024; 56,219,599 and 55,083,123 </w:t>
              <w:br/>
              <w:t xml:space="preserve">    shares issued and outstanding as of December 31, 2025 and </w:t>
              <w:br/>
              <w:t>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 xml:space="preserve">Class B common stock, $0.00001 par value; 134,268 and 6,000,000 shares </w:t>
              <w:br/>
              <w:t xml:space="preserve">    authorized as of December 31, 2025 and 2024, respectively; zero and </w:t>
              <w:br/>
              <w:t xml:space="preserve">    4,044,969 shares issued and outstanding as of December 31, 2025 and </w:t>
              <w:br/>
              <w:t>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724,819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719,804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(392,372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259,307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327,569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366,597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2102</Words>
  <Characters>11746</Characters>
  <CharactersWithSpaces>14115</CharactersWithSpaces>
  <Paragraphs>986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