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27, 2025, Seer, Inc. issued a press release (the “Press Release”) announcing results for the quarter and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 and is incorporated by reference herein.</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6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-10795</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1029335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27" w:right="1440"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432"/>
        </w:trPr>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Date: February 27, 2025</w:t>
            </w:r>
          </w:p>
        </w:tc>
        <w:tc>
          <w:tcPr>
            <w:tcW w:w="5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5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Seer Reports Fourth Quarter and Full Year 2024 Financial Results and Provides Full Year 2025 Outlook</w:t>
      </w:r>
    </w:p>
    <w:p>
      <w:pPr>
        <w:spacing w:after="0" w:line="110"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Validated technology with exceptional growth of customer publications and enhanced access to the Proteograph Product Suite with growing demand for Seer Technology Access Center (STAC)</w:t>
      </w:r>
    </w:p>
    <w:p>
      <w:pPr>
        <w:spacing w:after="0" w:line="4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Feb. 27, 2025 – Seer, Inc. (Nasdaq: SEER), a leading life sciences company commercializing a disruptive new</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proteomics, today reported financial results for the fourth quarter and full year ended December 31,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Achieved revenue of $4.0 million for the fourth quarter of 2024 and $14.2 million for the full year 2024</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Shipped 10 instruments during 2024, bringing cumulative instruments shipped to 72 as of December 31, 2024</w:t>
      </w:r>
    </w:p>
    <w:p>
      <w:pPr>
        <w:spacing w:after="0" w:line="8" w:lineRule="exact"/>
        <w:rPr>
          <w:rFonts w:ascii="Times New Roman" w:cs="Times New Roman" w:eastAsia="Times New Roman" w:hAnsi="Times New Roman"/>
          <w:sz w:val="18"/>
          <w:szCs w:val="18"/>
          <w:color w:val="auto"/>
        </w:rPr>
      </w:pPr>
    </w:p>
    <w:p>
      <w:pPr>
        <w:ind w:left="760" w:right="46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Launched a new product application for the Proteograph XT workflow, specifically designed for cell lysis proteomics, unlocking unprecedented depth in intracellular proteomics</w:t>
      </w:r>
    </w:p>
    <w:p>
      <w:pPr>
        <w:ind w:left="760" w:right="6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Showcased new findings and advancements in cancer and RNA therapy research utilizing the Proteograph Product Suite at the US Human Proteome Organization Conference</w:t>
      </w:r>
    </w:p>
    <w:p>
      <w:pPr>
        <w:ind w:left="760" w:right="12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Repurchased approximately 6.5 million shares of Seer Class A common stock at an average cost of $1.82 per share during the full year 2024, reducing shares outstanding by approximately 10%</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Ended the year with approximately $300 million of cash, cash equivalents and investments</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customers have made important progress in validating the differentiated value of deep, unbiased proteomics at scale throughout the year, and I’m thrilled that the momentum is growing despite the challenging macroeconomic environment” said Omid Farokhzad, Chair and CEO of Seer. “We saw a surge in customer publications, strong demand for STAC, and we expanded upon our partnership with Thermo Fisher Scientific to accelerate adoption of our Proteograph Product Suite. I believe we are well-positioned for a stronger year in 2025 and my confidence in our platform, our value proposition, and the immense opportunity ahead has never been greater.”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2024 Financial Results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Revenue was $4.0 million for the fourth quarter of 2024, a 10% decrease from $4.4 million for the corresponding prior year period, primarily due to lower instrument sales and no grant revenue recognized in the quarter. Product revenue for the fourth quarter of 2024 was $2.4 million, including $36 thousand of related party revenue, and consisted of sales of SP100 instruments and consumable kits. Service revenue was $1.6 million for the fourth quarter of 2024, including $353 thousand of related party revenue, and primarily consisted of revenue related to STAC service projects. Grant and other revenue was $51 thousand for the fourth quarter of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$2.0 million and gross margin was 51% for the fourth quarter of 2024.</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were $25.5 million for the fourth quarter of 2024, including $6.0 million of stock-based compensation, an increase of 5% compared to $24.2 million for the corresponding prior year period, including $7.3 million of stock-based compensation. The increase in operating expenses was primarily driven by an increase in laboratory expenses.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Net loss was $21.7 million for the fourth quarter of 2024, compared to $17.8 million for the corresponding prior year period.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2024 Financial Results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Revenue was $14.2 million for the full year 2024, a 15% decrease from $16.7 million for the corresponding prior year period, primarily due to lower product sales and no grant revenue recognized during the year. Product revenue for the full year 2024 was $10.2 million, including $1.5 million of related party revenue, and consisted of sales of SP100 instruments and consumable kits. Service revenue was $3.8 million for the full year 2024, including $828 thousand of related party revenue, and primarily consisted of revenue related to STAC service projects. Grant and other revenue was $223 thousand for the full year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$7.1 million and gross margin was 50% for the full year 2024.</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expenses were $107.2 million for the full year 2024, including $26.6 million of stock-based compensation, a decrease of 4% compared to $112.0 million for the corresponding prior year period, including $32.9 million of stock-based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Net loss was $86.6 million for the full year 2024, compared to $86.3 million for the corresponding prior year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$300 million as of December 31, 2024.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Guidance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Seer expects full year 2025 revenue to be in the range of $17 million to $18 million, representing growth of 24% at the midpoint over full year 2024.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Seer will host a conference call to discuss the fourth quarter and full year 2024 financial results on Thursday, February 27, 2025 at 1:30 pm Pacific Time / 4:30 pm Eastern Time. A webcast of the conference call can be accessed at https://investor.seer.bio. The webcast will be archived and available for replay for at least 90 days after the event.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www.seer.bio.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partnerships, adoption of our products and outlook for fiscal year 2025.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auto"/>
        </w:rPr>
        <w:t>investor@seer.bio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Schmidt</w:t>
      </w:r>
    </w:p>
    <w:p>
      <w:pPr>
        <w:spacing w:after="0"/>
        <w:rPr>
          <w:sz w:val="20"/>
          <w:szCs w:val="20"/>
          <w:color w:val="auto"/>
        </w:rPr>
      </w:pPr>
      <w:r>
        <w:rPr>
          <w:rFonts w:ascii="Arial" w:cs="Arial" w:eastAsia="Arial" w:hAnsi="Arial"/>
          <w:sz w:val="18"/>
          <w:szCs w:val="18"/>
          <w:color w:val="auto"/>
        </w:rPr>
        <w:t>pr@seer.bio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24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and other</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and other</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107,156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(23,488 )</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(100,101 )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(103,463 )</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(1,788 )</w:t>
            </w:r>
          </w:p>
        </w:tc>
        <w:tc>
          <w:tcPr>
            <w:tcW w:w="2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(2,649 )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(578 )</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(21,644 )</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(86,501 )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(86,277 )</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(21,742 )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(17,799 )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(86,599 )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(86,277 )</w:t>
            </w: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(0.37 )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(0.28 )</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194"/>
        </w:trPr>
        <w:tc>
          <w:tcPr>
            <w:tcW w:w="58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6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59,091,817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64,157,125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62,348,012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63,850,490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60" w:type="dxa"/>
            <w:vAlign w:val="bottom"/>
            <w:tcBorders>
              <w:bottom w:val="single" w:sz="8" w:color="CFF0FC"/>
            </w:tcBorders>
            <w:shd w:val="clear" w:color="auto" w:fill="CFF0FC"/>
          </w:tcPr>
          <w:p>
            <w:pPr>
              <w:ind w:left="80"/>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-3676650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-3676650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-3676650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-2845435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-2845435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-2845435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-2845435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-2553970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-2553970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-2553970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-1979295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-1979295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-1979295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-1139190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-1139190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-856615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-856615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-856615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283,725</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330,513</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63,103</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366,597</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r>
      <w:tr>
        <w:trPr>
          <w:trHeight w:val="210"/>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and 2023; zero shares issued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 and 2023</w:t>
            </w:r>
          </w:p>
        </w:tc>
        <w:tc>
          <w:tcPr>
            <w:tcW w:w="3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common stock, $0.00001 par value; 94,000,000 shares authorized</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as of December 31, 2024 and 2023; 55,083,123 and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60,253,707 shares issued and outstanding as of December 31, 2024 and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2023, respectively</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198"/>
        </w:trPr>
        <w:tc>
          <w:tcPr>
            <w:tcW w:w="7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common stock, $0.00001 par value; 6,000,000 shares authorized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of December 31, 2024 and 2023; 4,044,969 shares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3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719,804</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702,868</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(392,372 )</w:t>
            </w:r>
          </w:p>
        </w:tc>
        <w:tc>
          <w:tcPr>
            <w:tcW w:w="4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(305,773 )</w:t>
            </w:r>
          </w:p>
        </w:tc>
      </w:tr>
      <w:tr>
        <w:trPr>
          <w:trHeight w:val="209"/>
        </w:trPr>
        <w:tc>
          <w:tcPr>
            <w:tcW w:w="78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327,569</w:t>
            </w:r>
          </w:p>
        </w:tc>
        <w:tc>
          <w:tcPr>
            <w:tcW w:w="2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396,904</w:t>
            </w:r>
          </w:p>
        </w:tc>
        <w:tc>
          <w:tcPr>
            <w:tcW w:w="100" w:type="dxa"/>
            <w:vAlign w:val="bottom"/>
            <w:tcBorders>
              <w:top w:val="single" w:sz="8" w:color="CFF0FC"/>
            </w:tcBorders>
          </w:tcPr>
          <w:p>
            <w:pPr>
              <w:spacing w:after="0"/>
              <w:rPr>
                <w:sz w:val="18"/>
                <w:szCs w:val="18"/>
                <w:color w:val="auto"/>
              </w:rPr>
            </w:pPr>
          </w:p>
        </w:tc>
      </w:tr>
      <w:tr>
        <w:trPr>
          <w:trHeight w:val="250"/>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366,597</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-4911090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-4079875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-2948305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-2382520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2025-02-27T16:44:02Z</dcterms:created>
  <dcterms:modified xsi:type="dcterms:W3CDTF">2025-02-27T16:44:02Z</dcterms:modified>
</cp:coreProperties>
</file>