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BRADLEY L. RADOFF</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2727 Kirby Drive, Unit 29L,</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77098</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713-482-2196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TOROK</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68 Mazzeo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Randolph, MA, 02368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617-680-6709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2" w:name="page3"/>
    <w:bookmarkEnd w:id="2"/>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JEC II Associates,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1,050,000.00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1,050,000.00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1,050,000.00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MOS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4" w:name="page5"/>
    <w:bookmarkEnd w:id="4"/>
    <w:p>
      <w:pPr>
        <w:ind w:left="1120" w:right="4499" w:hanging="1112"/>
        <w:spacing w:after="0" w:line="371" w:lineRule="auto"/>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MOS PTC,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ectPr>
          <w:pgSz w:w="11900" w:h="16838" w:orient="portrait"/>
          <w:cols w:equalWidth="0" w:num="1">
            <w:col w:w="10099"/>
          </w:cols>
          <w:pgMar w:left="360" w:top="112" w:right="1440" w:bottom="0" w:gutter="0" w:footer="0" w:header="0"/>
          <w:type w:val="continuous"/>
        </w:sectPr>
      </w:pPr>
    </w:p>
    <w:bookmarkStart w:id="5" w:name="page6"/>
    <w:bookmarkEnd w:id="5"/>
    <w:p>
      <w:pPr>
        <w:spacing w:after="0" w:line="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Torok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09" w:orient="portrait"/>
          <w:cols w:equalWidth="0" w:num="1">
            <w:col w:w="10920"/>
          </w:cols>
          <w:pgMar w:left="360" w:top="639" w:right="6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1,265,000.00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1,265,000.00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9" w:orient="portrait"/>
          <w:cols w:equalWidth="0" w:num="2">
            <w:col w:w="1060" w:space="60"/>
            <w:col w:w="9800"/>
          </w:cols>
          <w:pgMar w:left="360" w:top="639" w:right="6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3800 BRIDGE PARKWAY, SUITE 102, REDWOOD CITY, CALIFORNIA , 94065.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line="261" w:lineRule="auto"/>
        <w:tabs>
          <w:tab w:leader="none" w:pos="9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statement is filed by: (i) The Radoff Family Foundation, a Texas non-profit corporation (the "Radoff Foundation"), with respect to the shares of Class A Common Stock, par value $0.00001 per share, of the Issuer (the "Shares") directly and beneficially owned by it; (ii) Bradley L. Radoff, with respect to the Shares directly and</w:t>
      </w:r>
    </w:p>
    <w:p>
      <w:pPr>
        <w:sectPr>
          <w:pgSz w:w="11900" w:h="16909" w:orient="portrait"/>
          <w:cols w:equalWidth="0" w:num="1">
            <w:col w:w="10920"/>
          </w:cols>
          <w:pgMar w:left="360" w:top="639" w:right="619" w:bottom="0" w:gutter="0" w:footer="0" w:header="0"/>
          <w:type w:val="continuous"/>
        </w:sectPr>
      </w:pPr>
    </w:p>
    <w:bookmarkStart w:id="6" w:name="page7"/>
    <w:bookmarkEnd w:id="6"/>
    <w:p>
      <w:pPr>
        <w:spacing w:after="0" w:line="25"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beneficially owned by him and as a director of the Radoff Foundation; (iii) JEC II Associates, LLC, a Delaware limited liability company ("JEC II"), with respect to the Shares directly and beneficially owned by it; (iv) The MOS Trust, a Wyoming trust ("MOS Trust"), with respect to the Shares directly and beneficially owned by it; (v) MOS PTC, LLC, a Wyoming limited liability company ("MOS PTC"), as the trustee of MOS Trust; and (vi) Michael Torok, with respect to the Shares directly and beneficially owned by him, as the Manager of JEC II and a Manager of MOS PTC. Each of the foregoing is referred to as a "Reporting Person" and collectively as the "Reporting Persons." The Radoff Foundation and Mr. Radoff are collectively referred to as "Radoff." JEC II, MOS Trust, MOS PTC and Mr. Torok are collectively referred to as "JEC." Each of the Reporting Persons is party to that certain Group Agreement, as further described in Item 6. Accordingly, the Reporting Persons are hereby filing a joint Schedule 13D. Set forth on Exhibit 1 is the name and present principal occupation or employment, principal business address and citizenship of the executive officers and directors of the Radoff Foundation. To the best of the Reporting Persons' knowledge, except as otherwise set forth herein or in Exhibit 1, none of the persons listed on Exhibit 1 beneficially owns any securities of the Issuer or is a party to any contract, agreement or understanding required to be disclosed herein.</w:t>
      </w:r>
    </w:p>
    <w:p>
      <w:pPr>
        <w:spacing w:after="0" w:line="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principal business address of each of Radoff Foundation and Mr. Radoff is 2727 Kirby Drive, Unit 29L, Houston,</w:t>
      </w:r>
    </w:p>
    <w:p>
      <w:pPr>
        <w:spacing w:after="0" w:line="26" w:lineRule="exact"/>
        <w:rPr>
          <w:sz w:val="20"/>
          <w:szCs w:val="20"/>
          <w:color w:val="auto"/>
        </w:rPr>
      </w:pPr>
    </w:p>
    <w:p>
      <w:pPr>
        <w:ind w:left="940" w:right="420" w:hanging="932"/>
        <w:spacing w:after="0" w:line="184" w:lineRule="auto"/>
        <w:tabs>
          <w:tab w:leader="none" w:pos="94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Texas 77098. The principal business address of each of JEC II and Mr. Torok is 68 Mazzeo Drive, Randolph, Massachusetts 02368. The principal business address of each of MOS Trust and MOS PTC is 270 W. Pearl, Suite 103, Jackson, Wyoming 83001.</w:t>
      </w:r>
    </w:p>
    <w:p>
      <w:pPr>
        <w:spacing w:after="0" w:line="18" w:lineRule="exact"/>
        <w:rPr>
          <w:rFonts w:ascii="Times New Roman" w:cs="Times New Roman" w:eastAsia="Times New Roman" w:hAnsi="Times New Roman"/>
          <w:sz w:val="42"/>
          <w:szCs w:val="42"/>
          <w:color w:val="auto"/>
          <w:vertAlign w:val="subscript"/>
        </w:rPr>
      </w:pPr>
    </w:p>
    <w:p>
      <w:pPr>
        <w:ind w:left="940" w:right="2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principal business of the Radoff Foundation is serving charitable purposes. The principal occupation of Mr. Radoff is serving as a private investor. Mr. Radoff also serves as a director of the Radoff Foundation. The principal</w:t>
      </w:r>
    </w:p>
    <w:p>
      <w:pPr>
        <w:ind w:left="940" w:right="60" w:hanging="932"/>
        <w:spacing w:after="0" w:line="235"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of each of JEC II and MOS Trust is investing in securities. The principal business of MOS PTC is serving as the trustee of MOS Trust. The principal occupation of Mr. Torok is serving as the Manager of JEC II. Mr. Torok also serves as a Manager of MOS PTC.</w:t>
      </w:r>
    </w:p>
    <w:p>
      <w:pPr>
        <w:spacing w:after="0" w:line="15" w:lineRule="exact"/>
        <w:rPr>
          <w:rFonts w:ascii="Times New Roman" w:cs="Times New Roman" w:eastAsia="Times New Roman" w:hAnsi="Times New Roman"/>
          <w:sz w:val="22"/>
          <w:szCs w:val="22"/>
          <w:color w:val="auto"/>
        </w:rPr>
      </w:pPr>
    </w:p>
    <w:p>
      <w:pPr>
        <w:ind w:left="940" w:right="160" w:hanging="932"/>
        <w:spacing w:after="0" w:line="185" w:lineRule="auto"/>
        <w:tabs>
          <w:tab w:leader="none" w:pos="94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nor any person listed on Exhibit 1,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nor any person listed on Exhibit 1, has, during the last five years, been party to a civil</w:t>
      </w:r>
    </w:p>
    <w:p>
      <w:pPr>
        <w:spacing w:after="0" w:line="14" w:lineRule="exact"/>
        <w:rPr>
          <w:rFonts w:ascii="Times New Roman" w:cs="Times New Roman" w:eastAsia="Times New Roman" w:hAnsi="Times New Roman"/>
          <w:sz w:val="39"/>
          <w:szCs w:val="39"/>
          <w:color w:val="auto"/>
          <w:vertAlign w:val="subscript"/>
        </w:rPr>
      </w:pPr>
    </w:p>
    <w:p>
      <w:pPr>
        <w:ind w:left="940" w:right="140" w:hanging="932"/>
        <w:spacing w:after="0" w:line="184" w:lineRule="auto"/>
        <w:tabs>
          <w:tab w:leader="none" w:pos="94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Radoff Foundation is organized under the laws of the State of Texas. JEC II is organized under the laws of the</w:t>
      </w:r>
    </w:p>
    <w:p>
      <w:pPr>
        <w:spacing w:after="0" w:line="14" w:lineRule="exact"/>
        <w:rPr>
          <w:rFonts w:ascii="Times New Roman" w:cs="Times New Roman" w:eastAsia="Times New Roman" w:hAnsi="Times New Roman"/>
          <w:sz w:val="42"/>
          <w:szCs w:val="42"/>
          <w:color w:val="auto"/>
          <w:vertAlign w:val="subscript"/>
        </w:rPr>
      </w:pPr>
    </w:p>
    <w:p>
      <w:pPr>
        <w:ind w:left="940" w:right="120" w:hanging="932"/>
        <w:spacing w:after="0" w:line="237"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of Delaware. MOS Trust and MOS PTC are organized under the laws of the State of Wyoming. Messrs. Radoff and Torok are citizens of the United States of America.</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The Shares purchased by the Radoff Foundation were purchased with working capital (which may, at any given time, include margin loans made by brokerage firms in the ordinary course of business). The aggregate purchase price of the 500,000 Shares directly owned by the Radoff Foundation is approximately $970,645, including brokerage commissions. The Shares directly owned by Mr. Radoff were purchased with personal funds (which may, at any given time, include margin loans made by brokerage firms in the ordinary course of business). The aggregate purchase price of the 1,600,000 Shares directly owned by Mr. Radoff is approximately $3,049,622, including brokerage commissions. The Shares purchased by JEC II were purchased with working capital (which may, at any given time, include margin loans made by brokerage firms in the ordinary course of business). The aggregate purchase price of the 1,050,000 Shares owned directly by JEC II is approximately $1,991,880, including brokerage commissions. The Shares purchased by MOS Trust were purchased with working capital (which may, at any given time, include margin loans made by brokerage firms in the ordinary course of business). The aggregate purchase price of the 215,000 Shares owned directly by MOS Trust is approximately $420,140, including brokerage commissions. The Shares directly owned by Mr. Torok were purchased with personal funds (which may, at any given time, include margin loans made by brokerage firms in the ordinary course of business). The aggregate purchase price of the 285,000 Shares directly owned by Mr. Torok is approximately $654,853, including brokerage commissions.</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have engaged, and intend to continue to engage, in communications with the Issuer's Board of Directors (the "Board") and management team regarding opportunities to enhance stockholder value, including commencing a strategic review process and potential changes to the composition of the Board. The Reporting Persons intend to discuss their views with respect to the foregoing matters with the Issuer, its stockholders and other market participants.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of the Issuer, engaging in discussions with stockholders of the Issuer or third parties, including potential acquirers and service providers about</w:t>
      </w:r>
    </w:p>
    <w:p>
      <w:pPr>
        <w:sectPr>
          <w:pgSz w:w="11900" w:h="16864" w:orient="portrait"/>
          <w:cols w:equalWidth="0" w:num="1">
            <w:col w:w="11160"/>
          </w:cols>
          <w:pgMar w:left="360" w:top="111" w:right="379" w:bottom="0" w:gutter="0" w:footer="0" w:header="0"/>
        </w:sectPr>
      </w:pPr>
    </w:p>
    <w:bookmarkStart w:id="7" w:name="page8"/>
    <w:bookmarkEnd w:id="7"/>
    <w:p>
      <w:pPr>
        <w:spacing w:after="0" w:line="22" w:lineRule="exact"/>
        <w:rPr>
          <w:sz w:val="20"/>
          <w:szCs w:val="20"/>
          <w:color w:val="auto"/>
        </w:rPr>
      </w:pPr>
    </w:p>
    <w:p>
      <w:pPr>
        <w:ind w:left="940"/>
        <w:spacing w:after="0" w:line="236" w:lineRule="auto"/>
        <w:rPr>
          <w:sz w:val="20"/>
          <w:szCs w:val="20"/>
          <w:color w:val="auto"/>
        </w:rPr>
      </w:pPr>
      <w:r>
        <w:rPr>
          <w:rFonts w:ascii="Times New Roman" w:cs="Times New Roman" w:eastAsia="Times New Roman" w:hAnsi="Times New Roman"/>
          <w:sz w:val="22"/>
          <w:szCs w:val="22"/>
          <w:color w:val="auto"/>
        </w:rPr>
        <w:t>the Issuer and the Reporting Persons' investment, making proposals to the Issuer concerning changes to the capital allocation strategy, capitalization, ownership structure, including a sale of the Issuer as a whole or in parts (in which the Reporting Persons may participate),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The aggregate percentage of Shares reported owned by each person named herein is based on 56,251,522 Shares outstanding as of December 9, 2025, which is the total number of Shares outstanding as disclosed in the Issuer's Current Report on Form 8-K filed with the Securities and Exchange Commission on December 12, 2025. As of the date hereof, the Radoff Foundation directly beneficially owned 500,000 Shares, constituting approximately 0.9% of the Shares outstanding. As of the date hereof, Mr. Radoff directly beneficially owned 1,600,000 Shares, constituting approximately 2.8% of the Shares outstanding. Mr. Radoff, as a director of the Radoff Foundation, may be deemed the beneficial owner of the 500,000 Shares owned by the Radoff Foundation, which together with the 1,600,000 Shares he directly owns, constitutes an aggregate of 2,100,000 Shares beneficially owned by Mr. Radoff, constituting approximately 3.7% of the Shares outstanding. As of the date hereof, JEC II directly beneficially owned 1,050,000 Shares, constituting approximately 1.9% of the Shares outstanding. As of the date hereof, MOS Trust directly</w:t>
      </w:r>
    </w:p>
    <w:p>
      <w:pPr>
        <w:spacing w:after="0" w:line="9" w:lineRule="exact"/>
        <w:rPr>
          <w:sz w:val="20"/>
          <w:szCs w:val="20"/>
          <w:color w:val="auto"/>
        </w:rPr>
      </w:pPr>
    </w:p>
    <w:p>
      <w:pPr>
        <w:ind w:left="940" w:right="80" w:hanging="932"/>
        <w:spacing w:after="0" w:line="224" w:lineRule="auto"/>
        <w:tabs>
          <w:tab w:leader="none" w:pos="94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beneficially owned 215,000 Shares, constituting approximately 0.4% of the Shares outstanding. MOS PTC, as the trustee of MOS Trust, may be deemed the beneficial owner of the 215,000 Shares owned by MOS Trust, constituting approximately 0.4% of the Shares outstanding. As of the date hereof, Mr. Torok directly beneficially owned 285,000 Shares, constituting approximately 0.5% of the Shares outstanding. Mr. Torok, (i) as the Manager of JEC II, may be deemed the beneficial owner of the 1,050,000 Shares owned by JEC II, and (ii) as a Manager of MOS PTC, may be deemed the beneficial owner of the 215,000 Shares owned by MOS Trust, which together with the 285,000 Shares he directly owns, constitutes an aggregate of 1,550,000 Shares beneficially owned by Mr. Torok, constituting approximately 2.8% of the Shares outstanding. Each Reporting Person may be deemed to be a member of a "group" with the other Reporting Persons for the purposes of Section 13(d)(3) of the Securities Exchange Act of 1934, as amended, and such group may be deemed to beneficially own the 3,650,000 Shares owned in the aggregate by all of the Reporting Persons, constituting approximately 6.5% of the Shares outstanding. Each Reporting Person disclaims beneficial ownership of the Shares that he or it does not directly own.</w:t>
      </w:r>
    </w:p>
    <w:p>
      <w:pPr>
        <w:spacing w:after="0" w:line="16" w:lineRule="exact"/>
        <w:rPr>
          <w:rFonts w:ascii="Times New Roman" w:cs="Times New Roman" w:eastAsia="Times New Roman" w:hAnsi="Times New Roman"/>
          <w:sz w:val="42"/>
          <w:szCs w:val="42"/>
          <w:color w:val="auto"/>
          <w:vertAlign w:val="subscript"/>
        </w:rPr>
      </w:pPr>
    </w:p>
    <w:p>
      <w:pPr>
        <w:ind w:left="940" w:right="2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Each of the Radoff Foundation and Mr. Radoff may be deemed to share the power to vote and dispose of the Shares directly beneficially owned by the Radoff Foundation. Mr. Radoff has the sole power to vote and dispose of the</w:t>
      </w:r>
    </w:p>
    <w:p>
      <w:pPr>
        <w:ind w:left="940" w:right="60" w:hanging="932"/>
        <w:spacing w:after="0" w:line="189" w:lineRule="auto"/>
        <w:tabs>
          <w:tab w:leader="none" w:pos="94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directly beneficially owned by him. Each of JEC II and Mr. Torok may be deemed to share the power to vote and dispose of the Shares directly beneficially owned by JEC II. Each of MOS Trust, MOS PTC and Mr. Torok may be deemed to share the power to vote and dispose of the Shares directly beneficially owned by MOS Trust. Mr. Torok has the sole power to vote and dispose of the Shares directly beneficially owned by him.</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transactions in securities of the Issuer by the Reporting Persons during the past 60 days are set forth in Exhibit 2</w:t>
      </w:r>
    </w:p>
    <w:p>
      <w:pPr>
        <w:spacing w:after="0" w:line="25" w:lineRule="exact"/>
        <w:rPr>
          <w:rFonts w:ascii="Times New Roman" w:cs="Times New Roman" w:eastAsia="Times New Roman" w:hAnsi="Times New Roman"/>
          <w:sz w:val="43"/>
          <w:szCs w:val="43"/>
          <w:color w:val="auto"/>
          <w:vertAlign w:val="subscript"/>
        </w:rPr>
      </w:pPr>
    </w:p>
    <w:p>
      <w:pPr>
        <w:ind w:left="940" w:right="20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are incorporated herein by reference. All of such transactions were effected in the open market unless otherwise noted therein.</w:t>
      </w:r>
    </w:p>
    <w:p>
      <w:pPr>
        <w:spacing w:after="0" w:line="16" w:lineRule="exact"/>
        <w:rPr>
          <w:rFonts w:ascii="Times New Roman" w:cs="Times New Roman" w:eastAsia="Times New Roman" w:hAnsi="Times New Roman"/>
          <w:sz w:val="22"/>
          <w:szCs w:val="22"/>
          <w:color w:val="auto"/>
        </w:rPr>
      </w:pPr>
    </w:p>
    <w:p>
      <w:pPr>
        <w:ind w:left="940" w:right="8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60"/>
        <w:spacing w:after="0" w:line="234" w:lineRule="auto"/>
        <w:rPr>
          <w:sz w:val="20"/>
          <w:szCs w:val="20"/>
          <w:color w:val="auto"/>
        </w:rPr>
      </w:pPr>
      <w:r>
        <w:rPr>
          <w:rFonts w:ascii="Times New Roman" w:cs="Times New Roman" w:eastAsia="Times New Roman" w:hAnsi="Times New Roman"/>
          <w:sz w:val="22"/>
          <w:szCs w:val="22"/>
          <w:color w:val="auto"/>
        </w:rPr>
        <w:t>On February 20, 2026, the Reporting Persons entered into a Group Agreement (the "Group Agreement") pursuant to which, among other things, the parties agreed (i) to the joint filing on behalf of each of them of statements on Schedule 13D with respect to the securities of the Issuer to the extent required by applicable law, (ii) to coordinate their activities with respect to the Issuer and (iii) that expenses incurred in connection with the group's activities would be split on a pro rata basis between Radoff and JEC based on the number of Shares beneficially owned in the aggregate by such party. The Group Agreement is attached hereto as Exhibit 99.1 and is incorporated herein by reference. Other than as described herein, there are no contracts, arrangements, understandings or relationships among the Reporting Persons, or between the Reporting Persons and any other person, with respect to the securities of the Issuer.</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1 - Directors and Officers. 2 - Transactions in Securities. 99.1 - Group Agreement, dated February 20,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Bradley L. Radoff, Director</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Radoff Bradley Louis</w:t>
      </w:r>
    </w:p>
    <w:p>
      <w:pPr>
        <w:sectPr>
          <w:pgSz w:w="11900" w:h="16860" w:orient="portrait"/>
          <w:cols w:equalWidth="0" w:num="1">
            <w:col w:w="11160"/>
          </w:cols>
          <w:pgMar w:left="360" w:top="111" w:right="379" w:bottom="0" w:gutter="0" w:footer="0" w:header="0"/>
        </w:sectPr>
      </w:pPr>
    </w:p>
    <w:bookmarkStart w:id="8" w:name="page9"/>
    <w:bookmarkEnd w:id="8"/>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Bradley L. Radoff</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JEC II Associates, LLC</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Michael Torok,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MOS Trust</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Michael</w:t>
      </w:r>
      <w:r>
        <w:rPr>
          <w:rFonts w:ascii="Times New Roman" w:cs="Times New Roman" w:eastAsia="Times New Roman" w:hAnsi="Times New Roman"/>
          <w:sz w:val="32"/>
          <w:szCs w:val="32"/>
          <w:color w:val="auto"/>
          <w:vertAlign w:val="subscript"/>
        </w:rPr>
        <w:t>Trustee</w:t>
      </w:r>
      <w:r>
        <w:rPr>
          <w:rFonts w:ascii="Times New Roman" w:cs="Times New Roman" w:eastAsia="Times New Roman" w:hAnsi="Times New Roman"/>
          <w:sz w:val="18"/>
          <w:szCs w:val="18"/>
          <w:color w:val="auto"/>
        </w:rPr>
        <w:t xml:space="preserve"> Torok, Manager of MOS PTC, LLC, its</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MOS PTC, LLC</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Michael Torok,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02/20/2026</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Torok Michael</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Michael Torok</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02/20/2026</w:t>
      </w:r>
    </w:p>
    <w:p>
      <w:pPr>
        <w:sectPr>
          <w:pgSz w:w="11900" w:h="16838" w:orient="portrait"/>
          <w:cols w:equalWidth="0" w:num="1">
            <w:col w:w="9840"/>
          </w:cols>
          <w:pgMar w:left="1440" w:top="234" w:right="6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9"/>
              </w:rPr>
              <w:t>Exhibit 1</w:t>
            </w: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Directors and Officers of The Radoff Family Foundation</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and Position</w:t>
            </w:r>
          </w:p>
        </w:tc>
        <w:tc>
          <w:tcPr>
            <w:tcW w:w="282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Principal Occupation</w:t>
            </w:r>
          </w:p>
        </w:tc>
        <w:tc>
          <w:tcPr>
            <w:tcW w:w="32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Principal Business Address</w:t>
            </w:r>
          </w:p>
        </w:tc>
        <w:tc>
          <w:tcPr>
            <w:tcW w:w="2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320" w:type="dxa"/>
            <w:vAlign w:val="bottom"/>
            <w:gridSpan w:val="3"/>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Bradley L. Radoff</w:t>
            </w: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r>
              <w:rPr>
                <w:rFonts w:ascii="Times New Roman" w:cs="Times New Roman" w:eastAsia="Times New Roman" w:hAnsi="Times New Roman"/>
                <w:sz w:val="29"/>
                <w:szCs w:val="29"/>
                <w:color w:val="auto"/>
                <w:vertAlign w:val="superscript"/>
              </w:rPr>
              <w:t>*</w:t>
            </w:r>
          </w:p>
        </w:tc>
        <w:tc>
          <w:tcPr>
            <w:tcW w:w="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3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Rose Radoff</w:t>
            </w:r>
          </w:p>
        </w:tc>
        <w:tc>
          <w:tcPr>
            <w:tcW w:w="2820" w:type="dxa"/>
            <w:vAlign w:val="bottom"/>
            <w:gridSpan w:val="5"/>
          </w:tcPr>
          <w:p>
            <w:pPr>
              <w:ind w:left="600"/>
              <w:spacing w:after="0" w:line="198" w:lineRule="exact"/>
              <w:rPr>
                <w:sz w:val="20"/>
                <w:szCs w:val="20"/>
                <w:color w:val="auto"/>
              </w:rPr>
            </w:pPr>
            <w:r>
              <w:rPr>
                <w:rFonts w:ascii="Times New Roman" w:cs="Times New Roman" w:eastAsia="Times New Roman" w:hAnsi="Times New Roman"/>
                <w:sz w:val="18"/>
                <w:szCs w:val="18"/>
                <w:color w:val="auto"/>
              </w:rPr>
              <w:t>Director and Secretary</w:t>
            </w:r>
          </w:p>
        </w:tc>
        <w:tc>
          <w:tcPr>
            <w:tcW w:w="3200" w:type="dxa"/>
            <w:vAlign w:val="bottom"/>
            <w:gridSpan w:val="4"/>
          </w:tcPr>
          <w:p>
            <w:pPr>
              <w:ind w:left="580"/>
              <w:spacing w:after="0" w:line="198" w:lineRule="exact"/>
              <w:rPr>
                <w:sz w:val="20"/>
                <w:szCs w:val="20"/>
                <w:color w:val="auto"/>
              </w:rPr>
            </w:pPr>
            <w:r>
              <w:rPr>
                <w:rFonts w:ascii="Times New Roman" w:cs="Times New Roman" w:eastAsia="Times New Roman" w:hAnsi="Times New Roman"/>
                <w:sz w:val="18"/>
                <w:szCs w:val="18"/>
                <w:color w:val="auto"/>
              </w:rPr>
              <w:t>2727 Kirby Drive, Unit 29L</w:t>
            </w:r>
          </w:p>
        </w:tc>
        <w:tc>
          <w:tcPr>
            <w:tcW w:w="29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and Secretary</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Houston, Texas 77098</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Russell Radoff</w:t>
            </w:r>
          </w:p>
        </w:tc>
        <w:tc>
          <w:tcPr>
            <w:tcW w:w="2820" w:type="dxa"/>
            <w:vAlign w:val="bottom"/>
            <w:gridSpan w:val="5"/>
            <w:shd w:val="clear" w:color="auto" w:fill="CCEEFF"/>
          </w:tcPr>
          <w:p>
            <w:pPr>
              <w:ind w:left="600"/>
              <w:spacing w:after="0" w:line="198" w:lineRule="exact"/>
              <w:rPr>
                <w:sz w:val="20"/>
                <w:szCs w:val="20"/>
                <w:color w:val="auto"/>
              </w:rPr>
            </w:pPr>
            <w:r>
              <w:rPr>
                <w:rFonts w:ascii="Times New Roman" w:cs="Times New Roman" w:eastAsia="Times New Roman" w:hAnsi="Times New Roman"/>
                <w:sz w:val="18"/>
                <w:szCs w:val="18"/>
                <w:color w:val="auto"/>
              </w:rPr>
              <w:t>Medical Doctor</w:t>
            </w:r>
          </w:p>
        </w:tc>
        <w:tc>
          <w:tcPr>
            <w:tcW w:w="3200" w:type="dxa"/>
            <w:vAlign w:val="bottom"/>
            <w:gridSpan w:val="4"/>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Medical Clinic of Houston, L.L.P.</w:t>
            </w:r>
          </w:p>
        </w:tc>
        <w:tc>
          <w:tcPr>
            <w:tcW w:w="29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1701 Sunset Boulevard</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Houston, Texas 77005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-20320</wp:posOffset>
            </wp:positionV>
            <wp:extent cx="3429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3655"/>
                    </a:xfrm>
                    <a:prstGeom prst="rect">
                      <a:avLst/>
                    </a:prstGeom>
                    <a:noFill/>
                  </pic:spPr>
                </pic:pic>
              </a:graphicData>
            </a:graphic>
          </wp:anchor>
        </w:drawing>
      </w:r>
    </w:p>
    <w:p>
      <w:pPr>
        <w:ind w:left="120" w:hanging="112"/>
        <w:spacing w:after="0"/>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Radoff is a Reporting Person and, as such, the information with respect to Mr. Radoff called for by the Schedule 13D is set forth therein.</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80" w:type="dxa"/>
            <w:vAlign w:val="bottom"/>
            <w:gridSpan w:val="1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60 Days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Borders>
              <w:top w:val="single" w:sz="8" w:color="auto"/>
            </w:tcBorders>
            <w:gridSpan w:val="9"/>
          </w:tcPr>
          <w:p>
            <w:pPr>
              <w:jc w:val="center"/>
              <w:ind w:right="130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860" w:type="dxa"/>
            <w:vAlign w:val="bottom"/>
            <w:gridSpan w:val="4"/>
          </w:tcPr>
          <w:p>
            <w:pPr>
              <w:spacing w:after="0"/>
              <w:rPr>
                <w:sz w:val="16"/>
                <w:szCs w:val="16"/>
                <w:color w:val="auto"/>
              </w:rPr>
            </w:pPr>
          </w:p>
        </w:tc>
        <w:tc>
          <w:tcPr>
            <w:tcW w:w="2060" w:type="dxa"/>
            <w:vAlign w:val="bottom"/>
            <w:gridSpan w:val="5"/>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480" w:type="dxa"/>
            <w:vAlign w:val="bottom"/>
            <w:gridSpan w:val="3"/>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gridSpan w:val="1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8"/>
              </w:rPr>
              <w:t>THE RADOFF FAMILY FOUNDATION</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1.8369</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12/30/2025</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1.8627</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01/08/2026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10,600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1.8676</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01/08/2026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8"/>
              </w:rPr>
              <w:t>9,156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1.8789</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01/09/2026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1.8707</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01/16/2026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10,844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1.8802</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01/16/2026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1.7966</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02/04/2026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1.8058</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02/05/2026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20,000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1.7979</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02/06/2026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1.8318</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1.8353</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shd w:val="clear" w:color="auto" w:fill="CCEEFF"/>
          </w:tcPr>
          <w:p>
            <w:pPr>
              <w:spacing w:after="0"/>
              <w:rPr>
                <w:sz w:val="18"/>
                <w:szCs w:val="18"/>
                <w:color w:val="auto"/>
              </w:rPr>
            </w:pPr>
          </w:p>
        </w:tc>
      </w:tr>
      <w:tr>
        <w:trPr>
          <w:trHeight w:val="234"/>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1.8314</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tcPr>
          <w:p>
            <w:pPr>
              <w:spacing w:after="0"/>
              <w:rPr>
                <w:sz w:val="20"/>
                <w:szCs w:val="20"/>
                <w:color w:val="auto"/>
              </w:rPr>
            </w:pPr>
          </w:p>
        </w:tc>
      </w:tr>
      <w:tr>
        <w:trPr>
          <w:trHeight w:val="373"/>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1.8515</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12/22/2025</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1.8289</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12/26/2025</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1.8495</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12/26/2025</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1.8844</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01/02/2026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20,000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1.8215</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01/02/2026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1.8050</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02/02/2026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1.8099</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02/02/2026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1.8099</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02/02/2026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1.7766</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02/03/2026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1.7910</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02/03/2026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1.7973</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02/03/2026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8"/>
              </w:rPr>
              <w:t>5,469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1.8200</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02/04/2026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94,531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1.8300</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02/04/2026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23,085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1.7963</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02/04/2026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3,387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1.7893</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02/04/2026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1.7905</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02/05/2026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1.7995</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02/09/2026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1.8027</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02/09/2026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1.8090</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02/09/2026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1.8050</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1.8100</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1.8115</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1.8100</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1.8100</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1.8158</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1.8159</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1.8152</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1.8203</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1.8278</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02/10/2026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1.8296</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10,000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1.8495</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w w:val="98"/>
              </w:rPr>
              <w:t>8,015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1.8629</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47,111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2.0203</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02/17/2026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2.0015</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02/18/2026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102,889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2.0558</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02/19/2026</w:t>
            </w:r>
          </w:p>
        </w:tc>
        <w:tc>
          <w:tcPr>
            <w:tcW w:w="900" w:type="dxa"/>
            <w:vAlign w:val="bottom"/>
            <w:shd w:val="clear" w:color="auto" w:fill="CCEEFF"/>
          </w:tcPr>
          <w:p>
            <w:pPr>
              <w:spacing w:after="0"/>
              <w:rPr>
                <w:sz w:val="18"/>
                <w:szCs w:val="18"/>
                <w:color w:val="auto"/>
              </w:rPr>
            </w:pPr>
          </w:p>
        </w:tc>
      </w:tr>
      <w:tr>
        <w:trPr>
          <w:trHeight w:val="391"/>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gridSpan w:val="7"/>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JEC II ASSOCIATES, LLC</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547,779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1.8422</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rPr>
              <w:t>207,599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1.8880</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02/12/2026</w:t>
            </w:r>
          </w:p>
        </w:tc>
        <w:tc>
          <w:tcPr>
            <w:tcW w:w="90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69,152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1.9759</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02/13/2026</w:t>
            </w:r>
          </w:p>
        </w:tc>
        <w:tc>
          <w:tcPr>
            <w:tcW w:w="900" w:type="dxa"/>
            <w:vAlign w:val="bottom"/>
            <w:shd w:val="clear" w:color="auto" w:fill="CCEEFF"/>
          </w:tcPr>
          <w:p>
            <w:pPr>
              <w:spacing w:after="0"/>
              <w:rPr>
                <w:sz w:val="18"/>
                <w:szCs w:val="18"/>
                <w:color w:val="auto"/>
              </w:rPr>
            </w:pPr>
          </w:p>
        </w:tc>
      </w:tr>
      <w:tr>
        <w:trPr>
          <w:trHeight w:val="234"/>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rPr>
              <w:t>225,470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2.0144</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02/17/2026</w:t>
            </w:r>
          </w:p>
        </w:tc>
        <w:tc>
          <w:tcPr>
            <w:tcW w:w="900" w:type="dxa"/>
            <w:vAlign w:val="bottom"/>
          </w:tcPr>
          <w:p>
            <w:pPr>
              <w:spacing w:after="0"/>
              <w:rPr>
                <w:sz w:val="20"/>
                <w:szCs w:val="20"/>
                <w:color w:val="auto"/>
              </w:rPr>
            </w:pPr>
          </w:p>
        </w:tc>
      </w:tr>
      <w:tr>
        <w:trPr>
          <w:trHeight w:val="373"/>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THE MOS TRUST</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41,636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1.8532</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12/24/2025</w:t>
            </w:r>
          </w:p>
        </w:tc>
        <w:tc>
          <w:tcPr>
            <w:tcW w:w="900" w:type="dxa"/>
            <w:vAlign w:val="bottom"/>
            <w:shd w:val="clear" w:color="auto" w:fill="CCEEFF"/>
          </w:tcPr>
          <w:p>
            <w:pPr>
              <w:spacing w:after="0"/>
              <w:rPr>
                <w:sz w:val="18"/>
                <w:szCs w:val="18"/>
                <w:color w:val="auto"/>
              </w:rPr>
            </w:pPr>
          </w:p>
        </w:tc>
      </w:tr>
      <w:tr>
        <w:trPr>
          <w:trHeight w:val="234"/>
        </w:trPr>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6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1.8354</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02/11/2026</w:t>
            </w:r>
          </w:p>
        </w:tc>
        <w:tc>
          <w:tcPr>
            <w:tcW w:w="900" w:type="dxa"/>
            <w:vAlign w:val="bottom"/>
          </w:tcPr>
          <w:p>
            <w:pPr>
              <w:spacing w:after="0"/>
              <w:rPr>
                <w:sz w:val="20"/>
                <w:szCs w:val="20"/>
                <w:color w:val="auto"/>
              </w:rPr>
            </w:pPr>
          </w:p>
        </w:tc>
      </w:tr>
    </w:tbl>
    <w:p>
      <w:pPr>
        <w:sectPr>
          <w:pgSz w:w="11900" w:h="16838" w:orient="portrait"/>
          <w:cols w:equalWidth="0" w:num="1">
            <w:col w:w="11240"/>
          </w:cols>
          <w:pgMar w:left="320" w:top="121" w:right="339" w:bottom="780" w:gutter="0" w:footer="0" w:header="0"/>
        </w:sectPr>
      </w:pPr>
    </w:p>
    <w:bookmarkStart w:id="11" w:name="page12"/>
    <w:bookmarkEnd w:id="11"/>
    <w:p>
      <w:pPr>
        <w:ind w:left="10300"/>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GROUP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February 20,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(i) The Radoff Family Foundation and Bradley L. Radoff (collectively, “</w:t>
      </w:r>
      <w:r>
        <w:rPr>
          <w:rFonts w:ascii="Times New Roman" w:cs="Times New Roman" w:eastAsia="Times New Roman" w:hAnsi="Times New Roman"/>
          <w:sz w:val="18"/>
          <w:szCs w:val="18"/>
          <w:u w:val="single" w:color="auto"/>
          <w:color w:val="auto"/>
        </w:rPr>
        <w:t>Radoff</w:t>
      </w:r>
      <w:r>
        <w:rPr>
          <w:rFonts w:ascii="Times New Roman" w:cs="Times New Roman" w:eastAsia="Times New Roman" w:hAnsi="Times New Roman"/>
          <w:sz w:val="18"/>
          <w:szCs w:val="18"/>
          <w:color w:val="auto"/>
        </w:rPr>
        <w:t>”) and (ii) JEC II Associates, LLC, The MOS Trust, MOS PTC, LLC and Michael Torok (collectively, “</w:t>
      </w:r>
      <w:r>
        <w:rPr>
          <w:rFonts w:ascii="Times New Roman" w:cs="Times New Roman" w:eastAsia="Times New Roman" w:hAnsi="Times New Roman"/>
          <w:sz w:val="18"/>
          <w:szCs w:val="18"/>
          <w:u w:val="single" w:color="auto"/>
          <w:color w:val="auto"/>
        </w:rPr>
        <w:t>JEC</w:t>
      </w:r>
      <w:r>
        <w:rPr>
          <w:rFonts w:ascii="Times New Roman" w:cs="Times New Roman" w:eastAsia="Times New Roman" w:hAnsi="Times New Roman"/>
          <w:sz w:val="18"/>
          <w:szCs w:val="18"/>
          <w:color w:val="auto"/>
        </w:rPr>
        <w:t>” and together with Radoff,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certain of the undersigned are stockholders, direct or beneficial, of Seer,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desire to (i) coordinate their activities with respect to the Company, (ii) take all other action necessary to achieve the foregoing and (iii) take any other actions the Group determines to undertake in connection with their respective investment in the Company (the “</w:t>
      </w:r>
      <w:r>
        <w:rPr>
          <w:rFonts w:ascii="Times New Roman" w:cs="Times New Roman" w:eastAsia="Times New Roman" w:hAnsi="Times New Roman"/>
          <w:sz w:val="18"/>
          <w:szCs w:val="18"/>
          <w:u w:val="single" w:color="auto"/>
          <w:color w:val="auto"/>
        </w:rPr>
        <w:t>Coordinated Activities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covenants and agreements contained herein, and for other good and valuable consideration, the receipt and sufficiency of which are hereby acknowledged, the Parties, intending to be legally bound hereby, agree as follows:</w:t>
      </w:r>
    </w:p>
    <w:p>
      <w:pPr>
        <w:spacing w:after="0" w:line="176" w:lineRule="exact"/>
        <w:rPr>
          <w:sz w:val="20"/>
          <w:szCs w:val="20"/>
          <w:color w:val="auto"/>
        </w:rPr>
      </w:pPr>
    </w:p>
    <w:p>
      <w:pPr>
        <w:jc w:val="both"/>
        <w:ind w:firstLine="656"/>
        <w:spacing w:after="0" w:line="256"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agrees to form a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(as such term is defined in Section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the securities of the Company. In furtherance of the foregoing and in accordance with Rule 13d-1(k)(1)(iii) under the Exchange Act, each of the undersigned agrees to the joint filing on behalf of each of them of statements on Schedule 13D, and any amendments thereto, with respect to the securities of the Company to the extent required by applicable law. Each member of the Group shall be responsible for the accuracy and completeness of its own disclosure therein, and shall not be responsible for the accuracy and completeness of the information concerning the other members of the Group, unless such member knows or has reason to know that such information is inaccurate.</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Agreement is in effect, each of the undersigned shall provide written notice to Olshan Frome Wolosky LLP (“</w:t>
      </w:r>
      <w:r>
        <w:rPr>
          <w:rFonts w:ascii="Times New Roman" w:cs="Times New Roman" w:eastAsia="Times New Roman" w:hAnsi="Times New Roman"/>
          <w:sz w:val="18"/>
          <w:szCs w:val="18"/>
          <w:u w:val="single" w:color="auto"/>
          <w:color w:val="auto"/>
        </w:rPr>
        <w:t>Olshan</w:t>
      </w:r>
      <w:r>
        <w:rPr>
          <w:rFonts w:ascii="Times New Roman" w:cs="Times New Roman" w:eastAsia="Times New Roman" w:hAnsi="Times New Roman"/>
          <w:sz w:val="18"/>
          <w:szCs w:val="18"/>
          <w:color w:val="auto"/>
        </w:rPr>
        <w:t xml:space="preserve">”), such notice to be given no later than four (4) hours after each such transaction, of (i) any of their purchases or sales of securities of the Company, or (ii) any securities of the Company over which they acquire or dispose of beneficial ownership;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each Party agrees not to purchase or sell securities of the Company or otherwise increase or decrease its economic exposure to or beneficial ownership over the securities of the Company if it reasonably believes that, as a result of such action, the Group or any member thereof would be likely to be required to make any regulatory filing (including, but not limited to, a Schedule 13D or amendment thereto, Form 3 or Form 4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without using its reasonable efforts to give the other members of the Group at least twelve (12) hours prior written notice;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no Party shall, without the prior consent of a representative of each of Radoff and JEC, (i) buy, or increase any beneficial ownership over, any securities of the Company if, as a result of such action, the Group would beneficially own more than 9.99% of the Company's outstanding shares of common stock or (ii) sell, or dispose of any beneficial ownership over, any securities of the Company prior to the 2026 annual meeting of stockholders of the Company. For purposes of this Agreement, the term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the meaning of such term set forth in Rule 13d-3 under the Exchange Act.</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agrees to form the Group for the purpose of the Coordinated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56"/>
        <w:spacing w:after="0" w:line="258"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Radoff and JEC hereby agree to jointly pay all expenses and costs (including all legal fees) incurred in connection with the Group’s activities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on a pro rata basis based on the number of shares of the Company beneficially owned in the aggregate by such Party. The pro rata portion of Expenses shall be adjusted each month based on such Party’s respective ownership percentage as of the last day of the preceding month. Any reimbursement from the Company regarding the Expenses paid pursuant to this Section 4 shall be split by the Parties in proportion to the Expenses paid pursuant to this Section 4.</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any filing with the SEC, press release or other communication proposed to be made or issued by the Group or any member of the Group in connection with the Group’s activities shall first be approved by a representative of Radoff and JEC. Radoff and JEC agree to work in good faith to resolve any disagreement that may arise between or among them concerning decisions to be made, actions to be taken or statements to be made in connection with the Group’s activities.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the Parties shall be limited to carrying on the business of the Group in accordance with the terms of this Agreement. Such relationship shall be construed and deemed to be for the sole and limited purpose of carrying on such business as described herein. Nothing herein shall be construed to authorize any Party to act as an agent for any other Party, or to create a joint venture or partnership, or to constitute an indemnification. Each Party agrees to use his or its reasonable efforts to avoid taking any action that may cause any other person or entity to be deemed to be a member of the Group without the prior consent of a representative of each of Radoff and JEC. Except as provided in Section 2, nothing herein shall restrict any Party’s right to purchase or sell securities of the Company, as he or it deems appropriate, in his or its sole discretion, provided that all such purchases and sales are made in compliance with all applicable securities laws and the provisions of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which together shall constitute a single agreement. Any signature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governed by and will be construed in accordance with the laws of the State of New York. In the event of any dispute arising out of the provisions of this Agreement or their investment in the Company, the Parties consent and submit to the exclusive jurisdiction of the United States District Court for the Southern District of New York located in the Borough of Manhattan or the courts of the State of New York located in the County of New York.</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terminate on the earliest to occur of (i) 11:59 p.m. (New York time) on the second anniversary of the Effective Date, (ii) the conclusion of the Coordinated Activities or (iii) the mutual written agreement of Radoff and JEC;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should any disagreement arise concerning the Coordinated Activities that cannot be resolved between the Parties, any dissatisfied Party shall have a 24-hour opportunity to withdraw from the Group and terminate its responsibilities hereunder prior to further public or private communications being made on behalf of the Group. In the event of termination, the Parties shall cooperate to take such actions as may be necessary or required publicly to disclose such termination and/or the consequences thereof, including, without limitation, amending any prior filings under the Exchange Act concerning the Company or the relationship of the Parties. Notwithstanding the foregoing, Section 4 (solely with respect to Expenses incurred prior to the termination of this Agreement) and Section 8 shall survive any termination of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20" w:right="20" w:firstLine="656"/>
        <w:spacing w:after="0" w:line="282" w:lineRule="auto"/>
        <w:tabs>
          <w:tab w:leader="none" w:pos="1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waives the application of any law, regulation, holding, or rule of construction providing that ambiguities in an agreement or other document will be construed against the party drafting such agreement or document.</w:t>
      </w:r>
    </w:p>
    <w:p>
      <w:pPr>
        <w:spacing w:after="0" w:line="161"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not be modified, waived or amended without the written consent of each of the Parties.</w:t>
      </w:r>
    </w:p>
    <w:p>
      <w:pPr>
        <w:spacing w:after="0" w:line="22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Olshan shall act as counsel for both the Group and Radoff relating to their investment in the Company.</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1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agrees that this Agreement shall be filed as an exhibit to any Schedule 13D required to be filed under applicable law pursuant to Rule 13d-1(k)(1)(iii) under the Exchange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day and year first above written.</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225"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Bradley L. Radoff</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Bradley L. Radoff</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Bradley L.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17145</wp:posOffset>
            </wp:positionV>
            <wp:extent cx="3634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580" w:right="439" w:bottom="1440" w:gutter="0" w:footer="0" w:header="0"/>
        </w:sectPr>
      </w:pPr>
    </w:p>
    <w:bookmarkStart w:id="15" w:name="page16"/>
    <w:bookmarkEnd w:id="15"/>
    <w:p>
      <w:pPr>
        <w:ind w:left="462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0"/>
                <w:szCs w:val="20"/>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Torok</w:t>
            </w:r>
          </w:p>
        </w:tc>
      </w:tr>
      <w:tr>
        <w:trPr>
          <w:trHeight w:val="191"/>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Michael Torok</w:t>
            </w: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MOS Trust</w:t>
            </w:r>
          </w:p>
        </w:tc>
        <w:tc>
          <w:tcPr>
            <w:tcW w:w="3960" w:type="dxa"/>
            <w:vAlign w:val="bottom"/>
          </w:tcPr>
          <w:p>
            <w:pPr>
              <w:spacing w:after="0"/>
              <w:rPr>
                <w:sz w:val="24"/>
                <w:szCs w:val="24"/>
                <w:color w:val="auto"/>
              </w:rPr>
            </w:pP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 PTC, LLC</w:t>
            </w:r>
          </w:p>
        </w:tc>
      </w:tr>
      <w:tr>
        <w:trPr>
          <w:trHeight w:val="234"/>
        </w:trPr>
        <w:tc>
          <w:tcPr>
            <w:tcW w:w="66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396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Torok</w:t>
            </w:r>
          </w:p>
        </w:tc>
      </w:tr>
      <w:tr>
        <w:trPr>
          <w:trHeight w:val="191"/>
        </w:trPr>
        <w:tc>
          <w:tcPr>
            <w:tcW w:w="660" w:type="dxa"/>
            <w:vAlign w:val="bottom"/>
          </w:tcPr>
          <w:p>
            <w:pPr>
              <w:spacing w:after="0"/>
              <w:rPr>
                <w:sz w:val="16"/>
                <w:szCs w:val="16"/>
                <w:color w:val="auto"/>
              </w:rPr>
            </w:pPr>
          </w:p>
        </w:tc>
        <w:tc>
          <w:tcPr>
            <w:tcW w:w="7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Michael Torok</w:t>
            </w:r>
          </w:p>
        </w:tc>
      </w:tr>
      <w:tr>
        <w:trPr>
          <w:trHeight w:val="234"/>
        </w:trPr>
        <w:tc>
          <w:tcPr>
            <w:tcW w:w="66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 PTC, LLC</w:t>
            </w:r>
          </w:p>
        </w:tc>
        <w:tc>
          <w:tcPr>
            <w:tcW w:w="396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Torok</w:t>
            </w:r>
          </w:p>
        </w:tc>
      </w:tr>
      <w:tr>
        <w:trPr>
          <w:trHeight w:val="191"/>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Michael Torok</w:t>
            </w: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Michael Torok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17145</wp:posOffset>
            </wp:positionV>
            <wp:extent cx="34290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Michael Torok</w:t>
      </w:r>
    </w:p>
    <w:sectPr>
      <w:pgSz w:w="11900" w:h="16838" w:orient="portrait"/>
      <w:cols w:equalWidth="0" w:num="1">
        <w:col w:w="10020"/>
      </w:cols>
      <w:pgMar w:left="1440" w:top="68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4"/>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1"/>
      <w:numFmt w:val="decimal"/>
      <w:start w:val="13"/>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2026-02-20T09:55:31Z</dcterms:created>
  <dcterms:modified xsi:type="dcterms:W3CDTF">2026-02-20T09:55:31Z</dcterms:modified>
</cp:coreProperties>
</file>