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4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Washington, D.C. 20549</w:t>
      </w:r>
    </w:p>
    <w:p>
      <w:pPr>
        <w:pStyle w:val="TextBody"/>
        <w:bidi w:val="0"/>
        <w:spacing w:before="0" w:after="0"/>
        <w:jc w:val="center"/>
        <w:rPr/>
      </w:pPr>
      <w:r>
        <w:rPr/>
      </w:r>
    </w:p>
    <w:p>
      <w:pPr>
        <w:pStyle w:val="TextBody"/>
        <w:bidi w:val="0"/>
        <w:spacing w:lineRule="auto" w:line="288" w:before="0" w:after="180"/>
        <w:jc w:val="center"/>
        <w:rPr>
          <w:rFonts w:ascii="Times New Roman;sans-serif" w:hAnsi="Times New Roman;sans-serif"/>
          <w:b/>
          <w:color w:val="000000"/>
          <w:sz w:val="32"/>
          <w:shd w:fill="FFFFFF" w:val="clear"/>
        </w:rPr>
      </w:pPr>
      <w:r>
        <w:rPr>
          <w:rFonts w:ascii="Times New Roman;sans-serif" w:hAnsi="Times New Roman;sans-serif"/>
          <w:b/>
          <w:color w:val="000000"/>
          <w:sz w:val="32"/>
          <w:shd w:fill="FFFFFF" w:val="clear"/>
        </w:rPr>
        <w:t>FORM 10-Q</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one)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[X] QUARTERLY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For the quarterly period ended June 30, 2023</w:t>
      </w:r>
    </w:p>
    <w:p>
      <w:pPr>
        <w:pStyle w:val="TextBody"/>
        <w:bidi w:val="0"/>
        <w:spacing w:lineRule="auto" w:line="288" w:before="0" w:after="18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or</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 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For the transition period from _______________ to _______________</w:t>
      </w:r>
    </w:p>
    <w:p>
      <w:pPr>
        <w:pStyle w:val="TextBody"/>
        <w:bidi w:val="0"/>
        <w:spacing w:lineRule="auto" w:line="288" w:before="0" w:after="18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Commission file number 001-39747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SEER, INC.</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3800 Bridge Parkway, Suite 102</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Redwood City, California 94065</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650-453-0000</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Securities registered pursuant to section 12(b) of the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8"/>
          <w:shd w:fill="FFFFFF" w:val="clear"/>
        </w:rPr>
      </w:pPr>
      <w:r>
        <w:rPr>
          <w:rFonts w:ascii="Times New Roman;sans-serif" w:hAnsi="Times New Roman;sans-serif"/>
          <w:b w:val="false"/>
          <w:i/>
          <w:color w:val="000000"/>
          <w:sz w:val="18"/>
          <w:shd w:fill="FFFFFF" w:val="clear"/>
        </w:rPr>
        <w:t>Copies to:</w:t>
      </w:r>
    </w:p>
    <w:tbl>
      <w:tblPr>
        <w:tblW w:w="8032" w:type="dxa"/>
        <w:jc w:val="left"/>
        <w:tblInd w:w="0" w:type="dxa"/>
        <w:tblLayout w:type="fixed"/>
        <w:tblCellMar>
          <w:top w:w="28" w:type="dxa"/>
          <w:left w:w="28" w:type="dxa"/>
          <w:bottom w:w="28" w:type="dxa"/>
          <w:right w:w="28" w:type="dxa"/>
        </w:tblCellMar>
      </w:tblPr>
      <w:tblGrid>
        <w:gridCol w:w="971"/>
        <w:gridCol w:w="854"/>
        <w:gridCol w:w="860"/>
        <w:gridCol w:w="109"/>
        <w:gridCol w:w="109"/>
        <w:gridCol w:w="109"/>
        <w:gridCol w:w="519"/>
        <w:gridCol w:w="519"/>
        <w:gridCol w:w="521"/>
        <w:gridCol w:w="109"/>
        <w:gridCol w:w="109"/>
        <w:gridCol w:w="109"/>
        <w:gridCol w:w="918"/>
        <w:gridCol w:w="918"/>
        <w:gridCol w:w="1298"/>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Exchange on which registered</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60"/>
        <w:jc w:val="center"/>
        <w:rPr/>
      </w:pPr>
      <w:r>
        <w:rPr/>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88" w:before="0" w:after="6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is a shell company (as defined in Rule 12b-2 of the Exchange Act). Yes ☐ No ☒ </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of </w:t>
      </w:r>
      <w:r>
        <w:rPr>
          <w:rFonts w:ascii="Times New Roman;sans-serif" w:hAnsi="Times New Roman;sans-serif"/>
          <w:b w:val="false"/>
          <w:color w:val="000000"/>
          <w:sz w:val="18"/>
        </w:rPr>
        <w:t>August 4, 2023</w:t>
      </w:r>
      <w:r>
        <w:rPr>
          <w:rFonts w:ascii="Times New Roman;sans-serif" w:hAnsi="Times New Roman;sans-serif"/>
          <w:b w:val="false"/>
          <w:color w:val="000000"/>
          <w:sz w:val="18"/>
          <w:shd w:fill="FFFFFF" w:val="clear"/>
        </w:rPr>
        <w:t>, the registrant had 59,895,002 shares of Class A common stock, $0.00001 par value per share, and 4,044,969 shares of Class B common stock, $0.00001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left"/>
        <w:rPr/>
      </w:pPr>
      <w:r>
        <w:rPr/>
      </w:r>
    </w:p>
    <w:p>
      <w:pPr>
        <w:pStyle w:val="TextBody"/>
        <w:bidi w:val="0"/>
        <w:spacing w:before="0" w:after="180"/>
        <w:jc w:val="left"/>
        <w:rPr/>
      </w:pPr>
      <w:r>
        <w:rPr/>
      </w:r>
    </w:p>
    <w:tbl>
      <w:tblPr>
        <w:tblW w:w="8561" w:type="dxa"/>
        <w:jc w:val="left"/>
        <w:tblInd w:w="0" w:type="dxa"/>
        <w:tblLayout w:type="fixed"/>
        <w:tblCellMar>
          <w:top w:w="28" w:type="dxa"/>
          <w:left w:w="28" w:type="dxa"/>
          <w:bottom w:w="28" w:type="dxa"/>
          <w:right w:w="28" w:type="dxa"/>
        </w:tblCellMar>
      </w:tblPr>
      <w:tblGrid>
        <w:gridCol w:w="299"/>
        <w:gridCol w:w="262"/>
        <w:gridCol w:w="263"/>
        <w:gridCol w:w="2454"/>
        <w:gridCol w:w="2454"/>
        <w:gridCol w:w="2457"/>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
              <w:r>
                <w:rPr>
                  <w:rStyle w:val="InternetLink"/>
                  <w:rFonts w:ascii="Times New Roman;sans-serif" w:hAnsi="Times New Roman;sans-serif"/>
                  <w:b w:val="false"/>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
              <w:r>
                <w:rPr>
                  <w:rStyle w:val="InternetLink"/>
                  <w:rFonts w:ascii="Times New Roman;sans-serif" w:hAnsi="Times New Roman;sans-serif"/>
                  <w:b w:val="false"/>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0">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3">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3">
              <w:r>
                <w:rPr>
                  <w:rStyle w:val="InternetLink"/>
                  <w:rFonts w:ascii="Times New Roman;sans-serif" w:hAnsi="Times New Roman;sans-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3">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6">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9">
              <w:r>
                <w:rPr>
                  <w:rStyle w:val="InternetLink"/>
                  <w:rFonts w:ascii="Times New Roman;sans-serif" w:hAnsi="Times New Roman;sans-serif"/>
                  <w:b w:val="false"/>
                  <w:color w:val="0000FF"/>
                  <w:sz w:val="20"/>
                  <w:u w:val="single"/>
                </w:rPr>
                <w:t>2</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22">
              <w:r>
                <w:rPr>
                  <w:rStyle w:val="InternetLink"/>
                  <w:rFonts w:ascii="Times New Roman;sans-serif" w:hAnsi="Times New Roman;sans-serif"/>
                  <w:b w:val="false"/>
                  <w:color w:val="0000FF"/>
                  <w:sz w:val="20"/>
                  <w:u w:val="single"/>
                </w:rPr>
                <w:t xml:space="preserve">Condensed Consolidated Statements of Changes in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22">
              <w:r>
                <w:rPr>
                  <w:rStyle w:val="InternetLink"/>
                  <w:rFonts w:ascii="Times New Roman;sans-serif" w:hAnsi="Times New Roman;sans-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25">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25">
              <w:r>
                <w:rPr>
                  <w:rStyle w:val="InternetLink"/>
                  <w:rFonts w:ascii="Times New Roman;sans-serif" w:hAnsi="Times New Roman;sans-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28">
              <w:r>
                <w:rPr>
                  <w:rStyle w:val="InternetLink"/>
                  <w:rFonts w:ascii="Times New Roman;sans-serif" w:hAnsi="Times New Roman;sans-serif"/>
                  <w:b w:val="false"/>
                  <w:color w:val="0000FF"/>
                  <w:sz w:val="20"/>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28">
              <w:r>
                <w:rPr>
                  <w:rStyle w:val="InternetLink"/>
                  <w:rFonts w:ascii="Times New Roman;sans-serif" w:hAnsi="Times New Roman;sans-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67">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67">
              <w:r>
                <w:rPr>
                  <w:rStyle w:val="InternetLink"/>
                  <w:rFonts w:ascii="Times New Roman;sans-serif" w:hAnsi="Times New Roman;sans-serif"/>
                  <w:b w:val="false"/>
                  <w:color w:val="0000FF"/>
                  <w:sz w:val="20"/>
                  <w:u w:val="single"/>
                </w:rPr>
                <w:t>19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88">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88">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88">
              <w:r>
                <w:rPr>
                  <w:rStyle w:val="InternetLink"/>
                  <w:rFonts w:ascii="Times New Roman;sans-serif" w:hAnsi="Times New Roman;sans-serif"/>
                  <w:b w:val="false"/>
                  <w:color w:val="0000FF"/>
                  <w:sz w:val="20"/>
                  <w:u w:val="single"/>
                </w:rPr>
                <w:t>28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1">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1">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91">
              <w:r>
                <w:rPr>
                  <w:rStyle w:val="InternetLink"/>
                  <w:rFonts w:ascii="Times New Roman;sans-serif" w:hAnsi="Times New Roman;sans-serif"/>
                  <w:b w:val="false"/>
                  <w:color w:val="0000FF"/>
                  <w:sz w:val="20"/>
                  <w:u w:val="single"/>
                </w:rPr>
                <w:t>28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4">
              <w:r>
                <w:rPr>
                  <w:rStyle w:val="InternetLink"/>
                  <w:rFonts w:ascii="Times New Roman;sans-serif" w:hAnsi="Times New Roman;sans-serif"/>
                  <w:b w:val="false"/>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4">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94">
              <w:r>
                <w:rPr>
                  <w:rStyle w:val="InternetLink"/>
                  <w:rFonts w:ascii="Times New Roman;sans-serif" w:hAnsi="Times New Roman;sans-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7">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97">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97">
              <w:r>
                <w:rPr>
                  <w:rStyle w:val="InternetLink"/>
                  <w:rFonts w:ascii="Times New Roman;sans-serif" w:hAnsi="Times New Roman;sans-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0">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0">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00">
              <w:r>
                <w:rPr>
                  <w:rStyle w:val="InternetLink"/>
                  <w:rFonts w:ascii="Times New Roman;sans-serif" w:hAnsi="Times New Roman;sans-serif"/>
                  <w:b w:val="false"/>
                  <w:color w:val="0000FF"/>
                  <w:sz w:val="20"/>
                  <w:u w:val="single"/>
                </w:rPr>
                <w:t>30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3">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3">
              <w:r>
                <w:rPr>
                  <w:rStyle w:val="InternetLink"/>
                  <w:rFonts w:ascii="Times New Roman;sans-serif" w:hAnsi="Times New Roman;sans-serif"/>
                  <w:b w:val="false"/>
                  <w:color w:val="0000FF"/>
                  <w:sz w:val="20"/>
                  <w:u w:val="single"/>
                </w:rPr>
                <w:t>Unregistered Sales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03">
              <w:r>
                <w:rPr>
                  <w:rStyle w:val="InternetLink"/>
                  <w:rFonts w:ascii="Times New Roman;sans-serif" w:hAnsi="Times New Roman;sans-serif"/>
                  <w:b w:val="false"/>
                  <w:color w:val="0000FF"/>
                  <w:sz w:val="20"/>
                  <w:u w:val="single"/>
                </w:rPr>
                <w:t>72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6">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6">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06">
              <w:r>
                <w:rPr>
                  <w:rStyle w:val="InternetLink"/>
                  <w:rFonts w:ascii="Times New Roman;sans-serif" w:hAnsi="Times New Roman;sans-serif"/>
                  <w:b w:val="false"/>
                  <w:color w:val="0000FF"/>
                  <w:sz w:val="20"/>
                  <w:u w:val="single"/>
                </w:rPr>
                <w:t>73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9">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09">
              <w:r>
                <w:rPr>
                  <w:rStyle w:val="InternetLink"/>
                  <w:rFonts w:ascii="Times New Roman;sans-serif" w:hAnsi="Times New Roman;sans-serif"/>
                  <w:b w:val="false"/>
                  <w:color w:val="0000FF"/>
                  <w:sz w:val="20"/>
                  <w:u w:val="single"/>
                </w:rPr>
                <w:t>Mine Safety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09">
              <w:r>
                <w:rPr>
                  <w:rStyle w:val="InternetLink"/>
                  <w:rFonts w:ascii="Times New Roman;sans-serif" w:hAnsi="Times New Roman;sans-serif"/>
                  <w:b w:val="false"/>
                  <w:color w:val="0000FF"/>
                  <w:sz w:val="20"/>
                  <w:u w:val="single"/>
                </w:rPr>
                <w:t>73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12">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12">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12">
              <w:r>
                <w:rPr>
                  <w:rStyle w:val="InternetLink"/>
                  <w:rFonts w:ascii="Times New Roman;sans-serif" w:hAnsi="Times New Roman;sans-serif"/>
                  <w:b w:val="false"/>
                  <w:color w:val="0000FF"/>
                  <w:sz w:val="20"/>
                  <w:u w:val="single"/>
                </w:rPr>
                <w:t>73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15">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844c1450a740d893d46adabf89b5ba_115">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844c1450a740d893d46adabf89b5ba_115">
              <w:r>
                <w:rPr>
                  <w:rStyle w:val="InternetLink"/>
                  <w:rFonts w:ascii="Times New Roman;sans-serif" w:hAnsi="Times New Roman;sans-serif"/>
                  <w:b w:val="false"/>
                  <w:color w:val="0000FF"/>
                  <w:sz w:val="20"/>
                  <w:u w:val="single"/>
                </w:rPr>
                <w:t>74</w:t>
              </w:r>
            </w:hyperlink>
          </w:p>
        </w:tc>
      </w:tr>
      <w:tr>
        <w:trPr/>
        <w:tc>
          <w:tcPr>
            <w:tcW w:w="856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3844c1450a740d893d46adabf89b5ba_118">
              <w:r>
                <w:rPr>
                  <w:rStyle w:val="InternetLink"/>
                  <w:rFonts w:ascii="Times New Roman;sans-serif" w:hAnsi="Times New Roman;sans-serif"/>
                  <w:b w:val="false"/>
                  <w:color w:val="0000FF"/>
                  <w:sz w:val="20"/>
                  <w:u w:val="single"/>
                </w:rPr>
                <w:t>Signatures</w:t>
              </w:r>
            </w:hyperlink>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estimates of our addressable market, market growth, key performance indicators, capital requirements and our needs for additional financing;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financial performance, including among others, revenue, cost of revenue, gross profit, operating expenses, loss from operations and net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implement our commercialization strategy and attract customers, including our plans for international expansion;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implementation of our business model, strategic plans and expected pricing for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rate and degree of market acceptance of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the Proteograph Product Suite on the field of proteomics and the size and growth of the addressable proteomics market;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competitive companies and technologies and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manage and grow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commercialize new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performance of third-party manufacturers and suppliers;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potential effects of government regulation;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hire and retain key personnel and to manage our future growth effectively;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volatility of the trading price of our Class A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benefits of the PrognomiQ, Inc. transaction;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local, regional, and national and international economic conditions and events;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macroeconomic factors, such as pandemics, inflation, supply chain interruptions and foreign hostilities, on our business;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about market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192"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20"/>
        <w:gridCol w:w="2243"/>
        <w:gridCol w:w="2238"/>
        <w:gridCol w:w="196"/>
        <w:gridCol w:w="736"/>
        <w:gridCol w:w="109"/>
        <w:gridCol w:w="109"/>
        <w:gridCol w:w="109"/>
        <w:gridCol w:w="109"/>
        <w:gridCol w:w="199"/>
        <w:gridCol w:w="750"/>
        <w:gridCol w:w="110"/>
        <w:gridCol w:w="109"/>
        <w:gridCol w:w="109"/>
        <w:gridCol w:w="159"/>
      </w:tblGrid>
      <w:tr>
        <w:trPr/>
        <w:tc>
          <w:tcPr>
            <w:tcW w:w="292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 5,000,000 shares authorized as of June 30, 2023 and December 31, 2022; zero shares issued and outstanding as of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$0.00001 par value; 94,000,000 shares authorized as of June 30, 2023 and December 31, 2022; 59,884,629 and 59,366,077 shares issued and outstanding as of June 30,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B common stock, $0.00001 par value; 6,000,000 shares authorized as of June 30, 2023 and December 31, 2022; 4,044,969 shares issued and outstanding as of June 30, 2023 and December 31, 2022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726"/>
        <w:gridCol w:w="1410"/>
        <w:gridCol w:w="1422"/>
        <w:gridCol w:w="219"/>
        <w:gridCol w:w="742"/>
        <w:gridCol w:w="111"/>
        <w:gridCol w:w="111"/>
        <w:gridCol w:w="111"/>
        <w:gridCol w:w="111"/>
        <w:gridCol w:w="219"/>
        <w:gridCol w:w="742"/>
        <w:gridCol w:w="111"/>
        <w:gridCol w:w="109"/>
        <w:gridCol w:w="109"/>
        <w:gridCol w:w="109"/>
        <w:gridCol w:w="219"/>
        <w:gridCol w:w="742"/>
        <w:gridCol w:w="109"/>
        <w:gridCol w:w="109"/>
        <w:gridCol w:w="109"/>
        <w:gridCol w:w="109"/>
        <w:gridCol w:w="219"/>
        <w:gridCol w:w="742"/>
        <w:gridCol w:w="109"/>
        <w:gridCol w:w="109"/>
        <w:gridCol w:w="109"/>
        <w:gridCol w:w="158"/>
      </w:tblGrid>
      <w:tr>
        <w:trPr/>
        <w:tc>
          <w:tcPr>
            <w:tcW w:w="172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63,762,625 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62,376,571 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63,654,348 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62,191,068 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bidi w:val="0"/>
        <w:spacing w:before="0" w:after="0"/>
        <w:jc w:val="center"/>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862"/>
        <w:gridCol w:w="491"/>
        <w:gridCol w:w="493"/>
        <w:gridCol w:w="480"/>
        <w:gridCol w:w="481"/>
        <w:gridCol w:w="196"/>
        <w:gridCol w:w="112"/>
        <w:gridCol w:w="112"/>
        <w:gridCol w:w="112"/>
        <w:gridCol w:w="250"/>
        <w:gridCol w:w="307"/>
        <w:gridCol w:w="134"/>
        <w:gridCol w:w="109"/>
        <w:gridCol w:w="109"/>
        <w:gridCol w:w="109"/>
        <w:gridCol w:w="217"/>
        <w:gridCol w:w="816"/>
        <w:gridCol w:w="120"/>
        <w:gridCol w:w="109"/>
        <w:gridCol w:w="109"/>
        <w:gridCol w:w="109"/>
        <w:gridCol w:w="205"/>
        <w:gridCol w:w="796"/>
        <w:gridCol w:w="114"/>
        <w:gridCol w:w="109"/>
        <w:gridCol w:w="109"/>
        <w:gridCol w:w="109"/>
        <w:gridCol w:w="337"/>
        <w:gridCol w:w="981"/>
        <w:gridCol w:w="188"/>
        <w:gridCol w:w="109"/>
        <w:gridCol w:w="109"/>
        <w:gridCol w:w="109"/>
        <w:gridCol w:w="196"/>
        <w:gridCol w:w="736"/>
        <w:gridCol w:w="161"/>
      </w:tblGrid>
      <w:tr>
        <w:trPr/>
        <w:tc>
          <w:tcPr>
            <w:tcW w:w="8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63,411,046 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446,993 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63,739,319 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from exercise of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in connection with</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63,929,598 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bidi w:val="0"/>
        <w:spacing w:before="0" w:after="180"/>
        <w:jc w:val="center"/>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878"/>
        <w:gridCol w:w="508"/>
        <w:gridCol w:w="510"/>
        <w:gridCol w:w="480"/>
        <w:gridCol w:w="481"/>
        <w:gridCol w:w="196"/>
        <w:gridCol w:w="112"/>
        <w:gridCol w:w="112"/>
        <w:gridCol w:w="112"/>
        <w:gridCol w:w="250"/>
        <w:gridCol w:w="307"/>
        <w:gridCol w:w="134"/>
        <w:gridCol w:w="109"/>
        <w:gridCol w:w="109"/>
        <w:gridCol w:w="109"/>
        <w:gridCol w:w="218"/>
        <w:gridCol w:w="822"/>
        <w:gridCol w:w="121"/>
        <w:gridCol w:w="109"/>
        <w:gridCol w:w="109"/>
        <w:gridCol w:w="109"/>
        <w:gridCol w:w="205"/>
        <w:gridCol w:w="799"/>
        <w:gridCol w:w="114"/>
        <w:gridCol w:w="109"/>
        <w:gridCol w:w="109"/>
        <w:gridCol w:w="109"/>
        <w:gridCol w:w="322"/>
        <w:gridCol w:w="939"/>
        <w:gridCol w:w="180"/>
        <w:gridCol w:w="109"/>
        <w:gridCol w:w="109"/>
        <w:gridCol w:w="109"/>
        <w:gridCol w:w="196"/>
        <w:gridCol w:w="736"/>
        <w:gridCol w:w="165"/>
      </w:tblGrid>
      <w:tr>
        <w:trPr/>
        <w:tc>
          <w:tcPr>
            <w:tcW w:w="8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62,015,483 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 of Class A common stock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62,292,893 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638,860 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486,458 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in connection with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62,610,179 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(172,991)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472,043 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9771" w:type="dxa"/>
        <w:jc w:val="center"/>
        <w:tblInd w:w="0" w:type="dxa"/>
        <w:tblLayout w:type="fixed"/>
        <w:tblCellMar>
          <w:top w:w="28" w:type="dxa"/>
          <w:left w:w="28" w:type="dxa"/>
          <w:bottom w:w="28" w:type="dxa"/>
          <w:right w:w="28" w:type="dxa"/>
        </w:tblCellMar>
      </w:tblPr>
      <w:tblGrid>
        <w:gridCol w:w="2544"/>
        <w:gridCol w:w="2231"/>
        <w:gridCol w:w="2245"/>
        <w:gridCol w:w="196"/>
        <w:gridCol w:w="721"/>
        <w:gridCol w:w="109"/>
        <w:gridCol w:w="109"/>
        <w:gridCol w:w="109"/>
        <w:gridCol w:w="109"/>
        <w:gridCol w:w="196"/>
        <w:gridCol w:w="721"/>
        <w:gridCol w:w="109"/>
        <w:gridCol w:w="109"/>
        <w:gridCol w:w="109"/>
        <w:gridCol w:w="154"/>
      </w:tblGrid>
      <w:tr>
        <w:trPr/>
        <w:tc>
          <w:tcPr>
            <w:tcW w:w="2544"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on available-for-sale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inventory excess and obsolescence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liabilities and other liabilities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available-for-sale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available-for-sale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available-for-sale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A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Class A common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Class A common stock in connection with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transferred to property and equipment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 obtained in exchange for right-of-use assets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ORGANIZATION AND DESCRIPTION OF THE BUSINESS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Seer, Inc. (the Company) was incorporated in Delaware on March 16, 2017, and is headquartered in Redwood City, California, with wholly-owned subsidiaries in Massachusetts and the United Kingdom. The Company is a life sciences company focused on capturing deep molecular insights from the proteome to enable novel insights and breakthroughs in the understanding of biology and disease. Since inception, the Company has devoted substantially all of its resources to research and development activities, including with respect to the Proteograph Product Suite, building its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incurred significant losses and has had negative cash flows from operations. As of June 30, 2023, the Company had cash and cash equivalents and short-term investments of $320.2 million and an accumulated deficit of $266.9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June 30, 2023 provide sufficient capital resources to continue its operations for at least 12 months from the issuance date of the accompanying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SUMMARY OF SIGNIFICANT ACCOUNTING POLICIES AND BASIS OF PRESENTATION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accounting principles generally accepted in the United States of America (U.S. GAAP). The unaudited condensed consolidated financial statements include the accounts of Seer, Inc. and its wholly-owned subsidiaries. All intercompany transactions and balances have been eliminated.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should be read in conjunction with the audited consolidated financial statements and notes included in our Annual Report on Form 10-K for the year ended December 31, 2022, filed with the Securities and Exchange Commission on March 6,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 (FDIC). On March 10, 2023, Silicon Valley Bank (SVB) was closed by the California Department of Financial Protection and Innovation and the FDIC was appointed as receiver. On March 27, 2023, First-Citizens Bank &amp; Trust Company assumed all of SVB’s deposits and loans. In light of the foregoing, the Company does not believe that it has exposure to loss as a result of SVB’s receivership. As of June 30, 2023, the Company held $0.9 million in SVB and has not experienced any losses on its deposits of cash and cash equivalents.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Company recognized revenue from a related party that represented 34% and 33%, respectively, of the Company’s total revenue. For each of the three and six months ended June 30, 2022, the Company recognized revenue from a related party that represented 31% of the Company’s total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17% and 20%, respectively, of the total revenue was generated outside of the United States, primarily from countries in Asia and Europe. For the three and six months ended June 30, 2022, 33% and 29%, respectively, of the total revenue was generated outside of the United States, primarily from countries in Asia and Europe.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there was one related party customer which represented 12% and 25%, respectively, of the total accounts receivable balance. As of June 30, 2023, there were two additional customers which represented 14% and 12% of the total accounts receivable balance. As of December 31, 2022, there were two additional customers which represented 10% and 12% of the total accounts receivable balance.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at the date of purchase to be cash equivalents. As of June 30, 2023 and December 31, 2022, all amounts recorded as cash and cash equivalents consist of cash and money market funds and are stated at fair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as of June 30, 2023 and December 31, 2022 represents cash held by a financial institution as security for a letter of credit issued to the lessor for one of the Company’s operating leases and is classified as noncurrent.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 (in thousands):</w:t>
      </w:r>
    </w:p>
    <w:tbl>
      <w:tblPr>
        <w:tblW w:w="6751" w:type="dxa"/>
        <w:jc w:val="left"/>
        <w:tblInd w:w="0" w:type="dxa"/>
        <w:tblLayout w:type="fixed"/>
        <w:tblCellMar>
          <w:top w:w="28" w:type="dxa"/>
          <w:left w:w="28" w:type="dxa"/>
          <w:bottom w:w="28" w:type="dxa"/>
          <w:right w:w="28" w:type="dxa"/>
        </w:tblCellMar>
      </w:tblPr>
      <w:tblGrid>
        <w:gridCol w:w="1537"/>
        <w:gridCol w:w="1350"/>
        <w:gridCol w:w="1357"/>
        <w:gridCol w:w="211"/>
        <w:gridCol w:w="721"/>
        <w:gridCol w:w="109"/>
        <w:gridCol w:w="109"/>
        <w:gridCol w:w="109"/>
        <w:gridCol w:w="109"/>
        <w:gridCol w:w="221"/>
        <w:gridCol w:w="757"/>
        <w:gridCol w:w="161"/>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 uncollectible. There were $4,000 and $30,000 allowances for credit losses related to accounts receivable as of June 30, 2023 and December 31,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funded activities are performed up to the amount of expenses incurred. Any advance funding payments are recorded as deferred revenue until the activities are performed.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pStyle w:val="TextBody"/>
        <w:bidi w:val="0"/>
        <w:spacing w:lineRule="auto" w:line="288" w:before="0" w:after="180"/>
        <w:jc w:val="left"/>
        <w:rPr/>
      </w:pPr>
      <w:r>
        <w:rPr>
          <w:rFonts w:ascii="Times New Roman;sans-serif" w:hAnsi="Times New Roman;sans-serif"/>
          <w:b w:val="false"/>
          <w:color w:val="000000"/>
          <w:sz w:val="20"/>
        </w:rPr>
        <w:t xml:space="preserve">A portion of the Company’s revenue relates to lease arrangements. Standalone lease arrangements are outside the scope of Accounting Standards Codification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and are therefore accounted for in accordance with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Each of these contracts is evaluated as a lease arrangement, either as an operating lease or a sales-type lease using the lease classification guidance.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consideration in a lease arrangement is allocated between lease and non-lease components on their relative standalone selling prices. The standalone selling price is based on the price the Company would sell that promised good or service separately to a customer. If a standalone price is not available for a component, it is estimated using the best information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FAIR VALUE MEASUREMENTS AND 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that were measured at fair value on a recurring basis by level within the fair value hierarchy (in thousands). </w:t>
      </w:r>
    </w:p>
    <w:tbl>
      <w:tblPr>
        <w:tblW w:w="7965" w:type="dxa"/>
        <w:jc w:val="left"/>
        <w:tblInd w:w="0" w:type="dxa"/>
        <w:tblLayout w:type="fixed"/>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7965" w:type="dxa"/>
        <w:jc w:val="left"/>
        <w:tblInd w:w="0" w:type="dxa"/>
        <w:tblLayout w:type="fixed"/>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cash equivalents and investments and the gross unrealized holding gains and losses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9429" w:type="dxa"/>
        <w:jc w:val="left"/>
        <w:tblInd w:w="0" w:type="dxa"/>
        <w:tblLayout w:type="fixed"/>
        <w:tblCellMar>
          <w:top w:w="28" w:type="dxa"/>
          <w:left w:w="28" w:type="dxa"/>
          <w:bottom w:w="28" w:type="dxa"/>
          <w:right w:w="28" w:type="dxa"/>
        </w:tblCellMar>
      </w:tblPr>
      <w:tblGrid>
        <w:gridCol w:w="1041"/>
        <w:gridCol w:w="916"/>
        <w:gridCol w:w="923"/>
        <w:gridCol w:w="303"/>
        <w:gridCol w:w="1189"/>
        <w:gridCol w:w="157"/>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29" w:type="dxa"/>
        <w:jc w:val="left"/>
        <w:tblInd w:w="0" w:type="dxa"/>
        <w:tblLayout w:type="fixed"/>
        <w:tblCellMar>
          <w:top w:w="28" w:type="dxa"/>
          <w:left w:w="28" w:type="dxa"/>
          <w:bottom w:w="28" w:type="dxa"/>
          <w:right w:w="28" w:type="dxa"/>
        </w:tblCellMar>
      </w:tblPr>
      <w:tblGrid>
        <w:gridCol w:w="1041"/>
        <w:gridCol w:w="916"/>
        <w:gridCol w:w="923"/>
        <w:gridCol w:w="303"/>
        <w:gridCol w:w="1189"/>
        <w:gridCol w:w="157"/>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unrealized losses on available-for-sale investments are not attributable to credit risk and are considered to be temporary. Approximately $8,000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June 30, 2023, $75.8 million of available-for-sale investments had remaining maturities between one and two years. The remainder of the available-for-sale investments have a remaining maturity of one year or less. As of June 30, 2023 and December 31, 2022, the Company recorded $1.1 million and $0.6 million of accrued interest, respectively, related to its available-for-sale investments as a component of other receivables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OTHER FINANCIAL STATEMENT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3934" w:type="dxa"/>
        <w:jc w:val="left"/>
        <w:tblInd w:w="0" w:type="dxa"/>
        <w:tblLayout w:type="fixed"/>
        <w:tblCellMar>
          <w:top w:w="28" w:type="dxa"/>
          <w:left w:w="28" w:type="dxa"/>
          <w:bottom w:w="28" w:type="dxa"/>
          <w:right w:w="28" w:type="dxa"/>
        </w:tblCellMar>
      </w:tblPr>
      <w:tblGrid>
        <w:gridCol w:w="554"/>
        <w:gridCol w:w="486"/>
        <w:gridCol w:w="491"/>
        <w:gridCol w:w="211"/>
        <w:gridCol w:w="616"/>
        <w:gridCol w:w="109"/>
        <w:gridCol w:w="109"/>
        <w:gridCol w:w="109"/>
        <w:gridCol w:w="109"/>
        <w:gridCol w:w="245"/>
        <w:gridCol w:w="716"/>
        <w:gridCol w:w="179"/>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616" w:type="dxa"/>
        <w:jc w:val="left"/>
        <w:tblInd w:w="0" w:type="dxa"/>
        <w:tblLayout w:type="fixed"/>
        <w:tblCellMar>
          <w:top w:w="28" w:type="dxa"/>
          <w:left w:w="28" w:type="dxa"/>
          <w:bottom w:w="28" w:type="dxa"/>
          <w:right w:w="28" w:type="dxa"/>
        </w:tblCellMar>
      </w:tblPr>
      <w:tblGrid>
        <w:gridCol w:w="1489"/>
        <w:gridCol w:w="1308"/>
        <w:gridCol w:w="1312"/>
        <w:gridCol w:w="211"/>
        <w:gridCol w:w="721"/>
        <w:gridCol w:w="10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related to property and equipment was $1.3 million and $0.9 million for the three months ended June 30, 2023 and 2022, respectively. Depreciation and amortization expense related to property and equipment was $2.6 million and $1.8 million for the six months ended June 30, 2023 and 2022,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357" w:type="dxa"/>
        <w:jc w:val="left"/>
        <w:tblInd w:w="0" w:type="dxa"/>
        <w:tblLayout w:type="fixed"/>
        <w:tblCellMar>
          <w:top w:w="28" w:type="dxa"/>
          <w:left w:w="28" w:type="dxa"/>
          <w:bottom w:w="28" w:type="dxa"/>
          <w:right w:w="28" w:type="dxa"/>
        </w:tblCellMar>
      </w:tblPr>
      <w:tblGrid>
        <w:gridCol w:w="1070"/>
        <w:gridCol w:w="939"/>
        <w:gridCol w:w="945"/>
        <w:gridCol w:w="211"/>
        <w:gridCol w:w="616"/>
        <w:gridCol w:w="109"/>
        <w:gridCol w:w="109"/>
        <w:gridCol w:w="109"/>
        <w:gridCol w:w="109"/>
        <w:gridCol w:w="245"/>
        <w:gridCol w:w="716"/>
        <w:gridCol w:w="17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REVENUE AND DEFERRED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consists of an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related parties, as further discussed in Note 10. Grant and other revenue consists of grant revenue from services performed specifically for the reimbursement of research-related expense and other revenue which relates to lease arrangements, as further discussed in Note 8.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activity for the period ended June 30, 2023 and December 31, 2022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4743" w:type="dxa"/>
        <w:jc w:val="left"/>
        <w:tblInd w:w="0" w:type="dxa"/>
        <w:tblLayout w:type="fixed"/>
        <w:tblCellMar>
          <w:top w:w="28" w:type="dxa"/>
          <w:left w:w="28" w:type="dxa"/>
          <w:bottom w:w="28" w:type="dxa"/>
          <w:right w:w="28" w:type="dxa"/>
        </w:tblCellMar>
      </w:tblPr>
      <w:tblGrid>
        <w:gridCol w:w="901"/>
        <w:gridCol w:w="793"/>
        <w:gridCol w:w="796"/>
        <w:gridCol w:w="211"/>
        <w:gridCol w:w="466"/>
        <w:gridCol w:w="109"/>
        <w:gridCol w:w="109"/>
        <w:gridCol w:w="109"/>
        <w:gridCol w:w="109"/>
        <w:gridCol w:w="289"/>
        <w:gridCol w:w="639"/>
        <w:gridCol w:w="21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 that has not yet been recognized, which includes deferred revenue and non-cancelable amounts that will be invoiced and recognized as revenues in future periods. As of June 30, 2023, $1.6 million of revenue is expected to be recognized from the remaining performance obligations, of which 56% is expected to be recognized within 12 months and the remainder thereafter.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Company received a notice of a Small Business Innovation Research (SBIR) grant award from the National Institutes of Health, which provides funding of approximately $1.1 million to the Company for its development of research applications. For the three and six months ended June 30, 2023, the Company recognized $0.5 million and $0.8 million of grant revenue, respectively, with respect to the award. For the three and six months ended June 30, 2022, the Company recognized $50,000 and $64,000 of grant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CAPITAL STOCK AND STOCKHOLDERS’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is authorized to issue 105,000,000 shares of capital stock consisting of 94,000,000 shares of Class A common stock, 6,000,000 shares of Class B common stock, and 5,000,000 shares of preferred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is as follows:</w:t>
      </w:r>
    </w:p>
    <w:tbl>
      <w:tblPr>
        <w:tblW w:w="6907" w:type="dxa"/>
        <w:jc w:val="left"/>
        <w:tblInd w:w="0" w:type="dxa"/>
        <w:tblLayout w:type="fixed"/>
        <w:tblCellMar>
          <w:top w:w="28" w:type="dxa"/>
          <w:left w:w="28" w:type="dxa"/>
          <w:bottom w:w="28" w:type="dxa"/>
          <w:right w:w="28" w:type="dxa"/>
        </w:tblCellMar>
      </w:tblPr>
      <w:tblGrid>
        <w:gridCol w:w="1341"/>
        <w:gridCol w:w="1179"/>
        <w:gridCol w:w="1185"/>
        <w:gridCol w:w="566"/>
        <w:gridCol w:w="515"/>
        <w:gridCol w:w="241"/>
        <w:gridCol w:w="109"/>
        <w:gridCol w:w="109"/>
        <w:gridCol w:w="109"/>
        <w:gridCol w:w="540"/>
        <w:gridCol w:w="541"/>
        <w:gridCol w:w="472"/>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59,884,629 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59,366,077 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issued and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63,929,598 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63,411,046 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EQUITY INCENTIVE PLANS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are 14,570,948 shares of Class A common stock reserved for issuance under the 2020 Equity Incentive Plan, 3,290,184 of which shares are available for issuance in connection with grants of future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six months ended June 30, 2023 is as follows:</w:t>
      </w:r>
    </w:p>
    <w:tbl>
      <w:tblPr>
        <w:tblW w:w="7783" w:type="dxa"/>
        <w:jc w:val="left"/>
        <w:tblInd w:w="0" w:type="dxa"/>
        <w:tblLayout w:type="fixed"/>
        <w:tblCellMar>
          <w:top w:w="28" w:type="dxa"/>
          <w:left w:w="28" w:type="dxa"/>
          <w:bottom w:w="28" w:type="dxa"/>
          <w:right w:w="28" w:type="dxa"/>
        </w:tblCellMar>
      </w:tblPr>
      <w:tblGrid>
        <w:gridCol w:w="1178"/>
        <w:gridCol w:w="1035"/>
        <w:gridCol w:w="1041"/>
        <w:gridCol w:w="540"/>
        <w:gridCol w:w="541"/>
        <w:gridCol w:w="541"/>
        <w:gridCol w:w="109"/>
        <w:gridCol w:w="109"/>
        <w:gridCol w:w="109"/>
        <w:gridCol w:w="555"/>
        <w:gridCol w:w="1619"/>
        <w:gridCol w:w="406"/>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10,214,430 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3,259,009 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13,290,512 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and exercisable, June 30, 2023 </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6,109,830 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 Condition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granted options to purchase an aggregate of 1,794,000 shares of the Company’s Class A common stock to certain Company executives, with vesting subject to market conditions (Market Condition Options). The Market Condition Options become eligible to vest if the average of the closing sales prices of a share of Class A common stock over a trailing twenty trading day period within seven years from the date of grant reaches a stock price of $6.885 per share (the Market Price Milestone).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Condition Option has a grant date fair value of approximately $5.2 million determined using a lattice-binomial option-pricing model based on a Monte Carlo simulation. The following assumptions were used to determine the grant date fair value of $2.80 - $3.02: (i) risk-free interest rate: 3.94%; (ii) expected volatility: 83.1%; and (iii) expected dividend yield: 0.0%. Compensation expense is recognized using an accelerated attribution method based on the derived service periods for each of the tranches. Failure to meet the market condition for an award does not result in reversal of previously recognized expense, so long as the service is provided for the duration of the respective derived service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of $1.0 million and $1.4 million related to the Market Condition Options for the three and six months ended June 30, 2023, respectively. As of June 30, 2023, there was $3.8 million in unrecognized compensation related to unvested Market Condition Options, which the Company expects to recognize over a remaining weighted-average period of 2.03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stock options granted provide stock option holders the right to exercise unvested stock options in exchange for restricted shares of Class A common stock. The Company has also issued restricted shares of Class A common stock to employees and directors. There were 52,182 shares and 60,787 shares of restricted stock that were unvested and subject to repurchase as of June 30, 2023 and December 31,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for the six months ended June 30, 2023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6190" w:type="dxa"/>
        <w:jc w:val="left"/>
        <w:tblInd w:w="0" w:type="dxa"/>
        <w:tblLayout w:type="fixed"/>
        <w:tblCellMar>
          <w:top w:w="28" w:type="dxa"/>
          <w:left w:w="28" w:type="dxa"/>
          <w:bottom w:w="28" w:type="dxa"/>
          <w:right w:w="28" w:type="dxa"/>
        </w:tblCellMar>
      </w:tblPr>
      <w:tblGrid>
        <w:gridCol w:w="939"/>
        <w:gridCol w:w="825"/>
        <w:gridCol w:w="830"/>
        <w:gridCol w:w="569"/>
        <w:gridCol w:w="569"/>
        <w:gridCol w:w="571"/>
        <w:gridCol w:w="109"/>
        <w:gridCol w:w="109"/>
        <w:gridCol w:w="109"/>
        <w:gridCol w:w="335"/>
        <w:gridCol w:w="979"/>
        <w:gridCol w:w="24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1,650,976 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2,514,844 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(426,896)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3,655,039 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1,829,437 shares of Class A common stock are reserved for issuance under the 2020 Employee Stock Purchase Plan (ESPP) as of June 30, 2023. During the six months ended June 30, 2023, 68,495 shares of Class A common stock were issued under the ESPP.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recognized in the Company’s condensed consolidated statements of operations and comprehensive loss (in thousands):</w:t>
      </w:r>
    </w:p>
    <w:tbl>
      <w:tblPr>
        <w:tblW w:w="7997" w:type="dxa"/>
        <w:jc w:val="left"/>
        <w:tblInd w:w="0" w:type="dxa"/>
        <w:tblLayout w:type="fixed"/>
        <w:tblCellMar>
          <w:top w:w="28" w:type="dxa"/>
          <w:left w:w="28" w:type="dxa"/>
          <w:bottom w:w="28" w:type="dxa"/>
          <w:right w:w="28" w:type="dxa"/>
        </w:tblCellMar>
      </w:tblPr>
      <w:tblGrid>
        <w:gridCol w:w="1068"/>
        <w:gridCol w:w="941"/>
        <w:gridCol w:w="94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 Effective on September 30, 2022, the executive resigned from his position as President of the Company and the Company’s Board of Directors.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2022, the Board of Directors approved an option repricing to reduce the exercise price of certain vested, outstanding, and unexercised stock options with an exercise price greater than $19.00 per share that were held by employees who were not members of the Board or Director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option repricing, the Company recorded $0.2 million and $0.4 million of incremental stock-based compensation expense for the three and six months ended June 30, 2023, respectively. The total unrecognized incremental stock-based compensation associated with the option repricing is $1.4 million, which will be recognized over the next three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lessee, the Company leases approximately 51,000 square feet of office and laboratory space in Redwood City, California with a lease term that is set to end on September 30, 2032. The Company has an option to renew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leased space for an additional five-year term at then-current market rates. In connection with the lease, the Company maintains a letter of credit issued to the lessor in the amount of $0.5 million as of June 30, 2023 and December 31, 2022, which is secured by restricted cash and is presented as noncurrent at each date based on the term of the underlying lease. In addition, the Company leases approximately 6,000 square feet of office space in San Diego, California pursuant to a lease that runs through September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remaining weighted-average lease term was 9.1 years and the weighted-average incremental borrowing rate used to determine the operating lease liabilities was 6.2%.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related to the Company’s operating leases were as follows (in thousands):</w:t>
      </w:r>
    </w:p>
    <w:tbl>
      <w:tblPr>
        <w:tblW w:w="6707" w:type="dxa"/>
        <w:jc w:val="left"/>
        <w:tblInd w:w="0" w:type="dxa"/>
        <w:tblLayout w:type="fixed"/>
        <w:tblCellMar>
          <w:top w:w="28" w:type="dxa"/>
          <w:left w:w="28" w:type="dxa"/>
          <w:bottom w:w="28" w:type="dxa"/>
          <w:right w:w="28" w:type="dxa"/>
        </w:tblCellMar>
      </w:tblPr>
      <w:tblGrid>
        <w:gridCol w:w="678"/>
        <w:gridCol w:w="596"/>
        <w:gridCol w:w="60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are primarily comprised of common area maintenance.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future minimum commitments under the Company’s non-cancelable facility operating leases are as follows:</w:t>
      </w:r>
    </w:p>
    <w:tbl>
      <w:tblPr>
        <w:tblW w:w="6327" w:type="dxa"/>
        <w:jc w:val="left"/>
        <w:tblInd w:w="0" w:type="dxa"/>
        <w:tblLayout w:type="fixed"/>
        <w:tblCellMar>
          <w:top w:w="28" w:type="dxa"/>
          <w:left w:w="28" w:type="dxa"/>
          <w:bottom w:w="28" w:type="dxa"/>
          <w:right w:w="28" w:type="dxa"/>
        </w:tblCellMar>
      </w:tblPr>
      <w:tblGrid>
        <w:gridCol w:w="1745"/>
        <w:gridCol w:w="1539"/>
        <w:gridCol w:w="1546"/>
        <w:gridCol w:w="109"/>
        <w:gridCol w:w="109"/>
        <w:gridCol w:w="109"/>
        <w:gridCol w:w="227"/>
        <w:gridCol w:w="777"/>
        <w:gridCol w:w="166"/>
      </w:tblGrid>
      <w:tr>
        <w:trPr/>
        <w:tc>
          <w:tcPr>
            <w:tcW w:w="174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 for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lessor, the Company has contracts for equipment leased to customers. The Company accounts for the non-lease component under the revenue recognition ASC 606 guidance and the lease component under ASC 842 guidance. 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$48,000 and $88,000 of revenue related to lease components from operating leases for the three and six months ended June 30, 2023, respectively, which is presented as grant and other revenue. The Company recognized no revenue related to lease components from operating leases for each of the three and six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enforceable or subject to change. These outstanding commitments amounted to $1.7 million and $5.7 million as of June 30, 2023 and December 31,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2023 and December 31, 2022, the Company does not have any material indemnification claims that were probable or reasonably possible and consequently has not recorded related liabilities.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arising in the ordinary course of business. The Company is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formed a new entity, PrognomiQ, Inc. (PrognomiQ), and entered into a stock purchase agreement with PrognomiQ, pursuant to which the Company transferred to PrognomiQ certain assets that comprised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As of the year ended December 31, 2022, the carrying value of the Company’s investment in PrognomiQ is nil due to recognized net losses based on its percentage of ownership in PrognomiQ.</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PrognomiQ constitutes a related party and, as of June 30, 2023 and December 31, 2022, the Company held $0.6 million and $1.5 million in related party receivables, respectively, on the condensed consolidated balance sheets representing amounts due from product sales. For the three and six months ended June 30, 2023, the Company recognized revenue of $1.4 million and $2.7 million, respectively, which is presented as related party revenue on the condensed consolidated statements of operations and comprehensive loss and is comprised of the sale of instruments and consumables. For the three and six months ended June 30, 2022, the Company recognized revenue of $1.1 million and $2.2 million, respectively, which is presented as related party revenue on the condensed consolidated statements of operations and comprehensive loss and is comprised of the sale of instruments and consumables, and services performed.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a member of the Company’s Board of Directors served as a board member and an executive officer at a company that is a customer of the Company. As of June 30, 2023 and December 31, 2022, the Company recorded nil and $0.3 million in related party receivables, respectively, on the condensed consolidated balance sheets, representing revenue from product sales. There was no revenue recognized for the three and six months ended June 30, 2023 and 2022. The Company has a contract for equipment leased to this customer that has been classified as a sales-type lease. As of each of June 30, 2023 and December 31, 2022, the lease receivables related to the sales-type lease are $0.2 million. The lease receivables are presented as prepaid expenses and other current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NET LOSS PER SHARE ATTRIBUTABLE TO COMMON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12"/>
        <w:gridCol w:w="1349"/>
        <w:gridCol w:w="1356"/>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in computing net loss per share attributable to common stockholders,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62,191,068 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400" w:type="dxa"/>
        <w:jc w:val="left"/>
        <w:tblInd w:w="0" w:type="dxa"/>
        <w:tblLayout w:type="fixed"/>
        <w:tblCellMar>
          <w:top w:w="28" w:type="dxa"/>
          <w:left w:w="28" w:type="dxa"/>
          <w:bottom w:w="28" w:type="dxa"/>
          <w:right w:w="28" w:type="dxa"/>
        </w:tblCellMar>
      </w:tblPr>
      <w:tblGrid>
        <w:gridCol w:w="1646"/>
        <w:gridCol w:w="1447"/>
        <w:gridCol w:w="1451"/>
        <w:gridCol w:w="540"/>
        <w:gridCol w:w="541"/>
        <w:gridCol w:w="156"/>
        <w:gridCol w:w="109"/>
        <w:gridCol w:w="109"/>
        <w:gridCol w:w="109"/>
        <w:gridCol w:w="540"/>
        <w:gridCol w:w="541"/>
        <w:gridCol w:w="211"/>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11,741,948 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subject to future vesting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108,534 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16,997,733 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13,695,654 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SUBSEQUENT EVENTS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2023, the Company implemented a reduction in force of approximately 12% of its workforce. The Company estimates that it will incur approximately $0.6 million of costs, consisting primarily of cash severance payments, which it expects to recognize in the third quarter of 2023. </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80"/>
        <w:jc w:val="left"/>
        <w:rPr/>
      </w:pPr>
      <w:r>
        <w:rPr>
          <w:rFonts w:ascii="Times New Roman;sans-serif" w:hAnsi="Times New Roman;sans-serif"/>
          <w:b w:val="false"/>
          <w:color w:val="000000"/>
          <w:sz w:val="20"/>
        </w:rPr>
        <w:t>Our mission is to imagine and pioneer new ways to decode the secrets of the proteome to improve human health. Our first product, the Proteograph</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filling and packaging outsourced to a third party. We conduct vendor and component qualification for components provided by third-party suppliers and quality control tests on our NPs.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we incurred a net loss of $47.4 million and $46.5 million, respectively, and used $34.5 million and $33.2 million of cash in operations, respectively. As of June 30, 2023, we had an accumulated deficit of $266.9 million and cash and cash equivalents and investments of $396.0 million. We expect to continue to incur significant and increasing losses and do not expect positive cash flows from operations for the foreseeable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significantly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broadly commercialize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attract, hire and retain qualified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to build our sales, marketing, service, support and distribution infrastructure as part of our commercialization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build-out and expand our in-house NP manufacturing capabilities;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to engage in research and development of other products and enhancements to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obtain, maintain, expand, and protect our intellectual property portfolio;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build the infrastructure to operate and scale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the receipt of grant revenue for the reimbursement of research-related expenses, and lease arrangements. Our revenue is primarily generated domestically. We intend to focus our commercial efforts in the United States and expect to grow our international presence. A portion of our revenue is generated by sales to related parties and we anticipate a portion of our revenue to continue to be generated by sales to such related parties.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allocated overhead and write-downs or write-off of obsolete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or R&amp;D, expenses include costs associated with performing services under research and development service contracts and research and development of our technology and product candidates. R&amp;D expenses consist primarily of employee compensation, including stock-based compensation and employee benefits, laboratory supplies used for in-house research, consulting costs, costs related to clinical studies for the collection of biological samples for research use, and allocated costs, including rent, depreciation, information technology and utilities.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cash and cash equivalents and investments.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Comparisons of the Three Months Ended June 30,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tbl>
      <w:tblPr>
        <w:tblW w:w="8242" w:type="dxa"/>
        <w:jc w:val="left"/>
        <w:tblInd w:w="0" w:type="dxa"/>
        <w:tblLayout w:type="fixed"/>
        <w:tblCellMar>
          <w:top w:w="28" w:type="dxa"/>
          <w:left w:w="28" w:type="dxa"/>
          <w:bottom w:w="28" w:type="dxa"/>
          <w:right w:w="28" w:type="dxa"/>
        </w:tblCellMar>
      </w:tblPr>
      <w:tblGrid>
        <w:gridCol w:w="1067"/>
        <w:gridCol w:w="941"/>
        <w:gridCol w:w="946"/>
        <w:gridCol w:w="211"/>
        <w:gridCol w:w="796"/>
        <w:gridCol w:w="109"/>
        <w:gridCol w:w="109"/>
        <w:gridCol w:w="109"/>
        <w:gridCol w:w="109"/>
        <w:gridCol w:w="211"/>
        <w:gridCol w:w="796"/>
        <w:gridCol w:w="109"/>
        <w:gridCol w:w="109"/>
        <w:gridCol w:w="109"/>
        <w:gridCol w:w="109"/>
        <w:gridCol w:w="211"/>
        <w:gridCol w:w="541"/>
        <w:gridCol w:w="109"/>
        <w:gridCol w:w="109"/>
        <w:gridCol w:w="109"/>
        <w:gridCol w:w="109"/>
        <w:gridCol w:w="285"/>
        <w:gridCol w:w="286"/>
        <w:gridCol w:w="271"/>
        <w:gridCol w:w="109"/>
        <w:gridCol w:w="109"/>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5264" w:type="dxa"/>
        <w:jc w:val="left"/>
        <w:tblInd w:w="0" w:type="dxa"/>
        <w:tblLayout w:type="fixed"/>
        <w:tblCellMar>
          <w:top w:w="28" w:type="dxa"/>
          <w:left w:w="28" w:type="dxa"/>
          <w:bottom w:w="28" w:type="dxa"/>
          <w:right w:w="28" w:type="dxa"/>
        </w:tblCellMar>
      </w:tblPr>
      <w:tblGrid>
        <w:gridCol w:w="320"/>
        <w:gridCol w:w="282"/>
        <w:gridCol w:w="283"/>
        <w:gridCol w:w="217"/>
        <w:gridCol w:w="634"/>
        <w:gridCol w:w="112"/>
        <w:gridCol w:w="112"/>
        <w:gridCol w:w="112"/>
        <w:gridCol w:w="112"/>
        <w:gridCol w:w="217"/>
        <w:gridCol w:w="634"/>
        <w:gridCol w:w="112"/>
        <w:gridCol w:w="109"/>
        <w:gridCol w:w="109"/>
        <w:gridCol w:w="109"/>
        <w:gridCol w:w="211"/>
        <w:gridCol w:w="466"/>
        <w:gridCol w:w="109"/>
        <w:gridCol w:w="109"/>
        <w:gridCol w:w="109"/>
        <w:gridCol w:w="109"/>
        <w:gridCol w:w="180"/>
        <w:gridCol w:w="181"/>
        <w:gridCol w:w="31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$0.4 million, or 11%, from $3.6 million during the three months ended June 30, 2022 to $4.0 million during the three months ended June 30, 2023, primarily due to increased consumable kit sales, service, and grant and other revenue, offset by fewer instrument sales. Revenue recognized primarily consisted of sales of the Proteograph SP100 instrument, consumable kits, platform evaluations, and service revenue, of which $1.4 million was attributed to related party. Also, revenue from our grant-funded activities related to our Small Business Innovation Research (SBIR) grant from the National Institutes of Health Grant (NIH) which increased between the two periods by $0.4 million and lease revenue presented as part of grant and other revenue increased between the two periods by $48,000.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923" w:type="dxa"/>
        <w:jc w:val="left"/>
        <w:tblInd w:w="0" w:type="dxa"/>
        <w:tblLayout w:type="fixed"/>
        <w:tblCellMar>
          <w:top w:w="28" w:type="dxa"/>
          <w:left w:w="28" w:type="dxa"/>
          <w:bottom w:w="28" w:type="dxa"/>
          <w:right w:w="28" w:type="dxa"/>
        </w:tblCellMar>
      </w:tblPr>
      <w:tblGrid>
        <w:gridCol w:w="504"/>
        <w:gridCol w:w="444"/>
        <w:gridCol w:w="446"/>
        <w:gridCol w:w="217"/>
        <w:gridCol w:w="634"/>
        <w:gridCol w:w="112"/>
        <w:gridCol w:w="112"/>
        <w:gridCol w:w="112"/>
        <w:gridCol w:w="112"/>
        <w:gridCol w:w="217"/>
        <w:gridCol w:w="634"/>
        <w:gridCol w:w="112"/>
        <w:gridCol w:w="109"/>
        <w:gridCol w:w="109"/>
        <w:gridCol w:w="109"/>
        <w:gridCol w:w="211"/>
        <w:gridCol w:w="541"/>
        <w:gridCol w:w="109"/>
        <w:gridCol w:w="109"/>
        <w:gridCol w:w="109"/>
        <w:gridCol w:w="109"/>
        <w:gridCol w:w="218"/>
        <w:gridCol w:w="218"/>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pPr>
      <w:r>
        <w:rPr>
          <w:rFonts w:ascii="Times New Roman;sans-serif" w:hAnsi="Times New Roman;sans-serif"/>
          <w:b w:val="false"/>
          <w:color w:val="000000"/>
          <w:sz w:val="20"/>
        </w:rPr>
        <w:t>Cost of revenue decreased by $0.3 million, or 14%, from $2.0 million during the three months ended June 30, 2022 to $1.7 million during the three months ended June 30, 2023,</w:t>
      </w:r>
      <w:r>
        <w:rPr>
          <w:color w:val="000000"/>
          <w:shd w:fill="FFFFFF" w:val="clear"/>
        </w:rPr>
        <w:t xml:space="preserve"> </w:t>
      </w:r>
      <w:r>
        <w:rPr>
          <w:rFonts w:ascii="Times New Roman;sans-serif" w:hAnsi="Times New Roman;sans-serif"/>
          <w:b w:val="false"/>
          <w:color w:val="000000"/>
          <w:sz w:val="20"/>
          <w:shd w:fill="FFFFFF" w:val="clear"/>
        </w:rPr>
        <w:t>primarily due to increased consumable kit sales, which carry a lower cost of revenue, and lower product revenue from fewer instrument sales, which have a higher cost of revenue, offset by increased overhead expenses, warranty and inventory reserves and other costs of revenue. Cost of revenue related to the P</w:t>
      </w:r>
      <w:r>
        <w:rPr>
          <w:rFonts w:ascii="Times New Roman;sans-serif" w:hAnsi="Times New Roman;sans-serif"/>
          <w:b w:val="false"/>
          <w:color w:val="000000"/>
          <w:sz w:val="20"/>
        </w:rPr>
        <w:t>roteograph Product Suite consists of costs of the SP100 instrument, consumable kits and other related costs, including labor and overhead.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6985"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increased by $3.3 million, or 30%, from $10.9 million during the three months ended June 30, 2022 to $14.1 million during the three months ended June 30, 2023. The increase was primarily due to an increase in product development efforts related to the Proteograph Product Suite, including $1.4 million in employee compensation costs and other related expenses, including $0.3 million in stock-based compensation, due to an increase in research and development personnel and a $0.9 million increase in overhead related to the allocation of facility expense associated with the build-out of our expansion facilities to support our R&amp;D efforts. Other increases are attributable to professional expenses of $0.4 million due to SBIR activities and $0.3 million in depreciation of laboratory equipment.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7631" w:type="dxa"/>
        <w:jc w:val="left"/>
        <w:tblInd w:w="0" w:type="dxa"/>
        <w:tblLayout w:type="fixed"/>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$1.9 million, or 13%, from $14.2 million during the three months ended June 30, 2022 to $16.1 million during the three months ended June 30, 2023, primarily due to a $1.5 million increase in employee compensation costs and a $0.9 million increase in stock-based compensation. The increase was offset by a $0.5 million decrease in professional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Total Other Income</w:t>
      </w:r>
    </w:p>
    <w:tbl>
      <w:tblPr>
        <w:tblW w:w="6299" w:type="dxa"/>
        <w:jc w:val="left"/>
        <w:tblInd w:w="0" w:type="dxa"/>
        <w:tblLayout w:type="fixed"/>
        <w:tblCellMar>
          <w:top w:w="28" w:type="dxa"/>
          <w:left w:w="28" w:type="dxa"/>
          <w:bottom w:w="28" w:type="dxa"/>
          <w:right w:w="28" w:type="dxa"/>
        </w:tblCellMar>
      </w:tblPr>
      <w:tblGrid>
        <w:gridCol w:w="603"/>
        <w:gridCol w:w="529"/>
        <w:gridCol w:w="533"/>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33"/>
        <w:gridCol w:w="233"/>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$3.9 million, or 629%, from $0.6 million during the three months ended June 30, 2022 to $4.5 million during the three months ended June 30, 2023. The increase was due to higher rates of interest earned on cash invested in money market funds, U.S. Treasury, commercial paper and corporate securities during the three months ended June 30, 2023.</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Comparisons of the Six Months Ended June 30,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periods presented: </w:t>
      </w:r>
    </w:p>
    <w:tbl>
      <w:tblPr>
        <w:tblW w:w="7915" w:type="dxa"/>
        <w:jc w:val="left"/>
        <w:tblInd w:w="0" w:type="dxa"/>
        <w:tblLayout w:type="fixed"/>
        <w:tblCellMar>
          <w:top w:w="28" w:type="dxa"/>
          <w:left w:w="28" w:type="dxa"/>
          <w:bottom w:w="28" w:type="dxa"/>
          <w:right w:w="28" w:type="dxa"/>
        </w:tblCellMar>
      </w:tblPr>
      <w:tblGrid>
        <w:gridCol w:w="1067"/>
        <w:gridCol w:w="941"/>
        <w:gridCol w:w="946"/>
        <w:gridCol w:w="211"/>
        <w:gridCol w:w="796"/>
        <w:gridCol w:w="109"/>
        <w:gridCol w:w="109"/>
        <w:gridCol w:w="109"/>
        <w:gridCol w:w="109"/>
        <w:gridCol w:w="211"/>
        <w:gridCol w:w="796"/>
        <w:gridCol w:w="109"/>
        <w:gridCol w:w="109"/>
        <w:gridCol w:w="109"/>
        <w:gridCol w:w="109"/>
        <w:gridCol w:w="211"/>
        <w:gridCol w:w="541"/>
        <w:gridCol w:w="109"/>
        <w:gridCol w:w="109"/>
        <w:gridCol w:w="109"/>
        <w:gridCol w:w="109"/>
        <w:gridCol w:w="285"/>
        <w:gridCol w:w="286"/>
        <w:gridCol w:w="316"/>
      </w:tblGrid>
      <w:tr>
        <w:trPr/>
        <w:tc>
          <w:tcPr>
            <w:tcW w:w="10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5351" w:type="dxa"/>
        <w:jc w:val="left"/>
        <w:tblInd w:w="0" w:type="dxa"/>
        <w:tblLayout w:type="fixed"/>
        <w:tblCellMar>
          <w:top w:w="28" w:type="dxa"/>
          <w:left w:w="28" w:type="dxa"/>
          <w:bottom w:w="28" w:type="dxa"/>
          <w:right w:w="28" w:type="dxa"/>
        </w:tblCellMar>
      </w:tblPr>
      <w:tblGrid>
        <w:gridCol w:w="320"/>
        <w:gridCol w:w="282"/>
        <w:gridCol w:w="28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$1.1 million, or 16%, from $6.9 million during the six months ended June 30, 2022 to $8.1 million during the six months ended June 30, 2023, primarily due to increased consumable kit sales, service, and grant and other revenue, offset by fewer instrument sales. Revenue recognized primarily consisted of sales of the Proteograph SP100 instrument, consumable kits, platform evaluations, and service revenue, of which $2.7 million was attributed to related party. Also, revenue from our grant-funded activities related to our SBIR grant from NIH increased between the two periods by $0.7 million and lease revenue presented as part of grant and other revenue increased between the two periods by $88,000.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754" w:type="dxa"/>
        <w:jc w:val="left"/>
        <w:tblInd w:w="0" w:type="dxa"/>
        <w:tblLayout w:type="fixed"/>
        <w:tblCellMar>
          <w:top w:w="28" w:type="dxa"/>
          <w:left w:w="28" w:type="dxa"/>
          <w:bottom w:w="28" w:type="dxa"/>
          <w:right w:w="28" w:type="dxa"/>
        </w:tblCellMar>
      </w:tblPr>
      <w:tblGrid>
        <w:gridCol w:w="504"/>
        <w:gridCol w:w="444"/>
        <w:gridCol w:w="446"/>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164"/>
        <w:gridCol w:w="166"/>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pPr>
      <w:r>
        <w:rPr>
          <w:rFonts w:ascii="Times New Roman;sans-serif" w:hAnsi="Times New Roman;sans-serif"/>
          <w:b w:val="false"/>
          <w:color w:val="000000"/>
          <w:sz w:val="20"/>
        </w:rPr>
        <w:t>Cost of revenue decreased by $0.4 million, or 9%, from $4.1 million during the six months ended June 30, 2022 to $3.7 million during the six months ended June 30, 2023,</w:t>
      </w:r>
      <w:r>
        <w:rPr>
          <w:color w:val="000000"/>
          <w:shd w:fill="FFFFFF" w:val="clear"/>
        </w:rPr>
        <w:t xml:space="preserve"> </w:t>
      </w:r>
      <w:r>
        <w:rPr>
          <w:rFonts w:ascii="Times New Roman;sans-serif" w:hAnsi="Times New Roman;sans-serif"/>
          <w:b w:val="false"/>
          <w:color w:val="000000"/>
          <w:sz w:val="20"/>
          <w:shd w:fill="FFFFFF" w:val="clear"/>
        </w:rPr>
        <w:t>primarily due to increased consumable kit sales, which carry a lower cost of revenue, and lower product revenue from fewer instrument sales, which have a higher cost of revenue, offset by increased overhead expenses, warranty and inventory reserves and other costs of revenue. Cost of revenue related to the P</w:t>
      </w:r>
      <w:r>
        <w:rPr>
          <w:rFonts w:ascii="Times New Roman;sans-serif" w:hAnsi="Times New Roman;sans-serif"/>
          <w:b w:val="false"/>
          <w:color w:val="000000"/>
          <w:sz w:val="20"/>
        </w:rPr>
        <w:t>roteograph Product Suite consists of costs of the SP100 instrument, consumable kits and other related costs, including labor and overhead.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6985"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by $7.0 million, or 32%, from $21.6 million during the six months ended June 30, 2022 to $28.6 million during the six months ended June 30, 2023. The increase was primarily due to an increase in product development efforts related to the Proteograph Product Suite, including $2.7 million in employee compensation costs and other related expenses, including $0.9 million in stock-based compensation, due to an increase in research and development personnel and a $1.7 million increase in overhead related to the allocation of facility expense associated with the build-out of our expansion facilities to support our R&amp;D efforts. Other increases are attributable to professional expenses of $0.5 million due to SBIR activities, business and laboratory expenses of $0.7 million, and $0.5 million in depreciation of laboratory equipment.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7526" w:type="dxa"/>
        <w:jc w:val="left"/>
        <w:tblInd w:w="0" w:type="dxa"/>
        <w:tblLayout w:type="fixed"/>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$2.6 million, or 9%, from $28.5 million during the six months ended June 30, 2022 to $31.1 million during the six months ended June 30, 2023, primarily due to a $2.8 million increase in employee compensation costs and a $0.9 million increase in stock-based compensation. Other increases are attributable to a $0.1 million increase in depreciation and $0.1 million increase in travel expenses. The increase was offset by a $1.3 million decrease in professional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Total Other Income</w:t>
      </w:r>
    </w:p>
    <w:tbl>
      <w:tblPr>
        <w:tblW w:w="6106" w:type="dxa"/>
        <w:jc w:val="left"/>
        <w:tblInd w:w="0" w:type="dxa"/>
        <w:tblLayout w:type="fixed"/>
        <w:tblCellMar>
          <w:top w:w="28" w:type="dxa"/>
          <w:left w:w="28" w:type="dxa"/>
          <w:bottom w:w="28" w:type="dxa"/>
          <w:right w:w="28" w:type="dxa"/>
        </w:tblCellMar>
      </w:tblPr>
      <w:tblGrid>
        <w:gridCol w:w="603"/>
        <w:gridCol w:w="529"/>
        <w:gridCol w:w="533"/>
        <w:gridCol w:w="213"/>
        <w:gridCol w:w="622"/>
        <w:gridCol w:w="110"/>
        <w:gridCol w:w="110"/>
        <w:gridCol w:w="110"/>
        <w:gridCol w:w="110"/>
        <w:gridCol w:w="213"/>
        <w:gridCol w:w="471"/>
        <w:gridCol w:w="110"/>
        <w:gridCol w:w="109"/>
        <w:gridCol w:w="109"/>
        <w:gridCol w:w="109"/>
        <w:gridCol w:w="211"/>
        <w:gridCol w:w="616"/>
        <w:gridCol w:w="109"/>
        <w:gridCol w:w="109"/>
        <w:gridCol w:w="109"/>
        <w:gridCol w:w="109"/>
        <w:gridCol w:w="233"/>
        <w:gridCol w:w="233"/>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$7.2 million, or 955%, from $0.8 million during the six months ended June 30, 2022 to $8.0 million during the six months ended June 30, 2023. The increase was due to higher rates of interest earned on cash invested in money market funds, U.S. Treasury, commercial paper and corporate securities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and cash equivalents and investments, we believe we will have adequate liquidity over the next twelve months following the date of this Quarterly Report of Form 10-Q to operate our business and to meet our cash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June 30, 2023 and December 31, 2022, which is secured by restricted cash and is presented as noncurrent at each date based on the term of the underlying lease. We lease approximately 6,000 square feet of office space in San Diego, California that runs through September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$1.7 million as of June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investments will be sufficient to meet our anticipated cash requirements for more than 12 months from the date of this Quarterly Report on Form 10-Q. If our available cash and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indicated: </w:t>
      </w:r>
    </w:p>
    <w:tbl>
      <w:tblPr>
        <w:tblW w:w="8600"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901"/>
        <w:gridCol w:w="109"/>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cash used in operating activities was $34.5 million, which was attributable to a net loss of $47.4 million and a net change in our net operating assets and liabilities of $3.4 million, partially offset by non-cash charges of $16.3 million. Non-cash charges primarily consisted of $18.5 million in stock-based compensation, $2.6 million of depreciation and amortization, $0.2 million of loss on disposal of property and equipment, provision for inventory excess and obsolescence of $0.3 million, and $0.1 million of non-cash operating lease expense, offset by $5.4 million of net accretion of premium on available-for-sale securities. The change in our net operating assets and liabilities was primarily due to an increase in prepaid expense and other assets of $1.7 million primarily due to our annual insurance renewal and software subscriptions and an increase in inventory of $2.1 million due to an increase in finished goods from inventory build up.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cash used in operating activities was $33.2 million, which was attributable to a net loss of $46.5 million and a net change in our net operating assets and liabilities of $6.3 million, partially offset by non-cash charges of $19.7 million. Non-cash charges primarily consisted of $16.4 million in stock-based compensation, $1.8 million of depreciation and amortization, $0.4 million of net amortization of premiums on available-for-sale securities and $1.0 million of non-cash operating lease expense. The change in our net operating assets and liabilities was primarily due to an increase in inventory levels of $3.0 million, an increase in accounts receivable of $0.8 million, an increase in prepaid expenses and other current assets of $2.2 million, and an increase of $0.5 million in accrued expenses related to employee compensation.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cash provided by investing activities was $37.4 million, which was attributable to the proceeds from maturities of available-for-sale securities of $305.6 million and proceeds from sale of available-for-sale securities of $3.0 million. This was offset by $269.9 million related to purchases of available-for-sale securities and $1.3 million in purchases of property and equipment, primarily for laboratory equipment.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cash used in investing activities was $122.3 million, which related to purchases of available-for-sale securities, net of proceeds from maturities of $119.7 million, offset by $2.6 million in payments primarily for laboratory equipment.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cash provided by financing activities was $0.2 million, which was primarily attributable to net proceeds from the exercise of stock options.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cash provided by financing activities was $1.6 million. This was attributable to net proceeds from the exercise of stock options of $1.2 million and $0.4 million proceeds from issuance of Class A common stock in connection with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interest rate risk that relates to our cash and cash equivalents and investments held in money market funds, U.S. Treasury securities, commercial paper and corporate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June 30, 2023,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under the Exchange Act) during the quarter ended June 30, 2023 that has materially affected, or is reasonably likely to materially affect, our internal control over financial reporting.</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Summary Risk Factor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are in the early stages of our commercialization plan, and we may not be able to commercialize the Proteograph Product Suite as planned;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commercialization success depends on broad scientific and market acceptance of the Proteograph, which we may fail to achieve;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health epidemics such as the COVID-19 pandemic could continue to adversely impact our business and operations;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if we are unable to obtain and maintain sufficient intellectual property protection for our products and technology, or if the scope of the intellectual property protection obtained is not sufficiently broad,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could develop and commercialize products similar or identical to ours, and our ability to successfully commercialize our products may be impaired;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if we are unable to identify and recruit qualified employees, and retain or maintain our employee base, it may adversely impact our business and operations; and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Industry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life sciences technology company, and we have incurred significant losses since we were formed in 2017, and expect to continue to incur losses in the future. We incurred net losses of $23.4 million and $22.8 million during the three months ended June 30, 2023 and 2022, respectively. We incurred net losses of $47.4 million and $46.5 million during the six months ended June 30, 2023 and 2022, respectively. As of June 30, 2023, we had an accumulated deficit of $266.9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successfully commercialize the Proteograph Product Suite on our anticipated timeline;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our ability to offer high-quality customer service: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level of demand for any products we are able to commercialize, particularly the Proteograph Product Suite, which may vary significantly from period to period;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drive adoption of the Proteograph in our target markets and our ability to expand into any future target markets;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relationship with third-party distributorships, the quantity of our products they elect to hold in inventory, and their ability to promote and sell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prices at which we will be able to sell the Proteograph Product Suite and related services;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volume and mix of our sales between the Proteograph Product Suite and associated consumables, or changes in the manufacturing or sales costs related to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length of time and unpredictable nature of the sales cycle;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lead time needed to procure SP100 automation instruments from our third-party contract manufacturer;</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success of our sales force, which if less than anticipated, could significantly impair our ability to generate revenue;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failure of customers to exercise Proteograph purchase options;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governmental funding of life sciences research and development or changes that impact budgets and budget cycles;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seasonal spending patterns and the ability to collect on the accounts receivable of our customers;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timing of when we recognize revenue;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future accounting pronouncements, changes in accounting rules and regulations, or modifications to our accounting policies;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outcome of any future litigation or governmental investigations involving us, our industry or both;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higher than anticipated service, replacement and warranty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impact of health epidemics on the economy, investment in life sciences and research industries, our business operations, and resources and operations of our customers, suppliers, and distributors;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global supply chain interruptions; and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size of the markets for the Proteograph Product Suite may be smaller or different from estimated, and new market opportunities may not develop as quickly as we expect, or at all, limiting our ability to successfully sell our products.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in the early stages of commercialization, and we may not be able to commercialize the Proteograph Product Suite as planned.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only recently initiated the broad commercialization of the Proteograph Product Suite, and we may not be able to successfully execute on this phase as planned due to: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inability to establish the capabilities and value proposition of the Proteograph Product Suite with key opinion leaders and other customers in a timely fashion;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changing industry or market conditions, customer requirements or competitor offerings during broad commercialization;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delays in continuing the build-out of our sales, customer support and marketing organization as needed for broad commercialization;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delays in ramping up manufacturing, either internally or through our suppliers, to meet the expected demand for broad commercialization;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broad commercial release phase is unsuccessful, our financial results will be adversely impacted.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in achieving commercial market acceptance, include: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ability to market and increase awareness of the capabilities of the Proteograph Product Suite;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ability of the Proteograph Product Suite to perform intended use applications broadly in the hands of customers;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customers’ willingness to adopt new products and workflows;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Proteograph’s ease of use and whether it reliably provides advantages over other alternative technologies;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rate of adoption of the Proteograph Product Suite by academic institutions, laboratories, biopharmaceutical companies and others;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prices we charge for the Proteograph Product Suite;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ability to develop new products, services and solutions that achieve commercial market acceptance;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if competitors develop and commercialize products that perform similar functions as the Proteograph; and</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impact of our investments in product innovation and commercial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sales force is less successful than anticipated, we may not be successful in commercializing the Proteograph Product Suite.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To perform sales, marketing, distribution, and customer service and support successfully, we will face a number of risks,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attract, retain and manage the sales, marketing and customer service and support force necessary to commercialize and gain market acceptance for our technology;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time and cost of establishing a specialized sales, marketing and customer service and support force;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sales, marketing and customer service and support force may be unable to initiate and execute successful commercialization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Even if the Proteograph Product Suite is successfully commercialized and achieves broad scientific and market acceptance, if we fail to improve it or introduce compelling new products and services, our revenues and our prospects could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Health epidemics such as the COVID-19 pandemic could continue to adversely impact our business and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the COVID-19 pandemic or any other health epidemic. These considerations are impacted by factors beyond our control, such as: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reductions in capacity or shutdowns of laboratories and other institutions as well as reduced or delayed spending on instruments and consumables as a result of shutdowns and delays;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decreases in government funding of research and development;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 </w:t>
      </w:r>
    </w:p>
    <w:p>
      <w:pPr>
        <w:pStyle w:val="TextBody"/>
        <w:bidi w:val="0"/>
        <w:spacing w:lineRule="auto" w:line="288" w:before="0" w:after="180"/>
        <w:jc w:val="left"/>
        <w:rPr/>
      </w:pPr>
      <w:r>
        <w:rPr>
          <w:rFonts w:ascii="Times New Roman;sans-serif" w:hAnsi="Times New Roman;sans-serif"/>
          <w:b w:val="false"/>
          <w:color w:val="000000"/>
          <w:sz w:val="20"/>
        </w:rPr>
        <w:t>The future impact of the COVID-19 pandemic and any other health epidemic is highly uncertain and subject to sudden change. This impact could have a material, adverse impact on our liquidity, capital resources, operations and business and those of the third parties on which we rely, such as the manufacturer of our SP100 automation instrument, Hamilton Company, and could worsen over time.</w:t>
      </w:r>
      <w:r>
        <w:rPr>
          <w:color w:val="000000"/>
          <w:shd w:fill="FFFFFF" w:val="clear"/>
        </w:rPr>
        <w:t xml:space="preserve"> </w:t>
      </w:r>
      <w:r>
        <w:rPr>
          <w:rFonts w:ascii="Times New Roman;sans-serif" w:hAnsi="Times New Roman;sans-serif"/>
          <w:b w:val="false"/>
          <w:color w:val="000000"/>
          <w:sz w:val="20"/>
          <w:shd w:fill="FFFFFF" w:val="clear"/>
        </w:rPr>
        <w:t>On May 11, 2023, the Biden administration ended the COVID-19 national and public health emergencies. Th</w:t>
      </w:r>
      <w:r>
        <w:rPr>
          <w:rFonts w:ascii="Times New Roman;sans-serif" w:hAnsi="Times New Roman;sans-serif"/>
          <w:b w:val="false"/>
          <w:color w:val="000000"/>
          <w:sz w:val="20"/>
        </w:rPr>
        <w:t>e full impact of the termination of the public health emergencies on FDA and other regulatory policies and operations is unclear. Any of these occurrences, and any new epidemics, could significantly harm our business, results of operations and financial condition.</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ability to raise capital and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has recently been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sustain or successfully manage our growth or financial resources, our business and prospects will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our key personnel and other highly qualified personnel, and if we are unable to recruit, train and retain our personnel, we may not achieve our goals.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upon our ability to recruit, train, retain and motivate key personnel. Our senior management team, including Omid Farokhzad, one of our founders and our Chief Executive Officer and President, and David Horn, our Chief Financial Officer, are critical to our vision, strategic direction, product development and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Omead Ostadan, our former President and one of our key personnel, took a leave of absence on November 20, 2021, for personal reasons lasting approximately three months. Mr. Ostadan returned on a part-time basis as the Company’s President on February 28, 2022. On August 25, 2022, Mr. Ostadan resigned from his position as President of the company and the company’s Board of Directors for personal reasons each effective September 30, 2022. Following Mr. Ostadan’s departure, Mr. Farokhzad is now the CEO and President.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announced a reduction in force impacting approximately 12% of our full-time employees.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expect to be dependent upon revenue generated from the sale of the Proteograph Product Suite for the foreseeable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generate substantially all of our revenue from the sale of the Proteograph Product Suite and associated consumables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sales have been concentrated in a small number of customers.</w:t>
      </w:r>
    </w:p>
    <w:p>
      <w:pPr>
        <w:pStyle w:val="TextBody"/>
        <w:bidi w:val="0"/>
        <w:spacing w:lineRule="auto" w:line="288" w:before="0" w:after="180"/>
        <w:jc w:val="left"/>
        <w:rPr/>
      </w:pPr>
      <w:r>
        <w:rPr>
          <w:rFonts w:ascii="Times New Roman;sans-serif" w:hAnsi="Times New Roman;sans-serif"/>
          <w:b w:val="false"/>
          <w:color w:val="000000"/>
          <w:sz w:val="20"/>
        </w:rPr>
        <w:t xml:space="preserve">We are in the early stages of our commercialization plan and our revenues have been concentrated in a relatively small number of customers, including a related party, PrognomiQ. For the six months ended June 30, 2023, and 2022, PrognomiQ accounted for 33% and 31%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sans-serif" w:hAnsi="Times New Roman;sans-serif"/>
          <w:b w:val="false"/>
          <w:i/>
          <w:color w:val="000000"/>
          <w:sz w:val="20"/>
        </w:rPr>
        <w:t>- Revenue and Deferred Revenue</w:t>
      </w:r>
      <w:r>
        <w:rPr>
          <w:color w:val="000000"/>
        </w:rPr>
        <w:t xml:space="preserve"> </w:t>
      </w:r>
      <w:r>
        <w:rPr>
          <w:rFonts w:ascii="Times New Roman;sans-serif" w:hAnsi="Times New Roman;sans-serif"/>
          <w:b w:val="false"/>
          <w:color w:val="000000"/>
          <w:sz w:val="20"/>
        </w:rPr>
        <w:t>and Note 10 -</w:t>
      </w:r>
      <w:r>
        <w:rPr>
          <w:color w:val="000000"/>
        </w:rPr>
        <w:t xml:space="preserve">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to our notes to financial statements included in Part I, Item 1, herein for further information regarding our relationship with PrognomiQ.</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depends upon the research and development budgets of these customers, which are impacted by factors beyond our control, such as: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decreases in government funding of research and development;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changes in strategy and funding by commercial companies in their efforts around therapeutic and diagnostic product development and their adoption and use of the Proteograph Product Suite;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opinions in the scientific community, including researchers’ opinions of the utility of the Proteograph solution;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citation of the Proteograph Product Suite in published research;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potential changes in the regulatory environment;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differences in budgetary cycles, especially government- or grant-funded customers, whose cycles often coincide with government fiscal year ends;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competitor product or service offerings or pricing;</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market-driven pressures to consolidate operations and reduce costs;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market acceptance of relatively new technologies, such as the Proteograph Product Suite.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 Proteograph Product Suite contains defects, we may experience: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 failure to achieve market acceptance for the Proteograph or expansion of the Proteograph Product Suite sales;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loss of customer orders and delay in order fulfillment;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damage to our brand reputation;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increased warranty and customer service and support costs due to product repair or replacement;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product recalls or replacements;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inability to attract new customers;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diversion of resources from our manufacturing and research and development departments to our service department;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or perform our services, in compliance with applicable healthy and safety, and environmental laws, rules and regulations, our operations, including our sales, could be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Engaging in international business inherently involves a number of difficulties and risks,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export requirements and import or trade restrictions, including, without limitation, trade retaliation laws;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laws and business practices favoring local companies;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potentially adverse tax consequences, tariffs, customs charges, bureaucratic requirements, and other trade barriers;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difficulties and costs of staffing and managing foreign operations;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difficulties protecting, maintaining, enforcing or procuring intellectual property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commercial model includes direct sales in the United States and elsewhere, and we have built and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life sciences technology market is highly competitive. If we fail to compete effectively, our business and results of operation will suffer.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DiaSorin, and Thermo Fisher Scientific. We also compete with a number of companies that have developed, or are developing, proteomic products and solutions, such as Nautilus Biotechnology, Olink Proteomics, Quanterix, Quantum-Si and SomaLogic.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current competitors are large publicly-traded companies, or are divisions of large publicly-traded companies, and may enjoy a number of competitive advantages over us, including: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greater name and brand recognition;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greater financial and human resources;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broader product lines;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larger sales forces and more established distributor networks;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substantial intellectual property portfolios;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better established, larger scale and lower cost manufacturing capabilities.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increasing our sales and marketing and other commercialization efforts to drive market adoption of the Proteograph Product Suite;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funding development and marketing efforts of the Proteograph Product Suite or any other future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expanding our technologies into additional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acquiring, licensing or investing in technologies and other intellectual property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acquiring or investing in complementary businesses or assets;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financing capital expenditures and general and administrative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our rate of progress in, and cost of research and development activities associated with, products in research and development; and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growth of our operations has been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realize the benefits of PrognomiQ as a separate healthcare company in the area of disease testing.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we transferred certain assets to PrognomiQ, as a separate healthcare company to help enable the growth of ecosystems around new applications that leverage the Proteograph solution for unbiased, deep and large-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scale proteomic information. As of June 30, 2023, we held approximately 15% of the outstanding capital stock of PrognomiQ. We may not realize the potential benefits of forming PrognomiQ for a variety of reasons,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 may be unable to successfully develop viable testing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PrognomiQ’s business may not help demonstrate the value of the Proteograph;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an inability to reach agreement with PrognomiQ on future commercial arrangements;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although PrognomiQ accounted for 34% and 33% of our revenue during the three and six months ended June 30, 2023, respectively, it may not continue to be a meaningful customer of ours;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 may need to raise additional funding in the future and be unable to do so;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formation of PrognomiQ and our continuing equity position in PrognomiQ may add complexities to our business from a finance, tax and accounting perspective.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PrognomiQ is a separate entity, and as such, may decide over time to pursue a different business model, decide to do business with our competitors in addition to or instead of with us, be acquired by a competitor or take other actions that may not be beneficial to us.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Financial Reporting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2022,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Regulatory Compliance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Recently,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lineRule="auto" w:line="288" w:before="0" w:after="180"/>
        <w:jc w:val="left"/>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sans-serif" w:hAnsi="Times New Roman;sans-serif"/>
          <w:b w:val="false"/>
          <w:color w:val="000000"/>
          <w:sz w:val="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U.S. law relating to the patentability of certain inventions in the life sciences technology industry is uncertain and rapidly changing, which may adversely impact our existing patents or our ability to obtain patents in the future. </w:t>
      </w:r>
    </w:p>
    <w:p>
      <w:pPr>
        <w:pStyle w:val="TextBody"/>
        <w:bidi w:val="0"/>
        <w:spacing w:lineRule="auto" w:line="288" w:before="0" w:after="180"/>
        <w:jc w:val="left"/>
        <w:rPr/>
      </w:pPr>
      <w:r>
        <w:rPr>
          <w:rFonts w:ascii="Times New Roman;sans-serif" w:hAnsi="Times New Roman;sans-serif"/>
          <w:b w:val="false"/>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patent litigation in Europe.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bidi w:val="0"/>
        <w:spacing w:lineRule="auto" w:line="288" w:before="0" w:after="180"/>
        <w:jc w:val="left"/>
        <w:rPr/>
      </w:pPr>
      <w:r>
        <w:rPr>
          <w:rFonts w:ascii="Times New Roman;sans-serif" w:hAnsi="Times New Roman;sans-serif"/>
          <w:b w:val="false"/>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sans-serif" w:hAnsi="Times New Roman;sans-serif"/>
          <w:b w:val="false"/>
          <w:i/>
          <w:color w:val="000000"/>
          <w:sz w:val="20"/>
        </w:rPr>
        <w:t>ex parte</w:t>
      </w:r>
      <w:r>
        <w:rPr>
          <w:color w:val="000000"/>
        </w:rPr>
        <w:t xml:space="preserve"> </w:t>
      </w:r>
      <w:r>
        <w:rPr>
          <w:rFonts w:ascii="Times New Roman;sans-serif" w:hAnsi="Times New Roman;sans-serif"/>
          <w:b w:val="false"/>
          <w:color w:val="000000"/>
          <w:sz w:val="20"/>
        </w:rPr>
        <w:t xml:space="preserve">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may be distracted. Any of the foregoing events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of our patents and other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licensor have been, and may be, subject to claims that former employees, collaborators or other third parties have an interest in our owned or in-licensed patents, trade secrets or other intellectual property as an inventor or co-inventor. For example, while the inventorship on a patent is generally presumed to be correct, the company received a letter requesting the addition of a third-party as an inventor to certain intellectual property owned or licensed by the company.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products and technologies, including the Proteograph Product Suite for an adequate amount of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identical to ours, which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 pending patent application in Europe owned by a third party directed to a method of identifying biomarkers in biofluids using nanoparticles and, if issued, is projected to expire in 2037, without taking into account any possible patent term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claims, such as in an ex-parte reexamination, inter partes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or our licensor may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also arise between us and our licensor regarding intellectual property subject to a license agreement,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financial or other obligations under the license agreement;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whether, and the extent to which, our products, technology and processes infringe on intellectual property of the licensor that is not subject to the licensing agreement;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others may be able to make products that are similar to products and technologies we may develop or utilize similar technology that are not covered by the claims of the patents that we own or license now or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or our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or our licensor(s), might not have been the first to file patent applications covering certain of our or their inventions;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it is possible that our pending patent applications, and our licensed pending patent applications, or those that we may own or license in the future, will not lead to issued patents;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issued patents that we hold rights to may be held invalid or unenforceable, including as a result of legal challenges by our competitors;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and our licensor(s), may not develop additional proprietary technologies that are patentable;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patents of others may harm our business;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may choose not to file a patent for certain trade secrets or know-how, and a third party may subsequently file a patent covering such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Class A common stock may not be sustained.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may cause the market price of our Class A common stock to fluctuate include, but are not limited to:</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degree to which our launch and commercialization of our products meets the expectations of securities analysts and investors;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actual or anticipated fluctuations in our operating results, including fluctuations in our quarterly and annual results;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revenue being less than anticipated or operating expenses being more than anticipated;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failure or discontinuation of any of our product development and research programs;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success of existing or new competitive businesses or technologies;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announcements about new research programs or products of our competitors;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litigation and governmental investigations involving us, our industry or both;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investor perceptions of us or our industry;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level of expenses related to any of our research and development programs or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whether our financial results meet the expectations of securities analysts or investors;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short-selling strategies that may drive down the price of our Class A common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announcement or expectation of additional financing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sales of our Class A common stock by us or sales of our Class A common stock or Class B common stock by our insiders or other stockholders, or future stock issuances;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perceived solvency of financial institutions with which we have financial deposits or investments in excess of insurance limits;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general economic, industry and market conditions;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health epidemics such as the COVID-19 pandemic, natural disasters or major catastrophic events.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multi-class structure of our common stock will have the effect of concentrating voting control with certain stockholders and it may depress the trading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which is our publicly-traded class of stock, has one vote per share, and our Class B common stock has ten votes per share, except as otherwise required by law. Our Class B common stock is held by our founders and early investors. As of August 4, 2023, the holders of our Class B common stock hold in the aggregate 40% of the voting power of our capital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industry analysts, including securities analysts do not publish research or reports about our business or if they publish negative evaluations of our Class A common stock, the price of our Class A common stock could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Class A common stock relies in part on the research and reports that industry or securities analysts publish about us or our business. If no or few analysts commence or continue coverage of us, the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shares of our Class A common stock by our existing stockholders could cause the price of our Class A common stock to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not paid dividends in the past and do not expect to pay dividends in the future, and, as a result, any return on investment may be limited to the value of our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any stockholder-proposed amendment to our amended and restated bylaws require the approval of stockholders holding two-thirds of the voting power of our then outstanding capital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stockholders may only be able to take action at a meeting of stockholders and may not be able to take action by written consent for any matter;</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stockholders are able to act by written consent only if the action is first recommended or approved by the board of directors;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vacancies on our board of directors may be filled only by our board of directors and not by stockholders;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only the chair of the board of directors, chief executive officer or a majority of the board of directors are authorized to call a special meeting of stockholders;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certain litigation against us can only be brought in Delaware;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U.S. federal and state net operating loss carryforwards (NOLs) of $119.4 million and $122.5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continue to incur significant increased costs and management resources as a result of operating as a public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our facilities or our third-party manufacturers’ facilities become unavailable or inoperable, our research and development program and commercialization plan could be adversely impacted and manufacturing of our instruments and consumables could be interrupted.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or our vendors, partners or customers, experience a significant disruption in our information technology systems or breaches of data security, our business could be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takes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and train our employees and applicable consultants on our policies related to the collection, processing, and storage of information, including personal data of employees and scientific data of customers. From time to time, we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4"/>
        <w:gridCol w:w="275"/>
        <w:gridCol w:w="109"/>
        <w:gridCol w:w="109"/>
        <w:gridCol w:w="109"/>
        <w:gridCol w:w="1898"/>
        <w:gridCol w:w="1778"/>
        <w:gridCol w:w="1795"/>
        <w:gridCol w:w="170"/>
        <w:gridCol w:w="170"/>
        <w:gridCol w:w="171"/>
        <w:gridCol w:w="109"/>
        <w:gridCol w:w="109"/>
        <w:gridCol w:w="109"/>
        <w:gridCol w:w="253"/>
        <w:gridCol w:w="253"/>
        <w:gridCol w:w="224"/>
        <w:gridCol w:w="109"/>
        <w:gridCol w:w="109"/>
        <w:gridCol w:w="109"/>
        <w:gridCol w:w="210"/>
        <w:gridCol w:w="210"/>
        <w:gridCol w:w="211"/>
        <w:gridCol w:w="109"/>
        <w:gridCol w:w="109"/>
        <w:gridCol w:w="109"/>
        <w:gridCol w:w="201"/>
        <w:gridCol w:w="201"/>
        <w:gridCol w:w="293"/>
      </w:tblGrid>
      <w:tr>
        <w:trPr/>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pPr>
            <w:hyperlink r:id="rId2">
              <w:r>
                <w:rPr>
                  <w:rStyle w:val="InternetLink"/>
                  <w:rFonts w:ascii="Times New Roman;sans-serif" w:hAnsi="Times New Roman;sans-serif"/>
                  <w:b w:val="false"/>
                  <w:color w:val="0000FF"/>
                  <w:sz w:val="19"/>
                  <w:u w:val="single"/>
                </w:rPr>
                <w:t>Amended and Restated Certificate of Incorporation of the Registrant</w:t>
              </w:r>
            </w:hyperlink>
            <w:r>
              <w:rPr>
                <w:rFonts w:ascii="Times New Roman;sans-serif" w:hAnsi="Times New Roman;sans-serif"/>
                <w:b w:val="false"/>
                <w:color w:val="000000"/>
                <w:sz w:val="19"/>
              </w:rPr>
              <w:t>.</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001-39747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12/8/2020</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r:id="rId3">
              <w:r>
                <w:rPr>
                  <w:rStyle w:val="InternetLink"/>
                  <w:rFonts w:ascii="Times New Roman;sans-serif" w:hAnsi="Times New Roman;sans-serif"/>
                  <w:b w:val="false"/>
                  <w:color w:val="0000FF"/>
                  <w:sz w:val="19"/>
                  <w:u w:val="single"/>
                </w:rPr>
                <w:t>Amended and Restated Bylaws of the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001-39747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12/8/2020</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r:id="rId4">
              <w:r>
                <w:rPr>
                  <w:rStyle w:val="InternetLink"/>
                  <w:rFonts w:ascii="Times New Roman;sans-serif" w:hAnsi="Times New Roman;sans-serif"/>
                  <w:b w:val="false"/>
                  <w:color w:val="0000FF"/>
                  <w:sz w:val="19"/>
                  <w:u w:val="single"/>
                </w:rPr>
                <w:t>Amendment to the Amended and Restatement Certificate of Incorporation of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001-39747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6/16/2023</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r:id="rId5">
              <w:r>
                <w:rPr>
                  <w:rStyle w:val="InternetLink"/>
                  <w:rFonts w:ascii="Times New Roman;sans-serif" w:hAnsi="Times New Roman;sans-serif"/>
                  <w:b w:val="false"/>
                  <w:color w:val="0000FF"/>
                  <w:sz w:val="19"/>
                  <w:u w:val="single"/>
                </w:rPr>
                <w:t>Amended and Restated Bylaws of the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001-39747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6/16/2023</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11ceo-certificationpursu.htm">
              <w:r>
                <w:rPr>
                  <w:rStyle w:val="InternetLink"/>
                  <w:rFonts w:ascii="Times New Roman;sans-serif" w:hAnsi="Times New Roman;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12cfo-certificationpursu.htm">
              <w:r>
                <w:rPr>
                  <w:rStyle w:val="InternetLink"/>
                  <w:rFonts w:ascii="Times New Roman;sans-serif" w:hAnsi="Times New Roman;sans-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21ceo-certificationpursu.htm">
              <w:r>
                <w:rPr>
                  <w:rStyle w:val="InternetLink"/>
                  <w:rFonts w:ascii="Times New Roman;sans-serif" w:hAnsi="Times New Roman;sans-serif"/>
                  <w:b w:val="false"/>
                  <w:color w:val="0000FF"/>
                  <w:sz w:val="19"/>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22cfo-certificationpursu.htm">
              <w:r>
                <w:rPr>
                  <w:rStyle w:val="InternetLink"/>
                  <w:rFonts w:ascii="Times New Roman;sans-serif" w:hAnsi="Times New Roman;sans-serif"/>
                  <w:b w:val="false"/>
                  <w:color w:val="0000FF"/>
                  <w:sz w:val="19"/>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Instance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0"/>
        <w:ind w:left="0" w:right="0" w:hanging="360"/>
        <w:jc w:val="left"/>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180"/>
        <w:jc w:val="left"/>
        <w:rPr/>
      </w:pPr>
      <w:r>
        <w:rPr/>
      </w:r>
    </w:p>
    <w:tbl>
      <w:tblPr>
        <w:tblW w:w="595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77"/>
        <w:gridCol w:w="177"/>
        <w:gridCol w:w="177"/>
        <w:gridCol w:w="951"/>
        <w:gridCol w:w="951"/>
        <w:gridCol w:w="13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SEER,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Omid Farokhzad, M.D.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w:t>
              <w:br/>
              <w:t>Chair of the Board of Directors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180"/>
        <w:jc w:val="left"/>
        <w:rPr/>
      </w:pPr>
      <w:r>
        <w:rPr/>
      </w:r>
    </w:p>
    <w:tbl>
      <w:tblPr>
        <w:tblW w:w="706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306"/>
        <w:gridCol w:w="1306"/>
        <w:gridCol w:w="187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 Horn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 Horn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Omid Farokhzad,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Horn,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32.1</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June 30, 2023 as filed with the Securities and Exchange Commission on the date hereof (the “Report”), I, Omid Farokhzad,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June 30, 2023 as filed with the Securities and Exchange Commission on the date hereof (the “Report”), I, David Horn,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162828020017214/exhibit31-closing8xk.htm" TargetMode="External"/><Relationship Id="rId3" Type="http://schemas.openxmlformats.org/officeDocument/2006/relationships/hyperlink" Target="https://www.sec.gov/Archives/edgar/data/1726445/000162828020017214/exhibit32-closing8xk.htm" TargetMode="External"/><Relationship Id="rId4" Type="http://schemas.openxmlformats.org/officeDocument/2006/relationships/hyperlink" Target="https://www.sec.gov/Archives/edgar/data/1726445/000162828023022349/a31amendmenttotheamendedan.htm" TargetMode="External"/><Relationship Id="rId5" Type="http://schemas.openxmlformats.org/officeDocument/2006/relationships/hyperlink" Target="https://www.sec.gov/Archives/edgar/data/1726445/000162828023022349/a32amendedandrestatedbylaw.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45536</Words>
  <Characters>254980</Characters>
  <CharactersWithSpaces>299112</CharactersWithSpaces>
  <Paragraphs>2585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