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596265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563880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186"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165" w:lineRule="exact"/>
        <w:rPr>
          <w:sz w:val="24"/>
          <w:szCs w:val="24"/>
          <w:color w:val="auto"/>
        </w:rPr>
      </w:pPr>
    </w:p>
    <w:p>
      <w:pPr>
        <w:spacing w:after="0"/>
        <w:rPr>
          <w:sz w:val="20"/>
          <w:szCs w:val="20"/>
          <w:color w:val="auto"/>
        </w:rPr>
      </w:pPr>
      <w:r>
        <w:rPr>
          <w:rFonts w:ascii="Arial" w:cs="Arial" w:eastAsia="Arial" w:hAnsi="Arial"/>
          <w:sz w:val="17"/>
          <w:szCs w:val="17"/>
          <w:color w:val="auto"/>
        </w:rPr>
        <w:t>[X] QUARTERLY REPORT PURSUANT TO SECTION 13 OR 15(d) OF THE SECURITIES EXCHANGE ACT OF 1934</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For the quarterly period ended March 31, 2022</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w:t>
      </w:r>
    </w:p>
    <w:p>
      <w:pPr>
        <w:spacing w:after="0" w:line="146" w:lineRule="exact"/>
        <w:rPr>
          <w:sz w:val="24"/>
          <w:szCs w:val="24"/>
          <w:color w:val="auto"/>
        </w:rPr>
      </w:pPr>
    </w:p>
    <w:p>
      <w:pPr>
        <w:spacing w:after="0"/>
        <w:rPr>
          <w:sz w:val="20"/>
          <w:szCs w:val="20"/>
          <w:color w:val="auto"/>
        </w:rPr>
      </w:pPr>
      <w:r>
        <w:rPr>
          <w:rFonts w:ascii="Arial" w:cs="Arial" w:eastAsia="Arial" w:hAnsi="Arial"/>
          <w:sz w:val="17"/>
          <w:szCs w:val="17"/>
          <w:color w:val="auto"/>
        </w:rPr>
        <w:t>[ ] TRANSITION REPORT PURSUANT TO SECTION 13 OR 15(d) OF THE SECURITIES EXCHANGE ACT OF 1934</w:t>
      </w:r>
    </w:p>
    <w:p>
      <w:pPr>
        <w:spacing w:after="0" w:line="170" w:lineRule="exact"/>
        <w:rPr>
          <w:sz w:val="24"/>
          <w:szCs w:val="24"/>
          <w:color w:val="auto"/>
        </w:rPr>
      </w:pPr>
    </w:p>
    <w:p>
      <w:pPr>
        <w:ind w:left="3420"/>
        <w:spacing w:after="0"/>
        <w:rPr>
          <w:sz w:val="20"/>
          <w:szCs w:val="20"/>
          <w:color w:val="auto"/>
        </w:rPr>
      </w:pPr>
      <w:r>
        <w:rPr>
          <w:rFonts w:ascii="Arial" w:cs="Arial" w:eastAsia="Arial" w:hAnsi="Arial"/>
          <w:sz w:val="15"/>
          <w:szCs w:val="15"/>
          <w:color w:val="auto"/>
        </w:rPr>
        <w:t>For the transition period from _______________ to _______________</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Commission file number 001-39747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2613660</wp:posOffset>
            </wp:positionH>
            <wp:positionV relativeFrom="paragraph">
              <wp:posOffset>149860</wp:posOffset>
            </wp:positionV>
            <wp:extent cx="1924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405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SEER,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2613660</wp:posOffset>
            </wp:positionH>
            <wp:positionV relativeFrom="paragraph">
              <wp:posOffset>48895</wp:posOffset>
            </wp:positionV>
            <wp:extent cx="1924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4050" cy="8255"/>
                    </a:xfrm>
                    <a:prstGeom prst="rect">
                      <a:avLst/>
                    </a:prstGeom>
                    <a:noFill/>
                  </pic:spPr>
                </pic:pic>
              </a:graphicData>
            </a:graphic>
          </wp:anchor>
        </w:drawing>
      </w:r>
    </w:p>
    <w:p>
      <w:pPr>
        <w:spacing w:after="0" w:line="332"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4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Delaware</w:t>
            </w:r>
          </w:p>
        </w:tc>
        <w:tc>
          <w:tcPr>
            <w:tcW w:w="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tcPr>
          <w:p>
            <w:pPr>
              <w:jc w:val="right"/>
              <w:ind w:right="1467"/>
              <w:spacing w:after="0"/>
              <w:rPr>
                <w:sz w:val="20"/>
                <w:szCs w:val="20"/>
                <w:color w:val="auto"/>
              </w:rPr>
            </w:pPr>
            <w:r>
              <w:rPr>
                <w:rFonts w:ascii="Arial" w:cs="Arial" w:eastAsia="Arial" w:hAnsi="Arial"/>
                <w:sz w:val="14"/>
                <w:szCs w:val="14"/>
                <w:b w:val="1"/>
                <w:bCs w:val="1"/>
                <w:color w:val="auto"/>
              </w:rPr>
              <w:t>82-1153150</w:t>
            </w:r>
          </w:p>
        </w:tc>
      </w:tr>
      <w:tr>
        <w:trPr>
          <w:trHeight w:val="193"/>
        </w:trPr>
        <w:tc>
          <w:tcPr>
            <w:tcW w:w="4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(State or other jurisdiction of incorporation or organization)</w:t>
            </w:r>
          </w:p>
        </w:tc>
        <w:tc>
          <w:tcPr>
            <w:tcW w:w="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tcPr>
          <w:p>
            <w:pPr>
              <w:jc w:val="center"/>
              <w:ind w:left="167"/>
              <w:spacing w:after="0"/>
              <w:rPr>
                <w:sz w:val="20"/>
                <w:szCs w:val="20"/>
                <w:color w:val="auto"/>
              </w:rPr>
            </w:pPr>
            <w:r>
              <w:rPr>
                <w:rFonts w:ascii="Arial" w:cs="Arial" w:eastAsia="Arial" w:hAnsi="Arial"/>
                <w:sz w:val="14"/>
                <w:szCs w:val="14"/>
                <w:b w:val="1"/>
                <w:bCs w:val="1"/>
                <w:color w:val="auto"/>
                <w:w w:val="91"/>
              </w:rPr>
              <w:t>(I.R.S. Employer Identification Number)</w:t>
            </w:r>
          </w:p>
        </w:tc>
      </w:tr>
      <w:tr>
        <w:trPr>
          <w:trHeight w:val="389"/>
        </w:trPr>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3800 Bridge Parkway, Suite 102</w:t>
            </w:r>
          </w:p>
        </w:tc>
        <w:tc>
          <w:tcPr>
            <w:tcW w:w="3980" w:type="dxa"/>
            <w:vAlign w:val="bottom"/>
          </w:tcPr>
          <w:p>
            <w:pPr>
              <w:spacing w:after="0"/>
              <w:rPr>
                <w:sz w:val="24"/>
                <w:szCs w:val="24"/>
                <w:color w:val="auto"/>
              </w:rPr>
            </w:pPr>
          </w:p>
        </w:tc>
      </w:tr>
      <w:tr>
        <w:trPr>
          <w:trHeight w:val="155"/>
        </w:trPr>
        <w:tc>
          <w:tcPr>
            <w:tcW w:w="3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4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0"/>
              </w:rPr>
              <w:t>Redwood City, California 94065</w:t>
            </w:r>
          </w:p>
        </w:tc>
        <w:tc>
          <w:tcPr>
            <w:tcW w:w="3980" w:type="dxa"/>
            <w:vAlign w:val="bottom"/>
          </w:tcPr>
          <w:p>
            <w:pPr>
              <w:spacing w:after="0"/>
              <w:rPr>
                <w:sz w:val="13"/>
                <w:szCs w:val="13"/>
                <w:color w:val="auto"/>
              </w:rPr>
            </w:pPr>
          </w:p>
        </w:tc>
      </w:tr>
      <w:tr>
        <w:trPr>
          <w:trHeight w:val="155"/>
        </w:trPr>
        <w:tc>
          <w:tcPr>
            <w:tcW w:w="3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89"/>
              </w:rPr>
              <w:t>650-453-0000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80" w:type="dxa"/>
            <w:vAlign w:val="bottom"/>
          </w:tcPr>
          <w:p>
            <w:pPr>
              <w:spacing w:after="0"/>
              <w:rPr>
                <w:sz w:val="13"/>
                <w:szCs w:val="13"/>
                <w:color w:val="auto"/>
              </w:rPr>
            </w:pPr>
          </w:p>
        </w:tc>
      </w:tr>
      <w:tr>
        <w:trPr>
          <w:trHeight w:val="178"/>
        </w:trPr>
        <w:tc>
          <w:tcPr>
            <w:tcW w:w="11240" w:type="dxa"/>
            <w:vAlign w:val="bottom"/>
            <w:gridSpan w:val="7"/>
          </w:tcPr>
          <w:p>
            <w:pPr>
              <w:jc w:val="center"/>
              <w:spacing w:after="0"/>
              <w:rPr>
                <w:sz w:val="20"/>
                <w:szCs w:val="20"/>
                <w:color w:val="auto"/>
              </w:rPr>
            </w:pPr>
            <w:r>
              <w:rPr>
                <w:rFonts w:ascii="Arial" w:cs="Arial" w:eastAsia="Arial" w:hAnsi="Arial"/>
                <w:sz w:val="14"/>
                <w:szCs w:val="14"/>
                <w:b w:val="1"/>
                <w:bCs w:val="1"/>
                <w:color w:val="auto"/>
                <w:w w:val="87"/>
              </w:rPr>
              <w:t>(Address, including zip code and telephone number, including area code, of Registrant’s principal executive offices)</w:t>
            </w:r>
          </w:p>
        </w:tc>
      </w:tr>
      <w:tr>
        <w:trPr>
          <w:trHeight w:val="76"/>
        </w:trPr>
        <w:tc>
          <w:tcPr>
            <w:tcW w:w="39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980" w:type="dxa"/>
            <w:vAlign w:val="bottom"/>
          </w:tcPr>
          <w:p>
            <w:pPr>
              <w:spacing w:after="0"/>
              <w:rPr>
                <w:sz w:val="6"/>
                <w:szCs w:val="6"/>
                <w:color w:val="auto"/>
              </w:rPr>
            </w:pPr>
          </w:p>
        </w:tc>
      </w:tr>
      <w:tr>
        <w:trPr>
          <w:trHeight w:val="626"/>
        </w:trPr>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0" w:type="dxa"/>
            <w:vAlign w:val="bottom"/>
            <w:gridSpan w:val="4"/>
          </w:tcPr>
          <w:p>
            <w:pPr>
              <w:jc w:val="center"/>
              <w:ind w:right="60"/>
              <w:spacing w:after="0"/>
              <w:rPr>
                <w:sz w:val="20"/>
                <w:szCs w:val="20"/>
                <w:color w:val="auto"/>
              </w:rPr>
            </w:pPr>
            <w:r>
              <w:rPr>
                <w:rFonts w:ascii="Arial" w:cs="Arial" w:eastAsia="Arial" w:hAnsi="Arial"/>
                <w:sz w:val="14"/>
                <w:szCs w:val="14"/>
                <w:color w:val="auto"/>
                <w:w w:val="88"/>
              </w:rPr>
              <w:t>Securities registered pursuant to section 12(b) of the Act:</w:t>
            </w:r>
          </w:p>
        </w:tc>
        <w:tc>
          <w:tcPr>
            <w:tcW w:w="3980" w:type="dxa"/>
            <w:vAlign w:val="bottom"/>
          </w:tcPr>
          <w:p>
            <w:pPr>
              <w:spacing w:after="0"/>
              <w:rPr>
                <w:sz w:val="24"/>
                <w:szCs w:val="24"/>
                <w:color w:val="auto"/>
              </w:rPr>
            </w:pPr>
          </w:p>
        </w:tc>
      </w:tr>
      <w:tr>
        <w:trPr>
          <w:trHeight w:val="76"/>
        </w:trPr>
        <w:tc>
          <w:tcPr>
            <w:tcW w:w="39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980" w:type="dxa"/>
            <w:vAlign w:val="bottom"/>
          </w:tcPr>
          <w:p>
            <w:pPr>
              <w:spacing w:after="0"/>
              <w:rPr>
                <w:sz w:val="6"/>
                <w:szCs w:val="6"/>
                <w:color w:val="auto"/>
              </w:rPr>
            </w:pPr>
          </w:p>
        </w:tc>
      </w:tr>
      <w:tr>
        <w:trPr>
          <w:trHeight w:val="426"/>
        </w:trPr>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gridSpan w:val="3"/>
          </w:tcPr>
          <w:p>
            <w:pPr>
              <w:jc w:val="center"/>
              <w:ind w:right="140"/>
              <w:spacing w:after="0"/>
              <w:rPr>
                <w:sz w:val="20"/>
                <w:szCs w:val="20"/>
                <w:color w:val="auto"/>
              </w:rPr>
            </w:pPr>
            <w:r>
              <w:rPr>
                <w:rFonts w:ascii="Arial" w:cs="Arial" w:eastAsia="Arial" w:hAnsi="Arial"/>
                <w:sz w:val="15"/>
                <w:szCs w:val="15"/>
                <w:i w:val="1"/>
                <w:iCs w:val="1"/>
                <w:color w:val="auto"/>
                <w:w w:val="94"/>
              </w:rPr>
              <w:t>Copies to:</w:t>
            </w:r>
          </w:p>
        </w:tc>
        <w:tc>
          <w:tcPr>
            <w:tcW w:w="3980" w:type="dxa"/>
            <w:vAlign w:val="bottom"/>
          </w:tcPr>
          <w:p>
            <w:pPr>
              <w:spacing w:after="0"/>
              <w:rPr>
                <w:sz w:val="24"/>
                <w:szCs w:val="24"/>
                <w:color w:val="auto"/>
              </w:rPr>
            </w:pPr>
          </w:p>
        </w:tc>
      </w:tr>
      <w:tr>
        <w:trPr>
          <w:trHeight w:val="243"/>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Title of each class</w:t>
            </w:r>
          </w:p>
        </w:tc>
        <w:tc>
          <w:tcPr>
            <w:tcW w:w="8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5"/>
                <w:szCs w:val="15"/>
                <w:b w:val="1"/>
                <w:bCs w:val="1"/>
                <w:color w:val="auto"/>
                <w:w w:val="94"/>
              </w:rPr>
              <w:t>Trading Symbol(s)</w:t>
            </w:r>
          </w:p>
        </w:tc>
        <w:tc>
          <w:tcPr>
            <w:tcW w:w="80" w:type="dxa"/>
            <w:vAlign w:val="bottom"/>
          </w:tcPr>
          <w:p>
            <w:pPr>
              <w:spacing w:after="0"/>
              <w:rPr>
                <w:sz w:val="21"/>
                <w:szCs w:val="21"/>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Name of Exchange on which registered</w:t>
            </w:r>
          </w:p>
        </w:tc>
      </w:tr>
      <w:tr>
        <w:trPr>
          <w:trHeight w:val="214"/>
        </w:trPr>
        <w:tc>
          <w:tcPr>
            <w:tcW w:w="4060" w:type="dxa"/>
            <w:vAlign w:val="bottom"/>
            <w:gridSpan w:val="2"/>
          </w:tcPr>
          <w:p>
            <w:pPr>
              <w:jc w:val="center"/>
              <w:ind w:right="80"/>
              <w:spacing w:after="0"/>
              <w:rPr>
                <w:sz w:val="20"/>
                <w:szCs w:val="20"/>
                <w:color w:val="auto"/>
              </w:rPr>
            </w:pPr>
            <w:r>
              <w:rPr>
                <w:rFonts w:ascii="Arial" w:cs="Arial" w:eastAsia="Arial" w:hAnsi="Arial"/>
                <w:sz w:val="15"/>
                <w:szCs w:val="15"/>
                <w:color w:val="auto"/>
                <w:w w:val="92"/>
              </w:rPr>
              <w:t>Common Stock, par value $0.00001</w:t>
            </w:r>
          </w:p>
        </w:tc>
        <w:tc>
          <w:tcPr>
            <w:tcW w:w="60" w:type="dxa"/>
            <w:vAlign w:val="bottom"/>
          </w:tcPr>
          <w:p>
            <w:pPr>
              <w:spacing w:after="0"/>
              <w:rPr>
                <w:sz w:val="18"/>
                <w:szCs w:val="18"/>
                <w:color w:val="auto"/>
              </w:rPr>
            </w:pPr>
          </w:p>
        </w:tc>
        <w:tc>
          <w:tcPr>
            <w:tcW w:w="3140" w:type="dxa"/>
            <w:vAlign w:val="bottom"/>
            <w:gridSpan w:val="3"/>
          </w:tcPr>
          <w:p>
            <w:pPr>
              <w:jc w:val="center"/>
              <w:ind w:right="160"/>
              <w:spacing w:after="0"/>
              <w:rPr>
                <w:sz w:val="20"/>
                <w:szCs w:val="20"/>
                <w:color w:val="auto"/>
              </w:rPr>
            </w:pPr>
            <w:r>
              <w:rPr>
                <w:rFonts w:ascii="Arial" w:cs="Arial" w:eastAsia="Arial" w:hAnsi="Arial"/>
                <w:sz w:val="15"/>
                <w:szCs w:val="15"/>
                <w:color w:val="auto"/>
                <w:w w:val="92"/>
              </w:rPr>
              <w:t>SEER</w:t>
            </w:r>
          </w:p>
        </w:tc>
        <w:tc>
          <w:tcPr>
            <w:tcW w:w="3980" w:type="dxa"/>
            <w:vAlign w:val="bottom"/>
          </w:tcPr>
          <w:p>
            <w:pPr>
              <w:jc w:val="center"/>
              <w:spacing w:after="0"/>
              <w:rPr>
                <w:sz w:val="20"/>
                <w:szCs w:val="20"/>
                <w:color w:val="auto"/>
              </w:rPr>
            </w:pPr>
            <w:r>
              <w:rPr>
                <w:rFonts w:ascii="Arial" w:cs="Arial" w:eastAsia="Arial" w:hAnsi="Arial"/>
                <w:sz w:val="15"/>
                <w:szCs w:val="15"/>
                <w:color w:val="auto"/>
                <w:w w:val="96"/>
              </w:rPr>
              <w:t>NASDAQ Global Select Market</w:t>
            </w:r>
          </w:p>
        </w:tc>
      </w:tr>
    </w:tbl>
    <w:p>
      <w:pPr>
        <w:spacing w:after="0" w:line="200" w:lineRule="exact"/>
        <w:rPr>
          <w:sz w:val="24"/>
          <w:szCs w:val="24"/>
          <w:color w:val="auto"/>
        </w:rPr>
      </w:pPr>
    </w:p>
    <w:p>
      <w:pPr>
        <w:spacing w:after="0" w:line="210" w:lineRule="exact"/>
        <w:rPr>
          <w:sz w:val="24"/>
          <w:szCs w:val="24"/>
          <w:color w:val="auto"/>
        </w:rPr>
      </w:pPr>
    </w:p>
    <w:p>
      <w:pPr>
        <w:ind w:right="320"/>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right="20"/>
        <w:spacing w:after="0" w:line="19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480" w:type="dxa"/>
        <w:tblCellMar>
          <w:top w:w="0" w:type="dxa"/>
          <w:left w:w="0" w:type="dxa"/>
          <w:bottom w:w="0" w:type="dxa"/>
          <w:right w:w="0" w:type="dxa"/>
        </w:tblCellMar>
      </w:tblPr>
      <w:tr>
        <w:trPr>
          <w:trHeight w:val="232"/>
        </w:trPr>
        <w:tc>
          <w:tcPr>
            <w:tcW w:w="17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0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4480" w:type="dxa"/>
            <w:vAlign w:val="bottom"/>
          </w:tcPr>
          <w:p>
            <w:pPr>
              <w:ind w:left="2600"/>
              <w:spacing w:after="0"/>
              <w:rPr>
                <w:sz w:val="20"/>
                <w:szCs w:val="20"/>
                <w:color w:val="auto"/>
              </w:rPr>
            </w:pPr>
            <w:r>
              <w:rPr>
                <w:rFonts w:ascii="Arial" w:cs="Arial" w:eastAsia="Arial" w:hAnsi="Arial"/>
                <w:sz w:val="15"/>
                <w:szCs w:val="15"/>
                <w:color w:val="auto"/>
              </w:rPr>
              <w:t>Accelerated filer</w:t>
            </w:r>
          </w:p>
        </w:tc>
        <w:tc>
          <w:tcPr>
            <w:tcW w:w="320" w:type="dxa"/>
            <w:vAlign w:val="bottom"/>
          </w:tcPr>
          <w:p>
            <w:pPr>
              <w:ind w:left="1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2"/>
        </w:trPr>
        <w:tc>
          <w:tcPr>
            <w:tcW w:w="17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480" w:type="dxa"/>
            <w:vAlign w:val="bottom"/>
          </w:tcPr>
          <w:p>
            <w:pPr>
              <w:ind w:left="2600"/>
              <w:spacing w:after="0"/>
              <w:rPr>
                <w:sz w:val="20"/>
                <w:szCs w:val="20"/>
                <w:color w:val="auto"/>
              </w:rPr>
            </w:pPr>
            <w:r>
              <w:rPr>
                <w:rFonts w:ascii="Arial" w:cs="Arial" w:eastAsia="Arial" w:hAnsi="Arial"/>
                <w:sz w:val="15"/>
                <w:szCs w:val="15"/>
                <w:color w:val="auto"/>
              </w:rPr>
              <w:t>Smaller reporting company</w:t>
            </w:r>
          </w:p>
        </w:tc>
        <w:tc>
          <w:tcPr>
            <w:tcW w:w="320" w:type="dxa"/>
            <w:vAlign w:val="bottom"/>
          </w:tcPr>
          <w:p>
            <w:pPr>
              <w:ind w:left="1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4"/>
        </w:trPr>
        <w:tc>
          <w:tcPr>
            <w:tcW w:w="1720" w:type="dxa"/>
            <w:vAlign w:val="bottom"/>
          </w:tcPr>
          <w:p>
            <w:pPr>
              <w:spacing w:after="0"/>
              <w:rPr>
                <w:sz w:val="20"/>
                <w:szCs w:val="20"/>
                <w:color w:val="auto"/>
              </w:rPr>
            </w:pPr>
            <w:r>
              <w:rPr>
                <w:rFonts w:ascii="Arial" w:cs="Arial" w:eastAsia="Arial" w:hAnsi="Arial"/>
                <w:sz w:val="15"/>
                <w:szCs w:val="15"/>
                <w:color w:val="auto"/>
              </w:rPr>
              <w:t>Non-accelerated filer</w:t>
            </w:r>
          </w:p>
        </w:tc>
        <w:tc>
          <w:tcPr>
            <w:tcW w:w="30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4480" w:type="dxa"/>
            <w:vAlign w:val="bottom"/>
          </w:tcPr>
          <w:p>
            <w:pPr>
              <w:ind w:left="2600"/>
              <w:spacing w:after="0"/>
              <w:rPr>
                <w:sz w:val="20"/>
                <w:szCs w:val="20"/>
                <w:color w:val="auto"/>
              </w:rPr>
            </w:pPr>
            <w:r>
              <w:rPr>
                <w:rFonts w:ascii="Arial" w:cs="Arial" w:eastAsia="Arial" w:hAnsi="Arial"/>
                <w:sz w:val="15"/>
                <w:szCs w:val="15"/>
                <w:color w:val="auto"/>
              </w:rPr>
              <w:t>Emerging growth company</w:t>
            </w:r>
          </w:p>
        </w:tc>
        <w:tc>
          <w:tcPr>
            <w:tcW w:w="320" w:type="dxa"/>
            <w:vAlign w:val="bottom"/>
          </w:tcPr>
          <w:p>
            <w:pPr>
              <w:ind w:left="18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237" w:lineRule="exact"/>
        <w:rPr>
          <w:sz w:val="24"/>
          <w:szCs w:val="24"/>
          <w:color w:val="auto"/>
        </w:rPr>
      </w:pPr>
    </w:p>
    <w:p>
      <w:pPr>
        <w:ind w:right="480"/>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9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2" w:lineRule="exact"/>
        <w:rPr>
          <w:sz w:val="24"/>
          <w:szCs w:val="24"/>
          <w:color w:val="auto"/>
        </w:rPr>
      </w:pPr>
    </w:p>
    <w:p>
      <w:pPr>
        <w:ind w:right="220"/>
        <w:spacing w:after="0" w:line="283" w:lineRule="auto"/>
        <w:rPr>
          <w:sz w:val="20"/>
          <w:szCs w:val="20"/>
          <w:color w:val="auto"/>
        </w:rPr>
      </w:pPr>
      <w:r>
        <w:rPr>
          <w:rFonts w:ascii="Arial" w:cs="Arial" w:eastAsia="Arial" w:hAnsi="Arial"/>
          <w:sz w:val="15"/>
          <w:szCs w:val="15"/>
          <w:color w:val="auto"/>
        </w:rPr>
        <w:t>As of April 30, 2022, the registrant had 58,396,964 shares of Class A common stock, $0.00001 par value per share, and 4,044,969 shares of Class B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274320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 w:name="page2"/>
    <w:bookmarkEnd w:id="1"/>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60" w:type="dxa"/>
            <w:vAlign w:val="bottom"/>
            <w:gridSpan w:val="2"/>
          </w:tcPr>
          <w:p>
            <w:pPr>
              <w:spacing w:after="0"/>
              <w:rPr>
                <w:rFonts w:ascii="Arial" w:cs="Arial" w:eastAsia="Arial" w:hAnsi="Arial"/>
                <w:sz w:val="17"/>
                <w:szCs w:val="17"/>
                <w:color w:val="0000FF"/>
                <w:w w:val="90"/>
              </w:rPr>
            </w:pPr>
            <w:hyperlink w:anchor="page4">
              <w:r>
                <w:rPr>
                  <w:rFonts w:ascii="Arial" w:cs="Arial" w:eastAsia="Arial" w:hAnsi="Arial"/>
                  <w:sz w:val="17"/>
                  <w:szCs w:val="17"/>
                  <w:color w:val="0000FF"/>
                  <w:w w:val="90"/>
                </w:rPr>
                <w:t>PART I.</w:t>
              </w:r>
            </w:hyperlink>
          </w:p>
        </w:tc>
        <w:tc>
          <w:tcPr>
            <w:tcW w:w="500" w:type="dxa"/>
            <w:vAlign w:val="bottom"/>
            <w:gridSpan w:val="2"/>
          </w:tcPr>
          <w:p>
            <w:pPr>
              <w:spacing w:after="0"/>
              <w:rPr>
                <w:sz w:val="16"/>
                <w:szCs w:val="16"/>
                <w:color w:val="auto"/>
              </w:rPr>
            </w:pPr>
          </w:p>
        </w:tc>
        <w:tc>
          <w:tcPr>
            <w:tcW w:w="7900" w:type="dxa"/>
            <w:vAlign w:val="bottom"/>
            <w:gridSpan w:val="18"/>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FINANCIAL INFORMATION</w:t>
              </w:r>
            </w:hyperlink>
          </w:p>
        </w:tc>
        <w:tc>
          <w:tcPr>
            <w:tcW w:w="1880" w:type="dxa"/>
            <w:vAlign w:val="bottom"/>
            <w:gridSpan w:val="2"/>
          </w:tcPr>
          <w:p>
            <w:pPr>
              <w:jc w:val="center"/>
              <w:ind w:left="1714"/>
              <w:spacing w:after="0"/>
              <w:rPr>
                <w:rFonts w:ascii="Arial" w:cs="Arial" w:eastAsia="Arial" w:hAnsi="Arial"/>
                <w:sz w:val="17"/>
                <w:szCs w:val="17"/>
                <w:color w:val="0000FF"/>
                <w:w w:val="84"/>
              </w:rPr>
            </w:pPr>
            <w:hyperlink w:anchor="page4">
              <w:r>
                <w:rPr>
                  <w:rFonts w:ascii="Arial" w:cs="Arial" w:eastAsia="Arial" w:hAnsi="Arial"/>
                  <w:sz w:val="17"/>
                  <w:szCs w:val="17"/>
                  <w:color w:val="0000FF"/>
                  <w:w w:val="84"/>
                </w:rPr>
                <w:t>1</w:t>
              </w:r>
            </w:hyperlink>
          </w:p>
        </w:tc>
        <w:tc>
          <w:tcPr>
            <w:tcW w:w="3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gridSpan w:val="2"/>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Item 1.</w:t>
              </w:r>
            </w:hyperlink>
          </w:p>
        </w:tc>
        <w:tc>
          <w:tcPr>
            <w:tcW w:w="500" w:type="dxa"/>
            <w:vAlign w:val="bottom"/>
            <w:gridSpan w:val="2"/>
          </w:tcPr>
          <w:p>
            <w:pPr>
              <w:spacing w:after="0"/>
              <w:rPr>
                <w:sz w:val="17"/>
                <w:szCs w:val="17"/>
                <w:color w:val="auto"/>
              </w:rPr>
            </w:pPr>
          </w:p>
        </w:tc>
        <w:tc>
          <w:tcPr>
            <w:tcW w:w="7900" w:type="dxa"/>
            <w:vAlign w:val="bottom"/>
            <w:gridSpan w:val="18"/>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Financial Statements (Unaudited)</w:t>
              </w:r>
            </w:hyperlink>
          </w:p>
        </w:tc>
        <w:tc>
          <w:tcPr>
            <w:tcW w:w="1880" w:type="dxa"/>
            <w:vAlign w:val="bottom"/>
            <w:gridSpan w:val="2"/>
          </w:tcPr>
          <w:p>
            <w:pPr>
              <w:jc w:val="center"/>
              <w:ind w:left="1714"/>
              <w:spacing w:after="0"/>
              <w:rPr>
                <w:rFonts w:ascii="Arial" w:cs="Arial" w:eastAsia="Arial" w:hAnsi="Arial"/>
                <w:sz w:val="17"/>
                <w:szCs w:val="17"/>
                <w:color w:val="0000FF"/>
                <w:w w:val="84"/>
              </w:rPr>
            </w:pPr>
            <w:hyperlink w:anchor="page5">
              <w:r>
                <w:rPr>
                  <w:rFonts w:ascii="Arial" w:cs="Arial" w:eastAsia="Arial" w:hAnsi="Arial"/>
                  <w:sz w:val="17"/>
                  <w:szCs w:val="17"/>
                  <w:color w:val="0000FF"/>
                  <w:w w:val="84"/>
                </w:rPr>
                <w:t>1</w:t>
              </w:r>
            </w:hyperlink>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0" w:type="dxa"/>
            <w:vAlign w:val="bottom"/>
            <w:gridSpan w:val="11"/>
          </w:tcPr>
          <w:p>
            <w:pPr>
              <w:spacing w:after="0"/>
              <w:rPr>
                <w:rFonts w:ascii="Arial" w:cs="Arial" w:eastAsia="Arial" w:hAnsi="Arial"/>
                <w:sz w:val="17"/>
                <w:szCs w:val="17"/>
                <w:color w:val="0000FF"/>
                <w:w w:val="88"/>
              </w:rPr>
            </w:pPr>
            <w:hyperlink w:anchor="page5">
              <w:r>
                <w:rPr>
                  <w:rFonts w:ascii="Arial" w:cs="Arial" w:eastAsia="Arial" w:hAnsi="Arial"/>
                  <w:sz w:val="17"/>
                  <w:szCs w:val="17"/>
                  <w:color w:val="0000FF"/>
                  <w:w w:val="88"/>
                </w:rPr>
                <w:t>Condensed Consolidated Balance Sheets</w:t>
              </w:r>
            </w:hyperlink>
          </w:p>
        </w:tc>
        <w:tc>
          <w:tcPr>
            <w:tcW w:w="5100" w:type="dxa"/>
            <w:vAlign w:val="bottom"/>
            <w:gridSpan w:val="7"/>
          </w:tcPr>
          <w:p>
            <w:pPr>
              <w:spacing w:after="0"/>
              <w:rPr>
                <w:sz w:val="17"/>
                <w:szCs w:val="17"/>
                <w:color w:val="auto"/>
              </w:rPr>
            </w:pPr>
          </w:p>
        </w:tc>
        <w:tc>
          <w:tcPr>
            <w:tcW w:w="1880" w:type="dxa"/>
            <w:vAlign w:val="bottom"/>
            <w:gridSpan w:val="2"/>
          </w:tcPr>
          <w:p>
            <w:pPr>
              <w:jc w:val="center"/>
              <w:ind w:left="1714"/>
              <w:spacing w:after="0"/>
              <w:rPr>
                <w:rFonts w:ascii="Arial" w:cs="Arial" w:eastAsia="Arial" w:hAnsi="Arial"/>
                <w:sz w:val="17"/>
                <w:szCs w:val="17"/>
                <w:color w:val="0000FF"/>
                <w:w w:val="84"/>
              </w:rPr>
            </w:pPr>
            <w:hyperlink w:anchor="page5">
              <w:r>
                <w:rPr>
                  <w:rFonts w:ascii="Arial" w:cs="Arial" w:eastAsia="Arial" w:hAnsi="Arial"/>
                  <w:sz w:val="17"/>
                  <w:szCs w:val="17"/>
                  <w:color w:val="0000FF"/>
                  <w:w w:val="84"/>
                </w:rPr>
                <w:t>1</w:t>
              </w:r>
            </w:hyperlink>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160" w:type="dxa"/>
            <w:vAlign w:val="bottom"/>
            <w:gridSpan w:val="17"/>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Condensed Consolidated Statements of Operations and Comprehensive Loss</w:t>
              </w:r>
            </w:hyperlink>
          </w:p>
        </w:tc>
        <w:tc>
          <w:tcPr>
            <w:tcW w:w="1740" w:type="dxa"/>
            <w:vAlign w:val="bottom"/>
          </w:tcPr>
          <w:p>
            <w:pPr>
              <w:spacing w:after="0"/>
              <w:rPr>
                <w:sz w:val="17"/>
                <w:szCs w:val="17"/>
                <w:color w:val="auto"/>
              </w:rPr>
            </w:pPr>
          </w:p>
        </w:tc>
        <w:tc>
          <w:tcPr>
            <w:tcW w:w="1880" w:type="dxa"/>
            <w:vAlign w:val="bottom"/>
            <w:gridSpan w:val="2"/>
          </w:tcPr>
          <w:p>
            <w:pPr>
              <w:jc w:val="center"/>
              <w:ind w:left="1714"/>
              <w:spacing w:after="0"/>
              <w:rPr>
                <w:rFonts w:ascii="Arial" w:cs="Arial" w:eastAsia="Arial" w:hAnsi="Arial"/>
                <w:sz w:val="17"/>
                <w:szCs w:val="17"/>
                <w:color w:val="0000FF"/>
                <w:w w:val="84"/>
              </w:rPr>
            </w:pPr>
            <w:hyperlink w:anchor="page5">
              <w:r>
                <w:rPr>
                  <w:rFonts w:ascii="Arial" w:cs="Arial" w:eastAsia="Arial" w:hAnsi="Arial"/>
                  <w:sz w:val="17"/>
                  <w:szCs w:val="17"/>
                  <w:color w:val="0000FF"/>
                  <w:w w:val="84"/>
                </w:rPr>
                <w:t>2</w:t>
              </w:r>
            </w:hyperlink>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160" w:type="dxa"/>
            <w:vAlign w:val="bottom"/>
            <w:gridSpan w:val="17"/>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Condensed Consolidated Statements of Changes in Stockholders’ Equity</w:t>
              </w:r>
            </w:hyperlink>
          </w:p>
        </w:tc>
        <w:tc>
          <w:tcPr>
            <w:tcW w:w="1740" w:type="dxa"/>
            <w:vAlign w:val="bottom"/>
          </w:tcPr>
          <w:p>
            <w:pPr>
              <w:spacing w:after="0"/>
              <w:rPr>
                <w:sz w:val="17"/>
                <w:szCs w:val="17"/>
                <w:color w:val="auto"/>
              </w:rPr>
            </w:pPr>
          </w:p>
        </w:tc>
        <w:tc>
          <w:tcPr>
            <w:tcW w:w="1880" w:type="dxa"/>
            <w:vAlign w:val="bottom"/>
            <w:gridSpan w:val="2"/>
          </w:tcPr>
          <w:p>
            <w:pPr>
              <w:jc w:val="center"/>
              <w:ind w:left="1714"/>
              <w:spacing w:after="0"/>
              <w:rPr>
                <w:rFonts w:ascii="Arial" w:cs="Arial" w:eastAsia="Arial" w:hAnsi="Arial"/>
                <w:sz w:val="17"/>
                <w:szCs w:val="17"/>
                <w:color w:val="0000FF"/>
                <w:w w:val="84"/>
              </w:rPr>
            </w:pPr>
            <w:hyperlink w:anchor="page6">
              <w:r>
                <w:rPr>
                  <w:rFonts w:ascii="Arial" w:cs="Arial" w:eastAsia="Arial" w:hAnsi="Arial"/>
                  <w:sz w:val="17"/>
                  <w:szCs w:val="17"/>
                  <w:color w:val="0000FF"/>
                  <w:w w:val="84"/>
                </w:rPr>
                <w:t>3</w:t>
              </w:r>
            </w:hyperlink>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0" w:type="dxa"/>
            <w:vAlign w:val="bottom"/>
            <w:gridSpan w:val="15"/>
          </w:tcPr>
          <w:p>
            <w:pPr>
              <w:spacing w:after="0"/>
              <w:rPr>
                <w:rFonts w:ascii="Arial" w:cs="Arial" w:eastAsia="Arial" w:hAnsi="Arial"/>
                <w:sz w:val="17"/>
                <w:szCs w:val="17"/>
                <w:color w:val="0000FF"/>
              </w:rPr>
            </w:pPr>
            <w:hyperlink w:anchor="page8">
              <w:r>
                <w:rPr>
                  <w:rFonts w:ascii="Arial" w:cs="Arial" w:eastAsia="Arial" w:hAnsi="Arial"/>
                  <w:sz w:val="17"/>
                  <w:szCs w:val="17"/>
                  <w:color w:val="0000FF"/>
                </w:rPr>
                <w:t>Condensed Consolidated Statements of Cash Flows</w:t>
              </w:r>
            </w:hyperlink>
          </w:p>
        </w:tc>
        <w:tc>
          <w:tcPr>
            <w:tcW w:w="2900" w:type="dxa"/>
            <w:vAlign w:val="bottom"/>
            <w:gridSpan w:val="3"/>
          </w:tcPr>
          <w:p>
            <w:pPr>
              <w:spacing w:after="0"/>
              <w:rPr>
                <w:sz w:val="17"/>
                <w:szCs w:val="17"/>
                <w:color w:val="auto"/>
              </w:rPr>
            </w:pPr>
          </w:p>
        </w:tc>
        <w:tc>
          <w:tcPr>
            <w:tcW w:w="1880" w:type="dxa"/>
            <w:vAlign w:val="bottom"/>
            <w:gridSpan w:val="2"/>
          </w:tcPr>
          <w:p>
            <w:pPr>
              <w:jc w:val="center"/>
              <w:ind w:left="1714"/>
              <w:spacing w:after="0"/>
              <w:rPr>
                <w:rFonts w:ascii="Arial" w:cs="Arial" w:eastAsia="Arial" w:hAnsi="Arial"/>
                <w:sz w:val="17"/>
                <w:szCs w:val="17"/>
                <w:color w:val="0000FF"/>
                <w:w w:val="84"/>
              </w:rPr>
            </w:pPr>
            <w:hyperlink w:anchor="page8">
              <w:r>
                <w:rPr>
                  <w:rFonts w:ascii="Arial" w:cs="Arial" w:eastAsia="Arial" w:hAnsi="Arial"/>
                  <w:sz w:val="17"/>
                  <w:szCs w:val="17"/>
                  <w:color w:val="0000FF"/>
                  <w:w w:val="84"/>
                </w:rPr>
                <w:t>5</w:t>
              </w:r>
            </w:hyperlink>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900" w:type="dxa"/>
            <w:vAlign w:val="bottom"/>
            <w:gridSpan w:val="18"/>
          </w:tcPr>
          <w:p>
            <w:pPr>
              <w:spacing w:after="0"/>
              <w:rPr>
                <w:rFonts w:ascii="Arial" w:cs="Arial" w:eastAsia="Arial" w:hAnsi="Arial"/>
                <w:sz w:val="17"/>
                <w:szCs w:val="17"/>
                <w:color w:val="0000FF"/>
              </w:rPr>
            </w:pPr>
            <w:hyperlink w:anchor="page9">
              <w:r>
                <w:rPr>
                  <w:rFonts w:ascii="Arial" w:cs="Arial" w:eastAsia="Arial" w:hAnsi="Arial"/>
                  <w:sz w:val="17"/>
                  <w:szCs w:val="17"/>
                  <w:color w:val="0000FF"/>
                </w:rPr>
                <w:t>Notes to Unaudited Condensed Consolidated Financial Statements</w:t>
              </w:r>
            </w:hyperlink>
          </w:p>
        </w:tc>
        <w:tc>
          <w:tcPr>
            <w:tcW w:w="1880" w:type="dxa"/>
            <w:vAlign w:val="bottom"/>
            <w:gridSpan w:val="2"/>
          </w:tcPr>
          <w:p>
            <w:pPr>
              <w:jc w:val="center"/>
              <w:ind w:left="1714"/>
              <w:spacing w:after="0"/>
              <w:rPr>
                <w:rFonts w:ascii="Arial" w:cs="Arial" w:eastAsia="Arial" w:hAnsi="Arial"/>
                <w:sz w:val="17"/>
                <w:szCs w:val="17"/>
                <w:color w:val="0000FF"/>
                <w:w w:val="84"/>
              </w:rPr>
            </w:pPr>
            <w:hyperlink w:anchor="page9">
              <w:r>
                <w:rPr>
                  <w:rFonts w:ascii="Arial" w:cs="Arial" w:eastAsia="Arial" w:hAnsi="Arial"/>
                  <w:sz w:val="17"/>
                  <w:szCs w:val="17"/>
                  <w:color w:val="0000FF"/>
                  <w:w w:val="84"/>
                </w:rPr>
                <w:t>6</w:t>
              </w:r>
            </w:hyperlink>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0" w:type="dxa"/>
            <w:vAlign w:val="bottom"/>
            <w:gridSpan w:val="4"/>
          </w:tcPr>
          <w:p>
            <w:pPr>
              <w:spacing w:after="0"/>
              <w:rPr>
                <w:rFonts w:ascii="Arial" w:cs="Arial" w:eastAsia="Arial" w:hAnsi="Arial"/>
                <w:sz w:val="17"/>
                <w:szCs w:val="17"/>
                <w:color w:val="0000FF"/>
              </w:rPr>
            </w:pPr>
            <w:hyperlink w:anchor="page21">
              <w:r>
                <w:rPr>
                  <w:rFonts w:ascii="Arial" w:cs="Arial" w:eastAsia="Arial" w:hAnsi="Arial"/>
                  <w:sz w:val="17"/>
                  <w:szCs w:val="17"/>
                  <w:color w:val="0000FF"/>
                </w:rPr>
                <w:t>Item 2.</w:t>
              </w:r>
            </w:hyperlink>
          </w:p>
        </w:tc>
        <w:tc>
          <w:tcPr>
            <w:tcW w:w="7900" w:type="dxa"/>
            <w:vAlign w:val="bottom"/>
            <w:gridSpan w:val="18"/>
          </w:tcPr>
          <w:p>
            <w:pPr>
              <w:spacing w:after="0"/>
              <w:rPr>
                <w:rFonts w:ascii="Arial" w:cs="Arial" w:eastAsia="Arial" w:hAnsi="Arial"/>
                <w:sz w:val="17"/>
                <w:szCs w:val="17"/>
                <w:color w:val="0000FF"/>
              </w:rPr>
            </w:pPr>
            <w:hyperlink w:anchor="page21">
              <w:r>
                <w:rPr>
                  <w:rFonts w:ascii="Arial" w:cs="Arial" w:eastAsia="Arial" w:hAnsi="Arial"/>
                  <w:sz w:val="17"/>
                  <w:szCs w:val="17"/>
                  <w:color w:val="0000FF"/>
                </w:rPr>
                <w:t>Management’s Discussion and Analysis of Financial Condition and Results of Operations</w:t>
              </w:r>
            </w:hyperlink>
          </w:p>
        </w:tc>
        <w:tc>
          <w:tcPr>
            <w:tcW w:w="1880" w:type="dxa"/>
            <w:vAlign w:val="bottom"/>
            <w:gridSpan w:val="2"/>
          </w:tcPr>
          <w:p>
            <w:pPr>
              <w:jc w:val="center"/>
              <w:ind w:left="1634"/>
              <w:spacing w:after="0"/>
              <w:rPr>
                <w:rFonts w:ascii="Arial" w:cs="Arial" w:eastAsia="Arial" w:hAnsi="Arial"/>
                <w:sz w:val="17"/>
                <w:szCs w:val="17"/>
                <w:color w:val="0000FF"/>
                <w:w w:val="84"/>
              </w:rPr>
            </w:pPr>
            <w:hyperlink w:anchor="page21">
              <w:r>
                <w:rPr>
                  <w:rFonts w:ascii="Arial" w:cs="Arial" w:eastAsia="Arial" w:hAnsi="Arial"/>
                  <w:sz w:val="17"/>
                  <w:szCs w:val="17"/>
                  <w:color w:val="0000FF"/>
                  <w:w w:val="84"/>
                </w:rPr>
                <w:t>18</w:t>
              </w:r>
            </w:hyperlink>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0" w:type="dxa"/>
            <w:vAlign w:val="bottom"/>
            <w:gridSpan w:val="4"/>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Item 3.</w:t>
              </w:r>
            </w:hyperlink>
          </w:p>
        </w:tc>
        <w:tc>
          <w:tcPr>
            <w:tcW w:w="7900" w:type="dxa"/>
            <w:vAlign w:val="bottom"/>
            <w:gridSpan w:val="18"/>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Quantitative and Qualitative Disclosures About Market Risk</w:t>
              </w:r>
            </w:hyperlink>
          </w:p>
        </w:tc>
        <w:tc>
          <w:tcPr>
            <w:tcW w:w="1880" w:type="dxa"/>
            <w:vAlign w:val="bottom"/>
            <w:gridSpan w:val="2"/>
          </w:tcPr>
          <w:p>
            <w:pPr>
              <w:jc w:val="center"/>
              <w:ind w:left="1634"/>
              <w:spacing w:after="0"/>
              <w:rPr>
                <w:rFonts w:ascii="Arial" w:cs="Arial" w:eastAsia="Arial" w:hAnsi="Arial"/>
                <w:sz w:val="17"/>
                <w:szCs w:val="17"/>
                <w:color w:val="0000FF"/>
                <w:w w:val="84"/>
              </w:rPr>
            </w:pPr>
            <w:hyperlink w:anchor="page29">
              <w:r>
                <w:rPr>
                  <w:rFonts w:ascii="Arial" w:cs="Arial" w:eastAsia="Arial" w:hAnsi="Arial"/>
                  <w:sz w:val="17"/>
                  <w:szCs w:val="17"/>
                  <w:color w:val="0000FF"/>
                  <w:w w:val="84"/>
                </w:rPr>
                <w:t>25</w:t>
              </w:r>
            </w:hyperlink>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0" w:type="dxa"/>
            <w:vAlign w:val="bottom"/>
            <w:gridSpan w:val="4"/>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Item 4.</w:t>
              </w:r>
            </w:hyperlink>
          </w:p>
        </w:tc>
        <w:tc>
          <w:tcPr>
            <w:tcW w:w="7900" w:type="dxa"/>
            <w:vAlign w:val="bottom"/>
            <w:gridSpan w:val="18"/>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Controls and Procedures</w:t>
              </w:r>
            </w:hyperlink>
          </w:p>
        </w:tc>
        <w:tc>
          <w:tcPr>
            <w:tcW w:w="1880" w:type="dxa"/>
            <w:vAlign w:val="bottom"/>
            <w:gridSpan w:val="2"/>
          </w:tcPr>
          <w:p>
            <w:pPr>
              <w:jc w:val="center"/>
              <w:ind w:left="1634"/>
              <w:spacing w:after="0"/>
              <w:rPr>
                <w:rFonts w:ascii="Arial" w:cs="Arial" w:eastAsia="Arial" w:hAnsi="Arial"/>
                <w:sz w:val="17"/>
                <w:szCs w:val="17"/>
                <w:color w:val="0000FF"/>
                <w:w w:val="84"/>
              </w:rPr>
            </w:pPr>
            <w:hyperlink w:anchor="page29">
              <w:r>
                <w:rPr>
                  <w:rFonts w:ascii="Arial" w:cs="Arial" w:eastAsia="Arial" w:hAnsi="Arial"/>
                  <w:sz w:val="17"/>
                  <w:szCs w:val="17"/>
                  <w:color w:val="0000FF"/>
                  <w:w w:val="84"/>
                </w:rPr>
                <w:t>25</w:t>
              </w:r>
            </w:hyperlink>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0" w:type="dxa"/>
            <w:vAlign w:val="bottom"/>
            <w:gridSpan w:val="3"/>
          </w:tcPr>
          <w:p>
            <w:pPr>
              <w:spacing w:after="0"/>
              <w:rPr>
                <w:rFonts w:ascii="Arial" w:cs="Arial" w:eastAsia="Arial" w:hAnsi="Arial"/>
                <w:sz w:val="17"/>
                <w:szCs w:val="17"/>
                <w:color w:val="0000FF"/>
                <w:w w:val="90"/>
              </w:rPr>
            </w:pPr>
            <w:hyperlink w:anchor="page30">
              <w:r>
                <w:rPr>
                  <w:rFonts w:ascii="Arial" w:cs="Arial" w:eastAsia="Arial" w:hAnsi="Arial"/>
                  <w:sz w:val="17"/>
                  <w:szCs w:val="17"/>
                  <w:color w:val="0000FF"/>
                  <w:w w:val="90"/>
                </w:rPr>
                <w:t>PART II.</w:t>
              </w:r>
            </w:hyperlink>
          </w:p>
        </w:tc>
        <w:tc>
          <w:tcPr>
            <w:tcW w:w="440" w:type="dxa"/>
            <w:vAlign w:val="bottom"/>
          </w:tcPr>
          <w:p>
            <w:pPr>
              <w:spacing w:after="0"/>
              <w:rPr>
                <w:sz w:val="17"/>
                <w:szCs w:val="17"/>
                <w:color w:val="auto"/>
              </w:rPr>
            </w:pPr>
          </w:p>
        </w:tc>
        <w:tc>
          <w:tcPr>
            <w:tcW w:w="1800" w:type="dxa"/>
            <w:vAlign w:val="bottom"/>
            <w:gridSpan w:val="6"/>
          </w:tcPr>
          <w:p>
            <w:pPr>
              <w:spacing w:after="0"/>
              <w:rPr>
                <w:rFonts w:ascii="Arial" w:cs="Arial" w:eastAsia="Arial" w:hAnsi="Arial"/>
                <w:sz w:val="17"/>
                <w:szCs w:val="17"/>
                <w:color w:val="0000FF"/>
                <w:w w:val="97"/>
              </w:rPr>
            </w:pPr>
            <w:hyperlink w:anchor="page30">
              <w:r>
                <w:rPr>
                  <w:rFonts w:ascii="Arial" w:cs="Arial" w:eastAsia="Arial" w:hAnsi="Arial"/>
                  <w:sz w:val="17"/>
                  <w:szCs w:val="17"/>
                  <w:color w:val="0000FF"/>
                  <w:w w:val="97"/>
                </w:rPr>
                <w:t>OTHER INFORMATION</w:t>
              </w:r>
            </w:hyperlink>
          </w:p>
        </w:tc>
        <w:tc>
          <w:tcPr>
            <w:tcW w:w="6100" w:type="dxa"/>
            <w:vAlign w:val="bottom"/>
            <w:gridSpan w:val="12"/>
          </w:tcPr>
          <w:p>
            <w:pPr>
              <w:spacing w:after="0"/>
              <w:rPr>
                <w:sz w:val="17"/>
                <w:szCs w:val="17"/>
                <w:color w:val="auto"/>
              </w:rPr>
            </w:pPr>
          </w:p>
        </w:tc>
        <w:tc>
          <w:tcPr>
            <w:tcW w:w="1880" w:type="dxa"/>
            <w:vAlign w:val="bottom"/>
            <w:gridSpan w:val="2"/>
          </w:tcPr>
          <w:p>
            <w:pPr>
              <w:jc w:val="center"/>
              <w:ind w:left="1634"/>
              <w:spacing w:after="0"/>
              <w:rPr>
                <w:rFonts w:ascii="Arial" w:cs="Arial" w:eastAsia="Arial" w:hAnsi="Arial"/>
                <w:sz w:val="17"/>
                <w:szCs w:val="17"/>
                <w:color w:val="0000FF"/>
                <w:w w:val="84"/>
              </w:rPr>
            </w:pPr>
            <w:hyperlink w:anchor="page30">
              <w:r>
                <w:rPr>
                  <w:rFonts w:ascii="Arial" w:cs="Arial" w:eastAsia="Arial" w:hAnsi="Arial"/>
                  <w:sz w:val="17"/>
                  <w:szCs w:val="17"/>
                  <w:color w:val="0000FF"/>
                  <w:w w:val="84"/>
                </w:rPr>
                <w:t>27</w:t>
              </w:r>
            </w:hyperlink>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0" w:type="dxa"/>
            <w:vAlign w:val="bottom"/>
            <w:gridSpan w:val="3"/>
          </w:tcPr>
          <w:p>
            <w:pPr>
              <w:spacing w:after="0"/>
              <w:rPr>
                <w:rFonts w:ascii="Arial" w:cs="Arial" w:eastAsia="Arial" w:hAnsi="Arial"/>
                <w:sz w:val="17"/>
                <w:szCs w:val="17"/>
                <w:color w:val="0000FF"/>
              </w:rPr>
            </w:pPr>
            <w:hyperlink w:anchor="page31">
              <w:r>
                <w:rPr>
                  <w:rFonts w:ascii="Arial" w:cs="Arial" w:eastAsia="Arial" w:hAnsi="Arial"/>
                  <w:sz w:val="17"/>
                  <w:szCs w:val="17"/>
                  <w:color w:val="0000FF"/>
                </w:rPr>
                <w:t>Item 1.</w:t>
              </w:r>
            </w:hyperlink>
          </w:p>
        </w:tc>
        <w:tc>
          <w:tcPr>
            <w:tcW w:w="440" w:type="dxa"/>
            <w:vAlign w:val="bottom"/>
          </w:tcPr>
          <w:p>
            <w:pPr>
              <w:spacing w:after="0"/>
              <w:rPr>
                <w:sz w:val="17"/>
                <w:szCs w:val="17"/>
                <w:color w:val="auto"/>
              </w:rPr>
            </w:pPr>
          </w:p>
        </w:tc>
        <w:tc>
          <w:tcPr>
            <w:tcW w:w="1800" w:type="dxa"/>
            <w:vAlign w:val="bottom"/>
            <w:gridSpan w:val="6"/>
          </w:tcPr>
          <w:p>
            <w:pPr>
              <w:spacing w:after="0"/>
              <w:rPr>
                <w:rFonts w:ascii="Arial" w:cs="Arial" w:eastAsia="Arial" w:hAnsi="Arial"/>
                <w:sz w:val="17"/>
                <w:szCs w:val="17"/>
                <w:color w:val="0000FF"/>
              </w:rPr>
            </w:pPr>
            <w:hyperlink w:anchor="page31">
              <w:r>
                <w:rPr>
                  <w:rFonts w:ascii="Arial" w:cs="Arial" w:eastAsia="Arial" w:hAnsi="Arial"/>
                  <w:sz w:val="17"/>
                  <w:szCs w:val="17"/>
                  <w:color w:val="0000FF"/>
                </w:rPr>
                <w:t>Legal Proceedings</w:t>
              </w:r>
            </w:hyperlink>
          </w:p>
        </w:tc>
        <w:tc>
          <w:tcPr>
            <w:tcW w:w="6100" w:type="dxa"/>
            <w:vAlign w:val="bottom"/>
            <w:gridSpan w:val="12"/>
          </w:tcPr>
          <w:p>
            <w:pPr>
              <w:spacing w:after="0"/>
              <w:rPr>
                <w:sz w:val="17"/>
                <w:szCs w:val="17"/>
                <w:color w:val="auto"/>
              </w:rPr>
            </w:pPr>
          </w:p>
        </w:tc>
        <w:tc>
          <w:tcPr>
            <w:tcW w:w="1880" w:type="dxa"/>
            <w:vAlign w:val="bottom"/>
            <w:gridSpan w:val="2"/>
          </w:tcPr>
          <w:p>
            <w:pPr>
              <w:jc w:val="center"/>
              <w:ind w:left="1634"/>
              <w:spacing w:after="0"/>
              <w:rPr>
                <w:rFonts w:ascii="Arial" w:cs="Arial" w:eastAsia="Arial" w:hAnsi="Arial"/>
                <w:sz w:val="17"/>
                <w:szCs w:val="17"/>
                <w:color w:val="0000FF"/>
                <w:w w:val="84"/>
              </w:rPr>
            </w:pPr>
            <w:hyperlink w:anchor="page31">
              <w:r>
                <w:rPr>
                  <w:rFonts w:ascii="Arial" w:cs="Arial" w:eastAsia="Arial" w:hAnsi="Arial"/>
                  <w:sz w:val="17"/>
                  <w:szCs w:val="17"/>
                  <w:color w:val="0000FF"/>
                  <w:w w:val="84"/>
                </w:rPr>
                <w:t>27</w:t>
              </w:r>
            </w:hyperlink>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0" w:type="dxa"/>
            <w:vAlign w:val="bottom"/>
            <w:gridSpan w:val="3"/>
          </w:tcPr>
          <w:p>
            <w:pPr>
              <w:spacing w:after="0"/>
              <w:rPr>
                <w:rFonts w:ascii="Arial" w:cs="Arial" w:eastAsia="Arial" w:hAnsi="Arial"/>
                <w:sz w:val="17"/>
                <w:szCs w:val="17"/>
                <w:color w:val="0000FF"/>
                <w:w w:val="91"/>
              </w:rPr>
            </w:pPr>
            <w:hyperlink w:anchor="page31">
              <w:r>
                <w:rPr>
                  <w:rFonts w:ascii="Arial" w:cs="Arial" w:eastAsia="Arial" w:hAnsi="Arial"/>
                  <w:sz w:val="17"/>
                  <w:szCs w:val="17"/>
                  <w:color w:val="0000FF"/>
                  <w:w w:val="91"/>
                </w:rPr>
                <w:t>Item 1A.</w:t>
              </w:r>
            </w:hyperlink>
          </w:p>
        </w:tc>
        <w:tc>
          <w:tcPr>
            <w:tcW w:w="440" w:type="dxa"/>
            <w:vAlign w:val="bottom"/>
          </w:tcPr>
          <w:p>
            <w:pPr>
              <w:spacing w:after="0"/>
              <w:rPr>
                <w:sz w:val="17"/>
                <w:szCs w:val="17"/>
                <w:color w:val="auto"/>
              </w:rPr>
            </w:pPr>
          </w:p>
        </w:tc>
        <w:tc>
          <w:tcPr>
            <w:tcW w:w="7900" w:type="dxa"/>
            <w:vAlign w:val="bottom"/>
            <w:gridSpan w:val="18"/>
          </w:tcPr>
          <w:p>
            <w:pPr>
              <w:spacing w:after="0"/>
              <w:rPr>
                <w:rFonts w:ascii="Arial" w:cs="Arial" w:eastAsia="Arial" w:hAnsi="Arial"/>
                <w:sz w:val="17"/>
                <w:szCs w:val="17"/>
                <w:color w:val="0000FF"/>
              </w:rPr>
            </w:pPr>
            <w:hyperlink w:anchor="page31">
              <w:r>
                <w:rPr>
                  <w:rFonts w:ascii="Arial" w:cs="Arial" w:eastAsia="Arial" w:hAnsi="Arial"/>
                  <w:sz w:val="17"/>
                  <w:szCs w:val="17"/>
                  <w:color w:val="0000FF"/>
                </w:rPr>
                <w:t>Risk Factors</w:t>
              </w:r>
            </w:hyperlink>
          </w:p>
        </w:tc>
        <w:tc>
          <w:tcPr>
            <w:tcW w:w="1880" w:type="dxa"/>
            <w:vAlign w:val="bottom"/>
            <w:gridSpan w:val="2"/>
          </w:tcPr>
          <w:p>
            <w:pPr>
              <w:jc w:val="center"/>
              <w:ind w:left="1634"/>
              <w:spacing w:after="0"/>
              <w:rPr>
                <w:rFonts w:ascii="Arial" w:cs="Arial" w:eastAsia="Arial" w:hAnsi="Arial"/>
                <w:sz w:val="17"/>
                <w:szCs w:val="17"/>
                <w:color w:val="0000FF"/>
                <w:w w:val="84"/>
              </w:rPr>
            </w:pPr>
            <w:hyperlink w:anchor="page31">
              <w:r>
                <w:rPr>
                  <w:rFonts w:ascii="Arial" w:cs="Arial" w:eastAsia="Arial" w:hAnsi="Arial"/>
                  <w:sz w:val="17"/>
                  <w:szCs w:val="17"/>
                  <w:color w:val="0000FF"/>
                  <w:w w:val="84"/>
                </w:rPr>
                <w:t>27</w:t>
              </w:r>
            </w:hyperlink>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0" w:type="dxa"/>
            <w:vAlign w:val="bottom"/>
            <w:gridSpan w:val="3"/>
          </w:tcPr>
          <w:p>
            <w:pPr>
              <w:spacing w:after="0"/>
              <w:rPr>
                <w:rFonts w:ascii="Arial" w:cs="Arial" w:eastAsia="Arial" w:hAnsi="Arial"/>
                <w:sz w:val="17"/>
                <w:szCs w:val="17"/>
                <w:color w:val="0000FF"/>
              </w:rPr>
            </w:pPr>
            <w:hyperlink w:anchor="page72">
              <w:r>
                <w:rPr>
                  <w:rFonts w:ascii="Arial" w:cs="Arial" w:eastAsia="Arial" w:hAnsi="Arial"/>
                  <w:sz w:val="17"/>
                  <w:szCs w:val="17"/>
                  <w:color w:val="0000FF"/>
                </w:rPr>
                <w:t>Item 2.</w:t>
              </w:r>
            </w:hyperlink>
          </w:p>
        </w:tc>
        <w:tc>
          <w:tcPr>
            <w:tcW w:w="440" w:type="dxa"/>
            <w:vAlign w:val="bottom"/>
          </w:tcPr>
          <w:p>
            <w:pPr>
              <w:spacing w:after="0"/>
              <w:rPr>
                <w:sz w:val="17"/>
                <w:szCs w:val="17"/>
                <w:color w:val="auto"/>
              </w:rPr>
            </w:pPr>
          </w:p>
        </w:tc>
        <w:tc>
          <w:tcPr>
            <w:tcW w:w="7900" w:type="dxa"/>
            <w:vAlign w:val="bottom"/>
            <w:gridSpan w:val="18"/>
          </w:tcPr>
          <w:p>
            <w:pPr>
              <w:spacing w:after="0"/>
              <w:rPr>
                <w:rFonts w:ascii="Arial" w:cs="Arial" w:eastAsia="Arial" w:hAnsi="Arial"/>
                <w:sz w:val="17"/>
                <w:szCs w:val="17"/>
                <w:color w:val="0000FF"/>
              </w:rPr>
            </w:pPr>
            <w:hyperlink w:anchor="page72">
              <w:r>
                <w:rPr>
                  <w:rFonts w:ascii="Arial" w:cs="Arial" w:eastAsia="Arial" w:hAnsi="Arial"/>
                  <w:sz w:val="17"/>
                  <w:szCs w:val="17"/>
                  <w:color w:val="0000FF"/>
                </w:rPr>
                <w:t>Unregistered Sales of Equity Securities</w:t>
              </w:r>
            </w:hyperlink>
          </w:p>
        </w:tc>
        <w:tc>
          <w:tcPr>
            <w:tcW w:w="1880" w:type="dxa"/>
            <w:vAlign w:val="bottom"/>
            <w:gridSpan w:val="2"/>
          </w:tcPr>
          <w:p>
            <w:pPr>
              <w:jc w:val="center"/>
              <w:ind w:left="1634"/>
              <w:spacing w:after="0"/>
              <w:rPr>
                <w:rFonts w:ascii="Arial" w:cs="Arial" w:eastAsia="Arial" w:hAnsi="Arial"/>
                <w:sz w:val="17"/>
                <w:szCs w:val="17"/>
                <w:color w:val="0000FF"/>
                <w:w w:val="84"/>
              </w:rPr>
            </w:pPr>
            <w:hyperlink w:anchor="page72">
              <w:r>
                <w:rPr>
                  <w:rFonts w:ascii="Arial" w:cs="Arial" w:eastAsia="Arial" w:hAnsi="Arial"/>
                  <w:sz w:val="17"/>
                  <w:szCs w:val="17"/>
                  <w:color w:val="0000FF"/>
                  <w:w w:val="84"/>
                </w:rPr>
                <w:t>68</w:t>
              </w:r>
            </w:hyperlink>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0" w:type="dxa"/>
            <w:vAlign w:val="bottom"/>
            <w:gridSpan w:val="4"/>
          </w:tcPr>
          <w:p>
            <w:pPr>
              <w:spacing w:after="0"/>
              <w:rPr>
                <w:rFonts w:ascii="Arial" w:cs="Arial" w:eastAsia="Arial" w:hAnsi="Arial"/>
                <w:sz w:val="17"/>
                <w:szCs w:val="17"/>
                <w:color w:val="0000FF"/>
              </w:rPr>
            </w:pPr>
            <w:hyperlink w:anchor="page72">
              <w:r>
                <w:rPr>
                  <w:rFonts w:ascii="Arial" w:cs="Arial" w:eastAsia="Arial" w:hAnsi="Arial"/>
                  <w:sz w:val="17"/>
                  <w:szCs w:val="17"/>
                  <w:color w:val="0000FF"/>
                </w:rPr>
                <w:t>Item 3.</w:t>
              </w:r>
            </w:hyperlink>
          </w:p>
        </w:tc>
        <w:tc>
          <w:tcPr>
            <w:tcW w:w="7900" w:type="dxa"/>
            <w:vAlign w:val="bottom"/>
            <w:gridSpan w:val="18"/>
          </w:tcPr>
          <w:p>
            <w:pPr>
              <w:spacing w:after="0"/>
              <w:rPr>
                <w:rFonts w:ascii="Arial" w:cs="Arial" w:eastAsia="Arial" w:hAnsi="Arial"/>
                <w:sz w:val="17"/>
                <w:szCs w:val="17"/>
                <w:color w:val="0000FF"/>
              </w:rPr>
            </w:pPr>
            <w:hyperlink w:anchor="page72">
              <w:r>
                <w:rPr>
                  <w:rFonts w:ascii="Arial" w:cs="Arial" w:eastAsia="Arial" w:hAnsi="Arial"/>
                  <w:sz w:val="17"/>
                  <w:szCs w:val="17"/>
                  <w:color w:val="0000FF"/>
                </w:rPr>
                <w:t>Defaults Upon Senior Securities</w:t>
              </w:r>
            </w:hyperlink>
          </w:p>
        </w:tc>
        <w:tc>
          <w:tcPr>
            <w:tcW w:w="1880" w:type="dxa"/>
            <w:vAlign w:val="bottom"/>
            <w:gridSpan w:val="2"/>
          </w:tcPr>
          <w:p>
            <w:pPr>
              <w:jc w:val="center"/>
              <w:ind w:left="1634"/>
              <w:spacing w:after="0"/>
              <w:rPr>
                <w:rFonts w:ascii="Arial" w:cs="Arial" w:eastAsia="Arial" w:hAnsi="Arial"/>
                <w:sz w:val="17"/>
                <w:szCs w:val="17"/>
                <w:color w:val="0000FF"/>
                <w:w w:val="84"/>
              </w:rPr>
            </w:pPr>
            <w:hyperlink w:anchor="page72">
              <w:r>
                <w:rPr>
                  <w:rFonts w:ascii="Arial" w:cs="Arial" w:eastAsia="Arial" w:hAnsi="Arial"/>
                  <w:sz w:val="17"/>
                  <w:szCs w:val="17"/>
                  <w:color w:val="0000FF"/>
                  <w:w w:val="84"/>
                </w:rPr>
                <w:t>68</w:t>
              </w:r>
            </w:hyperlink>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0" w:type="dxa"/>
            <w:vAlign w:val="bottom"/>
            <w:gridSpan w:val="4"/>
          </w:tcPr>
          <w:p>
            <w:pPr>
              <w:spacing w:after="0"/>
              <w:rPr>
                <w:rFonts w:ascii="Arial" w:cs="Arial" w:eastAsia="Arial" w:hAnsi="Arial"/>
                <w:sz w:val="17"/>
                <w:szCs w:val="17"/>
                <w:color w:val="0000FF"/>
              </w:rPr>
            </w:pPr>
            <w:hyperlink w:anchor="page72">
              <w:r>
                <w:rPr>
                  <w:rFonts w:ascii="Arial" w:cs="Arial" w:eastAsia="Arial" w:hAnsi="Arial"/>
                  <w:sz w:val="17"/>
                  <w:szCs w:val="17"/>
                  <w:color w:val="0000FF"/>
                </w:rPr>
                <w:t>Item 4.</w:t>
              </w:r>
            </w:hyperlink>
          </w:p>
        </w:tc>
        <w:tc>
          <w:tcPr>
            <w:tcW w:w="7900" w:type="dxa"/>
            <w:vAlign w:val="bottom"/>
            <w:gridSpan w:val="18"/>
          </w:tcPr>
          <w:p>
            <w:pPr>
              <w:spacing w:after="0"/>
              <w:rPr>
                <w:rFonts w:ascii="Arial" w:cs="Arial" w:eastAsia="Arial" w:hAnsi="Arial"/>
                <w:sz w:val="17"/>
                <w:szCs w:val="17"/>
                <w:color w:val="0000FF"/>
              </w:rPr>
            </w:pPr>
            <w:hyperlink w:anchor="page72">
              <w:r>
                <w:rPr>
                  <w:rFonts w:ascii="Arial" w:cs="Arial" w:eastAsia="Arial" w:hAnsi="Arial"/>
                  <w:sz w:val="17"/>
                  <w:szCs w:val="17"/>
                  <w:color w:val="0000FF"/>
                </w:rPr>
                <w:t>Mine Safety Disclosures</w:t>
              </w:r>
            </w:hyperlink>
          </w:p>
        </w:tc>
        <w:tc>
          <w:tcPr>
            <w:tcW w:w="1880" w:type="dxa"/>
            <w:vAlign w:val="bottom"/>
            <w:gridSpan w:val="2"/>
          </w:tcPr>
          <w:p>
            <w:pPr>
              <w:jc w:val="center"/>
              <w:ind w:left="1634"/>
              <w:spacing w:after="0"/>
              <w:rPr>
                <w:rFonts w:ascii="Arial" w:cs="Arial" w:eastAsia="Arial" w:hAnsi="Arial"/>
                <w:sz w:val="17"/>
                <w:szCs w:val="17"/>
                <w:color w:val="0000FF"/>
                <w:w w:val="84"/>
              </w:rPr>
            </w:pPr>
            <w:hyperlink w:anchor="page72">
              <w:r>
                <w:rPr>
                  <w:rFonts w:ascii="Arial" w:cs="Arial" w:eastAsia="Arial" w:hAnsi="Arial"/>
                  <w:sz w:val="17"/>
                  <w:szCs w:val="17"/>
                  <w:color w:val="0000FF"/>
                  <w:w w:val="84"/>
                </w:rPr>
                <w:t>68</w:t>
              </w:r>
            </w:hyperlink>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0" w:type="dxa"/>
            <w:vAlign w:val="bottom"/>
            <w:gridSpan w:val="4"/>
          </w:tcPr>
          <w:p>
            <w:pPr>
              <w:spacing w:after="0"/>
              <w:rPr>
                <w:rFonts w:ascii="Arial" w:cs="Arial" w:eastAsia="Arial" w:hAnsi="Arial"/>
                <w:sz w:val="17"/>
                <w:szCs w:val="17"/>
                <w:color w:val="0000FF"/>
              </w:rPr>
            </w:pPr>
            <w:hyperlink w:anchor="page72">
              <w:r>
                <w:rPr>
                  <w:rFonts w:ascii="Arial" w:cs="Arial" w:eastAsia="Arial" w:hAnsi="Arial"/>
                  <w:sz w:val="17"/>
                  <w:szCs w:val="17"/>
                  <w:color w:val="0000FF"/>
                </w:rPr>
                <w:t>Item 5.</w:t>
              </w:r>
            </w:hyperlink>
          </w:p>
        </w:tc>
        <w:tc>
          <w:tcPr>
            <w:tcW w:w="7900" w:type="dxa"/>
            <w:vAlign w:val="bottom"/>
            <w:gridSpan w:val="18"/>
          </w:tcPr>
          <w:p>
            <w:pPr>
              <w:spacing w:after="0"/>
              <w:rPr>
                <w:rFonts w:ascii="Arial" w:cs="Arial" w:eastAsia="Arial" w:hAnsi="Arial"/>
                <w:sz w:val="17"/>
                <w:szCs w:val="17"/>
                <w:color w:val="0000FF"/>
              </w:rPr>
            </w:pPr>
            <w:hyperlink w:anchor="page72">
              <w:r>
                <w:rPr>
                  <w:rFonts w:ascii="Arial" w:cs="Arial" w:eastAsia="Arial" w:hAnsi="Arial"/>
                  <w:sz w:val="17"/>
                  <w:szCs w:val="17"/>
                  <w:color w:val="0000FF"/>
                </w:rPr>
                <w:t>Other Information</w:t>
              </w:r>
            </w:hyperlink>
          </w:p>
        </w:tc>
        <w:tc>
          <w:tcPr>
            <w:tcW w:w="1880" w:type="dxa"/>
            <w:vAlign w:val="bottom"/>
            <w:gridSpan w:val="2"/>
          </w:tcPr>
          <w:p>
            <w:pPr>
              <w:jc w:val="center"/>
              <w:ind w:left="1634"/>
              <w:spacing w:after="0"/>
              <w:rPr>
                <w:rFonts w:ascii="Arial" w:cs="Arial" w:eastAsia="Arial" w:hAnsi="Arial"/>
                <w:sz w:val="17"/>
                <w:szCs w:val="17"/>
                <w:color w:val="0000FF"/>
                <w:w w:val="84"/>
              </w:rPr>
            </w:pPr>
            <w:hyperlink w:anchor="page72">
              <w:r>
                <w:rPr>
                  <w:rFonts w:ascii="Arial" w:cs="Arial" w:eastAsia="Arial" w:hAnsi="Arial"/>
                  <w:sz w:val="17"/>
                  <w:szCs w:val="17"/>
                  <w:color w:val="0000FF"/>
                  <w:w w:val="84"/>
                </w:rPr>
                <w:t>68</w:t>
              </w:r>
            </w:hyperlink>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760" w:type="dxa"/>
            <w:vAlign w:val="bottom"/>
            <w:gridSpan w:val="11"/>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0" w:type="dxa"/>
            <w:vAlign w:val="bottom"/>
            <w:gridSpan w:val="4"/>
          </w:tcPr>
          <w:p>
            <w:pPr>
              <w:spacing w:after="0"/>
              <w:rPr>
                <w:rFonts w:ascii="Arial" w:cs="Arial" w:eastAsia="Arial" w:hAnsi="Arial"/>
                <w:sz w:val="17"/>
                <w:szCs w:val="17"/>
                <w:color w:val="0000FF"/>
              </w:rPr>
            </w:pPr>
            <w:hyperlink w:anchor="page72">
              <w:r>
                <w:rPr>
                  <w:rFonts w:ascii="Arial" w:cs="Arial" w:eastAsia="Arial" w:hAnsi="Arial"/>
                  <w:sz w:val="17"/>
                  <w:szCs w:val="17"/>
                  <w:color w:val="0000FF"/>
                </w:rPr>
                <w:t>Item 6.</w:t>
              </w:r>
            </w:hyperlink>
          </w:p>
        </w:tc>
        <w:tc>
          <w:tcPr>
            <w:tcW w:w="7900" w:type="dxa"/>
            <w:vAlign w:val="bottom"/>
            <w:gridSpan w:val="18"/>
          </w:tcPr>
          <w:p>
            <w:pPr>
              <w:spacing w:after="0"/>
              <w:rPr>
                <w:rFonts w:ascii="Arial" w:cs="Arial" w:eastAsia="Arial" w:hAnsi="Arial"/>
                <w:sz w:val="17"/>
                <w:szCs w:val="17"/>
                <w:color w:val="0000FF"/>
              </w:rPr>
            </w:pPr>
            <w:hyperlink w:anchor="page72">
              <w:r>
                <w:rPr>
                  <w:rFonts w:ascii="Arial" w:cs="Arial" w:eastAsia="Arial" w:hAnsi="Arial"/>
                  <w:sz w:val="17"/>
                  <w:szCs w:val="17"/>
                  <w:color w:val="0000FF"/>
                </w:rPr>
                <w:t>Exhibits</w:t>
              </w:r>
            </w:hyperlink>
          </w:p>
        </w:tc>
        <w:tc>
          <w:tcPr>
            <w:tcW w:w="1880" w:type="dxa"/>
            <w:vAlign w:val="bottom"/>
            <w:gridSpan w:val="2"/>
          </w:tcPr>
          <w:p>
            <w:pPr>
              <w:jc w:val="center"/>
              <w:ind w:left="1634"/>
              <w:spacing w:after="0"/>
              <w:rPr>
                <w:rFonts w:ascii="Arial" w:cs="Arial" w:eastAsia="Arial" w:hAnsi="Arial"/>
                <w:sz w:val="17"/>
                <w:szCs w:val="17"/>
                <w:color w:val="0000FF"/>
                <w:w w:val="84"/>
              </w:rPr>
            </w:pPr>
            <w:hyperlink w:anchor="page72">
              <w:r>
                <w:rPr>
                  <w:rFonts w:ascii="Arial" w:cs="Arial" w:eastAsia="Arial" w:hAnsi="Arial"/>
                  <w:sz w:val="17"/>
                  <w:szCs w:val="17"/>
                  <w:color w:val="0000FF"/>
                  <w:w w:val="84"/>
                </w:rPr>
                <w:t>69</w:t>
              </w:r>
            </w:hyperlink>
          </w:p>
        </w:tc>
        <w:tc>
          <w:tcPr>
            <w:tcW w:w="3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gridSpan w:val="15"/>
          </w:tcPr>
          <w:p>
            <w:pPr>
              <w:ind w:left="120"/>
              <w:spacing w:after="0"/>
              <w:rPr>
                <w:rFonts w:ascii="Arial" w:cs="Arial" w:eastAsia="Arial" w:hAnsi="Arial"/>
                <w:sz w:val="17"/>
                <w:szCs w:val="17"/>
                <w:color w:val="0000FF"/>
              </w:rPr>
            </w:pPr>
            <w:hyperlink w:anchor="page73">
              <w:r>
                <w:rPr>
                  <w:rFonts w:ascii="Arial" w:cs="Arial" w:eastAsia="Arial" w:hAnsi="Arial"/>
                  <w:sz w:val="17"/>
                  <w:szCs w:val="17"/>
                  <w:color w:val="0000FF"/>
                </w:rPr>
                <w:t>Signatures</w:t>
              </w:r>
            </w:hyperlink>
          </w:p>
        </w:tc>
        <w:tc>
          <w:tcPr>
            <w:tcW w:w="18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r>
      <w:tr>
        <w:trPr>
          <w:trHeight w:val="1997"/>
        </w:trPr>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7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This Quarterly Report on Form 10-Q (“Quarterly Report”) contains forward-looking statements. All statements other than statements of historical facts contained in this Quarterly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32"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spacing w:after="0" w:line="124" w:lineRule="exact"/>
        <w:rPr>
          <w:sz w:val="20"/>
          <w:szCs w:val="20"/>
          <w:color w:val="auto"/>
        </w:rPr>
      </w:pPr>
    </w:p>
    <w:p>
      <w:pPr>
        <w:ind w:left="620" w:hanging="307"/>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estimates of our addressable market, market growth, key performance indicators, capital requirements and our needs for additional financing;</w:t>
      </w:r>
    </w:p>
    <w:p>
      <w:pPr>
        <w:spacing w:after="0" w:line="176" w:lineRule="exact"/>
        <w:rPr>
          <w:rFonts w:ascii="Arial" w:cs="Arial" w:eastAsia="Arial" w:hAnsi="Arial"/>
          <w:sz w:val="16"/>
          <w:szCs w:val="16"/>
          <w:color w:val="auto"/>
        </w:rPr>
      </w:pPr>
    </w:p>
    <w:p>
      <w:pPr>
        <w:ind w:left="620" w:right="460" w:hanging="307"/>
        <w:spacing w:after="0" w:line="279" w:lineRule="auto"/>
        <w:tabs>
          <w:tab w:leader="none" w:pos="616"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regarding our financial performance, including among others, revenue, cost of revenue, gross profit, operating expenses, loss from operations and net losses;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implement our three phase commercialization plan, including our ability to attract customers during the broad release phase;</w:t>
      </w:r>
    </w:p>
    <w:p>
      <w:pPr>
        <w:spacing w:after="0" w:line="176" w:lineRule="exact"/>
        <w:rPr>
          <w:rFonts w:ascii="Arial" w:cs="Arial" w:eastAsia="Arial" w:hAnsi="Arial"/>
          <w:sz w:val="16"/>
          <w:szCs w:val="16"/>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implementation of our business model, strategic plans and expected pricing for the Proteograph™ Product Suite;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regarding the rate and degree of market acceptance of the Proteograph Product Suite;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the Proteograph Product Suite on the field of proteomics and the size and growth of the addressable proteomics market;</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competitive companies and technologies and our industry;</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manage and grow our business;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develop and commercialize new products;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establish and maintain intellectual property protection for our products or avoid or defend claims of infringement;</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performance of third-party manufacturers and suppliers;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potential effects of government regulation;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hire and retain key personnel and to manage our future growth effectively;</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volatility of the trading price of our Class A common stock;</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benefits of the PrognomIQ, Inc. transaction;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local, regional, and national and international economic conditions and events;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COVID-19 on our business;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about market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951865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80"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Quarterly Report, whether as a result of any new information, future events or otherwise.</w:t>
      </w:r>
    </w:p>
    <w:p>
      <w:pPr>
        <w:spacing w:after="0" w:line="135" w:lineRule="exact"/>
        <w:rPr>
          <w:sz w:val="20"/>
          <w:szCs w:val="20"/>
          <w:color w:val="auto"/>
        </w:rPr>
      </w:pPr>
    </w:p>
    <w:p>
      <w:pPr>
        <w:ind w:right="220"/>
        <w:spacing w:after="0" w:line="307"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908050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center"/>
        <w:ind w:right="100"/>
        <w:spacing w:after="0"/>
        <w:rPr>
          <w:sz w:val="20"/>
          <w:szCs w:val="20"/>
          <w:color w:val="auto"/>
        </w:rPr>
      </w:pPr>
      <w:r>
        <w:rPr>
          <w:rFonts w:ascii="Arial" w:cs="Arial" w:eastAsia="Arial" w:hAnsi="Arial"/>
          <w:sz w:val="17"/>
          <w:szCs w:val="17"/>
          <w:b w:val="1"/>
          <w:bCs w:val="1"/>
          <w:color w:val="auto"/>
        </w:rPr>
        <w:t>PART I—FINANCIAL INFORMATION</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27"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(Unaudited)</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i w:val="1"/>
          <w:iCs w:val="1"/>
          <w:color w:val="auto"/>
        </w:rPr>
        <w:t>(in thousands, except share and per share amounts)</w:t>
      </w:r>
    </w:p>
    <w:p>
      <w:pPr>
        <w:spacing w:after="0" w:line="91" w:lineRule="exact"/>
        <w:rPr>
          <w:sz w:val="20"/>
          <w:szCs w:val="20"/>
          <w:color w:val="auto"/>
        </w:rPr>
      </w:pPr>
    </w:p>
    <w:tbl>
      <w:tblPr>
        <w:tblLayout w:type="fixed"/>
        <w:tblInd w:w="620" w:type="dxa"/>
        <w:tblCellMar>
          <w:top w:w="0" w:type="dxa"/>
          <w:left w:w="0" w:type="dxa"/>
          <w:bottom w:w="0" w:type="dxa"/>
          <w:right w:w="0" w:type="dxa"/>
        </w:tblCellMar>
      </w:tblPr>
      <w:tr>
        <w:trPr>
          <w:trHeight w:val="178"/>
        </w:trPr>
        <w:tc>
          <w:tcPr>
            <w:tcW w:w="6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8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December 3</w:t>
            </w:r>
          </w:p>
        </w:tc>
        <w:tc>
          <w:tcPr>
            <w:tcW w:w="0" w:type="dxa"/>
            <w:vAlign w:val="bottom"/>
          </w:tcPr>
          <w:p>
            <w:pPr>
              <w:spacing w:after="0"/>
              <w:rPr>
                <w:sz w:val="1"/>
                <w:szCs w:val="1"/>
                <w:color w:val="auto"/>
              </w:rPr>
            </w:pPr>
          </w:p>
        </w:tc>
      </w:tr>
      <w:tr>
        <w:trPr>
          <w:trHeight w:val="186"/>
        </w:trPr>
        <w:tc>
          <w:tcPr>
            <w:tcW w:w="67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5"/>
        </w:trPr>
        <w:tc>
          <w:tcPr>
            <w:tcW w:w="6780" w:type="dxa"/>
            <w:vAlign w:val="bottom"/>
            <w:shd w:val="clear" w:color="auto" w:fill="CCEEFF"/>
          </w:tcPr>
          <w:p>
            <w:pPr>
              <w:ind w:left="640"/>
              <w:spacing w:after="0"/>
              <w:rPr>
                <w:sz w:val="20"/>
                <w:szCs w:val="20"/>
                <w:color w:val="auto"/>
              </w:rPr>
            </w:pPr>
            <w:r>
              <w:rPr>
                <w:rFonts w:ascii="Arial" w:cs="Arial" w:eastAsia="Arial" w:hAnsi="Arial"/>
                <w:sz w:val="17"/>
                <w:szCs w:val="17"/>
                <w:b w:val="1"/>
                <w:bCs w:val="1"/>
                <w:color w:val="auto"/>
              </w:rPr>
              <w:t>ASSETS</w:t>
            </w:r>
          </w:p>
        </w:tc>
        <w:tc>
          <w:tcPr>
            <w:tcW w:w="9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640"/>
              <w:spacing w:after="0"/>
              <w:rPr>
                <w:sz w:val="20"/>
                <w:szCs w:val="20"/>
                <w:color w:val="auto"/>
              </w:rPr>
            </w:pPr>
            <w:r>
              <w:rPr>
                <w:rFonts w:ascii="Arial" w:cs="Arial" w:eastAsia="Arial" w:hAnsi="Arial"/>
                <w:sz w:val="17"/>
                <w:szCs w:val="17"/>
                <w:color w:val="auto"/>
              </w:rPr>
              <w:t>Current assets:</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Cash and cash equivalents</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225,334</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30"/>
        </w:trPr>
        <w:tc>
          <w:tcPr>
            <w:tcW w:w="6780" w:type="dxa"/>
            <w:vAlign w:val="bottom"/>
          </w:tcPr>
          <w:p>
            <w:pPr>
              <w:ind w:left="840"/>
              <w:spacing w:after="0"/>
              <w:rPr>
                <w:sz w:val="20"/>
                <w:szCs w:val="20"/>
                <w:color w:val="auto"/>
              </w:rPr>
            </w:pPr>
            <w:r>
              <w:rPr>
                <w:rFonts w:ascii="Arial" w:cs="Arial" w:eastAsia="Arial" w:hAnsi="Arial"/>
                <w:sz w:val="17"/>
                <w:szCs w:val="17"/>
                <w:color w:val="auto"/>
              </w:rPr>
              <w:t>Short-term investments</w:t>
            </w:r>
          </w:p>
        </w:tc>
        <w:tc>
          <w:tcPr>
            <w:tcW w:w="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219,892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Accounts receivable, net</w:t>
            </w:r>
          </w:p>
        </w:tc>
        <w:tc>
          <w:tcPr>
            <w:tcW w:w="9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2,793</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840"/>
              <w:spacing w:after="0"/>
              <w:rPr>
                <w:sz w:val="20"/>
                <w:szCs w:val="20"/>
                <w:color w:val="auto"/>
              </w:rPr>
            </w:pPr>
            <w:r>
              <w:rPr>
                <w:rFonts w:ascii="Arial" w:cs="Arial" w:eastAsia="Arial" w:hAnsi="Arial"/>
                <w:sz w:val="17"/>
                <w:szCs w:val="17"/>
                <w:color w:val="auto"/>
              </w:rPr>
              <w:t>Related party receivables</w:t>
            </w:r>
          </w:p>
        </w:tc>
        <w:tc>
          <w:tcPr>
            <w:tcW w:w="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1,126</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Other receivables</w:t>
            </w:r>
          </w:p>
        </w:tc>
        <w:tc>
          <w:tcPr>
            <w:tcW w:w="9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840"/>
              <w:spacing w:after="0"/>
              <w:rPr>
                <w:sz w:val="20"/>
                <w:szCs w:val="20"/>
                <w:color w:val="auto"/>
              </w:rPr>
            </w:pPr>
            <w:r>
              <w:rPr>
                <w:rFonts w:ascii="Arial" w:cs="Arial" w:eastAsia="Arial" w:hAnsi="Arial"/>
                <w:sz w:val="17"/>
                <w:szCs w:val="17"/>
                <w:color w:val="auto"/>
              </w:rPr>
              <w:t>Inventory</w:t>
            </w:r>
          </w:p>
        </w:tc>
        <w:tc>
          <w:tcPr>
            <w:tcW w:w="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3,550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7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Prepaid expenses and other current assets</w:t>
            </w:r>
          </w:p>
        </w:tc>
        <w:tc>
          <w:tcPr>
            <w:tcW w:w="9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4,221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1060"/>
              <w:spacing w:after="0"/>
              <w:rPr>
                <w:sz w:val="20"/>
                <w:szCs w:val="20"/>
                <w:color w:val="auto"/>
              </w:rPr>
            </w:pPr>
            <w:r>
              <w:rPr>
                <w:rFonts w:ascii="Arial" w:cs="Arial" w:eastAsia="Arial" w:hAnsi="Arial"/>
                <w:sz w:val="17"/>
                <w:szCs w:val="17"/>
                <w:color w:val="auto"/>
              </w:rPr>
              <w:t>Total current assets</w:t>
            </w:r>
          </w:p>
        </w:tc>
        <w:tc>
          <w:tcPr>
            <w:tcW w:w="9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457,456</w:t>
            </w: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Long-term investments</w:t>
            </w:r>
          </w:p>
        </w:tc>
        <w:tc>
          <w:tcPr>
            <w:tcW w:w="9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26,550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30"/>
        </w:trPr>
        <w:tc>
          <w:tcPr>
            <w:tcW w:w="6780" w:type="dxa"/>
            <w:vAlign w:val="bottom"/>
          </w:tcPr>
          <w:p>
            <w:pPr>
              <w:ind w:left="640"/>
              <w:spacing w:after="0"/>
              <w:rPr>
                <w:sz w:val="20"/>
                <w:szCs w:val="20"/>
                <w:color w:val="auto"/>
              </w:rPr>
            </w:pPr>
            <w:r>
              <w:rPr>
                <w:rFonts w:ascii="Arial" w:cs="Arial" w:eastAsia="Arial" w:hAnsi="Arial"/>
                <w:sz w:val="17"/>
                <w:szCs w:val="17"/>
                <w:color w:val="auto"/>
              </w:rPr>
              <w:t>Operating lease right-of-use assets</w:t>
            </w:r>
          </w:p>
        </w:tc>
        <w:tc>
          <w:tcPr>
            <w:tcW w:w="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28,411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Property and equipment, net</w:t>
            </w:r>
          </w:p>
        </w:tc>
        <w:tc>
          <w:tcPr>
            <w:tcW w:w="9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13,654</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0"/>
        </w:trPr>
        <w:tc>
          <w:tcPr>
            <w:tcW w:w="6780" w:type="dxa"/>
            <w:vAlign w:val="bottom"/>
          </w:tcPr>
          <w:p>
            <w:pPr>
              <w:ind w:left="640"/>
              <w:spacing w:after="0"/>
              <w:rPr>
                <w:sz w:val="20"/>
                <w:szCs w:val="20"/>
                <w:color w:val="auto"/>
              </w:rPr>
            </w:pPr>
            <w:r>
              <w:rPr>
                <w:rFonts w:ascii="Arial" w:cs="Arial" w:eastAsia="Arial" w:hAnsi="Arial"/>
                <w:sz w:val="17"/>
                <w:szCs w:val="17"/>
                <w:color w:val="auto"/>
              </w:rPr>
              <w:t>Restricted cash</w:t>
            </w:r>
          </w:p>
        </w:tc>
        <w:tc>
          <w:tcPr>
            <w:tcW w:w="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524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7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Other assets</w:t>
            </w:r>
          </w:p>
        </w:tc>
        <w:tc>
          <w:tcPr>
            <w:tcW w:w="9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100" w:type="dxa"/>
            <w:vAlign w:val="bottom"/>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780" w:type="dxa"/>
            <w:vAlign w:val="bottom"/>
          </w:tcPr>
          <w:p>
            <w:pPr>
              <w:ind w:left="1060"/>
              <w:spacing w:after="0"/>
              <w:rPr>
                <w:sz w:val="20"/>
                <w:szCs w:val="20"/>
                <w:color w:val="auto"/>
              </w:rPr>
            </w:pPr>
            <w:r>
              <w:rPr>
                <w:rFonts w:ascii="Arial" w:cs="Arial" w:eastAsia="Arial" w:hAnsi="Arial"/>
                <w:sz w:val="17"/>
                <w:szCs w:val="17"/>
                <w:color w:val="auto"/>
              </w:rPr>
              <w:t>Total assets</w:t>
            </w: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527,085</w:t>
            </w:r>
          </w:p>
        </w:tc>
        <w:tc>
          <w:tcPr>
            <w:tcW w:w="100" w:type="dxa"/>
            <w:vAlign w:val="bottom"/>
          </w:tcPr>
          <w:p>
            <w:pPr>
              <w:spacing w:after="0"/>
              <w:rPr>
                <w:sz w:val="21"/>
                <w:szCs w:val="21"/>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78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LIABILITIES AND STOCKHOLDERS’ EQUITY</w:t>
            </w:r>
          </w:p>
        </w:tc>
        <w:tc>
          <w:tcPr>
            <w:tcW w:w="9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640"/>
              <w:spacing w:after="0"/>
              <w:rPr>
                <w:sz w:val="20"/>
                <w:szCs w:val="20"/>
                <w:color w:val="auto"/>
              </w:rPr>
            </w:pPr>
            <w:r>
              <w:rPr>
                <w:rFonts w:ascii="Arial" w:cs="Arial" w:eastAsia="Arial" w:hAnsi="Arial"/>
                <w:sz w:val="17"/>
                <w:szCs w:val="17"/>
                <w:color w:val="auto"/>
              </w:rPr>
              <w:t>Current liabilities:</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Accounts payable</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3,291</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840"/>
              <w:spacing w:after="0"/>
              <w:rPr>
                <w:sz w:val="20"/>
                <w:szCs w:val="20"/>
                <w:color w:val="auto"/>
              </w:rPr>
            </w:pPr>
            <w:r>
              <w:rPr>
                <w:rFonts w:ascii="Arial" w:cs="Arial" w:eastAsia="Arial" w:hAnsi="Arial"/>
                <w:sz w:val="17"/>
                <w:szCs w:val="17"/>
                <w:color w:val="auto"/>
              </w:rPr>
              <w:t>Accrued expenses</w:t>
            </w:r>
          </w:p>
        </w:tc>
        <w:tc>
          <w:tcPr>
            <w:tcW w:w="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6,377</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Deferred revenue</w:t>
            </w:r>
          </w:p>
        </w:tc>
        <w:tc>
          <w:tcPr>
            <w:tcW w:w="9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840"/>
              <w:spacing w:after="0"/>
              <w:rPr>
                <w:sz w:val="20"/>
                <w:szCs w:val="20"/>
                <w:color w:val="auto"/>
              </w:rPr>
            </w:pPr>
            <w:r>
              <w:rPr>
                <w:rFonts w:ascii="Arial" w:cs="Arial" w:eastAsia="Arial" w:hAnsi="Arial"/>
                <w:sz w:val="17"/>
                <w:szCs w:val="17"/>
                <w:color w:val="auto"/>
              </w:rPr>
              <w:t>Operating lease liabilities, current</w:t>
            </w:r>
          </w:p>
        </w:tc>
        <w:tc>
          <w:tcPr>
            <w:tcW w:w="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1,090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color w:val="auto"/>
              </w:rPr>
              <w:t>Total current liabilities</w:t>
            </w:r>
          </w:p>
        </w:tc>
        <w:tc>
          <w:tcPr>
            <w:tcW w:w="9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11,152</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0"/>
        </w:trPr>
        <w:tc>
          <w:tcPr>
            <w:tcW w:w="6780" w:type="dxa"/>
            <w:vAlign w:val="bottom"/>
          </w:tcPr>
          <w:p>
            <w:pPr>
              <w:ind w:left="640"/>
              <w:spacing w:after="0"/>
              <w:rPr>
                <w:sz w:val="20"/>
                <w:szCs w:val="20"/>
                <w:color w:val="auto"/>
              </w:rPr>
            </w:pPr>
            <w:r>
              <w:rPr>
                <w:rFonts w:ascii="Arial" w:cs="Arial" w:eastAsia="Arial" w:hAnsi="Arial"/>
                <w:sz w:val="17"/>
                <w:szCs w:val="17"/>
                <w:color w:val="auto"/>
              </w:rPr>
              <w:t>Operating lease liabilities, net of current portion</w:t>
            </w:r>
          </w:p>
        </w:tc>
        <w:tc>
          <w:tcPr>
            <w:tcW w:w="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29,134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7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Other noncurrent liabilities</w:t>
            </w:r>
          </w:p>
        </w:tc>
        <w:tc>
          <w:tcPr>
            <w:tcW w:w="9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1060"/>
              <w:spacing w:after="0"/>
              <w:rPr>
                <w:sz w:val="20"/>
                <w:szCs w:val="20"/>
                <w:color w:val="auto"/>
              </w:rPr>
            </w:pPr>
            <w:r>
              <w:rPr>
                <w:rFonts w:ascii="Arial" w:cs="Arial" w:eastAsia="Arial" w:hAnsi="Arial"/>
                <w:sz w:val="17"/>
                <w:szCs w:val="17"/>
                <w:color w:val="auto"/>
              </w:rPr>
              <w:t>Total liabilities</w:t>
            </w:r>
          </w:p>
        </w:tc>
        <w:tc>
          <w:tcPr>
            <w:tcW w:w="9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40,627</w:t>
            </w: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Commitments and contingencies (Note 8)</w:t>
            </w:r>
          </w:p>
        </w:tc>
        <w:tc>
          <w:tcPr>
            <w:tcW w:w="9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640"/>
              <w:spacing w:after="0"/>
              <w:rPr>
                <w:sz w:val="20"/>
                <w:szCs w:val="20"/>
                <w:color w:val="auto"/>
              </w:rPr>
            </w:pPr>
            <w:r>
              <w:rPr>
                <w:rFonts w:ascii="Arial" w:cs="Arial" w:eastAsia="Arial" w:hAnsi="Arial"/>
                <w:sz w:val="17"/>
                <w:szCs w:val="17"/>
                <w:color w:val="auto"/>
              </w:rPr>
              <w:t>Stockholders’ equity:</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780" w:type="dxa"/>
            <w:vAlign w:val="bottom"/>
            <w:shd w:val="clear" w:color="auto" w:fill="CCEEFF"/>
          </w:tcPr>
          <w:p>
            <w:pPr>
              <w:ind w:left="220"/>
              <w:spacing w:after="0" w:line="168" w:lineRule="exact"/>
              <w:rPr>
                <w:sz w:val="20"/>
                <w:szCs w:val="20"/>
                <w:color w:val="auto"/>
              </w:rPr>
            </w:pPr>
            <w:r>
              <w:rPr>
                <w:rFonts w:ascii="Arial" w:cs="Arial" w:eastAsia="Arial" w:hAnsi="Arial"/>
                <w:sz w:val="17"/>
                <w:szCs w:val="17"/>
                <w:color w:val="auto"/>
                <w:w w:val="94"/>
              </w:rPr>
              <w:t>Preferred stock, $0.00001 par value; 5,000,000 shares authorized as of March 31, 2022 and</w:t>
            </w:r>
          </w:p>
        </w:tc>
        <w:tc>
          <w:tcPr>
            <w:tcW w:w="9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80" w:type="dxa"/>
            <w:vAlign w:val="bottom"/>
            <w:shd w:val="clear" w:color="auto" w:fill="CCEEFF"/>
          </w:tcPr>
          <w:p>
            <w:pPr>
              <w:ind w:left="380"/>
              <w:spacing w:after="0" w:line="167" w:lineRule="exact"/>
              <w:rPr>
                <w:sz w:val="20"/>
                <w:szCs w:val="20"/>
                <w:color w:val="auto"/>
              </w:rPr>
            </w:pPr>
            <w:r>
              <w:rPr>
                <w:rFonts w:ascii="Arial" w:cs="Arial" w:eastAsia="Arial" w:hAnsi="Arial"/>
                <w:sz w:val="17"/>
                <w:szCs w:val="17"/>
                <w:color w:val="auto"/>
                <w:w w:val="90"/>
              </w:rPr>
              <w:t>December 31, 2021; zero shares issued and outstanding as of March 31, 2022 and December</w:t>
            </w:r>
          </w:p>
        </w:tc>
        <w:tc>
          <w:tcPr>
            <w:tcW w:w="9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380"/>
              <w:spacing w:after="0"/>
              <w:rPr>
                <w:sz w:val="20"/>
                <w:szCs w:val="20"/>
                <w:color w:val="auto"/>
              </w:rPr>
            </w:pPr>
            <w:r>
              <w:rPr>
                <w:rFonts w:ascii="Arial" w:cs="Arial" w:eastAsia="Arial" w:hAnsi="Arial"/>
                <w:sz w:val="17"/>
                <w:szCs w:val="17"/>
                <w:color w:val="auto"/>
              </w:rPr>
              <w:t>31, 2021</w:t>
            </w:r>
          </w:p>
        </w:tc>
        <w:tc>
          <w:tcPr>
            <w:tcW w:w="900" w:type="dxa"/>
            <w:vAlign w:val="bottom"/>
            <w:shd w:val="clear" w:color="auto" w:fill="CCEEFF"/>
          </w:tcPr>
          <w:p>
            <w:pPr>
              <w:spacing w:after="0"/>
              <w:rPr>
                <w:sz w:val="18"/>
                <w:szCs w:val="18"/>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678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CCEEFF"/>
            </w:tcBorders>
            <w:gridSpan w:val="2"/>
            <w:vMerge w:val="continue"/>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780" w:type="dxa"/>
            <w:vAlign w:val="bottom"/>
          </w:tcPr>
          <w:p>
            <w:pPr>
              <w:ind w:left="220"/>
              <w:spacing w:after="0" w:line="168" w:lineRule="exact"/>
              <w:rPr>
                <w:sz w:val="20"/>
                <w:szCs w:val="20"/>
                <w:color w:val="auto"/>
              </w:rPr>
            </w:pPr>
            <w:r>
              <w:rPr>
                <w:rFonts w:ascii="Arial" w:cs="Arial" w:eastAsia="Arial" w:hAnsi="Arial"/>
                <w:sz w:val="17"/>
                <w:szCs w:val="17"/>
                <w:color w:val="auto"/>
                <w:w w:val="95"/>
              </w:rPr>
              <w:t>Class A common stock, $0.00001 par value; 94,000,000 shares authorized as of March 31,</w:t>
            </w: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80" w:type="dxa"/>
            <w:vAlign w:val="bottom"/>
          </w:tcPr>
          <w:p>
            <w:pPr>
              <w:ind w:left="380"/>
              <w:spacing w:after="0" w:line="167" w:lineRule="exact"/>
              <w:rPr>
                <w:sz w:val="20"/>
                <w:szCs w:val="20"/>
                <w:color w:val="auto"/>
              </w:rPr>
            </w:pPr>
            <w:r>
              <w:rPr>
                <w:rFonts w:ascii="Arial" w:cs="Arial" w:eastAsia="Arial" w:hAnsi="Arial"/>
                <w:sz w:val="17"/>
                <w:szCs w:val="17"/>
                <w:color w:val="auto"/>
                <w:w w:val="91"/>
              </w:rPr>
              <w:t>2022 and December 31, 2021; 58,237,703 and 57,493,005 shares issued and outstanding as</w:t>
            </w:r>
          </w:p>
        </w:tc>
        <w:tc>
          <w:tcPr>
            <w:tcW w:w="9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780" w:type="dxa"/>
            <w:vAlign w:val="bottom"/>
          </w:tcPr>
          <w:p>
            <w:pPr>
              <w:ind w:left="380"/>
              <w:spacing w:after="0"/>
              <w:rPr>
                <w:sz w:val="20"/>
                <w:szCs w:val="20"/>
                <w:color w:val="auto"/>
              </w:rPr>
            </w:pPr>
            <w:r>
              <w:rPr>
                <w:rFonts w:ascii="Arial" w:cs="Arial" w:eastAsia="Arial" w:hAnsi="Arial"/>
                <w:sz w:val="17"/>
                <w:szCs w:val="17"/>
                <w:color w:val="auto"/>
              </w:rPr>
              <w:t>of March 31, 2022 and December 31, 2021, respectively</w:t>
            </w:r>
          </w:p>
        </w:tc>
        <w:tc>
          <w:tcPr>
            <w:tcW w:w="9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78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w w:val="91"/>
              </w:rPr>
              <w:t>Class B common stock, $0.00001 par value; 6,000,000 shares authorized as of March 31, 2022</w:t>
            </w:r>
          </w:p>
        </w:tc>
        <w:tc>
          <w:tcPr>
            <w:tcW w:w="9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80" w:type="dxa"/>
            <w:vAlign w:val="bottom"/>
            <w:shd w:val="clear" w:color="auto" w:fill="CCEEFF"/>
          </w:tcPr>
          <w:p>
            <w:pPr>
              <w:ind w:left="380"/>
              <w:spacing w:after="0" w:line="167" w:lineRule="exact"/>
              <w:rPr>
                <w:sz w:val="20"/>
                <w:szCs w:val="20"/>
                <w:color w:val="auto"/>
              </w:rPr>
            </w:pPr>
            <w:r>
              <w:rPr>
                <w:rFonts w:ascii="Arial" w:cs="Arial" w:eastAsia="Arial" w:hAnsi="Arial"/>
                <w:sz w:val="17"/>
                <w:szCs w:val="17"/>
                <w:color w:val="auto"/>
                <w:w w:val="89"/>
              </w:rPr>
              <w:t>and December 31, 2021; 4,055,190 and 4,522,478 shares issued and outstanding as of March</w:t>
            </w:r>
          </w:p>
        </w:tc>
        <w:tc>
          <w:tcPr>
            <w:tcW w:w="9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380"/>
              <w:spacing w:after="0"/>
              <w:rPr>
                <w:sz w:val="20"/>
                <w:szCs w:val="20"/>
                <w:color w:val="auto"/>
              </w:rPr>
            </w:pPr>
            <w:r>
              <w:rPr>
                <w:rFonts w:ascii="Arial" w:cs="Arial" w:eastAsia="Arial" w:hAnsi="Arial"/>
                <w:sz w:val="17"/>
                <w:szCs w:val="17"/>
                <w:color w:val="auto"/>
              </w:rPr>
              <w:t>31, 2022 and December 31, 2021, respectively</w:t>
            </w:r>
          </w:p>
        </w:tc>
        <w:tc>
          <w:tcPr>
            <w:tcW w:w="900" w:type="dxa"/>
            <w:vAlign w:val="bottom"/>
            <w:shd w:val="clear" w:color="auto" w:fill="CCEEFF"/>
          </w:tcPr>
          <w:p>
            <w:pPr>
              <w:spacing w:after="0"/>
              <w:rPr>
                <w:sz w:val="18"/>
                <w:szCs w:val="18"/>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678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CCEEFF"/>
            </w:tcBorders>
            <w:gridSpan w:val="2"/>
            <w:vMerge w:val="continue"/>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840"/>
              <w:spacing w:after="0"/>
              <w:rPr>
                <w:sz w:val="20"/>
                <w:szCs w:val="20"/>
                <w:color w:val="auto"/>
              </w:rPr>
            </w:pPr>
            <w:r>
              <w:rPr>
                <w:rFonts w:ascii="Arial" w:cs="Arial" w:eastAsia="Arial" w:hAnsi="Arial"/>
                <w:sz w:val="17"/>
                <w:szCs w:val="17"/>
                <w:color w:val="auto"/>
              </w:rPr>
              <w:t>Additional paid-in capital</w:t>
            </w:r>
          </w:p>
        </w:tc>
        <w:tc>
          <w:tcPr>
            <w:tcW w:w="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638,860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Accumulated other comprehensive loss</w:t>
            </w:r>
          </w:p>
        </w:tc>
        <w:tc>
          <w:tcPr>
            <w:tcW w:w="9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(2,227)</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840"/>
              <w:spacing w:after="0"/>
              <w:rPr>
                <w:sz w:val="20"/>
                <w:szCs w:val="20"/>
                <w:color w:val="auto"/>
              </w:rPr>
            </w:pPr>
            <w:r>
              <w:rPr>
                <w:rFonts w:ascii="Arial" w:cs="Arial" w:eastAsia="Arial" w:hAnsi="Arial"/>
                <w:sz w:val="17"/>
                <w:szCs w:val="17"/>
                <w:color w:val="auto"/>
              </w:rPr>
              <w:t>Accumulated deficit</w:t>
            </w:r>
          </w:p>
        </w:tc>
        <w:tc>
          <w:tcPr>
            <w:tcW w:w="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(150,176)</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67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color w:val="auto"/>
              </w:rPr>
              <w:t>Total stockholders’ equity</w:t>
            </w:r>
          </w:p>
        </w:tc>
        <w:tc>
          <w:tcPr>
            <w:tcW w:w="9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486,458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50"/>
        </w:trPr>
        <w:tc>
          <w:tcPr>
            <w:tcW w:w="6780" w:type="dxa"/>
            <w:vAlign w:val="bottom"/>
          </w:tcPr>
          <w:p>
            <w:pPr>
              <w:ind w:left="1060"/>
              <w:spacing w:after="0"/>
              <w:rPr>
                <w:sz w:val="20"/>
                <w:szCs w:val="20"/>
                <w:color w:val="auto"/>
              </w:rPr>
            </w:pPr>
            <w:r>
              <w:rPr>
                <w:rFonts w:ascii="Arial" w:cs="Arial" w:eastAsia="Arial" w:hAnsi="Arial"/>
                <w:sz w:val="17"/>
                <w:szCs w:val="17"/>
                <w:color w:val="auto"/>
              </w:rPr>
              <w:t>Total liabilities and stockholders’ equity</w:t>
            </w:r>
          </w:p>
        </w:tc>
        <w:tc>
          <w:tcPr>
            <w:tcW w:w="9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527,085</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ectPr>
          <w:pgSz w:w="11900" w:h="16838" w:orient="portrait"/>
          <w:cols w:equalWidth="0" w:num="1">
            <w:col w:w="11340"/>
          </w:cols>
          <w:pgMar w:left="320" w:top="5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187960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508"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March 31,</w:t>
            </w:r>
          </w:p>
        </w:tc>
      </w:tr>
      <w:tr>
        <w:trPr>
          <w:trHeight w:val="178"/>
        </w:trPr>
        <w:tc>
          <w:tcPr>
            <w:tcW w:w="794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r>
      <w:tr>
        <w:trPr>
          <w:trHeight w:val="187"/>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57"/>
        </w:trPr>
        <w:tc>
          <w:tcPr>
            <w:tcW w:w="7940" w:type="dxa"/>
            <w:vAlign w:val="bottom"/>
          </w:tcPr>
          <w:p>
            <w:pPr>
              <w:ind w:left="220"/>
              <w:spacing w:after="0"/>
              <w:rPr>
                <w:sz w:val="20"/>
                <w:szCs w:val="20"/>
                <w:color w:val="auto"/>
              </w:rPr>
            </w:pPr>
            <w:r>
              <w:rPr>
                <w:rFonts w:ascii="Arial" w:cs="Arial" w:eastAsia="Arial" w:hAnsi="Arial"/>
                <w:sz w:val="17"/>
                <w:szCs w:val="17"/>
                <w:color w:val="auto"/>
              </w:rPr>
              <w:t>Product</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2,149</w:t>
            </w:r>
          </w:p>
        </w:tc>
        <w:tc>
          <w:tcPr>
            <w:tcW w:w="100" w:type="dxa"/>
            <w:vAlign w:val="bottom"/>
          </w:tcPr>
          <w:p>
            <w:pPr>
              <w:spacing w:after="0"/>
              <w:rPr>
                <w:sz w:val="22"/>
                <w:szCs w:val="22"/>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59"/>
        </w:trPr>
        <w:tc>
          <w:tcPr>
            <w:tcW w:w="7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Service</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57"/>
        </w:trPr>
        <w:tc>
          <w:tcPr>
            <w:tcW w:w="7940" w:type="dxa"/>
            <w:vAlign w:val="bottom"/>
          </w:tcPr>
          <w:p>
            <w:pPr>
              <w:ind w:left="220"/>
              <w:spacing w:after="0"/>
              <w:rPr>
                <w:sz w:val="20"/>
                <w:szCs w:val="20"/>
                <w:color w:val="auto"/>
              </w:rPr>
            </w:pPr>
            <w:r>
              <w:rPr>
                <w:rFonts w:ascii="Arial" w:cs="Arial" w:eastAsia="Arial" w:hAnsi="Arial"/>
                <w:sz w:val="17"/>
                <w:szCs w:val="17"/>
                <w:color w:val="auto"/>
              </w:rPr>
              <w:t>Related party</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1,070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59"/>
        </w:trPr>
        <w:tc>
          <w:tcPr>
            <w:tcW w:w="7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Grant and other</w:t>
            </w: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80" w:type="dxa"/>
            <w:vAlign w:val="bottom"/>
            <w:shd w:val="clear" w:color="auto" w:fill="CCEEFF"/>
          </w:tcPr>
          <w:p>
            <w:pPr>
              <w:spacing w:after="0"/>
              <w:rPr>
                <w:sz w:val="22"/>
                <w:szCs w:val="22"/>
                <w:color w:val="auto"/>
              </w:rPr>
            </w:pPr>
          </w:p>
        </w:tc>
      </w:tr>
      <w:tr>
        <w:trPr>
          <w:trHeight w:val="237"/>
        </w:trPr>
        <w:tc>
          <w:tcPr>
            <w:tcW w:w="7940" w:type="dxa"/>
            <w:vAlign w:val="bottom"/>
          </w:tcPr>
          <w:p>
            <w:pPr>
              <w:ind w:left="440"/>
              <w:spacing w:after="0"/>
              <w:rPr>
                <w:sz w:val="20"/>
                <w:szCs w:val="20"/>
                <w:color w:val="auto"/>
              </w:rPr>
            </w:pPr>
            <w:r>
              <w:rPr>
                <w:rFonts w:ascii="Arial" w:cs="Arial" w:eastAsia="Arial" w:hAnsi="Arial"/>
                <w:sz w:val="17"/>
                <w:szCs w:val="17"/>
                <w:color w:val="auto"/>
              </w:rPr>
              <w:t>Total revenue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20"/>
                <w:szCs w:val="20"/>
                <w:color w:val="auto"/>
              </w:rPr>
            </w:pPr>
          </w:p>
        </w:tc>
      </w:tr>
      <w:tr>
        <w:trPr>
          <w:trHeight w:val="239"/>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57"/>
        </w:trPr>
        <w:tc>
          <w:tcPr>
            <w:tcW w:w="7940" w:type="dxa"/>
            <w:vAlign w:val="bottom"/>
          </w:tcPr>
          <w:p>
            <w:pPr>
              <w:ind w:left="220"/>
              <w:spacing w:after="0"/>
              <w:rPr>
                <w:sz w:val="20"/>
                <w:szCs w:val="20"/>
                <w:color w:val="auto"/>
              </w:rPr>
            </w:pPr>
            <w:r>
              <w:rPr>
                <w:rFonts w:ascii="Arial" w:cs="Arial" w:eastAsia="Arial" w:hAnsi="Arial"/>
                <w:sz w:val="17"/>
                <w:szCs w:val="17"/>
                <w:color w:val="auto"/>
              </w:rPr>
              <w:t>Product</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1,660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59"/>
        </w:trPr>
        <w:tc>
          <w:tcPr>
            <w:tcW w:w="7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Service</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57"/>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Related party</w:t>
            </w: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2"/>
                <w:szCs w:val="22"/>
                <w:color w:val="auto"/>
              </w:rPr>
            </w:pPr>
          </w:p>
        </w:tc>
      </w:tr>
      <w:tr>
        <w:trPr>
          <w:trHeight w:val="239"/>
        </w:trPr>
        <w:tc>
          <w:tcPr>
            <w:tcW w:w="79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cost of revenue</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37"/>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profit</w:t>
            </w:r>
          </w:p>
        </w:tc>
        <w:tc>
          <w:tcPr>
            <w:tcW w:w="3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1,244</w:t>
            </w:r>
          </w:p>
        </w:tc>
        <w:tc>
          <w:tcPr>
            <w:tcW w:w="1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80" w:type="dxa"/>
            <w:vAlign w:val="bottom"/>
            <w:tcBorders>
              <w:bottom w:val="single" w:sz="8" w:color="CCEEFF"/>
            </w:tcBorders>
          </w:tcPr>
          <w:p>
            <w:pPr>
              <w:spacing w:after="0"/>
              <w:rPr>
                <w:sz w:val="20"/>
                <w:szCs w:val="20"/>
                <w:color w:val="auto"/>
              </w:rPr>
            </w:pPr>
          </w:p>
        </w:tc>
      </w:tr>
      <w:tr>
        <w:trPr>
          <w:trHeight w:val="219"/>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57"/>
        </w:trPr>
        <w:tc>
          <w:tcPr>
            <w:tcW w:w="794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10,732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6,227</w:t>
            </w:r>
          </w:p>
        </w:tc>
        <w:tc>
          <w:tcPr>
            <w:tcW w:w="80" w:type="dxa"/>
            <w:vAlign w:val="bottom"/>
          </w:tcPr>
          <w:p>
            <w:pPr>
              <w:spacing w:after="0"/>
              <w:rPr>
                <w:sz w:val="22"/>
                <w:szCs w:val="22"/>
                <w:color w:val="auto"/>
              </w:rPr>
            </w:pPr>
          </w:p>
        </w:tc>
      </w:tr>
      <w:tr>
        <w:trPr>
          <w:trHeight w:val="259"/>
        </w:trPr>
        <w:tc>
          <w:tcPr>
            <w:tcW w:w="7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Selling, general and administrative</w:t>
            </w: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14,298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10,333</w:t>
            </w:r>
          </w:p>
        </w:tc>
        <w:tc>
          <w:tcPr>
            <w:tcW w:w="80" w:type="dxa"/>
            <w:vAlign w:val="bottom"/>
            <w:shd w:val="clear" w:color="auto" w:fill="CCEEFF"/>
          </w:tcPr>
          <w:p>
            <w:pPr>
              <w:spacing w:after="0"/>
              <w:rPr>
                <w:sz w:val="22"/>
                <w:szCs w:val="22"/>
                <w:color w:val="auto"/>
              </w:rPr>
            </w:pPr>
          </w:p>
        </w:tc>
      </w:tr>
      <w:tr>
        <w:trPr>
          <w:trHeight w:val="237"/>
        </w:trPr>
        <w:tc>
          <w:tcPr>
            <w:tcW w:w="794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25,030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16,560</w:t>
            </w:r>
          </w:p>
        </w:tc>
        <w:tc>
          <w:tcPr>
            <w:tcW w:w="80" w:type="dxa"/>
            <w:vAlign w:val="bottom"/>
            <w:tcBorders>
              <w:bottom w:val="single" w:sz="8" w:color="CCEEFF"/>
            </w:tcBorders>
          </w:tcPr>
          <w:p>
            <w:pPr>
              <w:spacing w:after="0"/>
              <w:rPr>
                <w:sz w:val="20"/>
                <w:szCs w:val="20"/>
                <w:color w:val="auto"/>
              </w:rPr>
            </w:pPr>
          </w:p>
        </w:tc>
      </w:tr>
      <w:tr>
        <w:trPr>
          <w:trHeight w:val="239"/>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(23,786)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(16,498)</w:t>
            </w:r>
          </w:p>
        </w:tc>
        <w:tc>
          <w:tcPr>
            <w:tcW w:w="80" w:type="dxa"/>
            <w:vAlign w:val="bottom"/>
            <w:shd w:val="clear" w:color="auto" w:fill="CCEEFF"/>
          </w:tcPr>
          <w:p>
            <w:pPr>
              <w:spacing w:after="0"/>
              <w:rPr>
                <w:sz w:val="20"/>
                <w:szCs w:val="20"/>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8"/>
        </w:trPr>
        <w:tc>
          <w:tcPr>
            <w:tcW w:w="7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income</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80" w:type="dxa"/>
            <w:vAlign w:val="bottom"/>
            <w:shd w:val="clear" w:color="auto" w:fill="CCEEFF"/>
          </w:tcPr>
          <w:p>
            <w:pPr>
              <w:spacing w:after="0"/>
              <w:rPr>
                <w:sz w:val="22"/>
                <w:szCs w:val="22"/>
                <w:color w:val="auto"/>
              </w:rPr>
            </w:pPr>
          </w:p>
        </w:tc>
      </w:tr>
      <w:tr>
        <w:trPr>
          <w:trHeight w:val="257"/>
        </w:trPr>
        <w:tc>
          <w:tcPr>
            <w:tcW w:w="7940" w:type="dxa"/>
            <w:vAlign w:val="bottom"/>
          </w:tcPr>
          <w:p>
            <w:pPr>
              <w:ind w:left="220"/>
              <w:spacing w:after="0"/>
              <w:rPr>
                <w:sz w:val="20"/>
                <w:szCs w:val="20"/>
                <w:color w:val="auto"/>
              </w:rPr>
            </w:pPr>
            <w:r>
              <w:rPr>
                <w:rFonts w:ascii="Arial" w:cs="Arial" w:eastAsia="Arial" w:hAnsi="Arial"/>
                <w:sz w:val="17"/>
                <w:szCs w:val="17"/>
                <w:color w:val="auto"/>
              </w:rPr>
              <w:t>Other expense</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39"/>
        </w:trPr>
        <w:tc>
          <w:tcPr>
            <w:tcW w:w="79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other income</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80" w:type="dxa"/>
            <w:vAlign w:val="bottom"/>
            <w:tcBorders>
              <w:top w:val="single" w:sz="8" w:color="CCEEFF"/>
            </w:tcBorders>
            <w:shd w:val="clear" w:color="auto" w:fill="CCEEFF"/>
          </w:tcPr>
          <w:p>
            <w:pPr>
              <w:spacing w:after="0"/>
              <w:rPr>
                <w:sz w:val="20"/>
                <w:szCs w:val="20"/>
                <w:color w:val="auto"/>
              </w:rPr>
            </w:pPr>
          </w:p>
        </w:tc>
      </w:tr>
      <w:tr>
        <w:trPr>
          <w:trHeight w:val="237"/>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loss</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(23,646)</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(16,429)</w:t>
            </w:r>
          </w:p>
        </w:tc>
        <w:tc>
          <w:tcPr>
            <w:tcW w:w="80" w:type="dxa"/>
            <w:vAlign w:val="bottom"/>
            <w:tcBorders>
              <w:bottom w:val="single" w:sz="8" w:color="CCEEFF"/>
            </w:tcBorders>
          </w:tcPr>
          <w:p>
            <w:pPr>
              <w:spacing w:after="0"/>
              <w:rPr>
                <w:sz w:val="20"/>
                <w:szCs w:val="20"/>
                <w:color w:val="auto"/>
              </w:rPr>
            </w:pPr>
          </w:p>
        </w:tc>
      </w:tr>
      <w:tr>
        <w:trPr>
          <w:trHeight w:val="219"/>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57"/>
        </w:trPr>
        <w:tc>
          <w:tcPr>
            <w:tcW w:w="79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Unrealized loss on available-for-sale securities</w:t>
            </w: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80" w:type="dxa"/>
            <w:vAlign w:val="bottom"/>
            <w:tcBorders>
              <w:bottom w:val="single" w:sz="8" w:color="CCEEFF"/>
            </w:tcBorders>
          </w:tcPr>
          <w:p>
            <w:pPr>
              <w:spacing w:after="0"/>
              <w:rPr>
                <w:sz w:val="22"/>
                <w:szCs w:val="22"/>
                <w:color w:val="auto"/>
              </w:rPr>
            </w:pPr>
          </w:p>
        </w:tc>
      </w:tr>
      <w:tr>
        <w:trPr>
          <w:trHeight w:val="272"/>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(16,455)</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6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80" w:type="dxa"/>
            <w:vAlign w:val="bottom"/>
            <w:tcBorders>
              <w:bottom w:val="single" w:sz="8" w:color="CCEEFF"/>
            </w:tcBorders>
          </w:tcPr>
          <w:p>
            <w:pPr>
              <w:spacing w:after="0"/>
              <w:rPr>
                <w:sz w:val="23"/>
                <w:szCs w:val="23"/>
                <w:color w:val="auto"/>
              </w:rPr>
            </w:pPr>
          </w:p>
        </w:tc>
      </w:tr>
      <w:tr>
        <w:trPr>
          <w:trHeight w:val="274"/>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common shares outstanding, basic and diluted</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62,003,504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59,887,842</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1100"/>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Condensed Consolidated Statements of Changes in Stockholders’ Equity</w:t>
      </w:r>
    </w:p>
    <w:p>
      <w:pPr>
        <w:spacing w:after="0" w:line="11"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(Unaudited)</w:t>
      </w:r>
    </w:p>
    <w:p>
      <w:pPr>
        <w:spacing w:after="0" w:line="155" w:lineRule="exact"/>
        <w:rPr>
          <w:sz w:val="20"/>
          <w:szCs w:val="20"/>
          <w:color w:val="auto"/>
        </w:rPr>
      </w:pPr>
    </w:p>
    <w:p>
      <w:pPr>
        <w:ind w:left="4300"/>
        <w:spacing w:after="0"/>
        <w:rPr>
          <w:sz w:val="20"/>
          <w:szCs w:val="20"/>
          <w:color w:val="auto"/>
        </w:rPr>
      </w:pPr>
      <w:r>
        <w:rPr>
          <w:rFonts w:ascii="Arial" w:cs="Arial" w:eastAsia="Arial" w:hAnsi="Arial"/>
          <w:sz w:val="17"/>
          <w:szCs w:val="17"/>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760" w:type="dxa"/>
            <w:vAlign w:val="bottom"/>
            <w:gridSpan w:val="3"/>
            <w:vMerge w:val="restart"/>
          </w:tcPr>
          <w:p>
            <w:pPr>
              <w:jc w:val="right"/>
              <w:ind w:right="106"/>
              <w:spacing w:after="0"/>
              <w:rPr>
                <w:sz w:val="20"/>
                <w:szCs w:val="20"/>
                <w:color w:val="auto"/>
              </w:rPr>
            </w:pPr>
            <w:r>
              <w:rPr>
                <w:rFonts w:ascii="Arial" w:cs="Arial" w:eastAsia="Arial" w:hAnsi="Arial"/>
                <w:sz w:val="14"/>
                <w:szCs w:val="14"/>
                <w:b w:val="1"/>
                <w:bCs w:val="1"/>
                <w:color w:val="auto"/>
              </w:rPr>
              <w:t>Class A and Class B</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04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40" w:type="dxa"/>
            <w:vAlign w:val="bottom"/>
          </w:tcPr>
          <w:p>
            <w:pPr>
              <w:spacing w:after="0"/>
              <w:rPr>
                <w:sz w:val="13"/>
                <w:szCs w:val="13"/>
                <w:color w:val="auto"/>
              </w:rPr>
            </w:pPr>
          </w:p>
        </w:tc>
        <w:tc>
          <w:tcPr>
            <w:tcW w:w="1760" w:type="dxa"/>
            <w:vAlign w:val="bottom"/>
            <w:tcBorders>
              <w:bottom w:val="single" w:sz="8" w:color="auto"/>
            </w:tcBorders>
            <w:gridSpan w:val="3"/>
          </w:tcPr>
          <w:p>
            <w:pPr>
              <w:jc w:val="right"/>
              <w:ind w:right="246"/>
              <w:spacing w:after="0" w:line="135" w:lineRule="exact"/>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3"/>
                <w:szCs w:val="13"/>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85"/>
              </w:rPr>
              <w:t>Comprehensive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 in Capital</w:t>
            </w:r>
          </w:p>
        </w:tc>
        <w:tc>
          <w:tcPr>
            <w:tcW w:w="8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9"/>
              </w:rPr>
              <w:t>Loss</w:t>
            </w:r>
          </w:p>
        </w:tc>
        <w:tc>
          <w:tcPr>
            <w:tcW w:w="200" w:type="dxa"/>
            <w:vAlign w:val="bottom"/>
          </w:tcPr>
          <w:p>
            <w:pPr>
              <w:spacing w:after="0"/>
              <w:rPr>
                <w:sz w:val="15"/>
                <w:szCs w:val="15"/>
                <w:color w:val="auto"/>
              </w:rPr>
            </w:pPr>
          </w:p>
        </w:tc>
        <w:tc>
          <w:tcPr>
            <w:tcW w:w="740" w:type="dxa"/>
            <w:vAlign w:val="bottom"/>
          </w:tcPr>
          <w:p>
            <w:pPr>
              <w:jc w:val="right"/>
              <w:ind w:right="2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30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December 31, 2021</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62,015,483</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46"/>
              <w:spacing w:after="0"/>
              <w:rPr>
                <w:sz w:val="20"/>
                <w:szCs w:val="20"/>
                <w:color w:val="auto"/>
              </w:rPr>
            </w:pPr>
            <w:r>
              <w:rPr>
                <w:rFonts w:ascii="Arial" w:cs="Arial" w:eastAsia="Arial" w:hAnsi="Arial"/>
                <w:sz w:val="15"/>
                <w:szCs w:val="15"/>
                <w:color w:val="auto"/>
                <w:w w:val="95"/>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629,981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(126,530)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502,916</w:t>
            </w:r>
          </w:p>
        </w:tc>
        <w:tc>
          <w:tcPr>
            <w:tcW w:w="0" w:type="dxa"/>
            <w:vAlign w:val="bottom"/>
          </w:tcPr>
          <w:p>
            <w:pPr>
              <w:spacing w:after="0"/>
              <w:rPr>
                <w:sz w:val="1"/>
                <w:szCs w:val="1"/>
                <w:color w:val="auto"/>
              </w:rPr>
            </w:pPr>
          </w:p>
        </w:tc>
      </w:tr>
      <w:tr>
        <w:trPr>
          <w:trHeight w:val="160"/>
        </w:trPr>
        <w:tc>
          <w:tcPr>
            <w:tcW w:w="3040" w:type="dxa"/>
            <w:vAlign w:val="bottom"/>
          </w:tcPr>
          <w:p>
            <w:pPr>
              <w:ind w:left="120"/>
              <w:spacing w:after="0" w:line="160" w:lineRule="exact"/>
              <w:rPr>
                <w:sz w:val="20"/>
                <w:szCs w:val="20"/>
                <w:color w:val="auto"/>
              </w:rPr>
            </w:pPr>
            <w:r>
              <w:rPr>
                <w:rFonts w:ascii="Arial" w:cs="Arial" w:eastAsia="Arial" w:hAnsi="Arial"/>
                <w:sz w:val="15"/>
                <w:szCs w:val="15"/>
                <w:color w:val="auto"/>
              </w:rPr>
              <w:t>Issuance of Class A common stock from</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tcPr>
          <w:p>
            <w:pPr>
              <w:ind w:left="280"/>
              <w:spacing w:after="0" w:line="155" w:lineRule="exact"/>
              <w:rPr>
                <w:sz w:val="20"/>
                <w:szCs w:val="20"/>
                <w:color w:val="auto"/>
              </w:rPr>
            </w:pPr>
            <w:r>
              <w:rPr>
                <w:rFonts w:ascii="Arial" w:cs="Arial" w:eastAsia="Arial" w:hAnsi="Arial"/>
                <w:sz w:val="15"/>
                <w:szCs w:val="15"/>
                <w:color w:val="auto"/>
                <w:w w:val="94"/>
              </w:rPr>
              <w:t>exercise of options and release of restricted</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283,251</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773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740" w:type="dxa"/>
            <w:vAlign w:val="bottom"/>
            <w:vMerge w:val="restart"/>
          </w:tcPr>
          <w:p>
            <w:pPr>
              <w:jc w:val="right"/>
              <w:ind w:right="4"/>
              <w:spacing w:after="0"/>
              <w:rPr>
                <w:sz w:val="20"/>
                <w:szCs w:val="20"/>
                <w:color w:val="auto"/>
              </w:rPr>
            </w:pPr>
            <w:r>
              <w:rPr>
                <w:rFonts w:ascii="Arial" w:cs="Arial" w:eastAsia="Arial" w:hAnsi="Arial"/>
                <w:sz w:val="15"/>
                <w:szCs w:val="15"/>
                <w:color w:val="auto"/>
              </w:rPr>
              <w:t>773</w:t>
            </w:r>
          </w:p>
        </w:tc>
        <w:tc>
          <w:tcPr>
            <w:tcW w:w="0" w:type="dxa"/>
            <w:vAlign w:val="bottom"/>
          </w:tcPr>
          <w:p>
            <w:pPr>
              <w:spacing w:after="0"/>
              <w:rPr>
                <w:sz w:val="1"/>
                <w:szCs w:val="1"/>
                <w:color w:val="auto"/>
              </w:rPr>
            </w:pPr>
          </w:p>
        </w:tc>
      </w:tr>
      <w:tr>
        <w:trPr>
          <w:trHeight w:val="199"/>
        </w:trPr>
        <w:tc>
          <w:tcPr>
            <w:tcW w:w="3040" w:type="dxa"/>
            <w:vAlign w:val="bottom"/>
          </w:tcPr>
          <w:p>
            <w:pPr>
              <w:ind w:left="280"/>
              <w:spacing w:after="0"/>
              <w:rPr>
                <w:sz w:val="20"/>
                <w:szCs w:val="20"/>
                <w:color w:val="auto"/>
              </w:rPr>
            </w:pPr>
            <w:r>
              <w:rPr>
                <w:rFonts w:ascii="Arial" w:cs="Arial" w:eastAsia="Arial" w:hAnsi="Arial"/>
                <w:sz w:val="15"/>
                <w:szCs w:val="15"/>
                <w:color w:val="auto"/>
              </w:rPr>
              <w:t>stock units</w:t>
            </w: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040" w:type="dxa"/>
            <w:vAlign w:val="bottom"/>
            <w:shd w:val="clear" w:color="auto" w:fill="CCEEFF"/>
          </w:tcPr>
          <w:p>
            <w:pPr>
              <w:ind w:left="80"/>
              <w:spacing w:after="0"/>
              <w:rPr>
                <w:sz w:val="20"/>
                <w:szCs w:val="20"/>
                <w:color w:val="auto"/>
              </w:rPr>
            </w:pPr>
            <w:r>
              <w:rPr>
                <w:rFonts w:ascii="Arial" w:cs="Arial" w:eastAsia="Arial" w:hAnsi="Arial"/>
                <w:sz w:val="15"/>
                <w:szCs w:val="15"/>
                <w:color w:val="auto"/>
              </w:rPr>
              <w:t>Repurchase of Class A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(5,841)</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3040" w:type="dxa"/>
            <w:vAlign w:val="bottom"/>
          </w:tcPr>
          <w:p>
            <w:pPr>
              <w:ind w:left="80"/>
              <w:spacing w:after="0" w:line="160" w:lineRule="exact"/>
              <w:rPr>
                <w:sz w:val="20"/>
                <w:szCs w:val="20"/>
                <w:color w:val="auto"/>
              </w:rPr>
            </w:pPr>
            <w:r>
              <w:rPr>
                <w:rFonts w:ascii="Arial" w:cs="Arial" w:eastAsia="Arial" w:hAnsi="Arial"/>
                <w:sz w:val="15"/>
                <w:szCs w:val="15"/>
                <w:color w:val="auto"/>
              </w:rPr>
              <w:t>Vesting of early exercised stock options and</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740" w:type="dxa"/>
            <w:vAlign w:val="bottom"/>
            <w:vMerge w:val="restart"/>
          </w:tcPr>
          <w:p>
            <w:pPr>
              <w:jc w:val="right"/>
              <w:ind w:right="4"/>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99"/>
        </w:trPr>
        <w:tc>
          <w:tcPr>
            <w:tcW w:w="3040" w:type="dxa"/>
            <w:vAlign w:val="bottom"/>
          </w:tcPr>
          <w:p>
            <w:pPr>
              <w:ind w:left="220"/>
              <w:spacing w:after="0"/>
              <w:rPr>
                <w:sz w:val="20"/>
                <w:szCs w:val="20"/>
                <w:color w:val="auto"/>
              </w:rPr>
            </w:pPr>
            <w:r>
              <w:rPr>
                <w:rFonts w:ascii="Arial" w:cs="Arial" w:eastAsia="Arial" w:hAnsi="Arial"/>
                <w:sz w:val="15"/>
                <w:szCs w:val="15"/>
                <w:color w:val="auto"/>
              </w:rPr>
              <w:t>restricted common stock</w:t>
            </w:r>
          </w:p>
        </w:tc>
        <w:tc>
          <w:tcPr>
            <w:tcW w:w="104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0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Stock-based compensation</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8,062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8,062</w:t>
            </w:r>
          </w:p>
        </w:tc>
        <w:tc>
          <w:tcPr>
            <w:tcW w:w="0" w:type="dxa"/>
            <w:vAlign w:val="bottom"/>
          </w:tcPr>
          <w:p>
            <w:pPr>
              <w:spacing w:after="0"/>
              <w:rPr>
                <w:sz w:val="1"/>
                <w:szCs w:val="1"/>
                <w:color w:val="auto"/>
              </w:rPr>
            </w:pPr>
          </w:p>
        </w:tc>
      </w:tr>
      <w:tr>
        <w:trPr>
          <w:trHeight w:val="229"/>
        </w:trPr>
        <w:tc>
          <w:tcPr>
            <w:tcW w:w="3040" w:type="dxa"/>
            <w:vAlign w:val="bottom"/>
          </w:tcPr>
          <w:p>
            <w:pPr>
              <w:ind w:left="120"/>
              <w:spacing w:after="0"/>
              <w:rPr>
                <w:sz w:val="20"/>
                <w:szCs w:val="20"/>
                <w:color w:val="auto"/>
              </w:rPr>
            </w:pPr>
            <w:r>
              <w:rPr>
                <w:rFonts w:ascii="Arial" w:cs="Arial" w:eastAsia="Arial" w:hAnsi="Arial"/>
                <w:sz w:val="15"/>
                <w:szCs w:val="15"/>
                <w:color w:val="auto"/>
              </w:rPr>
              <w:t>Other comprehensive loss</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(1,691)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(1,691)</w:t>
            </w:r>
          </w:p>
        </w:tc>
        <w:tc>
          <w:tcPr>
            <w:tcW w:w="0" w:type="dxa"/>
            <w:vAlign w:val="bottom"/>
          </w:tcPr>
          <w:p>
            <w:pPr>
              <w:spacing w:after="0"/>
              <w:rPr>
                <w:sz w:val="1"/>
                <w:szCs w:val="1"/>
                <w:color w:val="auto"/>
              </w:rPr>
            </w:pPr>
          </w:p>
        </w:tc>
      </w:tr>
      <w:tr>
        <w:trPr>
          <w:trHeight w:val="232"/>
        </w:trPr>
        <w:tc>
          <w:tcPr>
            <w:tcW w:w="30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(23,646)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(23,646)</w:t>
            </w:r>
          </w:p>
        </w:tc>
        <w:tc>
          <w:tcPr>
            <w:tcW w:w="0" w:type="dxa"/>
            <w:vAlign w:val="bottom"/>
          </w:tcPr>
          <w:p>
            <w:pPr>
              <w:spacing w:after="0"/>
              <w:rPr>
                <w:sz w:val="1"/>
                <w:szCs w:val="1"/>
                <w:color w:val="auto"/>
              </w:rPr>
            </w:pPr>
          </w:p>
        </w:tc>
      </w:tr>
      <w:tr>
        <w:trPr>
          <w:trHeight w:val="228"/>
        </w:trPr>
        <w:tc>
          <w:tcPr>
            <w:tcW w:w="3040" w:type="dxa"/>
            <w:vAlign w:val="bottom"/>
          </w:tcPr>
          <w:p>
            <w:pPr>
              <w:ind w:left="20"/>
              <w:spacing w:after="0"/>
              <w:rPr>
                <w:sz w:val="20"/>
                <w:szCs w:val="20"/>
                <w:color w:val="auto"/>
              </w:rPr>
            </w:pPr>
            <w:r>
              <w:rPr>
                <w:rFonts w:ascii="Arial" w:cs="Arial" w:eastAsia="Arial" w:hAnsi="Arial"/>
                <w:sz w:val="15"/>
                <w:szCs w:val="15"/>
                <w:color w:val="auto"/>
              </w:rPr>
              <w:t>Balance at March 31, 2022</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62,292,893</w:t>
            </w:r>
          </w:p>
        </w:tc>
        <w:tc>
          <w:tcPr>
            <w:tcW w:w="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color w:val="auto"/>
                <w:w w:val="95"/>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638,860</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(150,176)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(2,227)</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486,458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right"/>
        <w:ind w:right="739"/>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6"/>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Arial" w:cs="Arial" w:eastAsia="Arial" w:hAnsi="Arial"/>
                <w:sz w:val="17"/>
                <w:szCs w:val="17"/>
                <w:b w:val="1"/>
                <w:bCs w:val="1"/>
                <w:color w:val="auto"/>
              </w:rPr>
              <w:t>SEER, INC.</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60" w:type="dxa"/>
            <w:vAlign w:val="bottom"/>
          </w:tcPr>
          <w:p>
            <w:pPr>
              <w:spacing w:after="0"/>
              <w:rPr>
                <w:sz w:val="17"/>
                <w:szCs w:val="17"/>
                <w:color w:val="auto"/>
              </w:rPr>
            </w:pPr>
          </w:p>
        </w:tc>
        <w:tc>
          <w:tcPr>
            <w:tcW w:w="5340" w:type="dxa"/>
            <w:vAlign w:val="bottom"/>
            <w:gridSpan w:val="15"/>
          </w:tcPr>
          <w:p>
            <w:pPr>
              <w:jc w:val="center"/>
              <w:ind w:right="20"/>
              <w:spacing w:after="0"/>
              <w:rPr>
                <w:sz w:val="20"/>
                <w:szCs w:val="20"/>
                <w:color w:val="auto"/>
              </w:rPr>
            </w:pPr>
            <w:r>
              <w:rPr>
                <w:rFonts w:ascii="Arial" w:cs="Arial" w:eastAsia="Arial" w:hAnsi="Arial"/>
                <w:sz w:val="17"/>
                <w:szCs w:val="17"/>
                <w:b w:val="1"/>
                <w:bCs w:val="1"/>
                <w:color w:val="auto"/>
                <w:w w:val="89"/>
              </w:rPr>
              <w:t>Condensed Consolidated Statements of Changes in Stockholders’ Equity</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(Unaudited)</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80" w:type="dxa"/>
            <w:vAlign w:val="bottom"/>
            <w:gridSpan w:val="9"/>
          </w:tcPr>
          <w:p>
            <w:pPr>
              <w:jc w:val="center"/>
              <w:spacing w:after="0"/>
              <w:rPr>
                <w:sz w:val="20"/>
                <w:szCs w:val="20"/>
                <w:color w:val="auto"/>
              </w:rPr>
            </w:pPr>
            <w:r>
              <w:rPr>
                <w:rFonts w:ascii="Arial" w:cs="Arial" w:eastAsia="Arial" w:hAnsi="Arial"/>
                <w:sz w:val="17"/>
                <w:szCs w:val="17"/>
                <w:b w:val="1"/>
                <w:bCs w:val="1"/>
                <w:i w:val="1"/>
                <w:iCs w:val="1"/>
                <w:color w:val="auto"/>
                <w:w w:val="86"/>
              </w:rPr>
              <w:t>(in thousands, except share amounts)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3"/>
        </w:trPr>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3"/>
            <w:vMerge w:val="restart"/>
          </w:tcPr>
          <w:p>
            <w:pPr>
              <w:jc w:val="right"/>
              <w:ind w:right="103"/>
              <w:spacing w:after="0"/>
              <w:rPr>
                <w:sz w:val="20"/>
                <w:szCs w:val="20"/>
                <w:color w:val="auto"/>
              </w:rPr>
            </w:pPr>
            <w:r>
              <w:rPr>
                <w:rFonts w:ascii="Arial" w:cs="Arial" w:eastAsia="Arial" w:hAnsi="Arial"/>
                <w:sz w:val="14"/>
                <w:szCs w:val="14"/>
                <w:b w:val="1"/>
                <w:bCs w:val="1"/>
                <w:color w:val="auto"/>
              </w:rPr>
              <w:t>Class A and Class B</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Borders>
              <w:bottom w:val="single" w:sz="8" w:color="auto"/>
            </w:tcBorders>
            <w:gridSpan w:val="3"/>
          </w:tcPr>
          <w:p>
            <w:pPr>
              <w:jc w:val="right"/>
              <w:ind w:right="243"/>
              <w:spacing w:after="0" w:line="135" w:lineRule="exact"/>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3"/>
                <w:szCs w:val="13"/>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85"/>
              </w:rPr>
              <w:t>Comprehensive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 in Capital</w:t>
            </w:r>
          </w:p>
        </w:tc>
        <w:tc>
          <w:tcPr>
            <w:tcW w:w="8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Income (Loss)</w:t>
            </w:r>
          </w:p>
        </w:tc>
        <w:tc>
          <w:tcPr>
            <w:tcW w:w="200" w:type="dxa"/>
            <w:vAlign w:val="bottom"/>
          </w:tcPr>
          <w:p>
            <w:pPr>
              <w:spacing w:after="0"/>
              <w:rPr>
                <w:sz w:val="15"/>
                <w:szCs w:val="15"/>
                <w:color w:val="auto"/>
              </w:rPr>
            </w:pPr>
          </w:p>
        </w:tc>
        <w:tc>
          <w:tcPr>
            <w:tcW w:w="740" w:type="dxa"/>
            <w:vAlign w:val="bottom"/>
          </w:tcPr>
          <w:p>
            <w:pPr>
              <w:jc w:val="right"/>
              <w:ind w:right="2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2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December 31, 2020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59,261,051</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43"/>
              <w:spacing w:after="0"/>
              <w:rPr>
                <w:sz w:val="20"/>
                <w:szCs w:val="20"/>
                <w:color w:val="auto"/>
              </w:rPr>
            </w:pPr>
            <w:r>
              <w:rPr>
                <w:rFonts w:ascii="Arial" w:cs="Arial" w:eastAsia="Arial" w:hAnsi="Arial"/>
                <w:sz w:val="15"/>
                <w:szCs w:val="15"/>
                <w:color w:val="auto"/>
                <w:w w:val="95"/>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486,915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6"/>
              </w:rPr>
              <w:t>(55,361)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center"/>
              <w:ind w:left="605"/>
              <w:spacing w:after="0"/>
              <w:rPr>
                <w:sz w:val="20"/>
                <w:szCs w:val="20"/>
                <w:color w:val="auto"/>
              </w:rPr>
            </w:pPr>
            <w:r>
              <w:rPr>
                <w:rFonts w:ascii="Arial" w:cs="Arial" w:eastAsia="Arial" w:hAnsi="Arial"/>
                <w:sz w:val="15"/>
                <w:szCs w:val="15"/>
                <w:color w:val="auto"/>
                <w:w w:val="95"/>
              </w:rPr>
              <w:t>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431,609</w:t>
            </w:r>
          </w:p>
        </w:tc>
        <w:tc>
          <w:tcPr>
            <w:tcW w:w="0" w:type="dxa"/>
            <w:vAlign w:val="bottom"/>
          </w:tcPr>
          <w:p>
            <w:pPr>
              <w:spacing w:after="0"/>
              <w:rPr>
                <w:sz w:val="1"/>
                <w:szCs w:val="1"/>
                <w:color w:val="auto"/>
              </w:rPr>
            </w:pPr>
          </w:p>
        </w:tc>
      </w:tr>
      <w:tr>
        <w:trPr>
          <w:trHeight w:val="160"/>
        </w:trPr>
        <w:tc>
          <w:tcPr>
            <w:tcW w:w="2960" w:type="dxa"/>
            <w:vAlign w:val="bottom"/>
          </w:tcPr>
          <w:p>
            <w:pPr>
              <w:ind w:left="120"/>
              <w:spacing w:after="0" w:line="160" w:lineRule="exact"/>
              <w:rPr>
                <w:sz w:val="20"/>
                <w:szCs w:val="20"/>
                <w:color w:val="auto"/>
              </w:rPr>
            </w:pPr>
            <w:r>
              <w:rPr>
                <w:rFonts w:ascii="Arial" w:cs="Arial" w:eastAsia="Arial" w:hAnsi="Arial"/>
                <w:sz w:val="15"/>
                <w:szCs w:val="15"/>
                <w:color w:val="auto"/>
              </w:rPr>
              <w:t>Issuance of Class A common stock from</w:t>
            </w:r>
          </w:p>
        </w:tc>
        <w:tc>
          <w:tcPr>
            <w:tcW w:w="1040" w:type="dxa"/>
            <w:vAlign w:val="bottom"/>
            <w:gridSpan w:val="2"/>
            <w:vMerge w:val="restart"/>
          </w:tcPr>
          <w:p>
            <w:pPr>
              <w:jc w:val="right"/>
              <w:spacing w:after="0"/>
              <w:rPr>
                <w:sz w:val="20"/>
                <w:szCs w:val="20"/>
                <w:color w:val="auto"/>
              </w:rPr>
            </w:pPr>
            <w:r>
              <w:rPr>
                <w:rFonts w:ascii="Arial" w:cs="Arial" w:eastAsia="Arial" w:hAnsi="Arial"/>
                <w:sz w:val="15"/>
                <w:szCs w:val="15"/>
                <w:color w:val="auto"/>
              </w:rPr>
              <w:t>399,174</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171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center"/>
              <w:ind w:left="5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199"/>
        </w:trPr>
        <w:tc>
          <w:tcPr>
            <w:tcW w:w="2960" w:type="dxa"/>
            <w:vAlign w:val="bottom"/>
          </w:tcPr>
          <w:p>
            <w:pPr>
              <w:ind w:left="280"/>
              <w:spacing w:after="0"/>
              <w:rPr>
                <w:sz w:val="20"/>
                <w:szCs w:val="20"/>
                <w:color w:val="auto"/>
              </w:rPr>
            </w:pPr>
            <w:r>
              <w:rPr>
                <w:rFonts w:ascii="Arial" w:cs="Arial" w:eastAsia="Arial" w:hAnsi="Arial"/>
                <w:sz w:val="15"/>
                <w:szCs w:val="15"/>
                <w:color w:val="auto"/>
              </w:rPr>
              <w:t>exercise of options</w:t>
            </w:r>
          </w:p>
        </w:tc>
        <w:tc>
          <w:tcPr>
            <w:tcW w:w="10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9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Repurchase of Class A common stock</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(876)</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center"/>
              <w:ind w:left="525"/>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2960" w:type="dxa"/>
            <w:vAlign w:val="bottom"/>
          </w:tcPr>
          <w:p>
            <w:pPr>
              <w:ind w:left="120"/>
              <w:spacing w:after="0" w:line="160" w:lineRule="exact"/>
              <w:rPr>
                <w:sz w:val="20"/>
                <w:szCs w:val="20"/>
                <w:color w:val="auto"/>
              </w:rPr>
            </w:pPr>
            <w:r>
              <w:rPr>
                <w:rFonts w:ascii="Arial" w:cs="Arial" w:eastAsia="Arial" w:hAnsi="Arial"/>
                <w:sz w:val="15"/>
                <w:szCs w:val="15"/>
                <w:color w:val="auto"/>
                <w:w w:val="96"/>
              </w:rPr>
              <w:t>Vesting of early exercised stock options and</w:t>
            </w:r>
          </w:p>
        </w:tc>
        <w:tc>
          <w:tcPr>
            <w:tcW w:w="8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center"/>
              <w:ind w:left="5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99"/>
        </w:trPr>
        <w:tc>
          <w:tcPr>
            <w:tcW w:w="2960" w:type="dxa"/>
            <w:vAlign w:val="bottom"/>
          </w:tcPr>
          <w:p>
            <w:pPr>
              <w:ind w:left="280"/>
              <w:spacing w:after="0"/>
              <w:rPr>
                <w:sz w:val="20"/>
                <w:szCs w:val="20"/>
                <w:color w:val="auto"/>
              </w:rPr>
            </w:pPr>
            <w:r>
              <w:rPr>
                <w:rFonts w:ascii="Arial" w:cs="Arial" w:eastAsia="Arial" w:hAnsi="Arial"/>
                <w:sz w:val="15"/>
                <w:szCs w:val="15"/>
                <w:color w:val="auto"/>
              </w:rPr>
              <w:t>restricted common stock</w:t>
            </w:r>
          </w:p>
        </w:tc>
        <w:tc>
          <w:tcPr>
            <w:tcW w:w="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Issuance of Class A common stock upon</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60" w:type="dxa"/>
            <w:vAlign w:val="bottom"/>
            <w:shd w:val="clear" w:color="auto" w:fill="CCEEFF"/>
          </w:tcPr>
          <w:p>
            <w:pPr>
              <w:ind w:left="280"/>
              <w:spacing w:after="0" w:line="155" w:lineRule="exact"/>
              <w:rPr>
                <w:sz w:val="20"/>
                <w:szCs w:val="20"/>
                <w:color w:val="auto"/>
              </w:rPr>
            </w:pPr>
            <w:r>
              <w:rPr>
                <w:rFonts w:ascii="Arial" w:cs="Arial" w:eastAsia="Arial" w:hAnsi="Arial"/>
                <w:sz w:val="15"/>
                <w:szCs w:val="15"/>
                <w:color w:val="auto"/>
                <w:w w:val="95"/>
              </w:rPr>
              <w:t>follow-on offering, net of issuance costs of</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1,650,000</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102,959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center"/>
              <w:ind w:left="525"/>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102,959</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$7,591</w:t>
            </w:r>
          </w:p>
        </w:tc>
        <w:tc>
          <w:tcPr>
            <w:tcW w:w="10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120"/>
              <w:spacing w:after="0"/>
              <w:rPr>
                <w:sz w:val="20"/>
                <w:szCs w:val="20"/>
                <w:color w:val="auto"/>
              </w:rPr>
            </w:pPr>
            <w:r>
              <w:rPr>
                <w:rFonts w:ascii="Arial" w:cs="Arial" w:eastAsia="Arial" w:hAnsi="Arial"/>
                <w:sz w:val="15"/>
                <w:szCs w:val="15"/>
                <w:color w:val="auto"/>
              </w:rPr>
              <w:t>Return of profit</w:t>
            </w: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11,403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040" w:type="dxa"/>
            <w:vAlign w:val="bottom"/>
            <w:gridSpan w:val="2"/>
          </w:tcPr>
          <w:p>
            <w:pPr>
              <w:jc w:val="center"/>
              <w:ind w:left="5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11,403</w:t>
            </w:r>
          </w:p>
        </w:tc>
        <w:tc>
          <w:tcPr>
            <w:tcW w:w="0" w:type="dxa"/>
            <w:vAlign w:val="bottom"/>
          </w:tcPr>
          <w:p>
            <w:pPr>
              <w:spacing w:after="0"/>
              <w:rPr>
                <w:sz w:val="1"/>
                <w:szCs w:val="1"/>
                <w:color w:val="auto"/>
              </w:rPr>
            </w:pPr>
          </w:p>
        </w:tc>
      </w:tr>
      <w:tr>
        <w:trPr>
          <w:trHeight w:val="235"/>
        </w:trPr>
        <w:tc>
          <w:tcPr>
            <w:tcW w:w="29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Stock-based compensation</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center"/>
              <w:ind w:left="525"/>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6,039</w:t>
            </w:r>
          </w:p>
        </w:tc>
        <w:tc>
          <w:tcPr>
            <w:tcW w:w="0" w:type="dxa"/>
            <w:vAlign w:val="bottom"/>
          </w:tcPr>
          <w:p>
            <w:pPr>
              <w:spacing w:after="0"/>
              <w:rPr>
                <w:sz w:val="1"/>
                <w:szCs w:val="1"/>
                <w:color w:val="auto"/>
              </w:rPr>
            </w:pPr>
          </w:p>
        </w:tc>
      </w:tr>
      <w:tr>
        <w:trPr>
          <w:trHeight w:val="229"/>
        </w:trPr>
        <w:tc>
          <w:tcPr>
            <w:tcW w:w="2960" w:type="dxa"/>
            <w:vAlign w:val="bottom"/>
          </w:tcPr>
          <w:p>
            <w:pPr>
              <w:ind w:left="120"/>
              <w:spacing w:after="0"/>
              <w:rPr>
                <w:sz w:val="20"/>
                <w:szCs w:val="20"/>
                <w:color w:val="auto"/>
              </w:rPr>
            </w:pPr>
            <w:r>
              <w:rPr>
                <w:rFonts w:ascii="Arial" w:cs="Arial" w:eastAsia="Arial" w:hAnsi="Arial"/>
                <w:sz w:val="15"/>
                <w:szCs w:val="15"/>
                <w:color w:val="auto"/>
              </w:rPr>
              <w:t>Other comprehensive loss</w:t>
            </w: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960" w:type="dxa"/>
            <w:vAlign w:val="bottom"/>
          </w:tcPr>
          <w:p>
            <w:pPr>
              <w:jc w:val="center"/>
              <w:ind w:left="565"/>
              <w:spacing w:after="0"/>
              <w:rPr>
                <w:sz w:val="20"/>
                <w:szCs w:val="20"/>
                <w:color w:val="auto"/>
              </w:rPr>
            </w:pPr>
            <w:r>
              <w:rPr>
                <w:rFonts w:ascii="Arial" w:cs="Arial" w:eastAsia="Arial" w:hAnsi="Arial"/>
                <w:sz w:val="15"/>
                <w:szCs w:val="15"/>
                <w:color w:val="auto"/>
                <w:w w:val="89"/>
              </w:rPr>
              <w:t>(26)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32"/>
        </w:trPr>
        <w:tc>
          <w:tcPr>
            <w:tcW w:w="29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loss</w:t>
            </w:r>
          </w:p>
        </w:tc>
        <w:tc>
          <w:tcPr>
            <w:tcW w:w="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w w:val="96"/>
              </w:rPr>
              <w:t>(16,429)</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center"/>
              <w:ind w:left="605"/>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(16,429)</w:t>
            </w: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Arial" w:cs="Arial" w:eastAsia="Arial" w:hAnsi="Arial"/>
                <w:sz w:val="15"/>
                <w:szCs w:val="15"/>
                <w:color w:val="auto"/>
              </w:rPr>
              <w:t>Balance at March 31, 2021</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61,309,349</w:t>
            </w:r>
          </w:p>
        </w:tc>
        <w:tc>
          <w:tcPr>
            <w:tcW w:w="80" w:type="dxa"/>
            <w:vAlign w:val="bottom"/>
          </w:tcPr>
          <w:p>
            <w:pPr>
              <w:spacing w:after="0"/>
              <w:rPr>
                <w:sz w:val="19"/>
                <w:szCs w:val="19"/>
                <w:color w:val="auto"/>
              </w:rPr>
            </w:pPr>
          </w:p>
        </w:tc>
        <w:tc>
          <w:tcPr>
            <w:tcW w:w="720" w:type="dxa"/>
            <w:vAlign w:val="bottom"/>
          </w:tcPr>
          <w:p>
            <w:pPr>
              <w:jc w:val="right"/>
              <w:ind w:right="543"/>
              <w:spacing w:after="0"/>
              <w:rPr>
                <w:sz w:val="20"/>
                <w:szCs w:val="20"/>
                <w:color w:val="auto"/>
              </w:rPr>
            </w:pPr>
            <w:r>
              <w:rPr>
                <w:rFonts w:ascii="Arial" w:cs="Arial" w:eastAsia="Arial" w:hAnsi="Arial"/>
                <w:sz w:val="15"/>
                <w:szCs w:val="15"/>
                <w:color w:val="auto"/>
                <w:w w:val="95"/>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607,531</w:t>
            </w: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ind w:left="320"/>
              <w:spacing w:after="0"/>
              <w:rPr>
                <w:sz w:val="20"/>
                <w:szCs w:val="20"/>
                <w:color w:val="auto"/>
              </w:rPr>
            </w:pPr>
            <w:r>
              <w:rPr>
                <w:rFonts w:ascii="Arial" w:cs="Arial" w:eastAsia="Arial" w:hAnsi="Arial"/>
                <w:sz w:val="15"/>
                <w:szCs w:val="15"/>
                <w:color w:val="auto"/>
                <w:w w:val="96"/>
              </w:rPr>
              <w:t>(71,790)</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center"/>
              <w:ind w:left="605"/>
              <w:spacing w:after="0"/>
              <w:rPr>
                <w:sz w:val="20"/>
                <w:szCs w:val="20"/>
                <w:color w:val="auto"/>
              </w:rPr>
            </w:pPr>
            <w:r>
              <w:rPr>
                <w:rFonts w:ascii="Arial" w:cs="Arial" w:eastAsia="Arial" w:hAnsi="Arial"/>
                <w:sz w:val="15"/>
                <w:szCs w:val="15"/>
                <w:color w:val="auto"/>
                <w:w w:val="95"/>
              </w:rPr>
              <w:t>28</w:t>
            </w:r>
          </w:p>
        </w:tc>
        <w:tc>
          <w:tcPr>
            <w:tcW w:w="8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535,770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right"/>
        <w:ind w:right="739"/>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(in thousands)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60" w:type="dxa"/>
            <w:vAlign w:val="bottom"/>
          </w:tcPr>
          <w:p>
            <w:pPr>
              <w:spacing w:after="0"/>
              <w:rPr>
                <w:sz w:val="15"/>
                <w:szCs w:val="15"/>
                <w:color w:val="auto"/>
              </w:rPr>
            </w:pPr>
          </w:p>
        </w:tc>
        <w:tc>
          <w:tcPr>
            <w:tcW w:w="260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
        </w:trPr>
        <w:tc>
          <w:tcPr>
            <w:tcW w:w="78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5"/>
        </w:trPr>
        <w:tc>
          <w:tcPr>
            <w:tcW w:w="78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
        </w:trPr>
        <w:tc>
          <w:tcPr>
            <w:tcW w:w="78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7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182"/>
        </w:trPr>
        <w:tc>
          <w:tcPr>
            <w:tcW w:w="7860" w:type="dxa"/>
            <w:vAlign w:val="bottom"/>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tcPr>
          <w:p>
            <w:pPr>
              <w:jc w:val="right"/>
              <w:ind w:right="811"/>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(23,646)</w:t>
            </w:r>
          </w:p>
        </w:tc>
        <w:tc>
          <w:tcPr>
            <w:tcW w:w="100" w:type="dxa"/>
            <w:vAlign w:val="bottom"/>
          </w:tcPr>
          <w:p>
            <w:pPr>
              <w:spacing w:after="0"/>
              <w:rPr>
                <w:sz w:val="15"/>
                <w:szCs w:val="15"/>
                <w:color w:val="auto"/>
              </w:rPr>
            </w:pPr>
          </w:p>
        </w:tc>
        <w:tc>
          <w:tcPr>
            <w:tcW w:w="960" w:type="dxa"/>
            <w:vAlign w:val="bottom"/>
          </w:tcPr>
          <w:p>
            <w:pPr>
              <w:jc w:val="right"/>
              <w:ind w:right="811"/>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(16,429)</w:t>
            </w:r>
          </w:p>
        </w:tc>
        <w:tc>
          <w:tcPr>
            <w:tcW w:w="100" w:type="dxa"/>
            <w:vAlign w:val="bottom"/>
          </w:tcPr>
          <w:p>
            <w:pPr>
              <w:spacing w:after="0"/>
              <w:rPr>
                <w:sz w:val="15"/>
                <w:szCs w:val="15"/>
                <w:color w:val="auto"/>
              </w:rPr>
            </w:pPr>
          </w:p>
        </w:tc>
      </w:tr>
      <w:tr>
        <w:trPr>
          <w:trHeight w:val="24"/>
        </w:trPr>
        <w:tc>
          <w:tcPr>
            <w:tcW w:w="7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182"/>
        </w:trPr>
        <w:tc>
          <w:tcPr>
            <w:tcW w:w="786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8,062</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6,039</w:t>
            </w:r>
          </w:p>
        </w:tc>
        <w:tc>
          <w:tcPr>
            <w:tcW w:w="100" w:type="dxa"/>
            <w:vAlign w:val="bottom"/>
          </w:tcPr>
          <w:p>
            <w:pPr>
              <w:spacing w:after="0"/>
              <w:rPr>
                <w:sz w:val="15"/>
                <w:szCs w:val="15"/>
                <w:color w:val="auto"/>
              </w:rPr>
            </w:pPr>
          </w:p>
        </w:tc>
      </w:tr>
      <w:tr>
        <w:trPr>
          <w:trHeight w:val="24"/>
        </w:trPr>
        <w:tc>
          <w:tcPr>
            <w:tcW w:w="7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2"/>
        </w:trPr>
        <w:tc>
          <w:tcPr>
            <w:tcW w:w="7860" w:type="dxa"/>
            <w:vAlign w:val="bottom"/>
          </w:tcPr>
          <w:p>
            <w:pPr>
              <w:ind w:left="240"/>
              <w:spacing w:after="0"/>
              <w:rPr>
                <w:sz w:val="20"/>
                <w:szCs w:val="20"/>
                <w:color w:val="auto"/>
              </w:rPr>
            </w:pPr>
            <w:r>
              <w:rPr>
                <w:rFonts w:ascii="Arial" w:cs="Arial" w:eastAsia="Arial" w:hAnsi="Arial"/>
                <w:sz w:val="14"/>
                <w:szCs w:val="14"/>
                <w:color w:val="auto"/>
              </w:rPr>
              <w:t>Net amortization of premium on available-for-sale securities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5"/>
                <w:szCs w:val="15"/>
                <w:color w:val="auto"/>
              </w:rPr>
            </w:pPr>
          </w:p>
        </w:tc>
      </w:tr>
      <w:tr>
        <w:trPr>
          <w:trHeight w:val="24"/>
        </w:trPr>
        <w:tc>
          <w:tcPr>
            <w:tcW w:w="7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Non-cash operating lease expense</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2"/>
        </w:trPr>
        <w:tc>
          <w:tcPr>
            <w:tcW w:w="7860" w:type="dxa"/>
            <w:vAlign w:val="bottom"/>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
        </w:trPr>
        <w:tc>
          <w:tcPr>
            <w:tcW w:w="7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7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Accounts receivable, net</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82"/>
        </w:trPr>
        <w:tc>
          <w:tcPr>
            <w:tcW w:w="7860" w:type="dxa"/>
            <w:vAlign w:val="bottom"/>
          </w:tcPr>
          <w:p>
            <w:pPr>
              <w:ind w:left="440"/>
              <w:spacing w:after="0"/>
              <w:rPr>
                <w:sz w:val="20"/>
                <w:szCs w:val="20"/>
                <w:color w:val="auto"/>
              </w:rPr>
            </w:pPr>
            <w:r>
              <w:rPr>
                <w:rFonts w:ascii="Arial" w:cs="Arial" w:eastAsia="Arial" w:hAnsi="Arial"/>
                <w:sz w:val="14"/>
                <w:szCs w:val="14"/>
                <w:color w:val="auto"/>
              </w:rPr>
              <w:t>Related party receivables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r>
      <w:tr>
        <w:trPr>
          <w:trHeight w:val="24"/>
        </w:trPr>
        <w:tc>
          <w:tcPr>
            <w:tcW w:w="7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7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Other receivables</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2"/>
        </w:trPr>
        <w:tc>
          <w:tcPr>
            <w:tcW w:w="7860" w:type="dxa"/>
            <w:vAlign w:val="bottom"/>
          </w:tcPr>
          <w:p>
            <w:pPr>
              <w:ind w:left="440"/>
              <w:spacing w:after="0"/>
              <w:rPr>
                <w:sz w:val="20"/>
                <w:szCs w:val="20"/>
                <w:color w:val="auto"/>
              </w:rPr>
            </w:pPr>
            <w:r>
              <w:rPr>
                <w:rFonts w:ascii="Arial" w:cs="Arial" w:eastAsia="Arial" w:hAnsi="Arial"/>
                <w:sz w:val="14"/>
                <w:szCs w:val="14"/>
                <w:color w:val="auto"/>
              </w:rPr>
              <w:t>Prepaid expenses and other current assets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(2,850)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(2,589)</w:t>
            </w:r>
          </w:p>
        </w:tc>
        <w:tc>
          <w:tcPr>
            <w:tcW w:w="100" w:type="dxa"/>
            <w:vAlign w:val="bottom"/>
          </w:tcPr>
          <w:p>
            <w:pPr>
              <w:spacing w:after="0"/>
              <w:rPr>
                <w:sz w:val="15"/>
                <w:szCs w:val="15"/>
                <w:color w:val="auto"/>
              </w:rPr>
            </w:pPr>
          </w:p>
        </w:tc>
      </w:tr>
      <w:tr>
        <w:trPr>
          <w:trHeight w:val="24"/>
        </w:trPr>
        <w:tc>
          <w:tcPr>
            <w:tcW w:w="7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7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Inventory</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2"/>
        </w:trPr>
        <w:tc>
          <w:tcPr>
            <w:tcW w:w="7860" w:type="dxa"/>
            <w:vAlign w:val="bottom"/>
          </w:tcPr>
          <w:p>
            <w:pPr>
              <w:ind w:left="440"/>
              <w:spacing w:after="0"/>
              <w:rPr>
                <w:sz w:val="20"/>
                <w:szCs w:val="20"/>
                <w:color w:val="auto"/>
              </w:rPr>
            </w:pPr>
            <w:r>
              <w:rPr>
                <w:rFonts w:ascii="Arial" w:cs="Arial" w:eastAsia="Arial" w:hAnsi="Arial"/>
                <w:sz w:val="14"/>
                <w:szCs w:val="14"/>
                <w:color w:val="auto"/>
              </w:rPr>
              <w:t>Other assets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r>
      <w:tr>
        <w:trPr>
          <w:trHeight w:val="24"/>
        </w:trPr>
        <w:tc>
          <w:tcPr>
            <w:tcW w:w="7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7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Accounts payable</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2"/>
        </w:trPr>
        <w:tc>
          <w:tcPr>
            <w:tcW w:w="7860" w:type="dxa"/>
            <w:vAlign w:val="bottom"/>
          </w:tcPr>
          <w:p>
            <w:pPr>
              <w:ind w:left="440"/>
              <w:spacing w:after="0"/>
              <w:rPr>
                <w:sz w:val="20"/>
                <w:szCs w:val="20"/>
                <w:color w:val="auto"/>
              </w:rPr>
            </w:pPr>
            <w:r>
              <w:rPr>
                <w:rFonts w:ascii="Arial" w:cs="Arial" w:eastAsia="Arial" w:hAnsi="Arial"/>
                <w:sz w:val="14"/>
                <w:szCs w:val="14"/>
                <w:color w:val="auto"/>
              </w:rPr>
              <w:t>Deferred revenue</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r>
      <w:tr>
        <w:trPr>
          <w:trHeight w:val="24"/>
        </w:trPr>
        <w:tc>
          <w:tcPr>
            <w:tcW w:w="7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7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Accrued expenses</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2"/>
        </w:trPr>
        <w:tc>
          <w:tcPr>
            <w:tcW w:w="7860" w:type="dxa"/>
            <w:vAlign w:val="bottom"/>
          </w:tcPr>
          <w:p>
            <w:pPr>
              <w:ind w:left="440"/>
              <w:spacing w:after="0"/>
              <w:rPr>
                <w:sz w:val="20"/>
                <w:szCs w:val="20"/>
                <w:color w:val="auto"/>
              </w:rPr>
            </w:pPr>
            <w:r>
              <w:rPr>
                <w:rFonts w:ascii="Arial" w:cs="Arial" w:eastAsia="Arial" w:hAnsi="Arial"/>
                <w:sz w:val="14"/>
                <w:szCs w:val="14"/>
                <w:color w:val="auto"/>
              </w:rPr>
              <w:t>Operating lease liabilities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5"/>
                <w:szCs w:val="15"/>
                <w:color w:val="auto"/>
              </w:rPr>
            </w:pPr>
          </w:p>
        </w:tc>
      </w:tr>
      <w:tr>
        <w:trPr>
          <w:trHeight w:val="24"/>
        </w:trPr>
        <w:tc>
          <w:tcPr>
            <w:tcW w:w="7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7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Other noncurrent liabilities</w:t>
            </w:r>
          </w:p>
        </w:tc>
        <w:tc>
          <w:tcPr>
            <w:tcW w:w="9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75"/>
        </w:trPr>
        <w:tc>
          <w:tcPr>
            <w:tcW w:w="7860" w:type="dxa"/>
            <w:vAlign w:val="bottom"/>
          </w:tcPr>
          <w:p>
            <w:pPr>
              <w:ind w:left="640"/>
              <w:spacing w:after="0"/>
              <w:rPr>
                <w:sz w:val="20"/>
                <w:szCs w:val="20"/>
                <w:color w:val="auto"/>
              </w:rPr>
            </w:pPr>
            <w:r>
              <w:rPr>
                <w:rFonts w:ascii="Arial" w:cs="Arial" w:eastAsia="Arial" w:hAnsi="Arial"/>
                <w:sz w:val="14"/>
                <w:szCs w:val="14"/>
                <w:color w:val="auto"/>
              </w:rPr>
              <w:t>Net cash used in operating activities</w:t>
            </w:r>
          </w:p>
        </w:tc>
        <w:tc>
          <w:tcPr>
            <w:tcW w:w="9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(19,151)</w:t>
            </w: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(14,872)</w:t>
            </w:r>
          </w:p>
        </w:tc>
        <w:tc>
          <w:tcPr>
            <w:tcW w:w="100" w:type="dxa"/>
            <w:vAlign w:val="bottom"/>
          </w:tcPr>
          <w:p>
            <w:pPr>
              <w:spacing w:after="0"/>
              <w:rPr>
                <w:sz w:val="15"/>
                <w:szCs w:val="15"/>
                <w:color w:val="auto"/>
              </w:rPr>
            </w:pPr>
          </w:p>
        </w:tc>
      </w:tr>
      <w:tr>
        <w:trPr>
          <w:trHeight w:val="24"/>
        </w:trPr>
        <w:tc>
          <w:tcPr>
            <w:tcW w:w="78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16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r>
      <w:tr>
        <w:trPr>
          <w:trHeight w:val="200"/>
        </w:trPr>
        <w:tc>
          <w:tcPr>
            <w:tcW w:w="786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(1,080)</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17"/>
                <w:szCs w:val="17"/>
                <w:color w:val="auto"/>
              </w:rPr>
            </w:pPr>
          </w:p>
        </w:tc>
      </w:tr>
      <w:tr>
        <w:trPr>
          <w:trHeight w:val="19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available-for-sale securities</w:t>
            </w:r>
          </w:p>
        </w:tc>
        <w:tc>
          <w:tcPr>
            <w:tcW w:w="9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(30,279)</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2"/>
        </w:trPr>
        <w:tc>
          <w:tcPr>
            <w:tcW w:w="7860" w:type="dxa"/>
            <w:vAlign w:val="bottom"/>
          </w:tcPr>
          <w:p>
            <w:pPr>
              <w:ind w:left="20"/>
              <w:spacing w:after="0"/>
              <w:rPr>
                <w:sz w:val="20"/>
                <w:szCs w:val="20"/>
                <w:color w:val="auto"/>
              </w:rPr>
            </w:pPr>
            <w:r>
              <w:rPr>
                <w:rFonts w:ascii="Arial" w:cs="Arial" w:eastAsia="Arial" w:hAnsi="Arial"/>
                <w:sz w:val="14"/>
                <w:szCs w:val="14"/>
                <w:color w:val="auto"/>
              </w:rPr>
              <w:t>Proceeds from maturities of available-for-sale securities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12,000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43,000</w:t>
            </w:r>
          </w:p>
        </w:tc>
        <w:tc>
          <w:tcPr>
            <w:tcW w:w="100" w:type="dxa"/>
            <w:vAlign w:val="bottom"/>
          </w:tcPr>
          <w:p>
            <w:pPr>
              <w:spacing w:after="0"/>
              <w:rPr>
                <w:sz w:val="15"/>
                <w:szCs w:val="15"/>
                <w:color w:val="auto"/>
              </w:rPr>
            </w:pPr>
          </w:p>
        </w:tc>
      </w:tr>
      <w:tr>
        <w:trPr>
          <w:trHeight w:val="24"/>
        </w:trPr>
        <w:tc>
          <w:tcPr>
            <w:tcW w:w="78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199"/>
        </w:trPr>
        <w:tc>
          <w:tcPr>
            <w:tcW w:w="7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Net cash provided by investing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10,920</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11,883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62"/>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
        </w:trPr>
        <w:tc>
          <w:tcPr>
            <w:tcW w:w="7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upon follow-on public offering, net of issuance costs</w:t>
            </w:r>
          </w:p>
        </w:tc>
        <w:tc>
          <w:tcPr>
            <w:tcW w:w="9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103,595</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200"/>
        </w:trPr>
        <w:tc>
          <w:tcPr>
            <w:tcW w:w="7860" w:type="dxa"/>
            <w:vAlign w:val="bottom"/>
          </w:tcPr>
          <w:p>
            <w:pPr>
              <w:ind w:left="20"/>
              <w:spacing w:after="0"/>
              <w:rPr>
                <w:sz w:val="20"/>
                <w:szCs w:val="20"/>
                <w:color w:val="auto"/>
              </w:rPr>
            </w:pPr>
            <w:r>
              <w:rPr>
                <w:rFonts w:ascii="Arial" w:cs="Arial" w:eastAsia="Arial" w:hAnsi="Arial"/>
                <w:sz w:val="14"/>
                <w:szCs w:val="14"/>
                <w:color w:val="auto"/>
              </w:rPr>
              <w:t>Proceeds from return of profit</w:t>
            </w:r>
          </w:p>
        </w:tc>
        <w:tc>
          <w:tcPr>
            <w:tcW w:w="9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11,403</w:t>
            </w:r>
          </w:p>
        </w:tc>
        <w:tc>
          <w:tcPr>
            <w:tcW w:w="100" w:type="dxa"/>
            <w:vAlign w:val="bottom"/>
          </w:tcPr>
          <w:p>
            <w:pPr>
              <w:spacing w:after="0"/>
              <w:rPr>
                <w:sz w:val="17"/>
                <w:szCs w:val="17"/>
                <w:color w:val="auto"/>
              </w:rPr>
            </w:pPr>
          </w:p>
        </w:tc>
      </w:tr>
      <w:tr>
        <w:trPr>
          <w:trHeight w:val="19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Class A common stock</w:t>
            </w: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20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Proceeds from exercise of Class A common stock options including early exercised options</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tcPr>
          <w:p>
            <w:pPr>
              <w:spacing w:after="0"/>
              <w:rPr>
                <w:sz w:val="17"/>
                <w:szCs w:val="17"/>
                <w:color w:val="auto"/>
              </w:rPr>
            </w:pPr>
          </w:p>
        </w:tc>
      </w:tr>
      <w:tr>
        <w:trPr>
          <w:trHeight w:val="205"/>
        </w:trPr>
        <w:tc>
          <w:tcPr>
            <w:tcW w:w="7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Net cash provided by financing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115,167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75"/>
        </w:trPr>
        <w:tc>
          <w:tcPr>
            <w:tcW w:w="786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9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(7,479)</w:t>
            </w: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112,178</w:t>
            </w:r>
          </w:p>
        </w:tc>
        <w:tc>
          <w:tcPr>
            <w:tcW w:w="100" w:type="dxa"/>
            <w:vAlign w:val="bottom"/>
          </w:tcPr>
          <w:p>
            <w:pPr>
              <w:spacing w:after="0"/>
              <w:rPr>
                <w:sz w:val="15"/>
                <w:szCs w:val="15"/>
                <w:color w:val="auto"/>
              </w:rPr>
            </w:pPr>
          </w:p>
        </w:tc>
      </w:tr>
      <w:tr>
        <w:trPr>
          <w:trHeight w:val="24"/>
        </w:trPr>
        <w:tc>
          <w:tcPr>
            <w:tcW w:w="7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233,337</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333,928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786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960" w:type="dxa"/>
            <w:vAlign w:val="bottom"/>
            <w:tcBorders>
              <w:top w:val="single" w:sz="8" w:color="auto"/>
              <w:bottom w:val="single" w:sz="8" w:color="auto"/>
            </w:tcBorders>
          </w:tcPr>
          <w:p>
            <w:pPr>
              <w:jc w:val="right"/>
              <w:ind w:right="811"/>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225,858</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811"/>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446,106</w:t>
            </w:r>
          </w:p>
        </w:tc>
        <w:tc>
          <w:tcPr>
            <w:tcW w:w="100" w:type="dxa"/>
            <w:vAlign w:val="bottom"/>
          </w:tcPr>
          <w:p>
            <w:pPr>
              <w:spacing w:after="0"/>
              <w:rPr>
                <w:sz w:val="17"/>
                <w:szCs w:val="17"/>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59"/>
        </w:trPr>
        <w:tc>
          <w:tcPr>
            <w:tcW w:w="78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2"/>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ACTIVITIES</w:t>
            </w: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7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1"/>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purchases included in accounts payable</w:t>
            </w:r>
          </w:p>
        </w:tc>
        <w:tc>
          <w:tcPr>
            <w:tcW w:w="96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78"/>
        </w:trPr>
        <w:tc>
          <w:tcPr>
            <w:tcW w:w="7860" w:type="dxa"/>
            <w:vAlign w:val="bottom"/>
          </w:tcPr>
          <w:p>
            <w:pPr>
              <w:ind w:left="20"/>
              <w:spacing w:after="0"/>
              <w:rPr>
                <w:sz w:val="20"/>
                <w:szCs w:val="20"/>
                <w:color w:val="auto"/>
              </w:rPr>
            </w:pPr>
            <w:r>
              <w:rPr>
                <w:rFonts w:ascii="Arial" w:cs="Arial" w:eastAsia="Arial" w:hAnsi="Arial"/>
                <w:sz w:val="14"/>
                <w:szCs w:val="14"/>
                <w:color w:val="auto"/>
              </w:rPr>
              <w:t>Property and equipment purchases included in accrued expenses</w:t>
            </w:r>
          </w:p>
        </w:tc>
        <w:tc>
          <w:tcPr>
            <w:tcW w:w="96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2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 liability obtained in exchange for right-of-use assets</w:t>
            </w:r>
          </w:p>
        </w:tc>
        <w:tc>
          <w:tcPr>
            <w:tcW w:w="96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6,855</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78"/>
        </w:trPr>
        <w:tc>
          <w:tcPr>
            <w:tcW w:w="7860" w:type="dxa"/>
            <w:vAlign w:val="bottom"/>
          </w:tcPr>
          <w:p>
            <w:pPr>
              <w:ind w:left="20"/>
              <w:spacing w:after="0"/>
              <w:rPr>
                <w:sz w:val="20"/>
                <w:szCs w:val="20"/>
                <w:color w:val="auto"/>
              </w:rPr>
            </w:pPr>
            <w:r>
              <w:rPr>
                <w:rFonts w:ascii="Arial" w:cs="Arial" w:eastAsia="Arial" w:hAnsi="Arial"/>
                <w:sz w:val="14"/>
                <w:szCs w:val="14"/>
                <w:color w:val="auto"/>
              </w:rPr>
              <w:t>Offering costs in accounts payable</w:t>
            </w:r>
          </w:p>
        </w:tc>
        <w:tc>
          <w:tcPr>
            <w:tcW w:w="960" w:type="dxa"/>
            <w:vAlign w:val="bottom"/>
          </w:tcPr>
          <w:p>
            <w:pPr>
              <w:jc w:val="right"/>
              <w:ind w:right="811"/>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11"/>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5"/>
                <w:szCs w:val="15"/>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8"/>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Offering costs in accrued expenses</w:t>
            </w:r>
          </w:p>
        </w:tc>
        <w:tc>
          <w:tcPr>
            <w:tcW w:w="96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18"/>
                <w:szCs w:val="18"/>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165735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80" w:top="121"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20" w:hanging="617"/>
        <w:spacing w:after="0"/>
        <w:tabs>
          <w:tab w:leader="none" w:pos="6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DESCRIPTION OF THE BUSINESS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Seer, Inc. (the Company) was incorporated in Delaware on March 16, 2017, and is headquartered in Redwood City, California. In December 2020, the Company formed the wholly-owned subsidiary, Seer Securities Corporation, located in Massachusetts. The Company is a life sciences company focused on capturing deep molecular insights from the proteome to enable novel insights and breakthroughs in the understanding of biology and disease. Since inception, the Company has devoted its efforts principally to research, development and commercialization of its technology and products, recruiting management and technical staff, acquiring operating assets, and raising capital.</w:t>
      </w:r>
    </w:p>
    <w:p>
      <w:pPr>
        <w:spacing w:after="0" w:line="13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Company is subject to a number of risks, similar to other early-stage life science companies, including, but not limited to, development and commercialization of its products, market acceptance of its products, development by its competitors of new technological innovations, protection of its intellectual property, and raising additional capital.</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Offering</w:t>
      </w:r>
    </w:p>
    <w:p>
      <w:pPr>
        <w:spacing w:after="0" w:line="165" w:lineRule="exact"/>
        <w:rPr>
          <w:sz w:val="20"/>
          <w:szCs w:val="20"/>
          <w:color w:val="auto"/>
        </w:rPr>
      </w:pPr>
    </w:p>
    <w:p>
      <w:pPr>
        <w:spacing w:after="0" w:line="349" w:lineRule="auto"/>
        <w:rPr>
          <w:sz w:val="20"/>
          <w:szCs w:val="20"/>
          <w:color w:val="auto"/>
        </w:rPr>
      </w:pPr>
      <w:r>
        <w:rPr>
          <w:rFonts w:ascii="Arial" w:cs="Arial" w:eastAsia="Arial" w:hAnsi="Arial"/>
          <w:sz w:val="15"/>
          <w:szCs w:val="15"/>
          <w:color w:val="auto"/>
        </w:rPr>
        <w:t>On February 1, 2021, the Company completed an underwritten public offering of 1,650,000 shares of its Class A common stock at a public offering price of $67.00 per share. The Company received net proceeds of $103.0 million after deducting offering costs, underwriting discounts, and commissions of $7.6 million.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165" w:lineRule="exact"/>
        <w:rPr>
          <w:sz w:val="20"/>
          <w:szCs w:val="20"/>
          <w:color w:val="auto"/>
        </w:rPr>
      </w:pPr>
    </w:p>
    <w:p>
      <w:pPr>
        <w:ind w:right="300"/>
        <w:spacing w:after="0" w:line="279" w:lineRule="auto"/>
        <w:rPr>
          <w:sz w:val="20"/>
          <w:szCs w:val="20"/>
          <w:color w:val="auto"/>
        </w:rPr>
      </w:pPr>
      <w:r>
        <w:rPr>
          <w:rFonts w:ascii="Arial" w:cs="Arial" w:eastAsia="Arial" w:hAnsi="Arial"/>
          <w:sz w:val="16"/>
          <w:szCs w:val="16"/>
          <w:color w:val="auto"/>
        </w:rPr>
        <w:t>As of March 31, 2022, the Company has incurred significant losses and has had negative cash flows from operations. As of March 31, 2022, the Company had cash, cash equivalents and investments of $471.8 million and an accumulated deficit of $150.2 million. Management expects to continue to incur significant expenses for the foreseeable future and to incur operating losses in the near term while the Company makes investments to support its anticipated growth. The Company believes that its cash and cash equivalents balance as of March 31, 2022 provides sufficient capital resources to continue its operations for at least 12 months from the issuance date of the accompanying unaudited condensed consolidated financial statements.</w:t>
      </w:r>
    </w:p>
    <w:p>
      <w:pPr>
        <w:spacing w:after="0" w:line="111" w:lineRule="exact"/>
        <w:rPr>
          <w:sz w:val="20"/>
          <w:szCs w:val="20"/>
          <w:color w:val="auto"/>
        </w:rPr>
      </w:pPr>
    </w:p>
    <w:p>
      <w:pPr>
        <w:ind w:left="620" w:hanging="617"/>
        <w:spacing w:after="0"/>
        <w:tabs>
          <w:tab w:leader="none" w:pos="6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AND 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65"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The unaudited condensed consolidated financial statements have been prepared in accordance with accounting principles generally accepted in the United States of America (U.S. GAAP). The Company has issued shares of Class A common stock, herein referred to as “Class A common stock” or “Class A,” and Class B common stock, herein referred to as “Class B common stock” or “Class B,” and collectively as “common stock.” The unaudited condensed consolidated financial statements include the accounts of Seer, Inc. and its wholly-owned subsidiary. All intercompany transactions and balances have been eliminated.</w:t>
      </w:r>
    </w:p>
    <w:p>
      <w:pPr>
        <w:spacing w:after="0" w:line="97"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condensed consolidated balance sheet at December 31, 2021 has been derived from the audited consolidated financial statements of the Company at that date. Certain information and footnote disclosures typically included in the Company’s audited consolidated financial statements have been condensed or omitted. The accompanying unaudited condensed consolidated financial statements have been prepared on the same basis as the annual consolidated financial statements and, in the opinion of management, reflect all adjustments, which include only normal recurring adjustments, necessary to state fairly the Company’s financial position, results of operations, comprehensive loss and cash flows for the periods presented, but are not necessarily indicative of the results of operations to be anticipated for any future annual or interim period.</w:t>
      </w:r>
    </w:p>
    <w:p>
      <w:pPr>
        <w:spacing w:after="0" w:line="132" w:lineRule="exact"/>
        <w:rPr>
          <w:sz w:val="20"/>
          <w:szCs w:val="20"/>
          <w:color w:val="auto"/>
        </w:rPr>
      </w:pPr>
    </w:p>
    <w:p>
      <w:pPr>
        <w:ind w:right="640"/>
        <w:spacing w:after="0" w:line="349" w:lineRule="auto"/>
        <w:rPr>
          <w:sz w:val="20"/>
          <w:szCs w:val="20"/>
          <w:color w:val="auto"/>
        </w:rPr>
      </w:pPr>
      <w:r>
        <w:rPr>
          <w:rFonts w:ascii="Arial" w:cs="Arial" w:eastAsia="Arial" w:hAnsi="Arial"/>
          <w:sz w:val="15"/>
          <w:szCs w:val="15"/>
          <w:color w:val="auto"/>
        </w:rPr>
        <w:t>The accompanying unaudited condensed consolidated financial statements and notes should be read in conjunction with the audited consolidated financial statements and related notes for the year ended December 31, 2021 included in our Annual Report on Form 10-K filed with the SEC on March 1, 2022.</w:t>
      </w:r>
    </w:p>
    <w:p>
      <w:pPr>
        <w:spacing w:after="0" w:line="66"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 xml:space="preserve">The Company has also made certain presentation changes to retroactively adjust for the effects of Accounting Standards Codification No.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the adoption of which was disclosed in our Annual Report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Form 10-K filed on March 1, 2022, with an adoption effective date of January 1, 2021, using the modified retrospective method. The following table shows the affected line items within the unaudited condensed consolidated statements of cash flows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 2021</w:t>
            </w:r>
          </w:p>
        </w:tc>
        <w:tc>
          <w:tcPr>
            <w:tcW w:w="1200" w:type="dxa"/>
            <w:vAlign w:val="bottom"/>
            <w:tcBorders>
              <w:bottom w:val="single" w:sz="8" w:color="auto"/>
            </w:tcBorders>
          </w:tcPr>
          <w:p>
            <w:pPr>
              <w:spacing w:after="0"/>
              <w:rPr>
                <w:sz w:val="16"/>
                <w:szCs w:val="16"/>
                <w:color w:val="auto"/>
              </w:rPr>
            </w:pPr>
          </w:p>
        </w:tc>
      </w:tr>
      <w:tr>
        <w:trPr>
          <w:trHeight w:val="178"/>
        </w:trPr>
        <w:tc>
          <w:tcPr>
            <w:tcW w:w="5980" w:type="dxa"/>
            <w:vAlign w:val="bottom"/>
          </w:tcPr>
          <w:p>
            <w:pPr>
              <w:spacing w:after="0"/>
              <w:rPr>
                <w:sz w:val="15"/>
                <w:szCs w:val="15"/>
                <w:color w:val="auto"/>
              </w:rPr>
            </w:pPr>
          </w:p>
        </w:tc>
        <w:tc>
          <w:tcPr>
            <w:tcW w:w="158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4"/>
                <w:szCs w:val="14"/>
                <w:b w:val="1"/>
                <w:bCs w:val="1"/>
                <w:color w:val="auto"/>
                <w:w w:val="92"/>
              </w:rPr>
              <w:t>As Previously Reported</w:t>
            </w: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Adjustments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w w:val="92"/>
              </w:rPr>
              <w:t>As Adjusted</w:t>
            </w:r>
          </w:p>
        </w:tc>
      </w:tr>
      <w:tr>
        <w:trPr>
          <w:trHeight w:val="226"/>
        </w:trPr>
        <w:tc>
          <w:tcPr>
            <w:tcW w:w="5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5980" w:type="dxa"/>
            <w:vAlign w:val="bottom"/>
          </w:tcPr>
          <w:p>
            <w:pPr>
              <w:ind w:left="20"/>
              <w:spacing w:after="0"/>
              <w:rPr>
                <w:sz w:val="20"/>
                <w:szCs w:val="20"/>
                <w:color w:val="auto"/>
              </w:rPr>
            </w:pPr>
            <w:r>
              <w:rPr>
                <w:rFonts w:ascii="Arial" w:cs="Arial" w:eastAsia="Arial" w:hAnsi="Arial"/>
                <w:sz w:val="17"/>
                <w:szCs w:val="17"/>
                <w:color w:val="auto"/>
              </w:rPr>
              <w:t>Non-cash operating lease expense</w:t>
            </w:r>
          </w:p>
        </w:tc>
        <w:tc>
          <w:tcPr>
            <w:tcW w:w="540" w:type="dxa"/>
            <w:vAlign w:val="bottom"/>
          </w:tcPr>
          <w:p>
            <w:pPr>
              <w:jc w:val="right"/>
              <w:ind w:right="358"/>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74"/>
              <w:spacing w:after="0"/>
              <w:rPr>
                <w:sz w:val="20"/>
                <w:szCs w:val="20"/>
                <w:color w:val="auto"/>
              </w:rPr>
            </w:pPr>
            <w:r>
              <w:rPr>
                <w:rFonts w:ascii="Arial" w:cs="Arial" w:eastAsia="Arial" w:hAnsi="Arial"/>
                <w:sz w:val="17"/>
                <w:szCs w:val="17"/>
                <w:color w:val="auto"/>
              </w:rPr>
              <w:t>— $</w:t>
            </w:r>
          </w:p>
        </w:tc>
        <w:tc>
          <w:tcPr>
            <w:tcW w:w="1300" w:type="dxa"/>
            <w:vAlign w:val="bottom"/>
          </w:tcPr>
          <w:p>
            <w:pPr>
              <w:jc w:val="right"/>
              <w:spacing w:after="0"/>
              <w:rPr>
                <w:sz w:val="20"/>
                <w:szCs w:val="20"/>
                <w:color w:val="auto"/>
              </w:rPr>
            </w:pPr>
            <w:r>
              <w:rPr>
                <w:rFonts w:ascii="Arial" w:cs="Arial" w:eastAsia="Arial" w:hAnsi="Arial"/>
                <w:sz w:val="17"/>
                <w:szCs w:val="17"/>
                <w:color w:val="auto"/>
              </w:rPr>
              <w:t>78</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5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rent</w:t>
            </w:r>
          </w:p>
        </w:tc>
        <w:tc>
          <w:tcPr>
            <w:tcW w:w="5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980" w:type="dxa"/>
            <w:vAlign w:val="bottom"/>
          </w:tcPr>
          <w:p>
            <w:pPr>
              <w:ind w:left="20"/>
              <w:spacing w:after="0"/>
              <w:rPr>
                <w:sz w:val="20"/>
                <w:szCs w:val="20"/>
                <w:color w:val="auto"/>
              </w:rPr>
            </w:pPr>
            <w:r>
              <w:rPr>
                <w:rFonts w:ascii="Arial" w:cs="Arial" w:eastAsia="Arial" w:hAnsi="Arial"/>
                <w:sz w:val="17"/>
                <w:szCs w:val="17"/>
                <w:color w:val="auto"/>
              </w:rPr>
              <w:t>Operating lease liabilities</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(93)</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2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540" w:type="dxa"/>
            <w:vAlign w:val="bottom"/>
            <w:shd w:val="clear" w:color="auto" w:fill="CCEEFF"/>
          </w:tcPr>
          <w:p>
            <w:pPr>
              <w:jc w:val="right"/>
              <w:ind w:right="358"/>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(14,872)</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(14,872)</w:t>
            </w:r>
          </w:p>
        </w:tc>
      </w:tr>
      <w:tr>
        <w:trPr>
          <w:trHeight w:val="245"/>
        </w:trPr>
        <w:tc>
          <w:tcPr>
            <w:tcW w:w="5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 of non-cash activities: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5980" w:type="dxa"/>
            <w:vAlign w:val="bottom"/>
          </w:tcPr>
          <w:p>
            <w:pPr>
              <w:ind w:left="20"/>
              <w:spacing w:after="0"/>
              <w:rPr>
                <w:sz w:val="20"/>
                <w:szCs w:val="20"/>
                <w:color w:val="auto"/>
              </w:rPr>
            </w:pPr>
            <w:r>
              <w:rPr>
                <w:rFonts w:ascii="Arial" w:cs="Arial" w:eastAsia="Arial" w:hAnsi="Arial"/>
                <w:sz w:val="17"/>
                <w:szCs w:val="17"/>
                <w:color w:val="auto"/>
              </w:rPr>
              <w:t>Lease liability obtained in exchange for right-of-use assets</w:t>
            </w:r>
          </w:p>
        </w:tc>
        <w:tc>
          <w:tcPr>
            <w:tcW w:w="540" w:type="dxa"/>
            <w:vAlign w:val="bottom"/>
          </w:tcPr>
          <w:p>
            <w:pPr>
              <w:jc w:val="right"/>
              <w:ind w:right="358"/>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7,823</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7,823</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6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preparation of unaudited condensed consolidated financial statements in conformity with U.S. GAAP requires management to make estimates and assumptions that affect the reported amounts of assets, liabilities, and the disclosure of contingent assets and liabilities at the date of the unaudited condensed consolidated financial statements and the reported amounts of expenses during the reporting period. On an ongoing basis, the Company evaluates its estimates and assumptions, including, but not limited to, those related to the determination of stand-alone selling price for revenue recognition, the fair value of common stock, stock-based compensation, accrued research and development expenses, allowance for credit losses, inventory valuation, useful lives and valuation of property and equipment, income tax uncertainties, and tax valuation allowances.</w:t>
      </w:r>
    </w:p>
    <w:p>
      <w:pPr>
        <w:spacing w:after="0" w:line="13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the COVID-19 Pandemic</w:t>
      </w:r>
    </w:p>
    <w:p>
      <w:pPr>
        <w:spacing w:after="0" w:line="165"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As a result of the COVID-19 pandemic (COVID-19), the Company’s operations experienced disruptions and restrictions on employees’ ability to work and on the hiring of additional personnel, particularly as it relates to the Company’s phased commercial release. The Company’s personnel has experienced delays in accessing customers in certain countries with strict COVID-19 policies to provide installation and training services. Continued disruptions from COVID-19 could harm the Company’s operations and the Company cannot anticipate all the ways in which it could be adversely impacted by health epidemics such as COVID-19. The Company continues to monitor and assess the effects of the COVID-19 pandemic on its business, financial condition, results of operations and cash flows.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 and Restricted Cash</w:t>
      </w:r>
    </w:p>
    <w:p>
      <w:pPr>
        <w:spacing w:after="0" w:line="165" w:lineRule="exact"/>
        <w:rPr>
          <w:sz w:val="20"/>
          <w:szCs w:val="20"/>
          <w:color w:val="auto"/>
        </w:rPr>
      </w:pPr>
    </w:p>
    <w:p>
      <w:pPr>
        <w:ind w:right="600"/>
        <w:spacing w:after="0" w:line="349" w:lineRule="auto"/>
        <w:rPr>
          <w:sz w:val="20"/>
          <w:szCs w:val="20"/>
          <w:color w:val="auto"/>
        </w:rPr>
      </w:pPr>
      <w:r>
        <w:rPr>
          <w:rFonts w:ascii="Arial" w:cs="Arial" w:eastAsia="Arial" w:hAnsi="Arial"/>
          <w:sz w:val="15"/>
          <w:szCs w:val="15"/>
          <w:color w:val="auto"/>
        </w:rPr>
        <w:t>The Company considers all highly liquid investments with an original maturity of three months or less at the date of purchase to be cash equivalents. As of March 31, 2022 and December 31, 2021, all amounts recorded as cash and cash equivalents consist of money market funds and are stated at fair value.</w:t>
      </w:r>
    </w:p>
    <w:p>
      <w:pPr>
        <w:spacing w:after="0" w:line="6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Restricted cash as of March 31, 2022 and December 31, 2021 represents cash held by a financial institution as security for a letter of credit issued to the lessor for one of the Company’s operating leases and is classified as noncurrent.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table provides a reconciliation of cash and cash equivalents, and restricted cash reported within the unaudited condensed consolidated balance sheets that sum to the total of the same amounts shown in the unaudited condensed consolidated statements of cash flows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6"/>
                <w:szCs w:val="16"/>
                <w:color w:val="auto"/>
              </w:rPr>
            </w:pPr>
          </w:p>
        </w:tc>
        <w:tc>
          <w:tcPr>
            <w:tcW w:w="1340" w:type="dxa"/>
            <w:vAlign w:val="bottom"/>
          </w:tcPr>
          <w:p>
            <w:pPr>
              <w:jc w:val="right"/>
              <w:ind w:right="321"/>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6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w:t>
            </w:r>
          </w:p>
        </w:tc>
      </w:tr>
      <w:tr>
        <w:trPr>
          <w:trHeight w:val="231"/>
        </w:trPr>
        <w:tc>
          <w:tcPr>
            <w:tcW w:w="6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225,334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232,813</w:t>
            </w:r>
          </w:p>
        </w:tc>
      </w:tr>
      <w:tr>
        <w:trPr>
          <w:trHeight w:val="21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cash</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524</w:t>
            </w:r>
          </w:p>
        </w:tc>
      </w:tr>
      <w:tr>
        <w:trPr>
          <w:trHeight w:val="23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cash and cash equivalents and restricted cash</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225,858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233,337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Net</w:t>
      </w:r>
    </w:p>
    <w:p>
      <w:pPr>
        <w:spacing w:after="0" w:line="165"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Accounts receivable consist of amounts due from customers for the sales of products and services, net of any allowance for credit losses. The Company’s expected loss allowance methodology for receivables is developed using its historical collection experience, current and future economic market conditions and a review of the current aging status and financial condition of its customers. Specific allowance amounts are established to record the appropriate allowance for customers that have an identified risk of default. General allowance amounts are established based upon an assessment of expected credit losses for the Company’s receivables by aging category. Balances are written off when they are ultimately determined to be uncollectible. There was no allowance for credit losses related to accounts receivable as of March 31, 2022 and December 31, 2021.</w:t>
      </w:r>
    </w:p>
    <w:p>
      <w:pPr>
        <w:spacing w:after="0" w:line="132" w:lineRule="exact"/>
        <w:rPr>
          <w:sz w:val="20"/>
          <w:szCs w:val="20"/>
          <w:color w:val="auto"/>
        </w:rPr>
      </w:pPr>
    </w:p>
    <w:p>
      <w:pPr>
        <w:jc w:val="both"/>
        <w:ind w:right="60"/>
        <w:spacing w:after="0" w:line="349" w:lineRule="auto"/>
        <w:rPr>
          <w:sz w:val="20"/>
          <w:szCs w:val="20"/>
          <w:color w:val="auto"/>
        </w:rPr>
      </w:pPr>
      <w:r>
        <w:rPr>
          <w:rFonts w:ascii="Arial" w:cs="Arial" w:eastAsia="Arial" w:hAnsi="Arial"/>
          <w:sz w:val="15"/>
          <w:szCs w:val="15"/>
          <w:color w:val="auto"/>
        </w:rPr>
        <w:t>As of March 31, 2022, there were two customers that represented 29% and 18% of the total accounts receivable balance, including related party receivables. As of December 31, 2021, there were three customers that represented 34%, 23%, and 19% of the total accounts receivable balance, including related party receivables.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5"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The Company generates revenue from sales of products and services. The Company’s product, the Proteograph Product Suite, consists of an instrument with embedded software essential to the instrument's functionality, and consumables as well as platform evaluation agreements. The Company began recognizing revenue from shipments of its Proteograph Product Suite during the second quarter of 2021. The service revenue primarily consists of revenue received from the generation and analysis of proteomic data on behalf of the customer and revenue is recognized upon delivery of the reports.</w:t>
      </w:r>
    </w:p>
    <w:p>
      <w:pPr>
        <w:spacing w:after="0" w:line="112"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The Company recognizes revenue when control of the products and services is transferred to its customers in an amount that reflects the consideration it expects to be entitled to receive from its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distinct within the context of the contract. The Company considers a performance obligation satisfied once it has transferred control of a good or service to the customer, meaning the customer has the ability to direct the use and obtain substantially all the economic benefits from the good or service.</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instances where right of payment or transfer of title is contingent upon the customer’s acceptance of the product, revenue is deferred until all acceptance criteria have been met. Revenue is recorded net of discounts and sales taxes collected on behalf of governmental authorities. Customers are invoiced generally upon shipment, or upon order for services, and payment is typically due within 30 or 60 days. Cash received from customers in advance of product shipment or providing services is recorded as a contract liability. The Company’s contracts with its customers generally do not include rights of return or a significant financing component.</w:t>
      </w:r>
    </w:p>
    <w:p>
      <w:pPr>
        <w:spacing w:after="0" w:line="13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The Company elected the practical expedient to account for shipping and handling activities that occur after the customer has obtained control as a fulfillment activity and not a separate performance obligation.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expenses the incremental costs of obtaining a contract as and when incurred if the expected amortization period is one year or less or the amount is immaterial. The Company excludes from the transaction price all taxes assessed by a governmental authority on revenue-producing transactions that are collected by the Company from a customer.</w:t>
      </w:r>
    </w:p>
    <w:p>
      <w:pPr>
        <w:spacing w:after="0" w:line="124"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Company regularly enters into contracts that include various combinations of products and services, which are generally distinct and accounted for as separate performance obligations. The transaction price is allocated to each performance obligation in proportion to its standalone selling price. The Company determines the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Grant and Other Revenue</w:t>
      </w:r>
    </w:p>
    <w:p>
      <w:pPr>
        <w:spacing w:after="0" w:line="165"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spacing w:after="0" w:line="117" w:lineRule="exact"/>
        <w:rPr>
          <w:sz w:val="20"/>
          <w:szCs w:val="20"/>
          <w:color w:val="auto"/>
        </w:rPr>
      </w:pPr>
    </w:p>
    <w:p>
      <w:pPr>
        <w:jc w:val="both"/>
        <w:ind w:right="60"/>
        <w:spacing w:after="0" w:line="318" w:lineRule="auto"/>
        <w:rPr>
          <w:sz w:val="20"/>
          <w:szCs w:val="20"/>
          <w:color w:val="auto"/>
        </w:rPr>
      </w:pPr>
      <w:r>
        <w:rPr>
          <w:rFonts w:ascii="Arial" w:cs="Arial" w:eastAsia="Arial" w:hAnsi="Arial"/>
          <w:sz w:val="15"/>
          <w:szCs w:val="15"/>
          <w:color w:val="auto"/>
        </w:rPr>
        <w:t>The Company recognizes revenue for research and development services contracts when control is transferred, which is upon completion of the services and when results of the services have been transferred to the customer. Upfront payments and fees received are recorded as deferred revenue until the Company performs its obligations under its arrangements. Amounts payable to the Company are recorded as other receivables when its right to consideration is unconditional.</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5" w:lineRule="exact"/>
        <w:rPr>
          <w:sz w:val="20"/>
          <w:szCs w:val="20"/>
          <w:color w:val="auto"/>
        </w:rPr>
      </w:pPr>
    </w:p>
    <w:p>
      <w:pPr>
        <w:ind w:right="160"/>
        <w:spacing w:after="0" w:line="307" w:lineRule="auto"/>
        <w:rPr>
          <w:sz w:val="20"/>
          <w:szCs w:val="20"/>
          <w:color w:val="auto"/>
        </w:rPr>
      </w:pPr>
      <w:r>
        <w:rPr>
          <w:rFonts w:ascii="Arial" w:cs="Arial" w:eastAsia="Arial" w:hAnsi="Arial"/>
          <w:sz w:val="15"/>
          <w:szCs w:val="15"/>
          <w:color w:val="auto"/>
        </w:rPr>
        <w:t>Beginning in 2022, the Tax Cuts and Jobs Act of 2017 eliminates the option to deduct research and development expenditures in the period incurred and requires amortization over five years or fifteen years pursuant to Internal Revenue Code Section 174. Although Congress is considering legislation that would defer the amortization requirement to later years, there is no assurance that the requirement to amortize will be repealed or otherwise modified. The Company is currently assessing the impact of this provision but does not expect it to have a material impact on its financial position, results of operations or cash flows in 2022.</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65"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 xml:space="preserve">In November 2021, the FASB issued ASU No. 2021-10, </w:t>
      </w:r>
      <w:r>
        <w:rPr>
          <w:rFonts w:ascii="Arial" w:cs="Arial" w:eastAsia="Arial" w:hAnsi="Arial"/>
          <w:sz w:val="17"/>
          <w:szCs w:val="17"/>
          <w:i w:val="1"/>
          <w:iCs w:val="1"/>
          <w:color w:val="auto"/>
        </w:rPr>
        <w:t>Government Assistance (ASC Topic 832): Disclosures by Business Entities about Government Assistance</w:t>
      </w:r>
      <w:r>
        <w:rPr>
          <w:rFonts w:ascii="Arial" w:cs="Arial" w:eastAsia="Arial" w:hAnsi="Arial"/>
          <w:sz w:val="17"/>
          <w:szCs w:val="17"/>
          <w:color w:val="auto"/>
        </w:rPr>
        <w:t>. This standard requires annual disclosures that increase the transparency of transactions involving government grants, including the type of transactions, the accounting for those transactions and the effect of those transactions on an entity’s financial statements. The Company adopted this standard as of January 1, 2022, which did not have a material impact on its financial statements as of the adoption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20" w:hanging="617"/>
        <w:spacing w:after="0"/>
        <w:tabs>
          <w:tab w:leader="none" w:pos="6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 AND FAIR VALUE OF FINANCIAL INSTRUMENTS</w:t>
      </w:r>
    </w:p>
    <w:p>
      <w:pPr>
        <w:spacing w:after="0" w:line="171"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The following tables set forth the fair value of the Company’s financial assets that were measured at fair value on a recurring basis by level within the fair value hierarchy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March 31, 2022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
        </w:trPr>
        <w:tc>
          <w:tcPr>
            <w:tcW w:w="28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5"/>
        </w:trPr>
        <w:tc>
          <w:tcPr>
            <w:tcW w:w="28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8"/>
              <w:spacing w:after="0"/>
              <w:rPr>
                <w:sz w:val="20"/>
                <w:szCs w:val="20"/>
                <w:color w:val="auto"/>
              </w:rPr>
            </w:pPr>
            <w:r>
              <w:rPr>
                <w:rFonts w:ascii="Arial" w:cs="Arial" w:eastAsia="Arial" w:hAnsi="Arial"/>
                <w:sz w:val="14"/>
                <w:szCs w:val="14"/>
                <w:b w:val="1"/>
                <w:bCs w:val="1"/>
                <w:color w:val="auto"/>
              </w:rPr>
              <w:t>Total</w:t>
            </w:r>
          </w:p>
        </w:tc>
      </w:tr>
      <w:tr>
        <w:trPr>
          <w:trHeight w:val="24"/>
        </w:trPr>
        <w:tc>
          <w:tcPr>
            <w:tcW w:w="284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3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Classification:</w:t>
            </w: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57"/>
        </w:trPr>
        <w:tc>
          <w:tcPr>
            <w:tcW w:w="2840" w:type="dxa"/>
            <w:vAlign w:val="bottom"/>
          </w:tcPr>
          <w:p>
            <w:pPr>
              <w:ind w:left="20"/>
              <w:spacing w:after="0"/>
              <w:rPr>
                <w:sz w:val="20"/>
                <w:szCs w:val="20"/>
                <w:color w:val="auto"/>
              </w:rPr>
            </w:pPr>
            <w:r>
              <w:rPr>
                <w:rFonts w:ascii="Arial" w:cs="Arial" w:eastAsia="Arial" w:hAnsi="Arial"/>
                <w:sz w:val="17"/>
                <w:szCs w:val="17"/>
                <w:color w:val="auto"/>
              </w:rPr>
              <w:t>Money market funds</w:t>
            </w:r>
          </w:p>
        </w:tc>
        <w:tc>
          <w:tcPr>
            <w:tcW w:w="3280" w:type="dxa"/>
            <w:vAlign w:val="bottom"/>
          </w:tcPr>
          <w:p>
            <w:pPr>
              <w:ind w:left="460"/>
              <w:spacing w:after="0"/>
              <w:rPr>
                <w:sz w:val="20"/>
                <w:szCs w:val="20"/>
                <w:color w:val="auto"/>
              </w:rPr>
            </w:pPr>
            <w:r>
              <w:rPr>
                <w:rFonts w:ascii="Arial" w:cs="Arial" w:eastAsia="Arial" w:hAnsi="Arial"/>
                <w:sz w:val="17"/>
                <w:szCs w:val="17"/>
                <w:color w:val="auto"/>
              </w:rPr>
              <w:t>Cash and cash equivalents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225,334</w:t>
            </w:r>
          </w:p>
        </w:tc>
        <w:tc>
          <w:tcPr>
            <w:tcW w:w="80" w:type="dxa"/>
            <w:vAlign w:val="bottom"/>
          </w:tcPr>
          <w:p>
            <w:pPr>
              <w:spacing w:after="0"/>
              <w:rPr>
                <w:sz w:val="22"/>
                <w:szCs w:val="22"/>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700"/>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225,334</w:t>
            </w:r>
          </w:p>
        </w:tc>
      </w:tr>
      <w:tr>
        <w:trPr>
          <w:trHeight w:val="258"/>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32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Investments</w:t>
            </w: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246,442</w:t>
            </w:r>
          </w:p>
        </w:tc>
        <w:tc>
          <w:tcPr>
            <w:tcW w:w="10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246,442</w:t>
            </w:r>
          </w:p>
        </w:tc>
      </w:tr>
      <w:tr>
        <w:trPr>
          <w:trHeight w:val="252"/>
        </w:trPr>
        <w:tc>
          <w:tcPr>
            <w:tcW w:w="2840" w:type="dxa"/>
            <w:vAlign w:val="bottom"/>
          </w:tcPr>
          <w:p>
            <w:pPr>
              <w:ind w:left="20"/>
              <w:spacing w:after="0"/>
              <w:rPr>
                <w:sz w:val="20"/>
                <w:szCs w:val="20"/>
                <w:color w:val="auto"/>
              </w:rPr>
            </w:pPr>
            <w:r>
              <w:rPr>
                <w:rFonts w:ascii="Arial" w:cs="Arial" w:eastAsia="Arial" w:hAnsi="Arial"/>
                <w:sz w:val="17"/>
                <w:szCs w:val="17"/>
                <w:color w:val="auto"/>
              </w:rPr>
              <w:t>Total assets measured at fair value</w:t>
            </w:r>
          </w:p>
        </w:tc>
        <w:tc>
          <w:tcPr>
            <w:tcW w:w="328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225,334</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246,442</w:t>
            </w:r>
          </w:p>
        </w:tc>
        <w:tc>
          <w:tcPr>
            <w:tcW w:w="100" w:type="dxa"/>
            <w:vAlign w:val="bottom"/>
          </w:tcPr>
          <w:p>
            <w:pPr>
              <w:spacing w:after="0"/>
              <w:rPr>
                <w:sz w:val="21"/>
                <w:szCs w:val="21"/>
                <w:color w:val="auto"/>
              </w:rPr>
            </w:pPr>
          </w:p>
        </w:tc>
        <w:tc>
          <w:tcPr>
            <w:tcW w:w="880" w:type="dxa"/>
            <w:vAlign w:val="bottom"/>
            <w:tcBorders>
              <w:bottom w:val="single" w:sz="8" w:color="auto"/>
            </w:tcBorders>
          </w:tcPr>
          <w:p>
            <w:pPr>
              <w:jc w:val="right"/>
              <w:ind w:right="700"/>
              <w:spacing w:after="0"/>
              <w:rPr>
                <w:sz w:val="20"/>
                <w:szCs w:val="20"/>
                <w:color w:val="auto"/>
              </w:rPr>
            </w:pPr>
            <w:r>
              <w:rPr>
                <w:rFonts w:ascii="Arial" w:cs="Arial" w:eastAsia="Arial" w:hAnsi="Arial"/>
                <w:sz w:val="17"/>
                <w:szCs w:val="17"/>
                <w:color w:val="auto"/>
                <w:w w:val="84"/>
              </w:rPr>
              <w:t>$</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471,776</w:t>
            </w:r>
          </w:p>
        </w:tc>
      </w:tr>
      <w:tr>
        <w:trPr>
          <w:trHeight w:val="20"/>
        </w:trPr>
        <w:tc>
          <w:tcPr>
            <w:tcW w:w="28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44"/>
        </w:trPr>
        <w:tc>
          <w:tcPr>
            <w:tcW w:w="28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December 31, 2021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
        </w:trPr>
        <w:tc>
          <w:tcPr>
            <w:tcW w:w="28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5"/>
        </w:trPr>
        <w:tc>
          <w:tcPr>
            <w:tcW w:w="28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8"/>
              <w:spacing w:after="0"/>
              <w:rPr>
                <w:sz w:val="20"/>
                <w:szCs w:val="20"/>
                <w:color w:val="auto"/>
              </w:rPr>
            </w:pPr>
            <w:r>
              <w:rPr>
                <w:rFonts w:ascii="Arial" w:cs="Arial" w:eastAsia="Arial" w:hAnsi="Arial"/>
                <w:sz w:val="14"/>
                <w:szCs w:val="14"/>
                <w:b w:val="1"/>
                <w:bCs w:val="1"/>
                <w:color w:val="auto"/>
              </w:rPr>
              <w:t>Total</w:t>
            </w:r>
          </w:p>
        </w:tc>
      </w:tr>
      <w:tr>
        <w:trPr>
          <w:trHeight w:val="24"/>
        </w:trPr>
        <w:tc>
          <w:tcPr>
            <w:tcW w:w="284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3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Classification:</w:t>
            </w: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57"/>
        </w:trPr>
        <w:tc>
          <w:tcPr>
            <w:tcW w:w="2840" w:type="dxa"/>
            <w:vAlign w:val="bottom"/>
          </w:tcPr>
          <w:p>
            <w:pPr>
              <w:ind w:left="20"/>
              <w:spacing w:after="0"/>
              <w:rPr>
                <w:sz w:val="20"/>
                <w:szCs w:val="20"/>
                <w:color w:val="auto"/>
              </w:rPr>
            </w:pPr>
            <w:r>
              <w:rPr>
                <w:rFonts w:ascii="Arial" w:cs="Arial" w:eastAsia="Arial" w:hAnsi="Arial"/>
                <w:sz w:val="17"/>
                <w:szCs w:val="17"/>
                <w:color w:val="auto"/>
              </w:rPr>
              <w:t>Money market funds</w:t>
            </w:r>
          </w:p>
        </w:tc>
        <w:tc>
          <w:tcPr>
            <w:tcW w:w="3280" w:type="dxa"/>
            <w:vAlign w:val="bottom"/>
          </w:tcPr>
          <w:p>
            <w:pPr>
              <w:ind w:left="460"/>
              <w:spacing w:after="0"/>
              <w:rPr>
                <w:sz w:val="20"/>
                <w:szCs w:val="20"/>
                <w:color w:val="auto"/>
              </w:rPr>
            </w:pPr>
            <w:r>
              <w:rPr>
                <w:rFonts w:ascii="Arial" w:cs="Arial" w:eastAsia="Arial" w:hAnsi="Arial"/>
                <w:sz w:val="17"/>
                <w:szCs w:val="17"/>
                <w:color w:val="auto"/>
              </w:rPr>
              <w:t>Cash and cash equivalents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232,813</w:t>
            </w:r>
          </w:p>
        </w:tc>
        <w:tc>
          <w:tcPr>
            <w:tcW w:w="80" w:type="dxa"/>
            <w:vAlign w:val="bottom"/>
          </w:tcPr>
          <w:p>
            <w:pPr>
              <w:spacing w:after="0"/>
              <w:rPr>
                <w:sz w:val="22"/>
                <w:szCs w:val="22"/>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700"/>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232,813</w:t>
            </w:r>
          </w:p>
        </w:tc>
      </w:tr>
      <w:tr>
        <w:trPr>
          <w:trHeight w:val="258"/>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32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Investments</w:t>
            </w: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260,447</w:t>
            </w:r>
          </w:p>
        </w:tc>
        <w:tc>
          <w:tcPr>
            <w:tcW w:w="10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260,447</w:t>
            </w:r>
          </w:p>
        </w:tc>
      </w:tr>
      <w:tr>
        <w:trPr>
          <w:trHeight w:val="252"/>
        </w:trPr>
        <w:tc>
          <w:tcPr>
            <w:tcW w:w="2840" w:type="dxa"/>
            <w:vAlign w:val="bottom"/>
          </w:tcPr>
          <w:p>
            <w:pPr>
              <w:ind w:left="20"/>
              <w:spacing w:after="0"/>
              <w:rPr>
                <w:sz w:val="20"/>
                <w:szCs w:val="20"/>
                <w:color w:val="auto"/>
              </w:rPr>
            </w:pPr>
            <w:r>
              <w:rPr>
                <w:rFonts w:ascii="Arial" w:cs="Arial" w:eastAsia="Arial" w:hAnsi="Arial"/>
                <w:sz w:val="17"/>
                <w:szCs w:val="17"/>
                <w:color w:val="auto"/>
              </w:rPr>
              <w:t>Total assets measured at fair value</w:t>
            </w:r>
          </w:p>
        </w:tc>
        <w:tc>
          <w:tcPr>
            <w:tcW w:w="328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232,813</w:t>
            </w:r>
          </w:p>
        </w:tc>
        <w:tc>
          <w:tcPr>
            <w:tcW w:w="8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260,447</w:t>
            </w:r>
          </w:p>
        </w:tc>
        <w:tc>
          <w:tcPr>
            <w:tcW w:w="100" w:type="dxa"/>
            <w:vAlign w:val="bottom"/>
          </w:tcPr>
          <w:p>
            <w:pPr>
              <w:spacing w:after="0"/>
              <w:rPr>
                <w:sz w:val="21"/>
                <w:szCs w:val="21"/>
                <w:color w:val="auto"/>
              </w:rPr>
            </w:pPr>
          </w:p>
        </w:tc>
        <w:tc>
          <w:tcPr>
            <w:tcW w:w="880" w:type="dxa"/>
            <w:vAlign w:val="bottom"/>
          </w:tcPr>
          <w:p>
            <w:pPr>
              <w:jc w:val="right"/>
              <w:ind w:right="700"/>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493,260</w:t>
            </w:r>
          </w:p>
        </w:tc>
      </w:tr>
      <w:tr>
        <w:trPr>
          <w:trHeight w:val="20"/>
        </w:trPr>
        <w:tc>
          <w:tcPr>
            <w:tcW w:w="28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2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carrying amount of the Company’s accounts receivable, other receivables, prepaid expenses and other current assets, accounts payable, and accrued expenses approximate fair value due to their short maturities.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Company’s cash equivalents and investments and the gross unrealized holding gains and losses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00" w:type="dxa"/>
            <w:vAlign w:val="bottom"/>
            <w:gridSpan w:val="5"/>
          </w:tcPr>
          <w:p>
            <w:pPr>
              <w:ind w:left="860"/>
              <w:spacing w:after="0"/>
              <w:rPr>
                <w:sz w:val="20"/>
                <w:szCs w:val="20"/>
                <w:color w:val="auto"/>
              </w:rPr>
            </w:pPr>
            <w:r>
              <w:rPr>
                <w:rFonts w:ascii="Arial" w:cs="Arial" w:eastAsia="Arial" w:hAnsi="Arial"/>
                <w:sz w:val="14"/>
                <w:szCs w:val="14"/>
                <w:b w:val="1"/>
                <w:bCs w:val="1"/>
                <w:color w:val="auto"/>
              </w:rPr>
              <w:t>March 31, 2022</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52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2"/>
        </w:trPr>
        <w:tc>
          <w:tcPr>
            <w:tcW w:w="5200" w:type="dxa"/>
            <w:vAlign w:val="bottom"/>
          </w:tcPr>
          <w:p>
            <w:pPr>
              <w:spacing w:after="0"/>
              <w:rPr>
                <w:sz w:val="14"/>
                <w:szCs w:val="14"/>
                <w:color w:val="auto"/>
              </w:rPr>
            </w:pP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w w:val="99"/>
              </w:rPr>
              <w:t>Amortized Cost Basis</w:t>
            </w:r>
          </w:p>
        </w:tc>
        <w:tc>
          <w:tcPr>
            <w:tcW w:w="16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6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Losses</w:t>
            </w:r>
          </w:p>
        </w:tc>
        <w:tc>
          <w:tcPr>
            <w:tcW w:w="260" w:type="dxa"/>
            <w:vAlign w:val="bottom"/>
          </w:tcPr>
          <w:p>
            <w:pPr>
              <w:spacing w:after="0"/>
              <w:rPr>
                <w:sz w:val="14"/>
                <w:szCs w:val="14"/>
                <w:color w:val="auto"/>
              </w:rPr>
            </w:pPr>
          </w:p>
        </w:tc>
        <w:tc>
          <w:tcPr>
            <w:tcW w:w="1180" w:type="dxa"/>
            <w:vAlign w:val="bottom"/>
          </w:tcPr>
          <w:p>
            <w:pPr>
              <w:jc w:val="right"/>
              <w:ind w:right="318"/>
              <w:spacing w:after="0"/>
              <w:rPr>
                <w:sz w:val="20"/>
                <w:szCs w:val="20"/>
                <w:color w:val="auto"/>
              </w:rPr>
            </w:pPr>
            <w:r>
              <w:rPr>
                <w:rFonts w:ascii="Arial" w:cs="Arial" w:eastAsia="Arial" w:hAnsi="Arial"/>
                <w:sz w:val="14"/>
                <w:szCs w:val="14"/>
                <w:b w:val="1"/>
                <w:bCs w:val="1"/>
                <w:color w:val="auto"/>
              </w:rPr>
              <w:t>Fair Value</w:t>
            </w:r>
          </w:p>
        </w:tc>
      </w:tr>
      <w:tr>
        <w:trPr>
          <w:trHeight w:val="20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4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57"/>
        </w:trPr>
        <w:tc>
          <w:tcPr>
            <w:tcW w:w="5200" w:type="dxa"/>
            <w:vAlign w:val="bottom"/>
          </w:tcPr>
          <w:p>
            <w:pPr>
              <w:ind w:left="20"/>
              <w:spacing w:after="0"/>
              <w:rPr>
                <w:sz w:val="20"/>
                <w:szCs w:val="20"/>
                <w:color w:val="auto"/>
              </w:rPr>
            </w:pPr>
            <w:r>
              <w:rPr>
                <w:rFonts w:ascii="Arial" w:cs="Arial" w:eastAsia="Arial" w:hAnsi="Arial"/>
                <w:sz w:val="17"/>
                <w:szCs w:val="17"/>
                <w:color w:val="auto"/>
              </w:rPr>
              <w:t>Money market funds</w:t>
            </w:r>
          </w:p>
        </w:tc>
        <w:tc>
          <w:tcPr>
            <w:tcW w:w="460" w:type="dxa"/>
            <w:vAlign w:val="bottom"/>
          </w:tcPr>
          <w:p>
            <w:pPr>
              <w:jc w:val="right"/>
              <w:ind w:right="280"/>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225,334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225,334</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248,669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246,442</w:t>
            </w:r>
          </w:p>
        </w:tc>
      </w:tr>
      <w:tr>
        <w:trPr>
          <w:trHeight w:val="213"/>
        </w:trPr>
        <w:tc>
          <w:tcPr>
            <w:tcW w:w="5200" w:type="dxa"/>
            <w:vAlign w:val="bottom"/>
          </w:tcPr>
          <w:p>
            <w:pPr>
              <w:ind w:left="20"/>
              <w:spacing w:after="0"/>
              <w:rPr>
                <w:sz w:val="20"/>
                <w:szCs w:val="20"/>
                <w:color w:val="auto"/>
              </w:rPr>
            </w:pPr>
            <w:r>
              <w:rPr>
                <w:rFonts w:ascii="Arial" w:cs="Arial" w:eastAsia="Arial" w:hAnsi="Arial"/>
                <w:sz w:val="17"/>
                <w:szCs w:val="17"/>
                <w:color w:val="auto"/>
              </w:rPr>
              <w:t>Total</w:t>
            </w:r>
          </w:p>
        </w:tc>
        <w:tc>
          <w:tcPr>
            <w:tcW w:w="460" w:type="dxa"/>
            <w:vAlign w:val="bottom"/>
            <w:tcBorders>
              <w:bottom w:val="single" w:sz="8" w:color="auto"/>
            </w:tcBorders>
          </w:tcPr>
          <w:p>
            <w:pPr>
              <w:jc w:val="right"/>
              <w:ind w:right="280"/>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474,003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(2,227)</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471,776</w:t>
            </w:r>
          </w:p>
        </w:tc>
      </w:tr>
      <w:tr>
        <w:trPr>
          <w:trHeight w:val="20"/>
        </w:trPr>
        <w:tc>
          <w:tcPr>
            <w:tcW w:w="5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44"/>
        </w:trPr>
        <w:tc>
          <w:tcPr>
            <w:tcW w:w="5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5"/>
          </w:tcPr>
          <w:p>
            <w:pPr>
              <w:ind w:left="76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
        </w:trPr>
        <w:tc>
          <w:tcPr>
            <w:tcW w:w="52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2"/>
        </w:trPr>
        <w:tc>
          <w:tcPr>
            <w:tcW w:w="5200" w:type="dxa"/>
            <w:vAlign w:val="bottom"/>
          </w:tcPr>
          <w:p>
            <w:pPr>
              <w:spacing w:after="0"/>
              <w:rPr>
                <w:sz w:val="14"/>
                <w:szCs w:val="14"/>
                <w:color w:val="auto"/>
              </w:rPr>
            </w:pP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w w:val="99"/>
              </w:rPr>
              <w:t>Amortized Cost Basis</w:t>
            </w:r>
          </w:p>
        </w:tc>
        <w:tc>
          <w:tcPr>
            <w:tcW w:w="16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6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Losses</w:t>
            </w:r>
          </w:p>
        </w:tc>
        <w:tc>
          <w:tcPr>
            <w:tcW w:w="260" w:type="dxa"/>
            <w:vAlign w:val="bottom"/>
          </w:tcPr>
          <w:p>
            <w:pPr>
              <w:spacing w:after="0"/>
              <w:rPr>
                <w:sz w:val="14"/>
                <w:szCs w:val="14"/>
                <w:color w:val="auto"/>
              </w:rPr>
            </w:pPr>
          </w:p>
        </w:tc>
        <w:tc>
          <w:tcPr>
            <w:tcW w:w="1180" w:type="dxa"/>
            <w:vAlign w:val="bottom"/>
          </w:tcPr>
          <w:p>
            <w:pPr>
              <w:jc w:val="right"/>
              <w:ind w:right="318"/>
              <w:spacing w:after="0"/>
              <w:rPr>
                <w:sz w:val="20"/>
                <w:szCs w:val="20"/>
                <w:color w:val="auto"/>
              </w:rPr>
            </w:pPr>
            <w:r>
              <w:rPr>
                <w:rFonts w:ascii="Arial" w:cs="Arial" w:eastAsia="Arial" w:hAnsi="Arial"/>
                <w:sz w:val="14"/>
                <w:szCs w:val="14"/>
                <w:b w:val="1"/>
                <w:bCs w:val="1"/>
                <w:color w:val="auto"/>
              </w:rPr>
              <w:t>Fair Value</w:t>
            </w:r>
          </w:p>
        </w:tc>
      </w:tr>
      <w:tr>
        <w:trPr>
          <w:trHeight w:val="20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4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57"/>
        </w:trPr>
        <w:tc>
          <w:tcPr>
            <w:tcW w:w="5200" w:type="dxa"/>
            <w:vAlign w:val="bottom"/>
          </w:tcPr>
          <w:p>
            <w:pPr>
              <w:ind w:left="20"/>
              <w:spacing w:after="0"/>
              <w:rPr>
                <w:sz w:val="20"/>
                <w:szCs w:val="20"/>
                <w:color w:val="auto"/>
              </w:rPr>
            </w:pPr>
            <w:r>
              <w:rPr>
                <w:rFonts w:ascii="Arial" w:cs="Arial" w:eastAsia="Arial" w:hAnsi="Arial"/>
                <w:sz w:val="17"/>
                <w:szCs w:val="17"/>
                <w:color w:val="auto"/>
              </w:rPr>
              <w:t>Money market funds</w:t>
            </w:r>
          </w:p>
        </w:tc>
        <w:tc>
          <w:tcPr>
            <w:tcW w:w="460" w:type="dxa"/>
            <w:vAlign w:val="bottom"/>
          </w:tcPr>
          <w:p>
            <w:pPr>
              <w:jc w:val="right"/>
              <w:ind w:right="280"/>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232,813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232,813</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260,983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260,447</w:t>
            </w:r>
          </w:p>
        </w:tc>
      </w:tr>
      <w:tr>
        <w:trPr>
          <w:trHeight w:val="213"/>
        </w:trPr>
        <w:tc>
          <w:tcPr>
            <w:tcW w:w="5200" w:type="dxa"/>
            <w:vAlign w:val="bottom"/>
          </w:tcPr>
          <w:p>
            <w:pPr>
              <w:ind w:left="20"/>
              <w:spacing w:after="0"/>
              <w:rPr>
                <w:sz w:val="20"/>
                <w:szCs w:val="20"/>
                <w:color w:val="auto"/>
              </w:rPr>
            </w:pPr>
            <w:r>
              <w:rPr>
                <w:rFonts w:ascii="Arial" w:cs="Arial" w:eastAsia="Arial" w:hAnsi="Arial"/>
                <w:sz w:val="17"/>
                <w:szCs w:val="17"/>
                <w:color w:val="auto"/>
              </w:rPr>
              <w:t>Total</w:t>
            </w:r>
          </w:p>
        </w:tc>
        <w:tc>
          <w:tcPr>
            <w:tcW w:w="460" w:type="dxa"/>
            <w:vAlign w:val="bottom"/>
          </w:tcPr>
          <w:p>
            <w:pPr>
              <w:jc w:val="right"/>
              <w:ind w:right="280"/>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493,796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(536)</w:t>
            </w:r>
          </w:p>
        </w:tc>
        <w:tc>
          <w:tcPr>
            <w:tcW w:w="8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493,260</w:t>
            </w:r>
          </w:p>
        </w:tc>
      </w:tr>
      <w:tr>
        <w:trPr>
          <w:trHeight w:val="20"/>
        </w:trPr>
        <w:tc>
          <w:tcPr>
            <w:tcW w:w="5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right="500"/>
        <w:spacing w:after="0" w:line="266" w:lineRule="auto"/>
        <w:rPr>
          <w:sz w:val="20"/>
          <w:szCs w:val="20"/>
          <w:color w:val="auto"/>
        </w:rPr>
      </w:pPr>
      <w:r>
        <w:rPr>
          <w:rFonts w:ascii="Arial" w:cs="Arial" w:eastAsia="Arial" w:hAnsi="Arial"/>
          <w:sz w:val="17"/>
          <w:szCs w:val="17"/>
          <w:color w:val="auto"/>
        </w:rPr>
        <w:t>As of March 31, 2022 and December 31, 2021, unrealized losses on available-for-sale investments are not attributable to credit risk and are considered to be temporary. No investments have been in a continuous unrealized loss position for 12 months or longer. The Company believes it is more likely than not that investments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unrealized loss position will be held until maturity or the recovery of the cost basis of the investment. To date, the Company has not recorded any impairment charges on marketable securities related to other-than-temporary declines in market value. As of March 31, 2022, $26.6 million of available-for-sale investments had remaining maturities between one and two years. The remainder of the available-for-sale investments have a remaining maturity of one year or less. As of March 31, 2022 and December 31, 2021, the Company recorded $0.5 million and $0.3 million of accrued interest, respectively, related to its available-for-sale investments as a component of other receivables on the condensed consolidated balance sheets.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7"/>
                <w:szCs w:val="17"/>
                <w:b w:val="1"/>
                <w:bCs w:val="1"/>
                <w:color w:val="auto"/>
              </w:rPr>
              <w:t>4.</w:t>
            </w:r>
          </w:p>
        </w:tc>
        <w:tc>
          <w:tcPr>
            <w:tcW w:w="5940" w:type="dxa"/>
            <w:vAlign w:val="bottom"/>
          </w:tcPr>
          <w:p>
            <w:pPr>
              <w:ind w:left="240"/>
              <w:spacing w:after="0"/>
              <w:rPr>
                <w:sz w:val="20"/>
                <w:szCs w:val="20"/>
                <w:color w:val="auto"/>
              </w:rPr>
            </w:pPr>
            <w:r>
              <w:rPr>
                <w:rFonts w:ascii="Arial" w:cs="Arial" w:eastAsia="Arial" w:hAnsi="Arial"/>
                <w:sz w:val="17"/>
                <w:szCs w:val="17"/>
                <w:b w:val="1"/>
                <w:bCs w:val="1"/>
                <w:color w:val="auto"/>
              </w:rPr>
              <w:t>OTHER FINANCIAL STATEMENT INFORMATION</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63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Inventory</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320" w:type="dxa"/>
            <w:vAlign w:val="bottom"/>
            <w:gridSpan w:val="2"/>
          </w:tcPr>
          <w:p>
            <w:pPr>
              <w:spacing w:after="0"/>
              <w:rPr>
                <w:sz w:val="20"/>
                <w:szCs w:val="20"/>
                <w:color w:val="auto"/>
              </w:rPr>
            </w:pPr>
            <w:r>
              <w:rPr>
                <w:rFonts w:ascii="Arial" w:cs="Arial" w:eastAsia="Arial" w:hAnsi="Arial"/>
                <w:sz w:val="17"/>
                <w:szCs w:val="17"/>
                <w:color w:val="auto"/>
              </w:rPr>
              <w:t>Inventory consists of the following (in thousands):</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March 31,</w:t>
            </w:r>
          </w:p>
        </w:tc>
        <w:tc>
          <w:tcPr>
            <w:tcW w:w="260" w:type="dxa"/>
            <w:vAlign w:val="bottom"/>
          </w:tcPr>
          <w:p>
            <w:pPr>
              <w:spacing w:after="0"/>
              <w:rPr>
                <w:sz w:val="24"/>
                <w:szCs w:val="24"/>
                <w:color w:val="auto"/>
              </w:rPr>
            </w:pPr>
          </w:p>
        </w:tc>
        <w:tc>
          <w:tcPr>
            <w:tcW w:w="1340" w:type="dxa"/>
            <w:vAlign w:val="bottom"/>
          </w:tcPr>
          <w:p>
            <w:pPr>
              <w:jc w:val="center"/>
              <w:ind w:right="178"/>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center"/>
              <w:ind w:right="178"/>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4"/>
        </w:trPr>
        <w:tc>
          <w:tcPr>
            <w:tcW w:w="632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1,836</w:t>
            </w:r>
          </w:p>
        </w:tc>
        <w:tc>
          <w:tcPr>
            <w:tcW w:w="0" w:type="dxa"/>
            <w:vAlign w:val="bottom"/>
          </w:tcPr>
          <w:p>
            <w:pPr>
              <w:spacing w:after="0"/>
              <w:rPr>
                <w:sz w:val="1"/>
                <w:szCs w:val="1"/>
                <w:color w:val="auto"/>
              </w:rPr>
            </w:pPr>
          </w:p>
        </w:tc>
      </w:tr>
      <w:tr>
        <w:trPr>
          <w:trHeight w:val="21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Work-in-progress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231F20"/>
              </w:rPr>
              <w:t>360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1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2,088</w:t>
            </w:r>
          </w:p>
        </w:tc>
        <w:tc>
          <w:tcPr>
            <w:tcW w:w="0" w:type="dxa"/>
            <w:vAlign w:val="bottom"/>
          </w:tcPr>
          <w:p>
            <w:pPr>
              <w:spacing w:after="0"/>
              <w:rPr>
                <w:sz w:val="1"/>
                <w:szCs w:val="1"/>
                <w:color w:val="auto"/>
              </w:rPr>
            </w:pPr>
          </w:p>
        </w:tc>
      </w:tr>
      <w:tr>
        <w:trPr>
          <w:trHeight w:val="213"/>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Total inventory</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4,145</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Property and Equipment, Net</w:t>
            </w: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63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320" w:type="dxa"/>
            <w:vAlign w:val="bottom"/>
            <w:gridSpan w:val="2"/>
          </w:tcPr>
          <w:p>
            <w:pPr>
              <w:spacing w:after="0"/>
              <w:rPr>
                <w:sz w:val="20"/>
                <w:szCs w:val="20"/>
                <w:color w:val="auto"/>
              </w:rPr>
            </w:pPr>
            <w:r>
              <w:rPr>
                <w:rFonts w:ascii="Arial" w:cs="Arial" w:eastAsia="Arial" w:hAnsi="Arial"/>
                <w:sz w:val="17"/>
                <w:szCs w:val="17"/>
                <w:color w:val="auto"/>
              </w:rPr>
              <w:t>Property and equipment, net consists of the following (in thousands):</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March 31,</w:t>
            </w:r>
          </w:p>
        </w:tc>
        <w:tc>
          <w:tcPr>
            <w:tcW w:w="260" w:type="dxa"/>
            <w:vAlign w:val="bottom"/>
          </w:tcPr>
          <w:p>
            <w:pPr>
              <w:spacing w:after="0"/>
              <w:rPr>
                <w:sz w:val="24"/>
                <w:szCs w:val="24"/>
                <w:color w:val="auto"/>
              </w:rPr>
            </w:pPr>
          </w:p>
        </w:tc>
        <w:tc>
          <w:tcPr>
            <w:tcW w:w="1340" w:type="dxa"/>
            <w:vAlign w:val="bottom"/>
          </w:tcPr>
          <w:p>
            <w:pPr>
              <w:jc w:val="center"/>
              <w:ind w:right="178"/>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center"/>
              <w:ind w:right="178"/>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4"/>
        </w:trPr>
        <w:tc>
          <w:tcPr>
            <w:tcW w:w="632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Laboratory equipment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13,823</w:t>
            </w:r>
          </w:p>
        </w:tc>
        <w:tc>
          <w:tcPr>
            <w:tcW w:w="0" w:type="dxa"/>
            <w:vAlign w:val="bottom"/>
          </w:tcPr>
          <w:p>
            <w:pPr>
              <w:spacing w:after="0"/>
              <w:rPr>
                <w:sz w:val="1"/>
                <w:szCs w:val="1"/>
                <w:color w:val="auto"/>
              </w:rPr>
            </w:pPr>
          </w:p>
        </w:tc>
      </w:tr>
      <w:tr>
        <w:trPr>
          <w:trHeight w:val="21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Computer equipment and software</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461</w:t>
            </w:r>
          </w:p>
        </w:tc>
        <w:tc>
          <w:tcPr>
            <w:tcW w:w="0" w:type="dxa"/>
            <w:vAlign w:val="bottom"/>
          </w:tcPr>
          <w:p>
            <w:pPr>
              <w:spacing w:after="0"/>
              <w:rPr>
                <w:sz w:val="1"/>
                <w:szCs w:val="1"/>
                <w:color w:val="auto"/>
              </w:rPr>
            </w:pPr>
          </w:p>
        </w:tc>
      </w:tr>
      <w:tr>
        <w:trPr>
          <w:trHeight w:val="22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Furniture and fixtures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w:t>
            </w:r>
          </w:p>
        </w:tc>
        <w:tc>
          <w:tcPr>
            <w:tcW w:w="0" w:type="dxa"/>
            <w:vAlign w:val="bottom"/>
          </w:tcPr>
          <w:p>
            <w:pPr>
              <w:spacing w:after="0"/>
              <w:rPr>
                <w:sz w:val="1"/>
                <w:szCs w:val="1"/>
                <w:color w:val="auto"/>
              </w:rPr>
            </w:pPr>
          </w:p>
        </w:tc>
      </w:tr>
      <w:tr>
        <w:trPr>
          <w:trHeight w:val="21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Leasehold improvements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3,122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2,449</w:t>
            </w:r>
          </w:p>
        </w:tc>
        <w:tc>
          <w:tcPr>
            <w:tcW w:w="0" w:type="dxa"/>
            <w:vAlign w:val="bottom"/>
          </w:tcPr>
          <w:p>
            <w:pPr>
              <w:spacing w:after="0"/>
              <w:rPr>
                <w:sz w:val="1"/>
                <w:szCs w:val="1"/>
                <w:color w:val="auto"/>
              </w:rPr>
            </w:pPr>
          </w:p>
        </w:tc>
      </w:tr>
      <w:tr>
        <w:trPr>
          <w:trHeight w:val="22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Construction-in-progress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0" w:type="dxa"/>
            <w:vAlign w:val="bottom"/>
          </w:tcPr>
          <w:p>
            <w:pPr>
              <w:spacing w:after="0"/>
              <w:rPr>
                <w:sz w:val="1"/>
                <w:szCs w:val="1"/>
                <w:color w:val="auto"/>
              </w:rPr>
            </w:pPr>
          </w:p>
        </w:tc>
      </w:tr>
      <w:tr>
        <w:trPr>
          <w:trHeight w:val="211"/>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Property and equipment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19,295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17,995</w:t>
            </w:r>
          </w:p>
        </w:tc>
        <w:tc>
          <w:tcPr>
            <w:tcW w:w="0" w:type="dxa"/>
            <w:vAlign w:val="bottom"/>
          </w:tcPr>
          <w:p>
            <w:pPr>
              <w:spacing w:after="0"/>
              <w:rPr>
                <w:sz w:val="1"/>
                <w:szCs w:val="1"/>
                <w:color w:val="auto"/>
              </w:rPr>
            </w:pPr>
          </w:p>
        </w:tc>
      </w:tr>
      <w:tr>
        <w:trPr>
          <w:trHeight w:val="21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(4,908)</w:t>
            </w:r>
          </w:p>
        </w:tc>
        <w:tc>
          <w:tcPr>
            <w:tcW w:w="0" w:type="dxa"/>
            <w:vAlign w:val="bottom"/>
          </w:tcPr>
          <w:p>
            <w:pPr>
              <w:spacing w:after="0"/>
              <w:rPr>
                <w:sz w:val="1"/>
                <w:szCs w:val="1"/>
                <w:color w:val="auto"/>
              </w:rPr>
            </w:pPr>
          </w:p>
        </w:tc>
      </w:tr>
      <w:tr>
        <w:trPr>
          <w:trHeight w:val="213"/>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Total property and equipment, net</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13,654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13,087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Depreciation and amortization expense related to property and equipment was $0.9 million and $0.5 million for the three months ended March 31, 2022 and 2021,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Expenses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 of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320"/>
              <w:spacing w:after="0"/>
              <w:rPr>
                <w:sz w:val="20"/>
                <w:szCs w:val="20"/>
                <w:color w:val="auto"/>
              </w:rPr>
            </w:pPr>
            <w:r>
              <w:rPr>
                <w:rFonts w:ascii="Arial" w:cs="Arial" w:eastAsia="Arial" w:hAnsi="Arial"/>
                <w:sz w:val="14"/>
                <w:szCs w:val="14"/>
                <w:b w:val="1"/>
                <w:bCs w:val="1"/>
                <w:color w:val="auto"/>
              </w:rPr>
              <w:t>December 31,</w:t>
            </w:r>
          </w:p>
        </w:tc>
      </w:tr>
      <w:tr>
        <w:trPr>
          <w:trHeight w:val="206"/>
        </w:trPr>
        <w:tc>
          <w:tcPr>
            <w:tcW w:w="6320" w:type="dxa"/>
            <w:vAlign w:val="bottom"/>
          </w:tcPr>
          <w:p>
            <w:pPr>
              <w:spacing w:after="0"/>
              <w:rPr>
                <w:sz w:val="17"/>
                <w:szCs w:val="17"/>
                <w:color w:val="auto"/>
              </w:rPr>
            </w:pPr>
          </w:p>
        </w:tc>
        <w:tc>
          <w:tcPr>
            <w:tcW w:w="1120" w:type="dxa"/>
            <w:vAlign w:val="bottom"/>
          </w:tcPr>
          <w:p>
            <w:pPr>
              <w:jc w:val="right"/>
              <w:ind w:right="103"/>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580"/>
              <w:spacing w:after="0"/>
              <w:rPr>
                <w:sz w:val="20"/>
                <w:szCs w:val="20"/>
                <w:color w:val="auto"/>
              </w:rPr>
            </w:pPr>
            <w:r>
              <w:rPr>
                <w:rFonts w:ascii="Arial" w:cs="Arial" w:eastAsia="Arial" w:hAnsi="Arial"/>
                <w:sz w:val="14"/>
                <w:szCs w:val="14"/>
                <w:b w:val="1"/>
                <w:bCs w:val="1"/>
                <w:color w:val="auto"/>
              </w:rPr>
              <w:t>2021</w:t>
            </w:r>
          </w:p>
        </w:tc>
      </w:tr>
      <w:tr>
        <w:trPr>
          <w:trHeight w:val="24"/>
        </w:trPr>
        <w:tc>
          <w:tcPr>
            <w:tcW w:w="63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compensation</w:t>
            </w:r>
          </w:p>
        </w:tc>
        <w:tc>
          <w:tcPr>
            <w:tcW w:w="1120" w:type="dxa"/>
            <w:vAlign w:val="bottom"/>
            <w:shd w:val="clear" w:color="auto" w:fill="CCEEFF"/>
          </w:tcPr>
          <w:p>
            <w:pPr>
              <w:jc w:val="right"/>
              <w:ind w:right="943"/>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3,045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4,730</w:t>
            </w:r>
          </w:p>
        </w:tc>
      </w:tr>
      <w:tr>
        <w:trPr>
          <w:trHeight w:val="218"/>
        </w:trPr>
        <w:tc>
          <w:tcPr>
            <w:tcW w:w="6320" w:type="dxa"/>
            <w:vAlign w:val="bottom"/>
          </w:tcPr>
          <w:p>
            <w:pPr>
              <w:ind w:left="20"/>
              <w:spacing w:after="0"/>
              <w:rPr>
                <w:sz w:val="20"/>
                <w:szCs w:val="20"/>
                <w:color w:val="auto"/>
              </w:rPr>
            </w:pPr>
            <w:r>
              <w:rPr>
                <w:rFonts w:ascii="Arial" w:cs="Arial" w:eastAsia="Arial" w:hAnsi="Arial"/>
                <w:sz w:val="17"/>
                <w:szCs w:val="17"/>
                <w:color w:val="auto"/>
              </w:rPr>
              <w:t>Accrued professional services</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388</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2,934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3,276</w:t>
            </w:r>
          </w:p>
        </w:tc>
      </w:tr>
      <w:tr>
        <w:trPr>
          <w:trHeight w:val="213"/>
        </w:trPr>
        <w:tc>
          <w:tcPr>
            <w:tcW w:w="6320" w:type="dxa"/>
            <w:vAlign w:val="bottom"/>
          </w:tcPr>
          <w:p>
            <w:pPr>
              <w:ind w:left="20"/>
              <w:spacing w:after="0"/>
              <w:rPr>
                <w:sz w:val="20"/>
                <w:szCs w:val="20"/>
                <w:color w:val="auto"/>
              </w:rPr>
            </w:pPr>
            <w:r>
              <w:rPr>
                <w:rFonts w:ascii="Arial" w:cs="Arial" w:eastAsia="Arial" w:hAnsi="Arial"/>
                <w:sz w:val="17"/>
                <w:szCs w:val="17"/>
                <w:color w:val="auto"/>
              </w:rPr>
              <w:t>Total accrued expenses</w:t>
            </w:r>
          </w:p>
        </w:tc>
        <w:tc>
          <w:tcPr>
            <w:tcW w:w="1120" w:type="dxa"/>
            <w:vAlign w:val="bottom"/>
            <w:tcBorders>
              <w:bottom w:val="single" w:sz="8" w:color="auto"/>
            </w:tcBorders>
          </w:tcPr>
          <w:p>
            <w:pPr>
              <w:jc w:val="right"/>
              <w:ind w:right="943"/>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6,377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8,394</w:t>
            </w:r>
          </w:p>
        </w:tc>
      </w:tr>
      <w:tr>
        <w:trPr>
          <w:trHeight w:val="20"/>
        </w:trPr>
        <w:tc>
          <w:tcPr>
            <w:tcW w:w="6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20" w:hanging="617"/>
        <w:spacing w:after="0"/>
        <w:tabs>
          <w:tab w:leader="none" w:pos="6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REVENUE AND DEFERRED REVENUE</w:t>
      </w:r>
    </w:p>
    <w:p>
      <w:pPr>
        <w:spacing w:after="0" w:line="171"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Product revenue consists of an instrument with embedded software essential to the instrument’s functionality, consumables and platform evaluation agreements. Service revenue primarily consists of revenue received from the generation and analysis of proteomic data on behalf of the customer. Related party revenue is comprised of both the sale of products and services performed for PrognomIQ, as further discussed in Note 9. Grant revenues consist of services performed specifically for the reimbursement of research-related expenses.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Revenue</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three months ended March 31, 2022 and 2021, the Company recognized $2.1 million and $0 of product revenue to non-related customers. As of March 31, 2022 and December 31, 2021, the Company recorded $0.4 million and $0.4 million of deferred revenue related to product sales.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Revenue</w:t>
      </w:r>
    </w:p>
    <w:p>
      <w:pPr>
        <w:spacing w:after="0" w:line="16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For the three months ended March 31, 2022 and 2021, the Company recognized $0.1 million and $0 of service revenue to non-related customers. As of March 31, 2022, there was $0 of deferred service revenue.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Deferred revenue activity for the period ended March 31, 2022 and December 31, 2021 are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r>
      <w:tr>
        <w:trPr>
          <w:trHeight w:val="206"/>
        </w:trPr>
        <w:tc>
          <w:tcPr>
            <w:tcW w:w="6340" w:type="dxa"/>
            <w:vAlign w:val="bottom"/>
          </w:tcPr>
          <w:p>
            <w:pPr>
              <w:spacing w:after="0"/>
              <w:rPr>
                <w:sz w:val="17"/>
                <w:szCs w:val="17"/>
                <w:color w:val="auto"/>
              </w:rPr>
            </w:pPr>
          </w:p>
        </w:tc>
        <w:tc>
          <w:tcPr>
            <w:tcW w:w="1120" w:type="dxa"/>
            <w:vAlign w:val="bottom"/>
          </w:tcPr>
          <w:p>
            <w:pPr>
              <w:jc w:val="right"/>
              <w:ind w:right="123"/>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580"/>
              <w:spacing w:after="0"/>
              <w:rPr>
                <w:sz w:val="20"/>
                <w:szCs w:val="20"/>
                <w:color w:val="auto"/>
              </w:rPr>
            </w:pPr>
            <w:r>
              <w:rPr>
                <w:rFonts w:ascii="Arial" w:cs="Arial" w:eastAsia="Arial" w:hAnsi="Arial"/>
                <w:sz w:val="14"/>
                <w:szCs w:val="14"/>
                <w:b w:val="1"/>
                <w:bCs w:val="1"/>
                <w:color w:val="auto"/>
              </w:rPr>
              <w:t>2021</w:t>
            </w:r>
          </w:p>
        </w:tc>
      </w:tr>
      <w:tr>
        <w:trPr>
          <w:trHeight w:val="24"/>
        </w:trPr>
        <w:tc>
          <w:tcPr>
            <w:tcW w:w="6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2"/>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beginning of period</w:t>
            </w:r>
          </w:p>
        </w:tc>
        <w:tc>
          <w:tcPr>
            <w:tcW w:w="1120" w:type="dxa"/>
            <w:vAlign w:val="bottom"/>
            <w:shd w:val="clear" w:color="auto" w:fill="CCEEFF"/>
          </w:tcPr>
          <w:p>
            <w:pPr>
              <w:jc w:val="right"/>
              <w:ind w:right="943"/>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center"/>
              <w:ind w:left="840"/>
              <w:spacing w:after="0"/>
              <w:rPr>
                <w:sz w:val="20"/>
                <w:szCs w:val="20"/>
                <w:color w:val="auto"/>
              </w:rPr>
            </w:pPr>
            <w:r>
              <w:rPr>
                <w:rFonts w:ascii="Arial" w:cs="Arial" w:eastAsia="Arial" w:hAnsi="Arial"/>
                <w:sz w:val="17"/>
                <w:szCs w:val="17"/>
                <w:color w:val="auto"/>
                <w:w w:val="91"/>
              </w:rPr>
              <w:t>250</w:t>
            </w:r>
          </w:p>
        </w:tc>
      </w:tr>
      <w:tr>
        <w:trPr>
          <w:trHeight w:val="218"/>
        </w:trPr>
        <w:tc>
          <w:tcPr>
            <w:tcW w:w="6340" w:type="dxa"/>
            <w:vAlign w:val="bottom"/>
          </w:tcPr>
          <w:p>
            <w:pPr>
              <w:ind w:left="20"/>
              <w:spacing w:after="0"/>
              <w:rPr>
                <w:sz w:val="20"/>
                <w:szCs w:val="20"/>
                <w:color w:val="auto"/>
              </w:rPr>
            </w:pPr>
            <w:r>
              <w:rPr>
                <w:rFonts w:ascii="Arial" w:cs="Arial" w:eastAsia="Arial" w:hAnsi="Arial"/>
                <w:sz w:val="17"/>
                <w:szCs w:val="17"/>
                <w:color w:val="auto"/>
              </w:rPr>
              <w:t>Additions</w:t>
            </w:r>
          </w:p>
        </w:tc>
        <w:tc>
          <w:tcPr>
            <w:tcW w:w="11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7"/>
                <w:szCs w:val="17"/>
                <w:color w:val="auto"/>
                <w:w w:val="91"/>
              </w:rPr>
              <w:t>167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center"/>
              <w:ind w:left="840"/>
              <w:spacing w:after="0"/>
              <w:rPr>
                <w:sz w:val="20"/>
                <w:szCs w:val="20"/>
                <w:color w:val="auto"/>
              </w:rPr>
            </w:pPr>
            <w:r>
              <w:rPr>
                <w:rFonts w:ascii="Arial" w:cs="Arial" w:eastAsia="Arial" w:hAnsi="Arial"/>
                <w:sz w:val="17"/>
                <w:szCs w:val="17"/>
                <w:color w:val="auto"/>
                <w:w w:val="91"/>
              </w:rPr>
              <w:t>376</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recognized</w:t>
            </w: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5"/>
              </w:rPr>
              <w:t>(149)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20"/>
              <w:spacing w:after="0"/>
              <w:rPr>
                <w:sz w:val="20"/>
                <w:szCs w:val="20"/>
                <w:color w:val="auto"/>
              </w:rPr>
            </w:pPr>
            <w:r>
              <w:rPr>
                <w:rFonts w:ascii="Arial" w:cs="Arial" w:eastAsia="Arial" w:hAnsi="Arial"/>
                <w:sz w:val="17"/>
                <w:szCs w:val="17"/>
                <w:color w:val="auto"/>
                <w:w w:val="90"/>
              </w:rPr>
              <w:t>(250)</w:t>
            </w:r>
          </w:p>
        </w:tc>
      </w:tr>
      <w:tr>
        <w:trPr>
          <w:trHeight w:val="213"/>
        </w:trPr>
        <w:tc>
          <w:tcPr>
            <w:tcW w:w="6340" w:type="dxa"/>
            <w:vAlign w:val="bottom"/>
          </w:tcPr>
          <w:p>
            <w:pPr>
              <w:ind w:left="20"/>
              <w:spacing w:after="0"/>
              <w:rPr>
                <w:sz w:val="20"/>
                <w:szCs w:val="20"/>
                <w:color w:val="auto"/>
              </w:rPr>
            </w:pPr>
            <w:r>
              <w:rPr>
                <w:rFonts w:ascii="Arial" w:cs="Arial" w:eastAsia="Arial" w:hAnsi="Arial"/>
                <w:sz w:val="17"/>
                <w:szCs w:val="17"/>
                <w:color w:val="auto"/>
              </w:rPr>
              <w:t>Balance, end of period</w:t>
            </w:r>
          </w:p>
        </w:tc>
        <w:tc>
          <w:tcPr>
            <w:tcW w:w="1120" w:type="dxa"/>
            <w:vAlign w:val="bottom"/>
            <w:tcBorders>
              <w:bottom w:val="single" w:sz="8" w:color="auto"/>
            </w:tcBorders>
          </w:tcPr>
          <w:p>
            <w:pPr>
              <w:jc w:val="right"/>
              <w:ind w:right="943"/>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394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center"/>
              <w:ind w:left="840"/>
              <w:spacing w:after="0"/>
              <w:rPr>
                <w:sz w:val="20"/>
                <w:szCs w:val="20"/>
                <w:color w:val="auto"/>
              </w:rPr>
            </w:pPr>
            <w:r>
              <w:rPr>
                <w:rFonts w:ascii="Arial" w:cs="Arial" w:eastAsia="Arial" w:hAnsi="Arial"/>
                <w:sz w:val="17"/>
                <w:szCs w:val="17"/>
                <w:color w:val="auto"/>
                <w:w w:val="91"/>
              </w:rPr>
              <w:t>376</w:t>
            </w:r>
          </w:p>
        </w:tc>
      </w:tr>
      <w:tr>
        <w:trPr>
          <w:trHeight w:val="20"/>
        </w:trPr>
        <w:tc>
          <w:tcPr>
            <w:tcW w:w="6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Transaction price allocated to remaining performance obligations represents contracted revenue that has not yet been recognized, which includes deferred revenue and non-cancelable amounts that will be invoiced and recognized as revenues in future periods. The Company expects to recognize substantially all of the remaining transaction price in the next 12 months.</w:t>
      </w:r>
    </w:p>
    <w:p>
      <w:pPr>
        <w:spacing w:after="0" w:line="12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March 31, 2022, 25% of our total revenue was generated outside of the United States, primarily from countries in Asia. As of March 31, 2021, no revenues were generated outside of the United States.</w:t>
      </w:r>
    </w:p>
    <w:p>
      <w:pPr>
        <w:spacing w:after="0" w:line="11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For the three months ended March 31, 2022, one customer accounted for 32% of the Company’s total revenue. For the three months ended March 31, 2021, total revenue was immaterial.</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 and Other Revenue</w:t>
      </w:r>
    </w:p>
    <w:p>
      <w:pPr>
        <w:spacing w:after="0" w:line="165"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In August 2019, the Company received a notice of a Small Business Innovation Research grant award from the National Institutes of Health, which will provide funding of approximately $1.1 million to the Company for its development of research applications. In June 2020, the Company received a notice that additional grant consideration of $0.9 million would be awarded. During the three months ended March 31, 2022 and 2021, the Company recognized grant revenue of $14,000 and $62,000, respectively, with respect to the award.</w:t>
      </w:r>
    </w:p>
    <w:p>
      <w:pPr>
        <w:spacing w:after="0" w:line="120" w:lineRule="exact"/>
        <w:rPr>
          <w:sz w:val="20"/>
          <w:szCs w:val="20"/>
          <w:color w:val="auto"/>
        </w:rPr>
      </w:pPr>
    </w:p>
    <w:p>
      <w:pPr>
        <w:ind w:left="620" w:hanging="617"/>
        <w:spacing w:after="0"/>
        <w:tabs>
          <w:tab w:leader="none" w:pos="6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STOCK AND STOCKHOLDERS’ EQUITY</w:t>
      </w:r>
    </w:p>
    <w:p>
      <w:pPr>
        <w:spacing w:after="0" w:line="171" w:lineRule="exact"/>
        <w:rPr>
          <w:sz w:val="20"/>
          <w:szCs w:val="20"/>
          <w:color w:val="auto"/>
        </w:rPr>
      </w:pPr>
    </w:p>
    <w:p>
      <w:pPr>
        <w:ind w:right="640"/>
        <w:spacing w:after="0" w:line="279" w:lineRule="auto"/>
        <w:rPr>
          <w:sz w:val="20"/>
          <w:szCs w:val="20"/>
          <w:color w:val="auto"/>
        </w:rPr>
      </w:pPr>
      <w:r>
        <w:rPr>
          <w:rFonts w:ascii="Arial" w:cs="Arial" w:eastAsia="Arial" w:hAnsi="Arial"/>
          <w:sz w:val="17"/>
          <w:szCs w:val="17"/>
          <w:color w:val="auto"/>
        </w:rPr>
        <w:t>As of March 31, 2022, the Company is authorized to issue 105,000,000 shares of capital stock consisting of 94,000,000 shares of Class A common stock, 6,000,000 shares of Class B common stock, and 5,000,000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6" w:name="page17"/>
    <w:bookmarkEnd w:id="16"/>
    <w:p>
      <w:pPr>
        <w:jc w:val="center"/>
        <w:ind w:right="-99"/>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Common stock issued and outstanding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40" w:type="dxa"/>
            <w:vAlign w:val="bottom"/>
          </w:tcPr>
          <w:p>
            <w:pPr>
              <w:spacing w:after="0"/>
              <w:rPr>
                <w:sz w:val="15"/>
                <w:szCs w:val="15"/>
                <w:color w:val="auto"/>
              </w:rPr>
            </w:pPr>
          </w:p>
        </w:tc>
        <w:tc>
          <w:tcPr>
            <w:tcW w:w="1680" w:type="dxa"/>
            <w:vAlign w:val="bottom"/>
            <w:gridSpan w:val="2"/>
          </w:tcPr>
          <w:p>
            <w:pPr>
              <w:ind w:left="500"/>
              <w:spacing w:after="0"/>
              <w:rPr>
                <w:sz w:val="20"/>
                <w:szCs w:val="20"/>
                <w:color w:val="auto"/>
              </w:rPr>
            </w:pPr>
            <w:r>
              <w:rPr>
                <w:rFonts w:ascii="Arial" w:cs="Arial" w:eastAsia="Arial" w:hAnsi="Arial"/>
                <w:sz w:val="14"/>
                <w:szCs w:val="14"/>
                <w:b w:val="1"/>
                <w:bCs w:val="1"/>
                <w:color w:val="auto"/>
              </w:rPr>
              <w:t>March 31,</w:t>
            </w:r>
          </w:p>
        </w:tc>
        <w:tc>
          <w:tcPr>
            <w:tcW w:w="1580" w:type="dxa"/>
            <w:vAlign w:val="bottom"/>
          </w:tcPr>
          <w:p>
            <w:pPr>
              <w:jc w:val="right"/>
              <w:ind w:right="321"/>
              <w:spacing w:after="0"/>
              <w:rPr>
                <w:sz w:val="20"/>
                <w:szCs w:val="20"/>
                <w:color w:val="auto"/>
              </w:rPr>
            </w:pPr>
            <w:r>
              <w:rPr>
                <w:rFonts w:ascii="Arial" w:cs="Arial" w:eastAsia="Arial" w:hAnsi="Arial"/>
                <w:sz w:val="14"/>
                <w:szCs w:val="14"/>
                <w:b w:val="1"/>
                <w:bCs w:val="1"/>
                <w:color w:val="auto"/>
              </w:rPr>
              <w:t>December 31,</w:t>
            </w:r>
          </w:p>
        </w:tc>
      </w:tr>
      <w:tr>
        <w:trPr>
          <w:trHeight w:val="206"/>
        </w:trPr>
        <w:tc>
          <w:tcPr>
            <w:tcW w:w="6340" w:type="dxa"/>
            <w:vAlign w:val="bottom"/>
          </w:tcPr>
          <w:p>
            <w:pPr>
              <w:spacing w:after="0"/>
              <w:rPr>
                <w:sz w:val="17"/>
                <w:szCs w:val="17"/>
                <w:color w:val="auto"/>
              </w:rPr>
            </w:pPr>
          </w:p>
        </w:tc>
        <w:tc>
          <w:tcPr>
            <w:tcW w:w="1580" w:type="dxa"/>
            <w:vAlign w:val="bottom"/>
          </w:tcPr>
          <w:p>
            <w:pPr>
              <w:jc w:val="right"/>
              <w:ind w:right="5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580" w:type="dxa"/>
            <w:vAlign w:val="bottom"/>
          </w:tcPr>
          <w:p>
            <w:pPr>
              <w:jc w:val="right"/>
              <w:ind w:right="581"/>
              <w:spacing w:after="0"/>
              <w:rPr>
                <w:sz w:val="20"/>
                <w:szCs w:val="20"/>
                <w:color w:val="auto"/>
              </w:rPr>
            </w:pPr>
            <w:r>
              <w:rPr>
                <w:rFonts w:ascii="Arial" w:cs="Arial" w:eastAsia="Arial" w:hAnsi="Arial"/>
                <w:sz w:val="14"/>
                <w:szCs w:val="14"/>
                <w:b w:val="1"/>
                <w:bCs w:val="1"/>
                <w:color w:val="auto"/>
              </w:rPr>
              <w:t>2021</w:t>
            </w:r>
          </w:p>
        </w:tc>
      </w:tr>
      <w:tr>
        <w:trPr>
          <w:trHeight w:val="24"/>
        </w:trPr>
        <w:tc>
          <w:tcPr>
            <w:tcW w:w="63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32"/>
        </w:trPr>
        <w:tc>
          <w:tcPr>
            <w:tcW w:w="6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Class A common stock</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58,237,703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57,493,005</w:t>
            </w:r>
          </w:p>
        </w:tc>
      </w:tr>
      <w:tr>
        <w:trPr>
          <w:trHeight w:val="218"/>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Class B common stock</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4,055,190</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4,522,478</w:t>
            </w:r>
          </w:p>
        </w:tc>
      </w:tr>
      <w:tr>
        <w:trPr>
          <w:trHeight w:val="23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common stock issued and outstanding</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62,292,893</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62,015,483</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Holders of common stock are entitled to dividends as declared by the Board of Directors, subject to rights of holders of all classes of stock outstanding having priority rights as to dividends. There have been no dividends declared to date.</w:t>
      </w:r>
    </w:p>
    <w:p>
      <w:pPr>
        <w:spacing w:after="0" w:line="12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Common stock issued and outstanding on the condensed consolidated balance sheets and condensed consolidated statements of changes in stockholders' equity includes shares related to early exercised options and restricted stock that are subject to repurchase.</w:t>
      </w:r>
    </w:p>
    <w:p>
      <w:pPr>
        <w:spacing w:after="0" w:line="11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the first quarter of 2021, the Company received $11.4 million related to the return of short-swing profits from one of its beneficial owners. These proceeds are recognized as a capital contribution from stockholders as an increase to additional paid-in capital on the condensed consolidated statements of changes in stockholders’ equity and as cash provided by financing activities on the condensed consolidated statements of cash flows.</w:t>
      </w:r>
    </w:p>
    <w:p>
      <w:pPr>
        <w:spacing w:after="0" w:line="101" w:lineRule="exact"/>
        <w:rPr>
          <w:sz w:val="20"/>
          <w:szCs w:val="20"/>
          <w:color w:val="auto"/>
        </w:rPr>
      </w:pPr>
    </w:p>
    <w:p>
      <w:pPr>
        <w:ind w:left="620" w:hanging="617"/>
        <w:spacing w:after="0"/>
        <w:tabs>
          <w:tab w:leader="none" w:pos="6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EQUITY INCENTIVE PLANS</w:t>
      </w:r>
    </w:p>
    <w:p>
      <w:pPr>
        <w:spacing w:after="0" w:line="17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As of March 31, 2022, there are 11,400,396 shares of Class A common stock reserved for issuance under the 2020 Equity Incentive Plan, of which 5,009,917 shares are available for issuance in connection with grants of future awards.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for the three months ended March 31, 2022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178"/>
              <w:spacing w:after="0"/>
              <w:rPr>
                <w:sz w:val="20"/>
                <w:szCs w:val="20"/>
                <w:color w:val="auto"/>
              </w:rPr>
            </w:pPr>
            <w:r>
              <w:rPr>
                <w:rFonts w:ascii="Arial" w:cs="Arial" w:eastAsia="Arial" w:hAnsi="Arial"/>
                <w:sz w:val="14"/>
                <w:szCs w:val="14"/>
                <w:b w:val="1"/>
                <w:bCs w:val="1"/>
                <w:color w:val="auto"/>
                <w:w w:val="91"/>
              </w:rPr>
              <w:t>Weighted Average</w:t>
            </w:r>
          </w:p>
        </w:tc>
      </w:tr>
      <w:tr>
        <w:trPr>
          <w:trHeight w:val="197"/>
        </w:trPr>
        <w:tc>
          <w:tcPr>
            <w:tcW w:w="4700" w:type="dxa"/>
            <w:vAlign w:val="bottom"/>
          </w:tcPr>
          <w:p>
            <w:pPr>
              <w:spacing w:after="0"/>
              <w:rPr>
                <w:sz w:val="17"/>
                <w:szCs w:val="17"/>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Pr>
          <w:p>
            <w:pPr>
              <w:spacing w:after="0"/>
              <w:rPr>
                <w:sz w:val="17"/>
                <w:szCs w:val="17"/>
                <w:color w:val="auto"/>
              </w:rPr>
            </w:pPr>
          </w:p>
        </w:tc>
        <w:tc>
          <w:tcPr>
            <w:tcW w:w="1400" w:type="dxa"/>
            <w:vAlign w:val="bottom"/>
          </w:tcPr>
          <w:p>
            <w:pPr>
              <w:jc w:val="right"/>
              <w:ind w:right="298"/>
              <w:spacing w:after="0"/>
              <w:rPr>
                <w:sz w:val="20"/>
                <w:szCs w:val="20"/>
                <w:color w:val="auto"/>
              </w:rPr>
            </w:pPr>
            <w:r>
              <w:rPr>
                <w:rFonts w:ascii="Arial" w:cs="Arial" w:eastAsia="Arial" w:hAnsi="Arial"/>
                <w:sz w:val="14"/>
                <w:szCs w:val="14"/>
                <w:b w:val="1"/>
                <w:bCs w:val="1"/>
                <w:color w:val="auto"/>
              </w:rPr>
              <w:t>Exercise Price</w:t>
            </w:r>
          </w:p>
        </w:tc>
      </w:tr>
      <w:tr>
        <w:trPr>
          <w:trHeight w:val="218"/>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9,832,924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w w:val="8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12.49</w:t>
            </w:r>
          </w:p>
        </w:tc>
      </w:tr>
      <w:tr>
        <w:trPr>
          <w:trHeight w:val="218"/>
        </w:trPr>
        <w:tc>
          <w:tcPr>
            <w:tcW w:w="4700" w:type="dxa"/>
            <w:vAlign w:val="bottom"/>
          </w:tcPr>
          <w:p>
            <w:pPr>
              <w:ind w:left="20"/>
              <w:spacing w:after="0"/>
              <w:rPr>
                <w:sz w:val="20"/>
                <w:szCs w:val="20"/>
                <w:color w:val="auto"/>
              </w:rPr>
            </w:pPr>
            <w:r>
              <w:rPr>
                <w:rFonts w:ascii="Arial" w:cs="Arial" w:eastAsia="Arial" w:hAnsi="Arial"/>
                <w:sz w:val="17"/>
                <w:szCs w:val="17"/>
                <w:color w:val="auto"/>
              </w:rPr>
              <w:t>Options granted</w:t>
            </w:r>
          </w:p>
        </w:tc>
        <w:tc>
          <w:tcPr>
            <w:tcW w:w="1560" w:type="dxa"/>
            <w:vAlign w:val="bottom"/>
          </w:tcPr>
          <w:p>
            <w:pPr>
              <w:jc w:val="right"/>
              <w:spacing w:after="0"/>
              <w:rPr>
                <w:sz w:val="20"/>
                <w:szCs w:val="20"/>
                <w:color w:val="auto"/>
              </w:rPr>
            </w:pPr>
            <w:r>
              <w:rPr>
                <w:rFonts w:ascii="Arial" w:cs="Arial" w:eastAsia="Arial" w:hAnsi="Arial"/>
                <w:sz w:val="17"/>
                <w:szCs w:val="17"/>
                <w:color w:val="231F20"/>
              </w:rPr>
              <w:t>1,947,230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231F20"/>
              </w:rPr>
              <w:t>16.90</w:t>
            </w: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231F20"/>
              </w:rPr>
              <w:t>(194,207)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231F20"/>
              </w:rPr>
              <w:t>3.98</w:t>
            </w:r>
          </w:p>
        </w:tc>
      </w:tr>
      <w:tr>
        <w:trPr>
          <w:trHeight w:val="218"/>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Options cancelled and 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31F20"/>
              </w:rPr>
              <w:t>(25,943)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31F20"/>
              </w:rPr>
              <w:t>29.94</w:t>
            </w: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March 31,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11,560,004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13.34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700" w:type="dxa"/>
            <w:vAlign w:val="bottom"/>
          </w:tcPr>
          <w:p>
            <w:pPr>
              <w:ind w:left="20"/>
              <w:spacing w:after="0" w:line="191" w:lineRule="exact"/>
              <w:rPr>
                <w:sz w:val="20"/>
                <w:szCs w:val="20"/>
                <w:color w:val="auto"/>
              </w:rPr>
            </w:pPr>
            <w:r>
              <w:rPr>
                <w:rFonts w:ascii="Arial" w:cs="Arial" w:eastAsia="Arial" w:hAnsi="Arial"/>
                <w:sz w:val="17"/>
                <w:szCs w:val="17"/>
                <w:color w:val="auto"/>
              </w:rPr>
              <w:t>Vested and exercisable, March 31, 2022</w:t>
            </w:r>
          </w:p>
        </w:tc>
        <w:tc>
          <w:tcPr>
            <w:tcW w:w="15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3,732,802</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8.43</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Awards</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Certain stock options granted provide stock option holders the right to exercise unvested stock options in exchange for restricted shares of Class A common stock. The Company has also issued restricted shares of Class A common stock to employees and directors. There were 125,231 shares and 174,300 shares of restricted stock that were unvested and subject to repurchase as of March 31,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RSU activity for the three months ended March 31, 2022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center"/>
              <w:ind w:right="181"/>
              <w:spacing w:after="0"/>
              <w:rPr>
                <w:sz w:val="20"/>
                <w:szCs w:val="20"/>
                <w:color w:val="auto"/>
              </w:rPr>
            </w:pPr>
            <w:r>
              <w:rPr>
                <w:rFonts w:ascii="Arial" w:cs="Arial" w:eastAsia="Arial" w:hAnsi="Arial"/>
                <w:sz w:val="14"/>
                <w:szCs w:val="14"/>
                <w:b w:val="1"/>
                <w:bCs w:val="1"/>
                <w:color w:val="auto"/>
                <w:w w:val="87"/>
              </w:rPr>
              <w:t>Weighted-Average</w:t>
            </w:r>
          </w:p>
        </w:tc>
        <w:tc>
          <w:tcPr>
            <w:tcW w:w="0" w:type="dxa"/>
            <w:vAlign w:val="bottom"/>
          </w:tcPr>
          <w:p>
            <w:pPr>
              <w:spacing w:after="0"/>
              <w:rPr>
                <w:sz w:val="1"/>
                <w:szCs w:val="1"/>
                <w:color w:val="auto"/>
              </w:rPr>
            </w:pPr>
          </w:p>
        </w:tc>
      </w:tr>
      <w:tr>
        <w:trPr>
          <w:trHeight w:val="129"/>
        </w:trPr>
        <w:tc>
          <w:tcPr>
            <w:tcW w:w="7320" w:type="dxa"/>
            <w:vAlign w:val="bottom"/>
          </w:tcPr>
          <w:p>
            <w:pPr>
              <w:spacing w:after="0"/>
              <w:rPr>
                <w:sz w:val="11"/>
                <w:szCs w:val="11"/>
                <w:color w:val="auto"/>
              </w:rPr>
            </w:pPr>
          </w:p>
        </w:tc>
        <w:tc>
          <w:tcPr>
            <w:tcW w:w="20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Restricted Stock Units</w:t>
            </w:r>
          </w:p>
        </w:tc>
        <w:tc>
          <w:tcPr>
            <w:tcW w:w="260" w:type="dxa"/>
            <w:vAlign w:val="bottom"/>
          </w:tcPr>
          <w:p>
            <w:pPr>
              <w:spacing w:after="0"/>
              <w:rPr>
                <w:sz w:val="11"/>
                <w:szCs w:val="11"/>
                <w:color w:val="auto"/>
              </w:rPr>
            </w:pPr>
          </w:p>
        </w:tc>
        <w:tc>
          <w:tcPr>
            <w:tcW w:w="1660" w:type="dxa"/>
            <w:vAlign w:val="bottom"/>
          </w:tcPr>
          <w:p>
            <w:pPr>
              <w:jc w:val="center"/>
              <w:ind w:right="161"/>
              <w:spacing w:after="0" w:line="12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79"/>
        </w:trPr>
        <w:tc>
          <w:tcPr>
            <w:tcW w:w="732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13"/>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740,366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26.49</w:t>
            </w:r>
          </w:p>
        </w:tc>
        <w:tc>
          <w:tcPr>
            <w:tcW w:w="0" w:type="dxa"/>
            <w:vAlign w:val="bottom"/>
          </w:tcPr>
          <w:p>
            <w:pPr>
              <w:spacing w:after="0"/>
              <w:rPr>
                <w:sz w:val="1"/>
                <w:szCs w:val="1"/>
                <w:color w:val="auto"/>
              </w:rPr>
            </w:pPr>
          </w:p>
        </w:tc>
      </w:tr>
      <w:tr>
        <w:trPr>
          <w:trHeight w:val="218"/>
        </w:trPr>
        <w:tc>
          <w:tcPr>
            <w:tcW w:w="7320" w:type="dxa"/>
            <w:vAlign w:val="bottom"/>
          </w:tcPr>
          <w:p>
            <w:pPr>
              <w:ind w:left="20"/>
              <w:spacing w:after="0"/>
              <w:rPr>
                <w:sz w:val="20"/>
                <w:szCs w:val="20"/>
                <w:color w:val="auto"/>
              </w:rPr>
            </w:pPr>
            <w:r>
              <w:rPr>
                <w:rFonts w:ascii="Arial" w:cs="Arial" w:eastAsia="Arial" w:hAnsi="Arial"/>
                <w:sz w:val="17"/>
                <w:szCs w:val="17"/>
                <w:color w:val="auto"/>
              </w:rPr>
              <w:t>Granted</w:t>
            </w:r>
          </w:p>
        </w:tc>
        <w:tc>
          <w:tcPr>
            <w:tcW w:w="1920" w:type="dxa"/>
            <w:vAlign w:val="bottom"/>
          </w:tcPr>
          <w:p>
            <w:pPr>
              <w:jc w:val="right"/>
              <w:spacing w:after="0"/>
              <w:rPr>
                <w:sz w:val="20"/>
                <w:szCs w:val="20"/>
                <w:color w:val="auto"/>
              </w:rPr>
            </w:pPr>
            <w:r>
              <w:rPr>
                <w:rFonts w:ascii="Arial" w:cs="Arial" w:eastAsia="Arial" w:hAnsi="Arial"/>
                <w:sz w:val="17"/>
                <w:szCs w:val="17"/>
                <w:color w:val="auto"/>
              </w:rPr>
              <w:t>1,310,465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16.55</w:t>
            </w:r>
          </w:p>
        </w:tc>
        <w:tc>
          <w:tcPr>
            <w:tcW w:w="0" w:type="dxa"/>
            <w:vAlign w:val="bottom"/>
          </w:tcPr>
          <w:p>
            <w:pPr>
              <w:spacing w:after="0"/>
              <w:rPr>
                <w:sz w:val="1"/>
                <w:szCs w:val="1"/>
                <w:color w:val="auto"/>
              </w:rPr>
            </w:pPr>
          </w:p>
        </w:tc>
      </w:tr>
      <w:tr>
        <w:trPr>
          <w:trHeight w:val="22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38.40</w:t>
            </w:r>
          </w:p>
        </w:tc>
        <w:tc>
          <w:tcPr>
            <w:tcW w:w="0" w:type="dxa"/>
            <w:vAlign w:val="bottom"/>
          </w:tcPr>
          <w:p>
            <w:pPr>
              <w:spacing w:after="0"/>
              <w:rPr>
                <w:sz w:val="1"/>
                <w:szCs w:val="1"/>
                <w:color w:val="auto"/>
              </w:rPr>
            </w:pPr>
          </w:p>
        </w:tc>
      </w:tr>
      <w:tr>
        <w:trPr>
          <w:trHeight w:val="218"/>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Cancelled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28.54</w:t>
            </w:r>
          </w:p>
        </w:tc>
        <w:tc>
          <w:tcPr>
            <w:tcW w:w="0" w:type="dxa"/>
            <w:vAlign w:val="bottom"/>
          </w:tcPr>
          <w:p>
            <w:pPr>
              <w:spacing w:after="0"/>
              <w:rPr>
                <w:sz w:val="1"/>
                <w:szCs w:val="1"/>
                <w:color w:val="auto"/>
              </w:rPr>
            </w:pPr>
          </w:p>
        </w:tc>
      </w:tr>
      <w:tr>
        <w:trPr>
          <w:trHeight w:val="23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March 31, 2022</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1,959,042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 total of 1,195,327 shares of Class A common stock are reserved for issuance under the 2020 Employee Stock Purchase Plan (ESPP) as of March 31, 2022.</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2022 and 2021, no shares of Class A common stock were issued under the ESPP.</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6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following table summarizes the components of stock-based compensation recognized in the Company’s condensed consolidated statements of operations and comprehensive loss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1080" w:type="dxa"/>
            <w:vAlign w:val="bottom"/>
          </w:tcPr>
          <w:p>
            <w:pPr>
              <w:spacing w:after="0"/>
              <w:rPr>
                <w:sz w:val="14"/>
                <w:szCs w:val="14"/>
                <w:color w:val="auto"/>
              </w:rPr>
            </w:pPr>
          </w:p>
        </w:tc>
      </w:tr>
      <w:tr>
        <w:trPr>
          <w:trHeight w:val="178"/>
        </w:trPr>
        <w:tc>
          <w:tcPr>
            <w:tcW w:w="4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080" w:type="dxa"/>
            <w:vAlign w:val="bottom"/>
          </w:tcPr>
          <w:p>
            <w:pPr>
              <w:spacing w:after="0"/>
              <w:rPr>
                <w:sz w:val="15"/>
                <w:szCs w:val="15"/>
                <w:color w:val="auto"/>
              </w:rPr>
            </w:pPr>
          </w:p>
        </w:tc>
      </w:tr>
      <w:tr>
        <w:trPr>
          <w:trHeight w:val="24"/>
        </w:trPr>
        <w:tc>
          <w:tcPr>
            <w:tcW w:w="44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5"/>
        </w:trPr>
        <w:tc>
          <w:tcPr>
            <w:tcW w:w="4460" w:type="dxa"/>
            <w:vAlign w:val="bottom"/>
          </w:tcPr>
          <w:p>
            <w:pPr>
              <w:spacing w:after="0"/>
              <w:rPr>
                <w:sz w:val="15"/>
                <w:szCs w:val="15"/>
                <w:color w:val="auto"/>
              </w:rPr>
            </w:pPr>
          </w:p>
        </w:tc>
        <w:tc>
          <w:tcPr>
            <w:tcW w:w="1020" w:type="dxa"/>
            <w:vAlign w:val="bottom"/>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jc w:val="right"/>
              <w:ind w:right="698"/>
              <w:spacing w:after="0"/>
              <w:rPr>
                <w:sz w:val="20"/>
                <w:szCs w:val="20"/>
                <w:color w:val="auto"/>
              </w:rPr>
            </w:pPr>
            <w:r>
              <w:rPr>
                <w:rFonts w:ascii="Arial" w:cs="Arial" w:eastAsia="Arial" w:hAnsi="Arial"/>
                <w:sz w:val="14"/>
                <w:szCs w:val="14"/>
                <w:b w:val="1"/>
                <w:bCs w:val="1"/>
                <w:color w:val="auto"/>
                <w:w w:val="89"/>
              </w:rPr>
              <w:t>2021</w:t>
            </w:r>
          </w:p>
        </w:tc>
      </w:tr>
      <w:tr>
        <w:trPr>
          <w:trHeight w:val="24"/>
        </w:trPr>
        <w:tc>
          <w:tcPr>
            <w:tcW w:w="44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2"/>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right="5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46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2,001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1,492</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5,853</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4,547</w:t>
            </w:r>
          </w:p>
        </w:tc>
      </w:tr>
      <w:tr>
        <w:trPr>
          <w:trHeight w:val="213"/>
        </w:trPr>
        <w:tc>
          <w:tcPr>
            <w:tcW w:w="4460" w:type="dxa"/>
            <w:vAlign w:val="bottom"/>
          </w:tcPr>
          <w:p>
            <w:pPr>
              <w:ind w:left="20"/>
              <w:spacing w:after="0"/>
              <w:rPr>
                <w:sz w:val="20"/>
                <w:szCs w:val="20"/>
                <w:color w:val="auto"/>
              </w:rPr>
            </w:pPr>
            <w:r>
              <w:rPr>
                <w:rFonts w:ascii="Arial" w:cs="Arial" w:eastAsia="Arial" w:hAnsi="Arial"/>
                <w:sz w:val="17"/>
                <w:szCs w:val="17"/>
                <w:color w:val="auto"/>
              </w:rPr>
              <w:t>Total stock-based compensation</w:t>
            </w:r>
          </w:p>
        </w:tc>
        <w:tc>
          <w:tcPr>
            <w:tcW w:w="1020" w:type="dxa"/>
            <w:vAlign w:val="bottom"/>
            <w:tcBorders>
              <w:bottom w:val="single" w:sz="8" w:color="auto"/>
            </w:tcBorders>
          </w:tcPr>
          <w:p>
            <w:pPr>
              <w:jc w:val="right"/>
              <w:ind w:right="840"/>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8,062</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center"/>
              <w:ind w:right="5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6,039</w:t>
            </w:r>
          </w:p>
        </w:tc>
      </w:tr>
      <w:tr>
        <w:trPr>
          <w:trHeight w:val="20"/>
        </w:trPr>
        <w:tc>
          <w:tcPr>
            <w:tcW w:w="4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In February 2022, in connection with a leave of absence taken by one of our executives, a total of 1,330,892 share-based awards were modified to extend the overall term and change the timing of the vesting of the awards. The total incremental stock-based compensation associated with the modification is $0.9 million, which will be recognized over the next eight years.</w:t>
      </w:r>
    </w:p>
    <w:p>
      <w:pPr>
        <w:spacing w:after="0" w:line="118" w:lineRule="exact"/>
        <w:rPr>
          <w:sz w:val="20"/>
          <w:szCs w:val="20"/>
          <w:color w:val="auto"/>
        </w:rPr>
      </w:pPr>
    </w:p>
    <w:p>
      <w:pPr>
        <w:ind w:left="620" w:hanging="617"/>
        <w:spacing w:after="0"/>
        <w:tabs>
          <w:tab w:leader="none" w:pos="6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Facility Lease Agreement</w:t>
      </w:r>
    </w:p>
    <w:p>
      <w:pPr>
        <w:spacing w:after="0" w:line="165"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The Company leases office and laboratory space in Redwood City, California with a lease term that is set to end on September 30, 2032. The Company has an option to renew for an additional five-year term at then-current market rates, which is not reasonably certain of being exercised. The lease of additional office and laboratory space pursuant to an amendment entered into in June 2020 commenced in February 2022 and the Company recorded a right-of-use asset of $8.8 million and lease liability of $6.9 million as of the commencement of the lease. This lease liability is based on the present value of lease payments over the lease term, which was estimated using an incremental borrowing rate of 7.4% based on information available at the commencement date. In connection with the leased space, the Company maintains a letter of credit issued to the lessor in the amount of $0.5 million as of March 31, 2022 and December 31, 2021, respectively, which is secured by restricted cash that is classified as noncurrent at each date based on the term of the underlying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During the period from June 2020 through May 2021, the Company was provided with temporary space. The Company was not required to pay additional rent for the temporary space, but was required to pay property taxes, insurance and normal maintenance costs with respect to the temporary space.</w:t>
      </w:r>
    </w:p>
    <w:p>
      <w:pPr>
        <w:spacing w:after="0" w:line="89"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As of March 31, 2022, the remaining weighted-average lease term was 10.5 years and the weighted-average incremental borrowing rate used to determine the operating lease liabilities was 6.2%.</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lease costs related to the Company’s operating leases were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1080" w:type="dxa"/>
            <w:vAlign w:val="bottom"/>
          </w:tcPr>
          <w:p>
            <w:pPr>
              <w:spacing w:after="0"/>
              <w:rPr>
                <w:sz w:val="14"/>
                <w:szCs w:val="14"/>
                <w:color w:val="auto"/>
              </w:rPr>
            </w:pPr>
          </w:p>
        </w:tc>
      </w:tr>
      <w:tr>
        <w:trPr>
          <w:trHeight w:val="178"/>
        </w:trPr>
        <w:tc>
          <w:tcPr>
            <w:tcW w:w="4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080" w:type="dxa"/>
            <w:vAlign w:val="bottom"/>
          </w:tcPr>
          <w:p>
            <w:pPr>
              <w:spacing w:after="0"/>
              <w:rPr>
                <w:sz w:val="15"/>
                <w:szCs w:val="15"/>
                <w:color w:val="auto"/>
              </w:rPr>
            </w:pPr>
          </w:p>
        </w:tc>
      </w:tr>
      <w:tr>
        <w:trPr>
          <w:trHeight w:val="24"/>
        </w:trPr>
        <w:tc>
          <w:tcPr>
            <w:tcW w:w="44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5"/>
        </w:trPr>
        <w:tc>
          <w:tcPr>
            <w:tcW w:w="4460" w:type="dxa"/>
            <w:vAlign w:val="bottom"/>
          </w:tcPr>
          <w:p>
            <w:pPr>
              <w:spacing w:after="0"/>
              <w:rPr>
                <w:sz w:val="15"/>
                <w:szCs w:val="15"/>
                <w:color w:val="auto"/>
              </w:rPr>
            </w:pPr>
          </w:p>
        </w:tc>
        <w:tc>
          <w:tcPr>
            <w:tcW w:w="1020" w:type="dxa"/>
            <w:vAlign w:val="bottom"/>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jc w:val="right"/>
              <w:ind w:right="698"/>
              <w:spacing w:after="0"/>
              <w:rPr>
                <w:sz w:val="20"/>
                <w:szCs w:val="20"/>
                <w:color w:val="auto"/>
              </w:rPr>
            </w:pPr>
            <w:r>
              <w:rPr>
                <w:rFonts w:ascii="Arial" w:cs="Arial" w:eastAsia="Arial" w:hAnsi="Arial"/>
                <w:sz w:val="14"/>
                <w:szCs w:val="14"/>
                <w:b w:val="1"/>
                <w:bCs w:val="1"/>
                <w:color w:val="auto"/>
                <w:w w:val="89"/>
              </w:rPr>
              <w:t>2021</w:t>
            </w:r>
          </w:p>
        </w:tc>
      </w:tr>
      <w:tr>
        <w:trPr>
          <w:trHeight w:val="24"/>
        </w:trPr>
        <w:tc>
          <w:tcPr>
            <w:tcW w:w="44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2"/>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costs</w:t>
            </w: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right="5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r>
      <w:tr>
        <w:trPr>
          <w:trHeight w:val="218"/>
        </w:trPr>
        <w:tc>
          <w:tcPr>
            <w:tcW w:w="4460" w:type="dxa"/>
            <w:vAlign w:val="bottom"/>
          </w:tcPr>
          <w:p>
            <w:pPr>
              <w:ind w:left="20"/>
              <w:spacing w:after="0"/>
              <w:rPr>
                <w:sz w:val="20"/>
                <w:szCs w:val="20"/>
                <w:color w:val="auto"/>
              </w:rPr>
            </w:pPr>
            <w:r>
              <w:rPr>
                <w:rFonts w:ascii="Arial" w:cs="Arial" w:eastAsia="Arial" w:hAnsi="Arial"/>
                <w:sz w:val="17"/>
                <w:szCs w:val="17"/>
                <w:color w:val="auto"/>
              </w:rPr>
              <w:t>Variable lease costs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lease costs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3"/>
        </w:trPr>
        <w:tc>
          <w:tcPr>
            <w:tcW w:w="4460" w:type="dxa"/>
            <w:vAlign w:val="bottom"/>
          </w:tcPr>
          <w:p>
            <w:pPr>
              <w:ind w:left="20"/>
              <w:spacing w:after="0"/>
              <w:rPr>
                <w:sz w:val="20"/>
                <w:szCs w:val="20"/>
                <w:color w:val="auto"/>
              </w:rPr>
            </w:pPr>
            <w:r>
              <w:rPr>
                <w:rFonts w:ascii="Arial" w:cs="Arial" w:eastAsia="Arial" w:hAnsi="Arial"/>
                <w:sz w:val="17"/>
                <w:szCs w:val="17"/>
                <w:color w:val="auto"/>
              </w:rPr>
              <w:t>Total lease costs</w:t>
            </w:r>
          </w:p>
        </w:tc>
        <w:tc>
          <w:tcPr>
            <w:tcW w:w="1020" w:type="dxa"/>
            <w:vAlign w:val="bottom"/>
            <w:tcBorders>
              <w:bottom w:val="single" w:sz="8" w:color="auto"/>
            </w:tcBorders>
          </w:tcPr>
          <w:p>
            <w:pPr>
              <w:jc w:val="right"/>
              <w:ind w:right="840"/>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1,076</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center"/>
              <w:ind w:right="5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r>
      <w:tr>
        <w:trPr>
          <w:trHeight w:val="20"/>
        </w:trPr>
        <w:tc>
          <w:tcPr>
            <w:tcW w:w="4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Variable lease costs are primarily comprised of common area maintenance and include costs associated with the temporary space.</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2022, future minimum commitments under the Company’s non-cancelable facility operating lease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7"/>
              </w:rPr>
              <w:t>(in thousands)</w:t>
            </w:r>
          </w:p>
        </w:tc>
      </w:tr>
      <w:tr>
        <w:trPr>
          <w:trHeight w:val="218"/>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2022 (remaining nine months)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2,005</w:t>
            </w:r>
          </w:p>
        </w:tc>
      </w:tr>
      <w:tr>
        <w:trPr>
          <w:trHeight w:val="218"/>
        </w:trPr>
        <w:tc>
          <w:tcPr>
            <w:tcW w:w="9600" w:type="dxa"/>
            <w:vAlign w:val="bottom"/>
          </w:tcPr>
          <w:p>
            <w:pPr>
              <w:ind w:left="20"/>
              <w:spacing w:after="0"/>
              <w:rPr>
                <w:sz w:val="20"/>
                <w:szCs w:val="20"/>
                <w:color w:val="auto"/>
              </w:rPr>
            </w:pPr>
            <w:r>
              <w:rPr>
                <w:rFonts w:ascii="Arial" w:cs="Arial" w:eastAsia="Arial" w:hAnsi="Arial"/>
                <w:sz w:val="17"/>
                <w:szCs w:val="17"/>
                <w:color w:val="auto"/>
              </w:rPr>
              <w:t>2023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3,633</w:t>
            </w:r>
          </w:p>
        </w:tc>
      </w:tr>
      <w:tr>
        <w:trPr>
          <w:trHeight w:val="220"/>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3,738</w:t>
            </w:r>
          </w:p>
        </w:tc>
      </w:tr>
      <w:tr>
        <w:trPr>
          <w:trHeight w:val="218"/>
        </w:trPr>
        <w:tc>
          <w:tcPr>
            <w:tcW w:w="9600" w:type="dxa"/>
            <w:vAlign w:val="bottom"/>
          </w:tcPr>
          <w:p>
            <w:pPr>
              <w:ind w:left="20"/>
              <w:spacing w:after="0"/>
              <w:rPr>
                <w:sz w:val="20"/>
                <w:szCs w:val="20"/>
                <w:color w:val="auto"/>
              </w:rPr>
            </w:pPr>
            <w:r>
              <w:rPr>
                <w:rFonts w:ascii="Arial" w:cs="Arial" w:eastAsia="Arial" w:hAnsi="Arial"/>
                <w:sz w:val="17"/>
                <w:szCs w:val="17"/>
                <w:color w:val="auto"/>
              </w:rPr>
              <w:t>2025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3,846</w:t>
            </w:r>
          </w:p>
        </w:tc>
      </w:tr>
      <w:tr>
        <w:trPr>
          <w:trHeight w:val="220"/>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3,957</w:t>
            </w:r>
          </w:p>
        </w:tc>
      </w:tr>
      <w:tr>
        <w:trPr>
          <w:trHeight w:val="218"/>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25,137</w:t>
            </w:r>
          </w:p>
        </w:tc>
      </w:tr>
      <w:tr>
        <w:trPr>
          <w:trHeight w:val="213"/>
        </w:trPr>
        <w:tc>
          <w:tcPr>
            <w:tcW w:w="96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undiscounted future minimum lease payments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42,316</w:t>
            </w:r>
          </w:p>
        </w:tc>
      </w:tr>
      <w:tr>
        <w:trPr>
          <w:trHeight w:val="218"/>
        </w:trPr>
        <w:tc>
          <w:tcPr>
            <w:tcW w:w="9680" w:type="dxa"/>
            <w:vAlign w:val="bottom"/>
            <w:gridSpan w:val="2"/>
          </w:tcPr>
          <w:p>
            <w:pPr>
              <w:ind w:left="20"/>
              <w:spacing w:after="0"/>
              <w:rPr>
                <w:sz w:val="20"/>
                <w:szCs w:val="20"/>
                <w:color w:val="auto"/>
              </w:rPr>
            </w:pPr>
            <w:r>
              <w:rPr>
                <w:rFonts w:ascii="Arial" w:cs="Arial" w:eastAsia="Arial" w:hAnsi="Arial"/>
                <w:sz w:val="17"/>
                <w:szCs w:val="17"/>
                <w:color w:val="auto"/>
              </w:rPr>
              <w:t>Present value adjustment for minimum lease commitments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(11,836)</w:t>
            </w:r>
          </w:p>
        </w:tc>
      </w:tr>
      <w:tr>
        <w:trPr>
          <w:trHeight w:val="21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Tenant improvement receivable</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r>
      <w:tr>
        <w:trPr>
          <w:trHeight w:val="213"/>
        </w:trPr>
        <w:tc>
          <w:tcPr>
            <w:tcW w:w="9680" w:type="dxa"/>
            <w:vAlign w:val="bottom"/>
            <w:gridSpan w:val="2"/>
          </w:tcPr>
          <w:p>
            <w:pPr>
              <w:ind w:left="220"/>
              <w:spacing w:after="0"/>
              <w:rPr>
                <w:sz w:val="20"/>
                <w:szCs w:val="20"/>
                <w:color w:val="auto"/>
              </w:rPr>
            </w:pPr>
            <w:r>
              <w:rPr>
                <w:rFonts w:ascii="Arial" w:cs="Arial" w:eastAsia="Arial" w:hAnsi="Arial"/>
                <w:sz w:val="17"/>
                <w:szCs w:val="17"/>
                <w:color w:val="auto"/>
              </w:rPr>
              <w:t>Total operating lease liabilities</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30,224</w:t>
            </w:r>
          </w:p>
        </w:tc>
      </w:tr>
      <w:tr>
        <w:trPr>
          <w:trHeight w:val="20"/>
        </w:trPr>
        <w:tc>
          <w:tcPr>
            <w:tcW w:w="9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Commitments and Obligations</w:t>
      </w:r>
    </w:p>
    <w:p>
      <w:pPr>
        <w:spacing w:after="0" w:line="165" w:lineRule="exact"/>
        <w:rPr>
          <w:sz w:val="20"/>
          <w:szCs w:val="20"/>
          <w:color w:val="auto"/>
        </w:rPr>
      </w:pPr>
    </w:p>
    <w:p>
      <w:pPr>
        <w:ind w:right="220"/>
        <w:spacing w:after="0" w:line="307" w:lineRule="auto"/>
        <w:rPr>
          <w:sz w:val="20"/>
          <w:szCs w:val="20"/>
          <w:color w:val="auto"/>
        </w:rPr>
      </w:pPr>
      <w:r>
        <w:rPr>
          <w:rFonts w:ascii="Arial" w:cs="Arial" w:eastAsia="Arial" w:hAnsi="Arial"/>
          <w:sz w:val="15"/>
          <w:szCs w:val="15"/>
          <w:color w:val="auto"/>
        </w:rPr>
        <w:t>The Company has certain purchase commitments related to its inventory management with certain manufacturing suppliers wherein the Company is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$5.7 million and $5.5 million as of March 31, 2022 and December 31, 2021,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Guarantees and Indemnifications</w:t>
      </w:r>
    </w:p>
    <w:p>
      <w:pPr>
        <w:spacing w:after="0" w:line="165" w:lineRule="exact"/>
        <w:rPr>
          <w:sz w:val="20"/>
          <w:szCs w:val="20"/>
          <w:color w:val="auto"/>
        </w:rPr>
      </w:pPr>
    </w:p>
    <w:p>
      <w:pPr>
        <w:jc w:val="both"/>
        <w:ind w:right="480"/>
        <w:spacing w:after="0" w:line="283" w:lineRule="auto"/>
        <w:rPr>
          <w:sz w:val="20"/>
          <w:szCs w:val="20"/>
          <w:color w:val="auto"/>
        </w:rPr>
      </w:pPr>
      <w:r>
        <w:rPr>
          <w:rFonts w:ascii="Arial" w:cs="Arial" w:eastAsia="Arial" w:hAnsi="Arial"/>
          <w:sz w:val="16"/>
          <w:szCs w:val="16"/>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40"/>
        <w:spacing w:after="0" w:line="349" w:lineRule="auto"/>
        <w:rPr>
          <w:sz w:val="20"/>
          <w:szCs w:val="20"/>
          <w:color w:val="auto"/>
        </w:rPr>
      </w:pPr>
      <w:r>
        <w:rPr>
          <w:rFonts w:ascii="Arial" w:cs="Arial" w:eastAsia="Arial" w:hAnsi="Arial"/>
          <w:sz w:val="15"/>
          <w:szCs w:val="15"/>
          <w:color w:val="auto"/>
        </w:rPr>
        <w:t>Company has not paid any claims or been required to defend any action related to its indemnification obligations. As of March 31, 2022 and December 31, 2021, the Company does not have any material indemnification claims that were probable or reasonably possible and consequently has not recorded related liabilities.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From time to time, the Company may become involved in legal proceedings arising in the ordinary course of business. The Company is not currently a party to any material legal proceedings.</w:t>
      </w:r>
    </w:p>
    <w:p>
      <w:pPr>
        <w:spacing w:after="0" w:line="107" w:lineRule="exact"/>
        <w:rPr>
          <w:sz w:val="20"/>
          <w:szCs w:val="20"/>
          <w:color w:val="auto"/>
        </w:rPr>
      </w:pPr>
    </w:p>
    <w:p>
      <w:pPr>
        <w:ind w:left="620" w:hanging="617"/>
        <w:spacing w:after="0"/>
        <w:tabs>
          <w:tab w:leader="none" w:pos="6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PROGNOMIQ, INC.</w:t>
      </w:r>
    </w:p>
    <w:p>
      <w:pPr>
        <w:spacing w:after="0" w:line="171"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spacing w:after="0" w:line="8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Company has concluded that PrognomIQ is a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The Company has determined that it has the ability to exercise significant influence over PrognomIQ and therefore has accounted for its investment in PrognomIQ using the equity method.</w:t>
      </w:r>
    </w:p>
    <w:p>
      <w:pPr>
        <w:spacing w:after="0" w:line="12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PrognomIQ constitutes a related party and, as of March 31, 2022 and December 31, 2021, the Company recorded $1.1 million and $1.3 million in related party receivables, respectively, on the condensed consolidated balance sheets representing amounts due from product sales and services and for general transition services and support provided. Revenue received from PrognomIQ is recorded as related party revenue on the condensed consolidated statements of operations and comprehensive loss and is comprised of the sale of instruments and consumables, and services performed.</w:t>
      </w:r>
    </w:p>
    <w:p>
      <w:pPr>
        <w:spacing w:after="0" w:line="106" w:lineRule="exact"/>
        <w:rPr>
          <w:sz w:val="20"/>
          <w:szCs w:val="20"/>
          <w:color w:val="auto"/>
        </w:rPr>
      </w:pPr>
    </w:p>
    <w:p>
      <w:pPr>
        <w:ind w:left="620" w:hanging="617"/>
        <w:spacing w:after="0"/>
        <w:tabs>
          <w:tab w:leader="none" w:pos="6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SHARE ATTRIBUTABLE TO COMMON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computation of basic and diluted net loss per share (in thousands, except share and per share data):</w:t>
      </w:r>
    </w:p>
    <w:p>
      <w:pPr>
        <w:spacing w:after="0" w:line="178"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Three Months Ended</w:t>
      </w:r>
    </w:p>
    <w:p>
      <w:pPr>
        <w:jc w:val="center"/>
        <w:ind w:left="79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8255</wp:posOffset>
            </wp:positionV>
            <wp:extent cx="20383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38350" cy="8255"/>
                    </a:xfrm>
                    <a:prstGeom prst="rect">
                      <a:avLst/>
                    </a:prstGeom>
                    <a:noFill/>
                  </pic:spPr>
                </pic:pic>
              </a:graphicData>
            </a:graphic>
          </wp:anchor>
        </w:drawing>
      </w:r>
    </w:p>
    <w:p>
      <w:pPr>
        <w:ind w:left="8640"/>
        <w:spacing w:after="0"/>
        <w:tabs>
          <w:tab w:leader="none" w:pos="102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13905" cy="139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3905" cy="13906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Numerator:</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13905" cy="139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3905"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Denominator:</w:t>
      </w:r>
    </w:p>
    <w:p>
      <w:pPr>
        <w:spacing w:after="0" w:line="24" w:lineRule="exact"/>
        <w:rPr>
          <w:sz w:val="20"/>
          <w:szCs w:val="20"/>
          <w:color w:val="auto"/>
        </w:rPr>
      </w:pPr>
    </w:p>
    <w:p>
      <w:pPr>
        <w:ind w:left="180" w:hanging="154"/>
        <w:spacing w:after="0" w:line="236" w:lineRule="auto"/>
        <w:rPr>
          <w:sz w:val="20"/>
          <w:szCs w:val="20"/>
          <w:color w:val="auto"/>
        </w:rPr>
      </w:pPr>
      <w:r>
        <w:rPr>
          <w:rFonts w:ascii="Arial" w:cs="Arial" w:eastAsia="Arial" w:hAnsi="Arial"/>
          <w:sz w:val="17"/>
          <w:szCs w:val="17"/>
          <w:color w:val="auto"/>
        </w:rPr>
        <w:t>Weighted-average common shares used in computing 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13905" cy="1720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3905" cy="17208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loss per share attributable to common stockholders, basic and diluted</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220"/>
        <w:spacing w:after="0"/>
        <w:tabs>
          <w:tab w:leader="none" w:pos="1860" w:val="left"/>
        </w:tabs>
        <w:rPr>
          <w:sz w:val="20"/>
          <w:szCs w:val="20"/>
          <w:color w:val="auto"/>
        </w:rPr>
      </w:pPr>
      <w:r>
        <w:rPr>
          <w:rFonts w:ascii="Arial" w:cs="Arial" w:eastAsia="Arial" w:hAnsi="Arial"/>
          <w:sz w:val="17"/>
          <w:szCs w:val="17"/>
          <w:color w:val="auto"/>
        </w:rPr>
        <w:t>(23,646)  $</w:t>
      </w:r>
      <w:r>
        <w:rPr>
          <w:sz w:val="20"/>
          <w:szCs w:val="20"/>
          <w:color w:val="auto"/>
        </w:rPr>
        <w:tab/>
      </w:r>
      <w:r>
        <w:rPr>
          <w:rFonts w:ascii="Arial" w:cs="Arial" w:eastAsia="Arial" w:hAnsi="Arial"/>
          <w:sz w:val="15"/>
          <w:szCs w:val="15"/>
          <w:color w:val="auto"/>
        </w:rPr>
        <w:t>(16,429)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14605</wp:posOffset>
            </wp:positionV>
            <wp:extent cx="20383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38350" cy="8255"/>
                    </a:xfrm>
                    <a:prstGeom prst="rect">
                      <a:avLst/>
                    </a:prstGeom>
                    <a:noFill/>
                  </pic:spPr>
                </pic:pic>
              </a:graphicData>
            </a:graphic>
          </wp:anchor>
        </w:drawing>
      </w:r>
    </w:p>
    <w:p>
      <w:pPr>
        <w:spacing w:after="0" w:line="390"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62,003,504</w:t>
      </w:r>
      <w:r>
        <w:rPr>
          <w:sz w:val="20"/>
          <w:szCs w:val="20"/>
          <w:color w:val="auto"/>
        </w:rPr>
        <w:tab/>
      </w:r>
      <w:r>
        <w:rPr>
          <w:rFonts w:ascii="Arial" w:cs="Arial" w:eastAsia="Arial" w:hAnsi="Arial"/>
          <w:sz w:val="16"/>
          <w:szCs w:val="16"/>
          <w:color w:val="auto"/>
        </w:rPr>
        <w:t>59,887,842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22225</wp:posOffset>
            </wp:positionV>
            <wp:extent cx="20383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38350" cy="8255"/>
                    </a:xfrm>
                    <a:prstGeom prst="rect">
                      <a:avLst/>
                    </a:prstGeom>
                    <a:noFill/>
                  </pic:spPr>
                </pic:pic>
              </a:graphicData>
            </a:graphic>
          </wp:anchor>
        </w:drawing>
      </w:r>
    </w:p>
    <w:p>
      <w:pPr>
        <w:spacing w:after="0" w:line="67" w:lineRule="exact"/>
        <w:rPr>
          <w:sz w:val="20"/>
          <w:szCs w:val="20"/>
          <w:color w:val="auto"/>
        </w:rPr>
      </w:pPr>
    </w:p>
    <w:p>
      <w:pPr>
        <w:jc w:val="right"/>
        <w:ind w:right="60"/>
        <w:spacing w:after="0"/>
        <w:tabs>
          <w:tab w:leader="none" w:pos="400" w:val="left"/>
        </w:tabs>
        <w:rPr>
          <w:sz w:val="20"/>
          <w:szCs w:val="20"/>
          <w:color w:val="auto"/>
        </w:rPr>
      </w:pPr>
      <w:r>
        <w:rPr>
          <w:rFonts w:ascii="Arial" w:cs="Arial" w:eastAsia="Arial" w:hAnsi="Arial"/>
          <w:sz w:val="17"/>
          <w:szCs w:val="17"/>
          <w:color w:val="auto"/>
        </w:rPr>
        <w:t>(0.38)  $</w:t>
      </w:r>
      <w:r>
        <w:rPr>
          <w:sz w:val="20"/>
          <w:szCs w:val="20"/>
          <w:color w:val="auto"/>
        </w:rPr>
        <w:tab/>
      </w:r>
      <w:r>
        <w:rPr>
          <w:rFonts w:ascii="Arial" w:cs="Arial" w:eastAsia="Arial" w:hAnsi="Arial"/>
          <w:sz w:val="16"/>
          <w:szCs w:val="16"/>
          <w:color w:val="auto"/>
        </w:rPr>
        <w:t>(0.27)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39370</wp:posOffset>
            </wp:positionV>
            <wp:extent cx="20383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38350"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3">
            <w:col w:w="7920" w:space="100"/>
            <w:col w:w="80" w:space="620"/>
            <w:col w:w="25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187960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ind w:right="-79"/>
        <w:spacing w:after="0"/>
        <w:rPr>
          <w:sz w:val="20"/>
          <w:szCs w:val="20"/>
          <w:color w:val="auto"/>
        </w:rPr>
      </w:pPr>
      <w:r>
        <w:rPr>
          <w:rFonts w:ascii="Arial" w:cs="Arial" w:eastAsia="Arial" w:hAnsi="Arial"/>
          <w:sz w:val="17"/>
          <w:szCs w:val="17"/>
          <w:b w:val="1"/>
          <w:bCs w:val="1"/>
          <w:color w:val="auto"/>
        </w:rPr>
        <w:t>SEER, INC.</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20" w:type="dxa"/>
            <w:vAlign w:val="bottom"/>
          </w:tcPr>
          <w:p>
            <w:pPr>
              <w:spacing w:after="0"/>
              <w:rPr>
                <w:sz w:val="16"/>
                <w:szCs w:val="16"/>
                <w:color w:val="auto"/>
              </w:rPr>
            </w:pPr>
          </w:p>
        </w:tc>
        <w:tc>
          <w:tcPr>
            <w:tcW w:w="2120" w:type="dxa"/>
            <w:vAlign w:val="bottom"/>
            <w:tcBorders>
              <w:bottom w:val="single" w:sz="8" w:color="auto"/>
            </w:tcBorders>
            <w:gridSpan w:val="3"/>
          </w:tcPr>
          <w:p>
            <w:pPr>
              <w:ind w:left="132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6"/>
                <w:szCs w:val="16"/>
                <w:color w:val="auto"/>
              </w:rPr>
            </w:pPr>
          </w:p>
        </w:tc>
      </w:tr>
      <w:tr>
        <w:trPr>
          <w:trHeight w:val="178"/>
        </w:trPr>
        <w:tc>
          <w:tcPr>
            <w:tcW w:w="792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2021</w:t>
            </w:r>
          </w:p>
        </w:tc>
      </w:tr>
      <w:tr>
        <w:trPr>
          <w:trHeight w:val="213"/>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Class A common stock options issued and outstanding</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11,560,004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9,839,354</w:t>
            </w:r>
          </w:p>
        </w:tc>
      </w:tr>
      <w:tr>
        <w:trPr>
          <w:trHeight w:val="218"/>
        </w:trPr>
        <w:tc>
          <w:tcPr>
            <w:tcW w:w="7920" w:type="dxa"/>
            <w:vAlign w:val="bottom"/>
          </w:tcPr>
          <w:p>
            <w:pPr>
              <w:ind w:left="20"/>
              <w:spacing w:after="0"/>
              <w:rPr>
                <w:sz w:val="20"/>
                <w:szCs w:val="20"/>
                <w:color w:val="auto"/>
              </w:rPr>
            </w:pPr>
            <w:r>
              <w:rPr>
                <w:rFonts w:ascii="Arial" w:cs="Arial" w:eastAsia="Arial" w:hAnsi="Arial"/>
                <w:sz w:val="17"/>
                <w:szCs w:val="17"/>
                <w:color w:val="auto"/>
              </w:rPr>
              <w:t>Restricted common stock subject to future vesting</w:t>
            </w:r>
          </w:p>
        </w:tc>
        <w:tc>
          <w:tcPr>
            <w:tcW w:w="1580" w:type="dxa"/>
            <w:vAlign w:val="bottom"/>
          </w:tcPr>
          <w:p>
            <w:pPr>
              <w:jc w:val="right"/>
              <w:spacing w:after="0"/>
              <w:rPr>
                <w:sz w:val="20"/>
                <w:szCs w:val="20"/>
                <w:color w:val="auto"/>
              </w:rPr>
            </w:pPr>
            <w:r>
              <w:rPr>
                <w:rFonts w:ascii="Arial" w:cs="Arial" w:eastAsia="Arial" w:hAnsi="Arial"/>
                <w:sz w:val="17"/>
                <w:szCs w:val="17"/>
                <w:color w:val="auto"/>
              </w:rPr>
              <w:t>125,231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652,418</w:t>
            </w: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1,959,042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689,484</w:t>
            </w:r>
          </w:p>
        </w:tc>
      </w:tr>
      <w:tr>
        <w:trPr>
          <w:trHeight w:val="213"/>
        </w:trPr>
        <w:tc>
          <w:tcPr>
            <w:tcW w:w="7920" w:type="dxa"/>
            <w:vAlign w:val="bottom"/>
          </w:tcPr>
          <w:p>
            <w:pPr>
              <w:ind w:left="20"/>
              <w:spacing w:after="0"/>
              <w:rPr>
                <w:sz w:val="20"/>
                <w:szCs w:val="20"/>
                <w:color w:val="auto"/>
              </w:rPr>
            </w:pPr>
            <w:r>
              <w:rPr>
                <w:rFonts w:ascii="Arial" w:cs="Arial" w:eastAsia="Arial" w:hAnsi="Arial"/>
                <w:sz w:val="17"/>
                <w:szCs w:val="17"/>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13,644,277</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11,181,256</w:t>
            </w:r>
          </w:p>
        </w:tc>
      </w:tr>
      <w:tr>
        <w:trPr>
          <w:trHeight w:val="20"/>
        </w:trPr>
        <w:tc>
          <w:tcPr>
            <w:tcW w:w="79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1" w:name="page22"/>
    <w:bookmarkEnd w:id="21"/>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related notes included in Part I, Item 1 of this Quarterly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mission is to imagine and pioneer new ways to decode the secrets of the proteome to improve human health. Our initial product, the Proteograph Product Suite (Proteograph), leverages our proprietary engineered nanoparticle (NP) technology to provide unbiased, deep, rapid and large-scale access to the proteome. The Proteograph Product Suite is an integrated solution that is comprised of consumables, an automation instrument and software.</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and its dynamic nature requires large-scale, unbiased and deep interrogation of thousands of samples across time, which we believe is unavailable with the proteomic approaches available today. We believe that the Proteograph Product Suite has the potential to enable researchers to perform these proteomics studies at scale.</w:t>
      </w:r>
    </w:p>
    <w:p>
      <w:pPr>
        <w:spacing w:after="0" w:line="131"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 publicly-traded company, and providing general and administrative support for these activities.</w:t>
      </w:r>
    </w:p>
    <w:p>
      <w:pPr>
        <w:spacing w:after="0" w:line="12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Our ability to generate product revenue sufficient to achieve profitability, if ever, will depend on the successful commercialization of the Proteograph Product Suite. We are commercializing the Proteograph Product Suite as an integrated solution comprised of consumables, our SP100 automation instrument and software. Our commercial strategy is focused on growing adoption by the research community of the Proteograph, expanding the installed base and increasing utilization to generate revenue from the purchase of the Proteograph consumables. We expect a highly efficient sales model because our workflow integrates with most existing proteomics laboratories’ workflows and also complements large-scale genomics research.</w:t>
      </w:r>
    </w:p>
    <w:p>
      <w:pPr>
        <w:spacing w:after="0" w:line="131"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We are broadly commercializing the Proteograph Product Suite through a direct sales channel in the United States, and through both direct and distributor sales channels in regions outside the United States. Given our recent launch of broad release commercialization, we have built, and will continue to build, sales, marketing, support and product distribution capabilities. We will continue to build the necessary infrastructure for these activities in the United States, European Union, the United Kingdom, and other countries and regions, including Asia-Pacific, as we execute on our broad release commercialization strategy for the Proteograph.</w:t>
      </w:r>
    </w:p>
    <w:p>
      <w:pPr>
        <w:spacing w:after="0" w:line="131"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pilot line and building out our manufacturing capabilities as we enter the broad release phase of commercialization. We obtain some of the reagents and components used in the Proteograph workflow from third-party suppliers. While some of these reagents and components are sourced from a single supplier, these products are readily available from numerous suppliers. While we perform some filling and packaging of the Proteograph assay and the related consumables, in the future, we may have our filling and packaging outsourced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third-party. We conduct vendor and component qualification for components provided by third-party suppliers and quality control tests on our NPs.</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have designed our SP100 automation instrument and have outsourced the manufacturing of our SP100 to Hamilton Company, a leading manufacturer of automated liquid handling workstations. We have entered into a non-exclusive agreement with Hamilton that covers the manufacturing of our SP100 automation instrument and its continued supply on a purchase order basis. The agreement has an initial term that runs three years following our commercial launch. Pricing for the supply of our SP100 automation instrument is on a fixed schedule during the initial term of the agreement, with tiered pricing dependent upon the number of units purchased in a twelve-month period.</w:t>
      </w:r>
    </w:p>
    <w:p>
      <w:pPr>
        <w:spacing w:after="0" w:line="131" w:lineRule="exact"/>
        <w:rPr>
          <w:sz w:val="20"/>
          <w:szCs w:val="20"/>
          <w:color w:val="auto"/>
        </w:rPr>
      </w:pPr>
    </w:p>
    <w:p>
      <w:pPr>
        <w:jc w:val="both"/>
        <w:ind w:right="440"/>
        <w:spacing w:after="0" w:line="262" w:lineRule="auto"/>
        <w:rPr>
          <w:sz w:val="20"/>
          <w:szCs w:val="20"/>
          <w:color w:val="auto"/>
        </w:rPr>
      </w:pPr>
      <w:r>
        <w:rPr>
          <w:rFonts w:ascii="Arial" w:cs="Arial" w:eastAsia="Arial" w:hAnsi="Arial"/>
          <w:sz w:val="17"/>
          <w:szCs w:val="17"/>
          <w:color w:val="auto"/>
        </w:rPr>
        <w:t>During the three months ended March 31, 2022 and 2021, we incurred a net loss of $23.6 million and $16.4 million, respectively, and used $19.2 million and $14.9 million of cash in operations, respectively. As of March 31, 2022, we had an accumulated deficit of $150.2 million and cash and cash equivalents, and investments of $471.8 million. We expect to continue to incur significant and increasing losses and do not expect positive cash flows from operations for the foreseeable future.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We expect our expenses to increase significantly in connection with our ongoing activities, as we:</w:t>
      </w:r>
    </w:p>
    <w:p>
      <w:pPr>
        <w:spacing w:after="0" w:line="165" w:lineRule="exact"/>
        <w:rPr>
          <w:sz w:val="20"/>
          <w:szCs w:val="20"/>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broadly commercialize the Proteograph Product Suite;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attract, hire and retain qualified personnel;</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continue to build our sales, marketing, service, support and distribution infrastructure as part of our broad commercialization efforts;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build-out and expand our in-house NP manufacturing capabilities;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continue to engage in research and development of other products and enhancements to the Proteograph Product Suite;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implement operational, financial and management information systems;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obtain, maintain, expand, and protect our intellectual property portfolio;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build the infrastructure to operate and scale as a public company.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Pandemic</w:t>
      </w:r>
    </w:p>
    <w:p>
      <w:pPr>
        <w:spacing w:after="0" w:line="16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As a result of the COVID-19 pandemic, we could experience disruptions that could severely impact our business. For example, we have experienced longer lead times from Hamilton for orders of our SP100 automation instruments and may experience delays and longer lead times from our other suppliers of critical hardware, instrumentation and consumables used for product development, manufacturing and commercial operations. Pandemic precautions and preventative measures may also impact our commercialization plans due to restrictions on our customers’ ability to access laboratories, causing delays in the delivery and installation of the Proteograph products, training such customers on our products, and their ability to conduct research. We have experienced delays in our ability to access customers in certain countries with strict COVID-19 policies to provide installation and training services. Furthermore, COVID-19 has adversely affected the broader economy and financial markets, resulting in an economic downturn that could curtail the research and development budgets of our customers, our ability to hire additional personnel and our financing prospects. Any of the foregoing could harm our operations and we cannot anticipate all the ways in which it could be adversely impacted by health epidemics such as COVID-19.</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details, see the section 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65"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We generate revenue from product sales, including sales of the Proteograph Product Suite, which consists of an instrument with embedded software essential to the instrument’s functionality and associated consumables as well as our platform evaluation agreements. In addition, we may at times generate revenue from performing services and the receipt of grant revenue for the reimbursement of research-related expenses. Our revenue is primarily generated domestically. We intend to focus our commercial efforts in the United States and expect to grow our international presence. A portion of our revenue is generated by sales to a related party and we anticipate a portion of our revenue to continue to be generated by sales to such related party. Our grant-funded activities are expected to decrease as a percentage of total revenue as we decrease grant-funded activities and continue to ramp up commercialization of the Proteograph Product Suite.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65"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We utilize third-party manufacturers for production of our SP100 instrument and we manufacture our NPs and assemble our assay kits internally. Cost of goods sold consists primarily of costs of the components of Proteograph Product Suite, including the SP100 instrument with embedded software essential to the instrument’s functionality, and consumables, and distribution-related expenses such as logistics and shipping costs. In addition, cost of revenue includes stock-based compensation and related employee benefits and allocated overhead.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6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Research and development, or R&amp;D, expenses include cost associated with performing services under research and development service contracts and research and development of our technology and product candidates. R&amp;D expenses consist primarily of employee compensation, including stock-based compensation, and related employee benefits, laboratory supplies used for in-house research, consulting costs and allocated overhead, including rent, depreciation, information technology and utilities.</w:t>
      </w:r>
    </w:p>
    <w:p>
      <w:pPr>
        <w:spacing w:after="0" w:line="126"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We plan to increase our investment in our R&amp;D efforts related to the Proteograph Product Suite, our product development pipeline and our proprietary engineered NP and other technologies. Therefore, we expect R&amp;D expenses will increase in absolute dollars in future periods as we incur expenses associated with hiring additional personnel, purchasing supplies and materials, and the allocation of facility expense associated with the build-out of our expansion facilities to support our R&amp;D efforts.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65"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Selling, general and administrative expenses consist primarily of employee compensation, including stock-based compensation, and related benefits for executive management, sales and marketing, service and support, finance, administration and human resources, legal, allocated overhead, professional service fees and other general overhead costs to support our operations.</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expect to incur additional selling, general and administrative expenses as we continue to invest in our personnel as we grow our commercial operations and with the additional costs incurred as a result of operating as a public company, including accounting, human resources, legal, insurance and investor relations costs. As a result, we expect selling, general and administrative expenses to increase in absolute dollars in future periods.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consists of interest earned on cash and cash equivalents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Comparisons of the Three Months Ended March 31, 2022 and 2021</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1700" w:type="dxa"/>
            <w:vAlign w:val="bottom"/>
            <w:gridSpan w:val="3"/>
          </w:tcPr>
          <w:p>
            <w:pPr>
              <w:ind w:left="10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180"/>
        </w:trPr>
        <w:tc>
          <w:tcPr>
            <w:tcW w:w="5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w:t>
            </w:r>
          </w:p>
        </w:tc>
      </w:tr>
      <w:tr>
        <w:trPr>
          <w:trHeight w:val="24"/>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6"/>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5"/>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80" w:type="dxa"/>
            <w:vAlign w:val="bottom"/>
            <w:gridSpan w:val="6"/>
          </w:tcPr>
          <w:p>
            <w:pPr>
              <w:ind w:left="600"/>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5"/>
                <w:szCs w:val="15"/>
                <w:color w:val="auto"/>
              </w:rPr>
            </w:pPr>
          </w:p>
        </w:tc>
      </w:tr>
      <w:tr>
        <w:trPr>
          <w:trHeight w:val="24"/>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57"/>
        </w:trPr>
        <w:tc>
          <w:tcPr>
            <w:tcW w:w="5120" w:type="dxa"/>
            <w:vAlign w:val="bottom"/>
          </w:tcPr>
          <w:p>
            <w:pPr>
              <w:ind w:left="220"/>
              <w:spacing w:after="0"/>
              <w:rPr>
                <w:sz w:val="20"/>
                <w:szCs w:val="20"/>
                <w:color w:val="auto"/>
              </w:rPr>
            </w:pPr>
            <w:r>
              <w:rPr>
                <w:rFonts w:ascii="Arial" w:cs="Arial" w:eastAsia="Arial" w:hAnsi="Arial"/>
                <w:sz w:val="17"/>
                <w:szCs w:val="17"/>
                <w:color w:val="auto"/>
              </w:rPr>
              <w:t>Product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2,149</w:t>
            </w:r>
          </w:p>
        </w:tc>
        <w:tc>
          <w:tcPr>
            <w:tcW w:w="80" w:type="dxa"/>
            <w:vAlign w:val="bottom"/>
          </w:tcPr>
          <w:p>
            <w:pPr>
              <w:spacing w:after="0"/>
              <w:rPr>
                <w:sz w:val="22"/>
                <w:szCs w:val="22"/>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2,149</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9"/>
        </w:trPr>
        <w:tc>
          <w:tcPr>
            <w:tcW w:w="5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Service</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5120" w:type="dxa"/>
            <w:vAlign w:val="bottom"/>
          </w:tcPr>
          <w:p>
            <w:pPr>
              <w:ind w:left="220"/>
              <w:spacing w:after="0"/>
              <w:rPr>
                <w:sz w:val="20"/>
                <w:szCs w:val="20"/>
                <w:color w:val="auto"/>
              </w:rPr>
            </w:pPr>
            <w:r>
              <w:rPr>
                <w:rFonts w:ascii="Arial" w:cs="Arial" w:eastAsia="Arial" w:hAnsi="Arial"/>
                <w:sz w:val="17"/>
                <w:szCs w:val="17"/>
                <w:color w:val="auto"/>
              </w:rPr>
              <w:t>Related party</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1,070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1,070</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5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Grant and other</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w:t>
            </w:r>
          </w:p>
        </w:tc>
      </w:tr>
      <w:tr>
        <w:trPr>
          <w:trHeight w:val="224"/>
        </w:trPr>
        <w:tc>
          <w:tcPr>
            <w:tcW w:w="5120" w:type="dxa"/>
            <w:vAlign w:val="bottom"/>
          </w:tcPr>
          <w:p>
            <w:pPr>
              <w:ind w:left="440"/>
              <w:spacing w:after="0"/>
              <w:rPr>
                <w:sz w:val="20"/>
                <w:szCs w:val="20"/>
                <w:color w:val="auto"/>
              </w:rPr>
            </w:pPr>
            <w:r>
              <w:rPr>
                <w:rFonts w:ascii="Arial" w:cs="Arial" w:eastAsia="Arial" w:hAnsi="Arial"/>
                <w:sz w:val="17"/>
                <w:szCs w:val="17"/>
                <w:color w:val="auto"/>
              </w:rPr>
              <w:t>Total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3,250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5242 %</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57"/>
        </w:trPr>
        <w:tc>
          <w:tcPr>
            <w:tcW w:w="5120" w:type="dxa"/>
            <w:vAlign w:val="bottom"/>
          </w:tcPr>
          <w:p>
            <w:pPr>
              <w:ind w:left="220"/>
              <w:spacing w:after="0"/>
              <w:rPr>
                <w:sz w:val="20"/>
                <w:szCs w:val="20"/>
                <w:color w:val="auto"/>
              </w:rPr>
            </w:pPr>
            <w:r>
              <w:rPr>
                <w:rFonts w:ascii="Arial" w:cs="Arial" w:eastAsia="Arial" w:hAnsi="Arial"/>
                <w:sz w:val="17"/>
                <w:szCs w:val="17"/>
                <w:color w:val="auto"/>
              </w:rPr>
              <w:t>Product</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1,660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1,660</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9"/>
        </w:trPr>
        <w:tc>
          <w:tcPr>
            <w:tcW w:w="5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Service</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Related party</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51"/>
        </w:trPr>
        <w:tc>
          <w:tcPr>
            <w:tcW w:w="51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cost of revenue</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2,068</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4"/>
        </w:trPr>
        <w:tc>
          <w:tcPr>
            <w:tcW w:w="512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1,244</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1,182</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1906 %</w:t>
            </w:r>
          </w:p>
        </w:tc>
      </w:tr>
      <w:tr>
        <w:trPr>
          <w:trHeight w:val="27"/>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10,732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6,227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4,505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72 %</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8"/>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Selling, general and administrative</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14,298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10,333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3,965</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38 %</w:t>
            </w:r>
          </w:p>
        </w:tc>
      </w:tr>
      <w:tr>
        <w:trPr>
          <w:trHeight w:val="223"/>
        </w:trPr>
        <w:tc>
          <w:tcPr>
            <w:tcW w:w="5120" w:type="dxa"/>
            <w:vAlign w:val="bottom"/>
          </w:tcPr>
          <w:p>
            <w:pPr>
              <w:ind w:left="44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25,030</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16,560</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8,470</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51 %</w:t>
            </w:r>
          </w:p>
        </w:tc>
      </w:tr>
      <w:tr>
        <w:trPr>
          <w:trHeight w:val="27"/>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(23,786)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(16,498)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(7,288)</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44 %</w:t>
            </w:r>
          </w:p>
        </w:tc>
      </w:tr>
      <w:tr>
        <w:trPr>
          <w:trHeight w:val="230"/>
        </w:trPr>
        <w:tc>
          <w:tcPr>
            <w:tcW w:w="512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Interest income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109 %</w:t>
            </w:r>
          </w:p>
        </w:tc>
      </w:tr>
      <w:tr>
        <w:trPr>
          <w:trHeight w:val="230"/>
        </w:trPr>
        <w:tc>
          <w:tcPr>
            <w:tcW w:w="5120" w:type="dxa"/>
            <w:vAlign w:val="bottom"/>
          </w:tcPr>
          <w:p>
            <w:pPr>
              <w:ind w:left="22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700" w:type="dxa"/>
            <w:vAlign w:val="bottom"/>
            <w:gridSpan w:val="3"/>
          </w:tcPr>
          <w:p>
            <w:pPr>
              <w:jc w:val="right"/>
              <w:ind w:right="6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8"/>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Other expense</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5120" w:type="dxa"/>
            <w:vAlign w:val="bottom"/>
          </w:tcPr>
          <w:p>
            <w:pPr>
              <w:ind w:left="440"/>
              <w:spacing w:after="0"/>
              <w:rPr>
                <w:sz w:val="20"/>
                <w:szCs w:val="20"/>
                <w:color w:val="auto"/>
              </w:rPr>
            </w:pPr>
            <w:r>
              <w:rPr>
                <w:rFonts w:ascii="Arial" w:cs="Arial" w:eastAsia="Arial" w:hAnsi="Arial"/>
                <w:sz w:val="17"/>
                <w:szCs w:val="17"/>
                <w:color w:val="auto"/>
              </w:rPr>
              <w:t>Total other income</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103 %</w:t>
            </w:r>
          </w:p>
        </w:tc>
      </w:tr>
      <w:tr>
        <w:trPr>
          <w:trHeight w:val="27"/>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5"/>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(23,646)</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(16,429)</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(7,217)</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right="9980" w:firstLine="3"/>
        <w:spacing w:after="0" w:line="522" w:lineRule="auto"/>
        <w:tabs>
          <w:tab w:leader="none" w:pos="129" w:val="left"/>
        </w:tabs>
        <w:numPr>
          <w:ilvl w:val="0"/>
          <w:numId w:val="1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Not meaningful Revenue</w:t>
      </w: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78"/>
        </w:trPr>
        <w:tc>
          <w:tcPr>
            <w:tcW w:w="51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w:t>
            </w:r>
          </w:p>
        </w:tc>
      </w:tr>
      <w:tr>
        <w:trPr>
          <w:trHeight w:val="171"/>
        </w:trPr>
        <w:tc>
          <w:tcPr>
            <w:tcW w:w="5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gridSpan w:val="3"/>
          </w:tcPr>
          <w:p>
            <w:pPr>
              <w:jc w:val="right"/>
              <w:ind w:right="243"/>
              <w:spacing w:after="0"/>
              <w:rPr>
                <w:sz w:val="20"/>
                <w:szCs w:val="20"/>
                <w:color w:val="auto"/>
              </w:rPr>
            </w:pPr>
            <w:r>
              <w:rPr>
                <w:rFonts w:ascii="Arial" w:cs="Arial" w:eastAsia="Arial" w:hAnsi="Arial"/>
                <w:sz w:val="14"/>
                <w:szCs w:val="14"/>
                <w:i w:val="1"/>
                <w:iCs w:val="1"/>
                <w:color w:val="auto"/>
                <w:w w:val="91"/>
              </w:rPr>
              <w:t>(dollars in thousands)</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920" w:type="dxa"/>
            <w:vAlign w:val="bottom"/>
            <w:shd w:val="clear" w:color="auto" w:fill="CCEEFF"/>
          </w:tcPr>
          <w:p>
            <w:pPr>
              <w:jc w:val="right"/>
              <w:ind w:right="746"/>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98"/>
              </w:rPr>
              <w:t>3,312</w:t>
            </w:r>
          </w:p>
        </w:tc>
        <w:tc>
          <w:tcPr>
            <w:tcW w:w="980" w:type="dxa"/>
            <w:vAlign w:val="bottom"/>
            <w:shd w:val="clear" w:color="auto" w:fill="CCEEFF"/>
          </w:tcPr>
          <w:p>
            <w:pPr>
              <w:jc w:val="right"/>
              <w:ind w:right="74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563"/>
              <w:spacing w:after="0"/>
              <w:rPr>
                <w:sz w:val="20"/>
                <w:szCs w:val="20"/>
                <w:color w:val="auto"/>
              </w:rPr>
            </w:pPr>
            <w:r>
              <w:rPr>
                <w:rFonts w:ascii="Arial" w:cs="Arial" w:eastAsia="Arial" w:hAnsi="Arial"/>
                <w:sz w:val="17"/>
                <w:szCs w:val="17"/>
                <w:color w:val="auto"/>
                <w:w w:val="89"/>
              </w:rPr>
              <w:t>3,250</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5242 %</w:t>
            </w:r>
          </w:p>
        </w:tc>
      </w:tr>
    </w:tbl>
    <w:p>
      <w:pPr>
        <w:spacing w:after="0" w:line="220"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Revenue increased by $3.3 million, or 5242%, from $0.1 million during the three months ended March 31, 2021 to $3.3 million during the three months ended March 31, 2022, due to sales of products related to the Proteograph Product Suite in the three months ended March 31, 2022. Revenue recognized primarily consisted of sales of the Proteograph SP100 instrument, consumable kits and platform evaluations, of which $1.1 million was attributed to related parties. Revenue related to our grant-funded activities related to our Small Business Innovation Research (SBIR) grant from the National Institutes of Health Grant (NIH) decreased between the two periods by $48,000.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980" w:type="dxa"/>
            <w:vAlign w:val="bottom"/>
          </w:tcPr>
          <w:p>
            <w:pPr>
              <w:spacing w:after="0"/>
              <w:rPr>
                <w:sz w:val="16"/>
                <w:szCs w:val="16"/>
                <w:color w:val="auto"/>
              </w:rPr>
            </w:pPr>
          </w:p>
        </w:tc>
        <w:tc>
          <w:tcPr>
            <w:tcW w:w="98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r>
      <w:tr>
        <w:trPr>
          <w:trHeight w:val="178"/>
        </w:trPr>
        <w:tc>
          <w:tcPr>
            <w:tcW w:w="52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w:t>
            </w:r>
          </w:p>
        </w:tc>
      </w:tr>
      <w:tr>
        <w:trPr>
          <w:trHeight w:val="171"/>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60" w:type="dxa"/>
            <w:vAlign w:val="bottom"/>
            <w:gridSpan w:val="3"/>
          </w:tcPr>
          <w:p>
            <w:pPr>
              <w:jc w:val="right"/>
              <w:ind w:right="343"/>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2,068</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503"/>
              <w:spacing w:after="0"/>
              <w:rPr>
                <w:sz w:val="20"/>
                <w:szCs w:val="20"/>
                <w:color w:val="auto"/>
              </w:rPr>
            </w:pPr>
            <w:r>
              <w:rPr>
                <w:rFonts w:ascii="Arial" w:cs="Arial" w:eastAsia="Arial" w:hAnsi="Arial"/>
                <w:sz w:val="17"/>
                <w:szCs w:val="17"/>
                <w:color w:val="auto"/>
                <w:w w:val="89"/>
              </w:rPr>
              <w:t>2,068</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Cost of revenue for the three months ended March 31, 2022 was $2.1 million compared to $0 for the three months ended March 31, 2021, primarily due to sales of the Proteograph Product Suite. Cost of revenue related to the Proteograph Product Suite consist of costs of the SP100 instrument, consumable kits and other related costs, including labor and overhead.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20" w:type="dxa"/>
            <w:vAlign w:val="bottom"/>
          </w:tcPr>
          <w:p>
            <w:pPr>
              <w:spacing w:after="0"/>
              <w:rPr>
                <w:sz w:val="17"/>
                <w:szCs w:val="17"/>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7"/>
                <w:szCs w:val="17"/>
                <w:color w:val="auto"/>
              </w:rPr>
            </w:pPr>
          </w:p>
        </w:tc>
      </w:tr>
      <w:tr>
        <w:trPr>
          <w:trHeight w:val="199"/>
        </w:trPr>
        <w:tc>
          <w:tcPr>
            <w:tcW w:w="51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w:t>
            </w:r>
          </w:p>
        </w:tc>
      </w:tr>
      <w:tr>
        <w:trPr>
          <w:trHeight w:val="176"/>
        </w:trPr>
        <w:tc>
          <w:tcPr>
            <w:tcW w:w="5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gridSpan w:val="3"/>
          </w:tcPr>
          <w:p>
            <w:pPr>
              <w:jc w:val="right"/>
              <w:ind w:right="243"/>
              <w:spacing w:after="0"/>
              <w:rPr>
                <w:sz w:val="20"/>
                <w:szCs w:val="20"/>
                <w:color w:val="auto"/>
              </w:rPr>
            </w:pPr>
            <w:r>
              <w:rPr>
                <w:rFonts w:ascii="Arial" w:cs="Arial" w:eastAsia="Arial" w:hAnsi="Arial"/>
                <w:sz w:val="14"/>
                <w:szCs w:val="14"/>
                <w:i w:val="1"/>
                <w:iCs w:val="1"/>
                <w:color w:val="auto"/>
                <w:w w:val="91"/>
              </w:rPr>
              <w:t>(dollars in thousands)</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880" w:type="dxa"/>
            <w:vAlign w:val="bottom"/>
            <w:shd w:val="clear" w:color="auto" w:fill="CCEEFF"/>
          </w:tcPr>
          <w:p>
            <w:pPr>
              <w:jc w:val="right"/>
              <w:ind w:right="706"/>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8"/>
              </w:rPr>
              <w:t>10,732</w:t>
            </w:r>
          </w:p>
        </w:tc>
        <w:tc>
          <w:tcPr>
            <w:tcW w:w="980" w:type="dxa"/>
            <w:vAlign w:val="bottom"/>
            <w:shd w:val="clear" w:color="auto" w:fill="CCEEFF"/>
          </w:tcPr>
          <w:p>
            <w:pPr>
              <w:jc w:val="right"/>
              <w:ind w:right="74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w w:val="98"/>
              </w:rPr>
              <w:t>6,227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563"/>
              <w:spacing w:after="0"/>
              <w:rPr>
                <w:sz w:val="20"/>
                <w:szCs w:val="20"/>
                <w:color w:val="auto"/>
              </w:rPr>
            </w:pPr>
            <w:r>
              <w:rPr>
                <w:rFonts w:ascii="Arial" w:cs="Arial" w:eastAsia="Arial" w:hAnsi="Arial"/>
                <w:sz w:val="17"/>
                <w:szCs w:val="17"/>
                <w:color w:val="auto"/>
                <w:w w:val="89"/>
              </w:rPr>
              <w:t>4,505</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72 %</w:t>
            </w:r>
          </w:p>
        </w:tc>
      </w:tr>
    </w:tbl>
    <w:p>
      <w:pPr>
        <w:spacing w:after="0" w:line="220" w:lineRule="exact"/>
        <w:rPr>
          <w:sz w:val="20"/>
          <w:szCs w:val="20"/>
          <w:color w:val="auto"/>
        </w:rPr>
      </w:pPr>
    </w:p>
    <w:p>
      <w:pPr>
        <w:ind w:right="420"/>
        <w:spacing w:after="0" w:line="283" w:lineRule="auto"/>
        <w:rPr>
          <w:sz w:val="20"/>
          <w:szCs w:val="20"/>
          <w:color w:val="auto"/>
        </w:rPr>
      </w:pPr>
      <w:r>
        <w:rPr>
          <w:rFonts w:ascii="Arial" w:cs="Arial" w:eastAsia="Arial" w:hAnsi="Arial"/>
          <w:sz w:val="16"/>
          <w:szCs w:val="16"/>
          <w:color w:val="auto"/>
        </w:rPr>
        <w:t>R&amp;D expenses increased by $4.5 million, or 72%, from $6.2 million during the three months ended March 31, 2021 to $10.7 million during the three months ended March 31, 2022. The increase was primarily due to an increase in product development efforts related to the Proteograph Product Suite, including $2.6 million in employee compensation costs and other related expenses, including stock-based compensation, due to growth in research and development personnel and $1.9 million related to the expansion of facilities and maintenance and depreciation of laboratory equipment.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960" w:type="dxa"/>
            <w:vAlign w:val="bottom"/>
          </w:tcPr>
          <w:p>
            <w:pPr>
              <w:spacing w:after="0"/>
              <w:rPr>
                <w:sz w:val="17"/>
                <w:szCs w:val="17"/>
                <w:color w:val="auto"/>
              </w:rPr>
            </w:pPr>
          </w:p>
        </w:tc>
        <w:tc>
          <w:tcPr>
            <w:tcW w:w="104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7"/>
                <w:szCs w:val="17"/>
                <w:color w:val="auto"/>
              </w:rPr>
            </w:pPr>
          </w:p>
        </w:tc>
      </w:tr>
      <w:tr>
        <w:trPr>
          <w:trHeight w:val="199"/>
        </w:trPr>
        <w:tc>
          <w:tcPr>
            <w:tcW w:w="5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w:t>
            </w:r>
          </w:p>
        </w:tc>
      </w:tr>
      <w:tr>
        <w:trPr>
          <w:trHeight w:val="176"/>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40" w:type="dxa"/>
            <w:vAlign w:val="bottom"/>
            <w:gridSpan w:val="3"/>
          </w:tcPr>
          <w:p>
            <w:pPr>
              <w:jc w:val="right"/>
              <w:ind w:right="243"/>
              <w:spacing w:after="0"/>
              <w:rPr>
                <w:sz w:val="20"/>
                <w:szCs w:val="20"/>
                <w:color w:val="auto"/>
              </w:rPr>
            </w:pPr>
            <w:r>
              <w:rPr>
                <w:rFonts w:ascii="Arial" w:cs="Arial" w:eastAsia="Arial" w:hAnsi="Arial"/>
                <w:sz w:val="14"/>
                <w:szCs w:val="14"/>
                <w:i w:val="1"/>
                <w:iCs w:val="1"/>
                <w:color w:val="auto"/>
              </w:rPr>
              <w:t>(dollars in thousands)</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14,298</w:t>
            </w:r>
          </w:p>
        </w:tc>
        <w:tc>
          <w:tcPr>
            <w:tcW w:w="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10,333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563"/>
              <w:spacing w:after="0"/>
              <w:rPr>
                <w:sz w:val="20"/>
                <w:szCs w:val="20"/>
                <w:color w:val="auto"/>
              </w:rPr>
            </w:pPr>
            <w:r>
              <w:rPr>
                <w:rFonts w:ascii="Arial" w:cs="Arial" w:eastAsia="Arial" w:hAnsi="Arial"/>
                <w:sz w:val="17"/>
                <w:szCs w:val="17"/>
                <w:color w:val="auto"/>
                <w:w w:val="89"/>
              </w:rPr>
              <w:t>3,965</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38 %</w:t>
            </w:r>
          </w:p>
        </w:tc>
      </w:tr>
    </w:tbl>
    <w:p>
      <w:pPr>
        <w:spacing w:after="0" w:line="23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Selling, general and administrative expenses increased by $4.0 million, or 38%, from $10.3 million during the three months ended March 31, 2021 to $14.3 million during the three months ended March 31, 2022, primarily due to a $1.1 million increase in employee compensation and other related expenses, and a $1.3 million stock-based compensation increase. Other increases are attributable to costs related to being a publicly traded company, including a $1.5 million increase in professional and consulting fees related to accounting and audit services, and a $0.2 million increase in travel expenses.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Other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40" w:type="dxa"/>
            <w:vAlign w:val="bottom"/>
          </w:tcPr>
          <w:p>
            <w:pPr>
              <w:spacing w:after="0"/>
              <w:rPr>
                <w:sz w:val="17"/>
                <w:szCs w:val="17"/>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7"/>
                <w:szCs w:val="17"/>
                <w:color w:val="auto"/>
              </w:rPr>
            </w:pPr>
          </w:p>
        </w:tc>
      </w:tr>
      <w:tr>
        <w:trPr>
          <w:trHeight w:val="199"/>
        </w:trPr>
        <w:tc>
          <w:tcPr>
            <w:tcW w:w="5140" w:type="dxa"/>
            <w:vAlign w:val="bottom"/>
          </w:tcPr>
          <w:p>
            <w:pPr>
              <w:spacing w:after="0"/>
              <w:rPr>
                <w:sz w:val="17"/>
                <w:szCs w:val="17"/>
                <w:color w:val="auto"/>
              </w:rPr>
            </w:pP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w:t>
            </w:r>
          </w:p>
        </w:tc>
      </w:tr>
      <w:tr>
        <w:trPr>
          <w:trHeight w:val="176"/>
        </w:trPr>
        <w:tc>
          <w:tcPr>
            <w:tcW w:w="5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60" w:type="dxa"/>
            <w:vAlign w:val="bottom"/>
            <w:gridSpan w:val="3"/>
          </w:tcPr>
          <w:p>
            <w:pPr>
              <w:jc w:val="center"/>
              <w:ind w:right="323"/>
              <w:spacing w:after="0"/>
              <w:rPr>
                <w:sz w:val="20"/>
                <w:szCs w:val="20"/>
                <w:color w:val="auto"/>
              </w:rPr>
            </w:pPr>
            <w:r>
              <w:rPr>
                <w:rFonts w:ascii="Arial" w:cs="Arial" w:eastAsia="Arial" w:hAnsi="Arial"/>
                <w:sz w:val="14"/>
                <w:szCs w:val="14"/>
                <w:i w:val="1"/>
                <w:iCs w:val="1"/>
                <w:color w:val="auto"/>
                <w:w w:val="91"/>
              </w:rPr>
              <w:t>(dollars in thousands)</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2"/>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income</w:t>
            </w:r>
          </w:p>
        </w:tc>
        <w:tc>
          <w:tcPr>
            <w:tcW w:w="960" w:type="dxa"/>
            <w:vAlign w:val="bottom"/>
            <w:shd w:val="clear" w:color="auto" w:fill="CCEEFF"/>
          </w:tcPr>
          <w:p>
            <w:pPr>
              <w:jc w:val="right"/>
              <w:ind w:right="786"/>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140</w:t>
            </w:r>
          </w:p>
        </w:tc>
        <w:tc>
          <w:tcPr>
            <w:tcW w:w="980" w:type="dxa"/>
            <w:vAlign w:val="bottom"/>
            <w:shd w:val="clear" w:color="auto" w:fill="CCEEFF"/>
          </w:tcPr>
          <w:p>
            <w:pPr>
              <w:jc w:val="right"/>
              <w:ind w:right="74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563"/>
              <w:spacing w:after="0"/>
              <w:rPr>
                <w:sz w:val="20"/>
                <w:szCs w:val="20"/>
                <w:color w:val="auto"/>
              </w:rPr>
            </w:pPr>
            <w:r>
              <w:rPr>
                <w:rFonts w:ascii="Arial" w:cs="Arial" w:eastAsia="Arial" w:hAnsi="Arial"/>
                <w:sz w:val="17"/>
                <w:szCs w:val="17"/>
                <w:color w:val="auto"/>
              </w:rPr>
              <w:t>71</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103 %</w:t>
            </w:r>
          </w:p>
        </w:tc>
      </w:tr>
    </w:tbl>
    <w:p>
      <w:pPr>
        <w:spacing w:after="0" w:line="233"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Total other income increased by $0.1 million, or 103%, from $0.1 million during the three months ended March 31, 2021 to $0.1 million during the three months ended March 31, 2022. The increase was due to higher amounts of cash invested in money market funds and U.S. Treasury securities during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Since the date of our incorporation, we have not generated significant revenue from product sales and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w:t>
      </w:r>
    </w:p>
    <w:p>
      <w:pPr>
        <w:spacing w:after="0" w:line="124"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We enter into agreements as a part of normal course of business with various vendors, which are generally cancellable without material penalty upon written notice. Payments associated with these agreements are not included in this discussion of contractual obligations.</w:t>
      </w:r>
    </w:p>
    <w:p>
      <w:pPr>
        <w:spacing w:after="0" w:line="113"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Our operating lease obligations reflect our lease obligations for our headquarters facility in Redwood City, California. In June 2020, we amended the lease agreement for this facility to expand the office and laboratory space covered by the lease, extend the lease through September 2032, and increase the annual base rent for the expanded premises. Upon occupancy of the expansion facility, which occurred in the first quarter of 2022, the annual base rent will be $0.9 million in the first twelve months of the lease term (subject to an abatement period of nine months), and increases on an annual basis to $1.2 million in the final twelve months of the lease term. The amendment also provides for tenant incentives in the amount of $2.4 million.</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April 2021, we entered into a lease amendment for this facility to further expand the office and laboratory space for an approximate term of eleven years. Payments associated with this operating lease agreement will result in additional operating lease obligations not included in the above paragraph of approximately $293,000 per month plus operating expenses.</w:t>
      </w:r>
    </w:p>
    <w:p>
      <w:pPr>
        <w:spacing w:after="0" w:line="12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have certain purchase commitments related to our inventory management with certain manufacturing suppliers wherein we are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$5.7 million as of March 31, 2022.</w:t>
      </w:r>
    </w:p>
    <w:p>
      <w:pPr>
        <w:spacing w:after="0" w:line="12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take a long-term view in growing and scaling our business and regularly review opportunities that meet our long-term growth objectives. Our future capital requirements will depend on many factors including our revenue growth rate, investments in continued commercialization efforts, acquisitions of complementary or enhancing technologies or businesses, including intellectual property rights, the impacts of the COVID-19 pandemic, the timing and extent of additional capital expenditures to invest in existing and new facilities, the expansion of sales and marketing and international activities and the extent and magnitude of our ongoing research and development programs.</w:t>
      </w:r>
    </w:p>
    <w:p>
      <w:pPr>
        <w:spacing w:after="0" w:line="13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We believe that our existing cash and cash equivalents and investments will be sufficient to meet our anticipated cash requirements for more than 12 months from the date of this Quarterly Report on Form 10-Q. If our available cash and cash equivalents and investments and anticipated cash flows from operations are insufficient to satisfy our liquidity requirements, we may consider raising additional capital to expand our business, to pursue strategic investments, to take advantage of financing opportunities or for other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7" w:name="page28"/>
    <w:bookmarkEnd w:id="27"/>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8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8"/>
        </w:trPr>
        <w:tc>
          <w:tcPr>
            <w:tcW w:w="78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71"/>
        </w:trPr>
        <w:tc>
          <w:tcPr>
            <w:tcW w:w="7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40" w:type="dxa"/>
            <w:vAlign w:val="bottom"/>
            <w:gridSpan w:val="3"/>
          </w:tcPr>
          <w:p>
            <w:pPr>
              <w:jc w:val="right"/>
              <w:ind w:right="500"/>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2"/>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(19,151)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(14,872)</w:t>
            </w:r>
          </w:p>
        </w:tc>
        <w:tc>
          <w:tcPr>
            <w:tcW w:w="80" w:type="dxa"/>
            <w:vAlign w:val="bottom"/>
            <w:shd w:val="clear" w:color="auto" w:fill="CCEEFF"/>
          </w:tcPr>
          <w:p>
            <w:pPr>
              <w:spacing w:after="0"/>
              <w:rPr>
                <w:sz w:val="19"/>
                <w:szCs w:val="19"/>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Net cash provided by investing activities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10,920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11,883</w:t>
            </w:r>
          </w:p>
        </w:tc>
        <w:tc>
          <w:tcPr>
            <w:tcW w:w="80" w:type="dxa"/>
            <w:vAlign w:val="bottom"/>
          </w:tcPr>
          <w:p>
            <w:pPr>
              <w:spacing w:after="0"/>
              <w:rPr>
                <w:sz w:val="18"/>
                <w:szCs w:val="18"/>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752</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115,167</w:t>
            </w:r>
          </w:p>
        </w:tc>
        <w:tc>
          <w:tcPr>
            <w:tcW w:w="80" w:type="dxa"/>
            <w:vAlign w:val="bottom"/>
            <w:shd w:val="clear" w:color="auto" w:fill="CCEEFF"/>
          </w:tcPr>
          <w:p>
            <w:pPr>
              <w:spacing w:after="0"/>
              <w:rPr>
                <w:sz w:val="19"/>
                <w:szCs w:val="19"/>
                <w:color w:val="auto"/>
              </w:rPr>
            </w:pPr>
          </w:p>
        </w:tc>
      </w:tr>
      <w:tr>
        <w:trPr>
          <w:trHeight w:val="213"/>
        </w:trPr>
        <w:tc>
          <w:tcPr>
            <w:tcW w:w="7880" w:type="dxa"/>
            <w:vAlign w:val="bottom"/>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940" w:type="dxa"/>
            <w:vAlign w:val="bottom"/>
            <w:tcBorders>
              <w:bottom w:val="single" w:sz="8" w:color="auto"/>
            </w:tcBorders>
          </w:tcPr>
          <w:p>
            <w:pPr>
              <w:jc w:val="right"/>
              <w:ind w:right="76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(7,479)</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40"/>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112,178</w:t>
            </w:r>
          </w:p>
        </w:tc>
        <w:tc>
          <w:tcPr>
            <w:tcW w:w="80" w:type="dxa"/>
            <w:vAlign w:val="bottom"/>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6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During the three months ended March 31, 2022, cash used in operating activities was $19.2 million, which was attributable to a net loss of ($23.6) million and a net change in our net operating assets and liabilities of ($5.3) million, partially offset by non-cash charges of $9.8 million. Non-cash charges primarily consisted of $8.1 million in stock-based compensation, $0.9 million of depreciation, amortization and $0.3 million of net amortization of premiums on available-for-sales securities and $0.5 million of non-cash operating lease expense.The change in our net operating assets and liabilities was primarily due to an increase in accounts receivable of $0.3 million, an increase in prepaid expenses and other current assets of $2.9 million, and an increase of ($2.0) million in accrued expenses related to employee compensation.</w:t>
      </w:r>
    </w:p>
    <w:p>
      <w:pPr>
        <w:spacing w:after="0" w:line="132"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During the three months ended March 31, 2021, cash used in operating activities was $14.9 million. which was attributable to a net loss of ($16.4) million and a net change in our net operating assets and liabilities of ($5.1) million, partially offset by non-cash charges of $6.7 million. Non-cash charges primarily consisted of $6.0 million in stock-based compensation, $0.5 million of depreciation and amortization and $0.2 million of net amortization of premiums on available-for-sales securities. The change in our net operating assets and liabilities was primarily due to a decrease in accrued liabilities related to employee compensation of $1.0 million, increases in inventory levels of $1.0 million and increases of $2.6 million in prepaid expenses related to being a publicly traded company, such as insurance.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three months ended March 31, 2022, cash provided by investing activities was $10.9 million, which related to purchases of available-for-sale securities, net of proceeds from maturities of $12.0 million, offset by ($1.1) million in payments primarily for laboratory equipment.</w:t>
      </w:r>
    </w:p>
    <w:p>
      <w:pPr>
        <w:spacing w:after="0" w:line="11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three months ended March 31, 2021, cash provided by investing activities was $11.9 million, which related to purchases of available-for-sale securities, net of proceeds from maturities of $12.7 million, offset by ($0.8) million in payments primarily for laboratory equipment.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6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During the three months ended March 31, 2022, cash provided by financing activities was $773,000. This was attributable to net proceeds from the exercise of stock options.</w:t>
      </w:r>
    </w:p>
    <w:p>
      <w:pPr>
        <w:spacing w:after="0" w:line="113"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During the three months ended March 31, 2021, cash provided by financing activities was $115.2 million. This was attributable to net proceeds of $103.0 million from issuance of common stock upon our follow-on offering, net of issuance costs of $7.6 million, in addition to $11.4 million in short-swing profits from a beneficial owner.</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Significant Judgments and Use of Estimates</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discussion and analysis of our financial condition and results of operations is based on our unaudited condensed consolidated financial statements, which have been prepared in accordance with United States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accepted accounting principles. The preparation of these unaudited condensed consolidated financial statements requires us to make estimates and assumptions that affect the reported amounts of assets, liabilities, and the disclosure of contingent assets and liabilities at the date of the unaudited condensed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33"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There have been no significant changes in our critical accounting policies and estimates as compared to the critical accounting policies and estimates disclosed in the section titled “Management’s Discussion and Analysis of Financial Condition and Operations” included in our Annual Report on Form 10-K for the fiscal year ended December 31, 2021.</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See Note 2 to our unaudited condensed consolidated financial statements included elsewhere in this Quarterly Report for more information about recent accounting pronouncements, the timing of their adoption, and our assessment, to the extent we have made one yet, of their potential impact on our financial condition of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65" w:lineRule="exact"/>
        <w:rPr>
          <w:sz w:val="20"/>
          <w:szCs w:val="20"/>
          <w:color w:val="auto"/>
        </w:rPr>
      </w:pPr>
    </w:p>
    <w:p>
      <w:pPr>
        <w:jc w:val="both"/>
        <w:ind w:right="300"/>
        <w:spacing w:after="0" w:line="290" w:lineRule="auto"/>
        <w:rPr>
          <w:sz w:val="20"/>
          <w:szCs w:val="20"/>
          <w:color w:val="auto"/>
        </w:rPr>
      </w:pPr>
      <w:r>
        <w:rPr>
          <w:rFonts w:ascii="Arial" w:cs="Arial" w:eastAsia="Arial" w:hAnsi="Arial"/>
          <w:sz w:val="16"/>
          <w:szCs w:val="16"/>
          <w:color w:val="auto"/>
        </w:rPr>
        <w:t>We have exposure to interest rate risk that relates to our cash, cash equivalents, and investments held in money market funds and U.S. Treasury securities. The goals of our investment policy are liquidity and capital preservation. We believe that we do not have any material exposure to changes in the fair value of these assets as a result of changes in interest rates due to the short-term nature of our cash and cash equivalents and investments.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color w:val="auto"/>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March 31, 2022,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Controls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Our management, including our CEO and CFO,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71"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under the Exchange Act) during the quarter ended March 31,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0" w:name="page31"/>
    <w:bookmarkEnd w:id="30"/>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7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71" w:lineRule="exact"/>
        <w:rPr>
          <w:sz w:val="20"/>
          <w:szCs w:val="20"/>
          <w:color w:val="auto"/>
        </w:rPr>
      </w:pPr>
    </w:p>
    <w:p>
      <w:pPr>
        <w:spacing w:after="0" w:line="299" w:lineRule="auto"/>
        <w:rPr>
          <w:sz w:val="20"/>
          <w:szCs w:val="20"/>
          <w:color w:val="auto"/>
        </w:rPr>
      </w:pPr>
      <w:r>
        <w:rPr>
          <w:rFonts w:ascii="Arial" w:cs="Arial" w:eastAsia="Arial" w:hAnsi="Arial"/>
          <w:sz w:val="15"/>
          <w:szCs w:val="15"/>
          <w:i w:val="1"/>
          <w:iCs w:val="1"/>
          <w:color w:val="auto"/>
        </w:rPr>
        <w:t>Investing in our Class A common stock involves a high degree of risk. You should carefully consider the risks described below, as well as the other information in this Quarterly Report, including our unaudited condensed consolidated financial statements and the related notes and the section titled “Management’s Discussion and Analysis of Financial Condition and Results of Operations” in this Quarterly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Risk Factor</w:t>
      </w:r>
    </w:p>
    <w:p>
      <w:pPr>
        <w:spacing w:after="0" w:line="17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b w:val="1"/>
          <w:bCs w:val="1"/>
          <w:i w:val="1"/>
          <w:iCs w:val="1"/>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13" w:lineRule="exact"/>
        <w:rPr>
          <w:sz w:val="20"/>
          <w:szCs w:val="20"/>
          <w:color w:val="auto"/>
        </w:rPr>
      </w:pPr>
    </w:p>
    <w:p>
      <w:pPr>
        <w:ind w:left="620" w:right="360" w:hanging="307"/>
        <w:spacing w:after="0" w:line="279"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a limited operating history, which may make it difficult to evaluate the prospects for our future viability and predict our future performance;</w:t>
      </w:r>
    </w:p>
    <w:p>
      <w:pPr>
        <w:spacing w:after="0" w:line="176" w:lineRule="exact"/>
        <w:rPr>
          <w:rFonts w:ascii="Arial" w:cs="Arial" w:eastAsia="Arial" w:hAnsi="Arial"/>
          <w:sz w:val="16"/>
          <w:szCs w:val="16"/>
          <w:color w:val="auto"/>
        </w:rPr>
      </w:pPr>
    </w:p>
    <w:p>
      <w:pPr>
        <w:ind w:left="620" w:right="160" w:hanging="307"/>
        <w:spacing w:after="0" w:line="279"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2" w:lineRule="exact"/>
        <w:rPr>
          <w:rFonts w:ascii="Arial" w:cs="Arial" w:eastAsia="Arial" w:hAnsi="Arial"/>
          <w:sz w:val="17"/>
          <w:szCs w:val="17"/>
          <w:color w:val="auto"/>
        </w:rPr>
      </w:pPr>
    </w:p>
    <w:p>
      <w:pPr>
        <w:ind w:left="620" w:right="100" w:hanging="307"/>
        <w:spacing w:after="0" w:line="279"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size of the markets for the Proteograph Product Suite may be smaller than estimated, and new market opportunities may not develop as quickly as we expect, or at all, limiting our ability to successfully sell our products;</w:t>
      </w:r>
    </w:p>
    <w:p>
      <w:pPr>
        <w:spacing w:after="0" w:line="112" w:lineRule="exact"/>
        <w:rPr>
          <w:rFonts w:ascii="Arial" w:cs="Arial" w:eastAsia="Arial" w:hAnsi="Arial"/>
          <w:sz w:val="17"/>
          <w:szCs w:val="17"/>
          <w:color w:val="auto"/>
        </w:rPr>
      </w:pPr>
    </w:p>
    <w:p>
      <w:pPr>
        <w:ind w:left="620" w:right="40" w:hanging="307"/>
        <w:spacing w:after="0" w:line="279"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have only recently commenced the broad commercial release of the Proteograph Product Suite, and we may not be able to successfully implement this release as planned;</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commercial release success depends on broad scientific and market acceptance of the Proteograph, which we may fail to achieve;</w:t>
      </w:r>
    </w:p>
    <w:p>
      <w:pPr>
        <w:spacing w:after="0" w:line="165" w:lineRule="exact"/>
        <w:rPr>
          <w:rFonts w:ascii="Arial" w:cs="Arial" w:eastAsia="Arial" w:hAnsi="Arial"/>
          <w:sz w:val="17"/>
          <w:szCs w:val="17"/>
          <w:color w:val="auto"/>
        </w:rPr>
      </w:pPr>
    </w:p>
    <w:p>
      <w:pPr>
        <w:ind w:left="620" w:right="20" w:hanging="307"/>
        <w:spacing w:after="0" w:line="279"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even if the Proteograph Product Suite is broadly commercialized and achieves broad scientific and market acceptance, if we fail to improve it or introduce compelling new products, our revenues and our prospects could be harmed;</w:t>
      </w:r>
    </w:p>
    <w:p>
      <w:pPr>
        <w:spacing w:after="0" w:line="112" w:lineRule="exact"/>
        <w:rPr>
          <w:rFonts w:ascii="Arial" w:cs="Arial" w:eastAsia="Arial" w:hAnsi="Arial"/>
          <w:sz w:val="17"/>
          <w:szCs w:val="17"/>
          <w:color w:val="auto"/>
        </w:rPr>
      </w:pPr>
    </w:p>
    <w:p>
      <w:pPr>
        <w:ind w:left="620" w:right="200" w:hanging="307"/>
        <w:spacing w:after="0" w:line="279"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COVID-19 pandemic and efforts to reduce its spread have adversely impacted, and are expected to continue to materially and adversely impact, our business and operations;</w:t>
      </w:r>
    </w:p>
    <w:p>
      <w:pPr>
        <w:spacing w:after="0" w:line="112" w:lineRule="exact"/>
        <w:rPr>
          <w:rFonts w:ascii="Arial" w:cs="Arial" w:eastAsia="Arial" w:hAnsi="Arial"/>
          <w:sz w:val="17"/>
          <w:szCs w:val="17"/>
          <w:color w:val="auto"/>
        </w:rPr>
      </w:pPr>
    </w:p>
    <w:p>
      <w:pPr>
        <w:ind w:left="620" w:right="540" w:hanging="307"/>
        <w:spacing w:after="0" w:line="279"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we are unable to obtain and maintain sufficient intellectual property protection for our products and technology, or if the scope of the intellectual property protection obtained is not sufficiently broad,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0" w:lineRule="exact"/>
        <w:rPr>
          <w:sz w:val="20"/>
          <w:szCs w:val="20"/>
          <w:color w:val="auto"/>
        </w:rPr>
      </w:pPr>
    </w:p>
    <w:p>
      <w:pPr>
        <w:ind w:left="620" w:right="260"/>
        <w:spacing w:after="0" w:line="279" w:lineRule="auto"/>
        <w:rPr>
          <w:sz w:val="20"/>
          <w:szCs w:val="20"/>
          <w:color w:val="auto"/>
        </w:rPr>
      </w:pPr>
      <w:r>
        <w:rPr>
          <w:rFonts w:ascii="Arial" w:cs="Arial" w:eastAsia="Arial" w:hAnsi="Arial"/>
          <w:sz w:val="17"/>
          <w:szCs w:val="17"/>
          <w:color w:val="auto"/>
        </w:rPr>
        <w:t>competitors could develop and commercialize products similar or identical to ours, and our ability to successfully commercialize our products may be impaired;</w:t>
      </w:r>
    </w:p>
    <w:p>
      <w:pPr>
        <w:spacing w:after="0" w:line="113" w:lineRule="exact"/>
        <w:rPr>
          <w:sz w:val="20"/>
          <w:szCs w:val="20"/>
          <w:color w:val="auto"/>
        </w:rPr>
      </w:pPr>
    </w:p>
    <w:p>
      <w:pPr>
        <w:ind w:left="620" w:right="660" w:hanging="307"/>
        <w:spacing w:after="0" w:line="279"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are unable to identify and recruit qualified employees, and retain or maintain our employee base, it may adversely impact our business and operations; and</w:t>
      </w:r>
    </w:p>
    <w:p>
      <w:pPr>
        <w:spacing w:after="0" w:line="112" w:lineRule="exact"/>
        <w:rPr>
          <w:rFonts w:ascii="Arial" w:cs="Arial" w:eastAsia="Arial" w:hAnsi="Arial"/>
          <w:sz w:val="17"/>
          <w:szCs w:val="17"/>
          <w:color w:val="auto"/>
        </w:rPr>
      </w:pPr>
    </w:p>
    <w:p>
      <w:pPr>
        <w:ind w:left="620" w:right="240" w:hanging="307"/>
        <w:spacing w:after="0" w:line="266"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fail to maintain an effective system of internal controls, or otherwise fail to comply with the Sarbanes-Oxley Act of 2002 now that we are a large accelerated filer, we may not be able to accurately and timely report our financial results, which may adversely affect our business and investor confidence in us and, as a result, the value of our Class A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71" w:lineRule="exact"/>
        <w:rPr>
          <w:sz w:val="20"/>
          <w:szCs w:val="20"/>
          <w:color w:val="auto"/>
        </w:rPr>
      </w:pPr>
    </w:p>
    <w:p>
      <w:pPr>
        <w:ind w:right="700"/>
        <w:spacing w:after="0" w:line="279" w:lineRule="auto"/>
        <w:rPr>
          <w:sz w:val="20"/>
          <w:szCs w:val="20"/>
          <w:color w:val="auto"/>
        </w:rPr>
      </w:pPr>
      <w:r>
        <w:rPr>
          <w:rFonts w:ascii="Arial" w:cs="Arial" w:eastAsia="Arial" w:hAnsi="Arial"/>
          <w:sz w:val="17"/>
          <w:szCs w:val="17"/>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are an early-stage life sciences technology company, and we have incurred significant losses since we were formed in 2017, and expect to continue to incur losses in the future. We incurred net losses of $23.6 million and $16.4 million during the three months ended March 31, 2022 and 2021, respectively. As of March 31, 2022, we had an accumulated deficit of $150.2 million. 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including sales and marketing, manufacturing and operations costs, and research and development efforts for products. These efforts may prove more costly than we currently anticipate. While we have generated product revenue, we may never generate revenue sufficient to offset our expenses. In addition, as a public company, we incur significant legal, accounting, administrative, insurance and other expenses. Accordingly, we cannot assure you that we will achieve profitability in the future or that, if we do become profitable, we will sustain profitability.</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which may make it difficult to evaluate the prospects for our future viability and predict our future performance.</w:t>
      </w:r>
    </w:p>
    <w:p>
      <w:pPr>
        <w:spacing w:after="0" w:line="188"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We have only recently broadly commercialized the Proteograph Product Suite. Our operations to date have been primarily focused on developing our technology and products. Our prospects must be considered in light of the uncertainties, risks, expenses, and difficulties frequently encountered by companies in their early stages of operations. We have not yet achieved market acceptance for our products, produced our products at scale, established a sales model, or conducted sales and marketing activities necessary for successful broad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32" w:lineRule="exact"/>
        <w:rPr>
          <w:sz w:val="20"/>
          <w:szCs w:val="20"/>
          <w:color w:val="auto"/>
        </w:rPr>
      </w:pPr>
    </w:p>
    <w:p>
      <w:pPr>
        <w:ind w:right="140"/>
        <w:spacing w:after="0" w:line="299" w:lineRule="auto"/>
        <w:rPr>
          <w:sz w:val="20"/>
          <w:szCs w:val="20"/>
          <w:color w:val="auto"/>
        </w:rPr>
      </w:pPr>
      <w:r>
        <w:rPr>
          <w:rFonts w:ascii="Arial" w:cs="Arial" w:eastAsia="Arial" w:hAnsi="Arial"/>
          <w:sz w:val="15"/>
          <w:szCs w:val="15"/>
          <w:color w:val="auto"/>
        </w:rPr>
        <w:t>In addition, as a business with a limited operating history, we may encounter unforeseen expenses, difficulties, complications, delays and other known and unknown obstacles. We will need to transition from a company with a focus on research and development to a company capable of supporting broad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 w:name="page33"/>
    <w:bookmarkEnd w:id="32"/>
    <w:p>
      <w:pPr>
        <w:spacing w:after="0" w:line="80"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13" w:lineRule="exact"/>
        <w:rPr>
          <w:sz w:val="20"/>
          <w:szCs w:val="20"/>
          <w:color w:val="auto"/>
        </w:rPr>
      </w:pPr>
    </w:p>
    <w:p>
      <w:pPr>
        <w:ind w:left="620" w:hanging="307"/>
        <w:spacing w:after="0"/>
        <w:tabs>
          <w:tab w:leader="none" w:pos="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our ability to successfully commercialize the Proteograph Product Suite on our anticipated timeline;</w:t>
      </w:r>
    </w:p>
    <w:p>
      <w:pPr>
        <w:spacing w:after="0" w:line="165" w:lineRule="exact"/>
        <w:rPr>
          <w:rFonts w:ascii="Arial" w:cs="Arial" w:eastAsia="Arial" w:hAnsi="Arial"/>
          <w:sz w:val="17"/>
          <w:szCs w:val="17"/>
          <w:color w:val="auto"/>
        </w:rPr>
      </w:pPr>
    </w:p>
    <w:p>
      <w:pPr>
        <w:jc w:val="both"/>
        <w:ind w:left="620" w:right="200" w:hanging="307"/>
        <w:spacing w:after="0" w:line="266" w:lineRule="auto"/>
        <w:tabs>
          <w:tab w:leader="none" w:pos="616"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timing and cost of, and level of investment in, research and development and commercialization activities relating to the Proteograph Product Suite, including our SP100 automation instrument, proprietary engineered nanoparticle (NP) technology and Proteograph Analysis Suite software, which may change from time to time;</w:t>
      </w:r>
    </w:p>
    <w:p>
      <w:pPr>
        <w:spacing w:after="0" w:line="123" w:lineRule="exact"/>
        <w:rPr>
          <w:rFonts w:ascii="Arial" w:cs="Arial" w:eastAsia="Arial" w:hAnsi="Arial"/>
          <w:sz w:val="17"/>
          <w:szCs w:val="17"/>
          <w:color w:val="auto"/>
        </w:rPr>
      </w:pPr>
    </w:p>
    <w:p>
      <w:pPr>
        <w:ind w:left="620" w:right="100" w:hanging="307"/>
        <w:spacing w:after="0" w:line="279" w:lineRule="auto"/>
        <w:tabs>
          <w:tab w:leader="none" w:pos="616"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level of demand for any products we are able to commercialize, particularly the Proteograph Product Suite, which may vary significantly from period to period;</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our ability to drive adoption of the Proteograph in our target markets and our ability to expand into any future target markets;</w:t>
      </w:r>
    </w:p>
    <w:p>
      <w:pPr>
        <w:spacing w:after="0" w:line="165" w:lineRule="exact"/>
        <w:rPr>
          <w:rFonts w:ascii="Arial" w:cs="Arial" w:eastAsia="Arial" w:hAnsi="Arial"/>
          <w:sz w:val="17"/>
          <w:szCs w:val="17"/>
          <w:color w:val="auto"/>
        </w:rPr>
      </w:pPr>
    </w:p>
    <w:p>
      <w:pPr>
        <w:ind w:left="300" w:hanging="297"/>
        <w:spacing w:after="0"/>
        <w:tabs>
          <w:tab w:leader="none" w:pos="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relationship with third-party distributorships, and their ability to promote and sell our products;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prices at which we will be able to sell the Proteograph Product Suite;</w:t>
      </w:r>
    </w:p>
    <w:p>
      <w:pPr>
        <w:spacing w:after="0" w:line="165" w:lineRule="exact"/>
        <w:rPr>
          <w:rFonts w:ascii="Arial" w:cs="Arial" w:eastAsia="Arial" w:hAnsi="Arial"/>
          <w:sz w:val="17"/>
          <w:szCs w:val="17"/>
          <w:color w:val="auto"/>
        </w:rPr>
      </w:pPr>
    </w:p>
    <w:p>
      <w:pPr>
        <w:ind w:left="620" w:right="480" w:hanging="307"/>
        <w:spacing w:after="0" w:line="279" w:lineRule="auto"/>
        <w:tabs>
          <w:tab w:leader="none" w:pos="616"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volume and mix of our sales between the Proteograph Product Suite and associated consumables, or changes in the manufacturing or sales costs related to our products;</w:t>
      </w:r>
    </w:p>
    <w:p>
      <w:pPr>
        <w:spacing w:after="0" w:line="112" w:lineRule="exact"/>
        <w:rPr>
          <w:rFonts w:ascii="Arial" w:cs="Arial" w:eastAsia="Arial" w:hAnsi="Arial"/>
          <w:sz w:val="17"/>
          <w:szCs w:val="17"/>
          <w:color w:val="auto"/>
        </w:rPr>
      </w:pPr>
    </w:p>
    <w:p>
      <w:pPr>
        <w:ind w:left="620" w:right="420" w:hanging="307"/>
        <w:spacing w:after="0" w:line="279" w:lineRule="auto"/>
        <w:tabs>
          <w:tab w:leader="none" w:pos="616"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length of time of the sales cycle for purchases of the Proteograph, including lead time needed to procure SP100 automation instruments from our third-party contract manufacturer;</w:t>
      </w:r>
    </w:p>
    <w:p>
      <w:pPr>
        <w:spacing w:after="0" w:line="112" w:lineRule="exact"/>
        <w:rPr>
          <w:rFonts w:ascii="Arial" w:cs="Arial" w:eastAsia="Arial" w:hAnsi="Arial"/>
          <w:sz w:val="17"/>
          <w:szCs w:val="17"/>
          <w:color w:val="auto"/>
        </w:rPr>
      </w:pPr>
    </w:p>
    <w:p>
      <w:pPr>
        <w:ind w:left="620" w:hanging="307"/>
        <w:spacing w:after="0" w:line="279" w:lineRule="auto"/>
        <w:tabs>
          <w:tab w:leader="none" w:pos="616"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timing and amount of expenditures that we may incur to develop, commercialize or acquire additional products and technologies or for other purposes, such as the expansion of our facilities;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changes in governmental funding of life sciences research and development or changes that impact budgets and budget cycles;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seasonal spending patterns of our customers;</w:t>
      </w:r>
    </w:p>
    <w:p>
      <w:pPr>
        <w:spacing w:after="0" w:line="165" w:lineRule="exact"/>
        <w:rPr>
          <w:rFonts w:ascii="Arial" w:cs="Arial" w:eastAsia="Arial" w:hAnsi="Arial"/>
          <w:sz w:val="17"/>
          <w:szCs w:val="17"/>
          <w:color w:val="auto"/>
        </w:rPr>
      </w:pPr>
    </w:p>
    <w:p>
      <w:pPr>
        <w:ind w:left="300" w:hanging="297"/>
        <w:spacing w:after="0"/>
        <w:tabs>
          <w:tab w:leader="none" w:pos="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timing of when we recognize any revenues;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future accounting pronouncements or changes in our accounting policies;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outcome of any future litigation or governmental investigations involving us, our industry or both;</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higher than anticipated service, replacement and warranty costs;</w:t>
      </w:r>
    </w:p>
    <w:p>
      <w:pPr>
        <w:spacing w:after="0" w:line="165" w:lineRule="exact"/>
        <w:rPr>
          <w:rFonts w:ascii="Arial" w:cs="Arial" w:eastAsia="Arial" w:hAnsi="Arial"/>
          <w:sz w:val="17"/>
          <w:szCs w:val="17"/>
          <w:color w:val="auto"/>
        </w:rPr>
      </w:pPr>
    </w:p>
    <w:p>
      <w:pPr>
        <w:ind w:left="620" w:right="260" w:hanging="307"/>
        <w:spacing w:after="0" w:line="279" w:lineRule="auto"/>
        <w:tabs>
          <w:tab w:leader="none" w:pos="616"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impact of the COVID-19 pandemic on the economy, investment in life sciences and research industries, our business operations, and resources and operations of our customers, suppliers and supply chain, and distributors; and</w:t>
      </w:r>
    </w:p>
    <w:p>
      <w:pPr>
        <w:spacing w:after="0" w:line="112" w:lineRule="exact"/>
        <w:rPr>
          <w:rFonts w:ascii="Arial" w:cs="Arial" w:eastAsia="Arial" w:hAnsi="Arial"/>
          <w:sz w:val="17"/>
          <w:szCs w:val="17"/>
          <w:color w:val="auto"/>
        </w:rPr>
      </w:pPr>
    </w:p>
    <w:p>
      <w:pPr>
        <w:ind w:left="620" w:right="420" w:hanging="307"/>
        <w:spacing w:after="0" w:line="279" w:lineRule="auto"/>
        <w:tabs>
          <w:tab w:leader="none" w:pos="616" w:val="left"/>
        </w:tabs>
        <w:numPr>
          <w:ilvl w:val="1"/>
          <w:numId w:val="15"/>
        </w:numPr>
        <w:rPr>
          <w:rFonts w:ascii="Arial" w:cs="Arial" w:eastAsia="Arial" w:hAnsi="Arial"/>
          <w:sz w:val="17"/>
          <w:szCs w:val="17"/>
          <w:color w:val="auto"/>
        </w:rPr>
      </w:pPr>
      <w:r>
        <w:rPr>
          <w:rFonts w:ascii="Arial" w:cs="Arial" w:eastAsia="Arial" w:hAnsi="Arial"/>
          <w:sz w:val="17"/>
          <w:szCs w:val="17"/>
          <w:color w:val="auto"/>
        </w:rPr>
        <w:t>general industry, economic and market conditions such as inflation and other factors, including factors unrelated to our operating performance or the operating performance of our competitors.</w:t>
      </w:r>
    </w:p>
    <w:p>
      <w:pPr>
        <w:spacing w:after="0" w:line="113" w:lineRule="exact"/>
        <w:rPr>
          <w:sz w:val="20"/>
          <w:szCs w:val="20"/>
          <w:color w:val="auto"/>
        </w:rPr>
      </w:pPr>
    </w:p>
    <w:p>
      <w:pPr>
        <w:jc w:val="both"/>
        <w:ind w:right="400"/>
        <w:spacing w:after="0" w:line="266" w:lineRule="auto"/>
        <w:rPr>
          <w:sz w:val="20"/>
          <w:szCs w:val="20"/>
          <w:color w:val="auto"/>
        </w:rPr>
      </w:pPr>
      <w:r>
        <w:rPr>
          <w:rFonts w:ascii="Arial" w:cs="Arial" w:eastAsia="Arial" w:hAnsi="Arial"/>
          <w:sz w:val="17"/>
          <w:szCs w:val="17"/>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This variability and unpredictability could also result in our failing to meet the expectations of industry or financial analysts or investors for any period. If we are unable to commercialize products or generate revenue,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0" w:lineRule="exact"/>
        <w:rPr>
          <w:sz w:val="20"/>
          <w:szCs w:val="20"/>
          <w:color w:val="auto"/>
        </w:rPr>
      </w:pPr>
    </w:p>
    <w:p>
      <w:pPr>
        <w:ind w:right="580"/>
        <w:spacing w:after="0" w:line="279" w:lineRule="auto"/>
        <w:rPr>
          <w:sz w:val="20"/>
          <w:szCs w:val="20"/>
          <w:color w:val="auto"/>
        </w:rPr>
      </w:pPr>
      <w:r>
        <w:rPr>
          <w:rFonts w:ascii="Arial" w:cs="Arial" w:eastAsia="Arial" w:hAnsi="Arial"/>
          <w:sz w:val="17"/>
          <w:szCs w:val="17"/>
          <w:color w:val="auto"/>
        </w:rPr>
        <w:t>our operating results fall below the expectations of analysts or investors or below any guidance we may provide, or if the guidance we provide is below the expectations of analysts or investors, it could cause the market price of our Class A common stock to decline.</w:t>
      </w:r>
    </w:p>
    <w:p>
      <w:pPr>
        <w:spacing w:after="0" w:line="113"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b w:val="1"/>
          <w:bCs w:val="1"/>
          <w:i w:val="1"/>
          <w:iCs w:val="1"/>
          <w:color w:val="auto"/>
        </w:rPr>
        <w:t>The size of the markets for the Proteograph Product Suite may be smaller than estimated, and new market opportunities may not develop as quickly as we expect, or at all, limiting our ability to successfully sell our products.</w:t>
      </w:r>
    </w:p>
    <w:p>
      <w:pPr>
        <w:spacing w:after="0" w:line="11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In addition, the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2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only recently commenced the broad release phase of our commercialization plan, and we may not be able to continue this release as planned.</w:t>
      </w:r>
    </w:p>
    <w:p>
      <w:pPr>
        <w:spacing w:after="0" w:line="188"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We have only recently initiated the broad commercial release phase for the Proteograph Product Suite, and we may not be able to successfully execute on this phase as planned due to:</w:t>
      </w:r>
    </w:p>
    <w:p>
      <w:pPr>
        <w:spacing w:after="0" w:line="113" w:lineRule="exact"/>
        <w:rPr>
          <w:sz w:val="20"/>
          <w:szCs w:val="20"/>
          <w:color w:val="auto"/>
        </w:rPr>
      </w:pPr>
    </w:p>
    <w:p>
      <w:pPr>
        <w:ind w:left="620" w:right="120" w:hanging="307"/>
        <w:spacing w:after="0" w:line="279"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inability to establish the capabilities and value proposition of the Proteograph Product Suite with key opinion leaders and other customers in a timely fashion;</w:t>
      </w:r>
    </w:p>
    <w:p>
      <w:pPr>
        <w:spacing w:after="0" w:line="112" w:lineRule="exact"/>
        <w:rPr>
          <w:rFonts w:ascii="Arial" w:cs="Arial" w:eastAsia="Arial" w:hAnsi="Arial"/>
          <w:sz w:val="17"/>
          <w:szCs w:val="17"/>
          <w:color w:val="auto"/>
        </w:rPr>
      </w:pPr>
    </w:p>
    <w:p>
      <w:pPr>
        <w:ind w:left="620" w:right="320" w:hanging="307"/>
        <w:spacing w:after="0" w:line="266"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or longer-than expected lead times to establish customer contacts, complete responsive presentations including platform evaluations tailored to specific requests, and move expeditiously from quote to order to revenue to receipt of payment due to the budgetary constraints of academic organizations, laboratories, biopharmaceutical companies and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0" w:lineRule="exact"/>
        <w:rPr>
          <w:sz w:val="20"/>
          <w:szCs w:val="20"/>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changing industry or market conditions, customer requirements or competitor offerings during broad commercialization;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in continuing the build-out of our sales, customer support and marketing organization as needed for broad commercialization;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delays in ramping up manufacturing, either internally or through our suppliers, to meet the expected demand for broad commercialization; and</w:t>
      </w:r>
    </w:p>
    <w:p>
      <w:pPr>
        <w:spacing w:after="0" w:line="176" w:lineRule="exact"/>
        <w:rPr>
          <w:rFonts w:ascii="Arial" w:cs="Arial" w:eastAsia="Arial" w:hAnsi="Arial"/>
          <w:sz w:val="16"/>
          <w:szCs w:val="16"/>
          <w:color w:val="auto"/>
        </w:rPr>
      </w:pPr>
    </w:p>
    <w:p>
      <w:pPr>
        <w:ind w:left="620" w:right="680" w:hanging="307"/>
        <w:spacing w:after="0" w:line="279"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impact of the COVID-19 pandemic on the economy and research industries, our business operations, and resources and the operations of our customers, suppliers and supply chain, and distributors.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To the extent our broad commercial release phase is delayed or unsuccessful, our financial results will be adversely impacted.</w:t>
      </w:r>
    </w:p>
    <w:p>
      <w:pPr>
        <w:spacing w:after="0" w:line="165"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b w:val="1"/>
          <w:bCs w:val="1"/>
          <w:i w:val="1"/>
          <w:iCs w:val="1"/>
          <w:color w:val="auto"/>
        </w:rPr>
        <w:t>Even if we are able to execute on our broad commercial release phase as planned, our success depends on broad scientific and market acceptance of the Proteograph Product Suite, which we may fail to achieve.</w:t>
      </w:r>
    </w:p>
    <w:p>
      <w:pPr>
        <w:spacing w:after="0" w:line="11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Our ability to achieve and maintain scientific and commercial market acceptance of the Proteograph Product Suite will depend on a number of factors. We expect that the Proteograph will be subject to the market forces and adoption curves common to other new technologies. The market for proteomics and genomics technologies and products is in its early stages of development. If widespread adoption of the Proteograph takes longer than anticipated, or broad scientific and market acceptance does not occur, we will continue to experience operating losses.</w:t>
      </w:r>
    </w:p>
    <w:p>
      <w:pPr>
        <w:spacing w:after="0" w:line="126"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Other factors in achieving commercial market acceptance, include:</w:t>
      </w:r>
    </w:p>
    <w:p>
      <w:pPr>
        <w:spacing w:after="0" w:line="165" w:lineRule="exact"/>
        <w:rPr>
          <w:sz w:val="20"/>
          <w:szCs w:val="20"/>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market and increase awareness of the capabilities of the Proteograph Product Suite;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of the Proteograph Product Suite to perform intended use applications broadly in the hands of customers;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customers’ willingness to adopt new products and workflows;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Proteograph’s ease of use and whether it reliably provides advantages over other alternative technologies;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rate of adoption of the Proteograph Product Suite by academic institutions, laboratories, biopharmaceutical companies and others;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prices we charge for the Proteograph Product Suite;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80" w:lineRule="exact"/>
        <w:rPr>
          <w:sz w:val="20"/>
          <w:szCs w:val="20"/>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develop new products and workflows and solutions for customers;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competitors develop and commercialize products that perform similar functions as the Proteograph;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impact of our investments in product innovation and commercial growth.</w:t>
      </w:r>
    </w:p>
    <w:p>
      <w:pPr>
        <w:spacing w:after="0" w:line="165"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sales and marketing capabilities, we may not be successful in commercializing the Proteograph Product Suite.</w:t>
      </w:r>
    </w:p>
    <w:p>
      <w:pPr>
        <w:spacing w:after="0" w:line="177"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We have limited experience as a company in sales and marketing and our ability to successfully commercialize depends on our being able to attract customers for the Proteograph Product Suite. Although members of our management team have considerable industry experience, we need to expand our sales, marketing, distribution and customer service and support capabilities with the appropriate technical expertise during the broad commercial release of the Proteograph Product Suite. To perform sales, marketing, distribution, and customer service and support successfully, we will face a number of risks, including:</w:t>
      </w:r>
    </w:p>
    <w:p>
      <w:pPr>
        <w:spacing w:after="0" w:line="97" w:lineRule="exact"/>
        <w:rPr>
          <w:sz w:val="20"/>
          <w:szCs w:val="20"/>
          <w:color w:val="auto"/>
        </w:rPr>
      </w:pPr>
    </w:p>
    <w:p>
      <w:pPr>
        <w:ind w:left="620" w:right="620" w:hanging="307"/>
        <w:spacing w:after="0" w:line="279"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attract, retain and manage the sales, marketing and customer service and support force necessary to commercialize and gain market acceptance for our technology;</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time and cost of establishing a specialized sales, marketing and customer service and support force;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sales, marketing and customer service and support force may be unable to initiate and execute successful commercialization activities.</w:t>
      </w:r>
    </w:p>
    <w:p>
      <w:pPr>
        <w:spacing w:after="0" w:line="165"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If our sales and marketing efforts, or those of any third-party sales and distribution partners, are not successful, the Proteograph may not gain market acceptance, which could materially impact our business operations.</w:t>
      </w:r>
    </w:p>
    <w:p>
      <w:pPr>
        <w:spacing w:after="0" w:line="11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b w:val="1"/>
          <w:bCs w:val="1"/>
          <w:i w:val="1"/>
          <w:iCs w:val="1"/>
          <w:color w:val="auto"/>
        </w:rPr>
        <w:t>Even if the Proteograph Product Suite is broadly commercialized and achieves broad scientific and market acceptance, if we fail to improve it or introduce compelling new products, our revenues and our prospects could be harmed.</w:t>
      </w:r>
    </w:p>
    <w:p>
      <w:pPr>
        <w:spacing w:after="0" w:line="113"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w:t>
      </w:r>
    </w:p>
    <w:p>
      <w:pPr>
        <w:spacing w:after="0" w:line="103"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6" w:name="page37"/>
    <w:bookmarkEnd w:id="36"/>
    <w:p>
      <w:pPr>
        <w:spacing w:after="0" w:line="8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are unable to successfully develop new products, enhance the Proteograph Product Suite to meet customer requirements, compete with alternative products, or otherwise gain and maintain market acceptance, our business, results of operations and financial condition could be harmed.</w:t>
      </w:r>
    </w:p>
    <w:p>
      <w:pPr>
        <w:spacing w:after="0" w:line="89"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b w:val="1"/>
          <w:bCs w:val="1"/>
          <w:i w:val="1"/>
          <w:iCs w:val="1"/>
          <w:color w:val="auto"/>
        </w:rPr>
        <w:t>The COVID-19 pandemic and efforts to reduce its spread have adversely impacted, and are expected to continue to materially and adversely impact, our business and operations.</w:t>
      </w:r>
    </w:p>
    <w:p>
      <w:pPr>
        <w:spacing w:after="0" w:line="11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SP100 automation instrument and NPs. For instance, “stay-at-home” orders in California, and specifically San Mateo County where our headquarters is located, that require businesses to implement certain social distancing protocols and other written health and safety plans and measures and which could affect productivity and morale, could be reinstated. We have continued to operate within the rules applicable to our business; however, the imposition of new or extended governmental mandates could further impact our ability to operate effectively and conduct ongoing research and development or other activities. For onsite work in our Redwood City and San Diego offices, we continue to require proof of vaccination and adherence to our testing protocols, which may change from time to time. The COVID-19 pandemic and a skilled labor shortage in general have also had an effect on our ability to attract, recruit and interview candidates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and our commercial plans may be delayed, and we may incur further costs in bringing our business and operations into compliance with changing or new laws, regulations, and policies.</w:t>
      </w:r>
    </w:p>
    <w:p>
      <w:pPr>
        <w:spacing w:after="0" w:line="123"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In the near term, we expect that substantially all of our revenue will be derived from sales of the Proteograph Product Suite, including our instruments and associated consumables, to academic, research and commercial customers. We have moved into broad commercial release and, as a result, in the near term, our ability to drive the adoption of the Proteograph solution will depend on our ability to visit customer sites, the ability of our customers to access laboratories, and the ability to install and train on the Proteograph Product Suite and conduct research in light of the COVID-19 pandemic. For example, due to the pandemic, we have encountered delays permitting the travel of our U.S.-based employees to China. We also may encounter delays in other countries. Additionally, since we have moved into broad commercial release,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has become increasingly important to the adoption of the Proteograph. All of these considerations are impacted by factors beyond our control, such as:</w:t>
      </w:r>
    </w:p>
    <w:p>
      <w:pPr>
        <w:spacing w:after="0" w:line="109" w:lineRule="exact"/>
        <w:rPr>
          <w:sz w:val="20"/>
          <w:szCs w:val="20"/>
          <w:color w:val="auto"/>
        </w:rPr>
      </w:pPr>
    </w:p>
    <w:p>
      <w:pPr>
        <w:jc w:val="both"/>
        <w:ind w:left="620" w:right="460" w:hanging="307"/>
        <w:spacing w:after="0" w:line="290" w:lineRule="auto"/>
        <w:tabs>
          <w:tab w:leader="none" w:pos="616"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06" w:lineRule="exact"/>
        <w:rPr>
          <w:rFonts w:ascii="Arial" w:cs="Arial" w:eastAsia="Arial" w:hAnsi="Arial"/>
          <w:sz w:val="16"/>
          <w:szCs w:val="16"/>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decreases in government funding of research and development; and</w:t>
      </w:r>
    </w:p>
    <w:p>
      <w:pPr>
        <w:spacing w:after="0" w:line="165" w:lineRule="exact"/>
        <w:rPr>
          <w:rFonts w:ascii="Arial" w:cs="Arial" w:eastAsia="Arial" w:hAnsi="Arial"/>
          <w:sz w:val="17"/>
          <w:szCs w:val="17"/>
          <w:color w:val="auto"/>
        </w:rPr>
      </w:pPr>
    </w:p>
    <w:p>
      <w:pPr>
        <w:ind w:left="620" w:right="20" w:hanging="307"/>
        <w:spacing w:after="0" w:line="266"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24"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Additionally, our suppliers have also been impacted by the COVID-19 pandemic. For example, our SP100 automation instrument manufacturer, Hamilton Company, has experienced a surge in demand for equipment and associated consumables used for COVID-19 diagnostics, and as a result, we have experienced longer lead times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0" w:lineRule="exact"/>
        <w:rPr>
          <w:sz w:val="20"/>
          <w:szCs w:val="20"/>
          <w:color w:val="auto"/>
        </w:rPr>
      </w:pPr>
    </w:p>
    <w:p>
      <w:pPr>
        <w:ind w:right="120"/>
        <w:spacing w:after="0" w:line="349" w:lineRule="auto"/>
        <w:rPr>
          <w:sz w:val="20"/>
          <w:szCs w:val="20"/>
          <w:color w:val="auto"/>
        </w:rPr>
      </w:pPr>
      <w:r>
        <w:rPr>
          <w:rFonts w:ascii="Arial" w:cs="Arial" w:eastAsia="Arial" w:hAnsi="Arial"/>
          <w:sz w:val="15"/>
          <w:szCs w:val="15"/>
          <w:color w:val="auto"/>
        </w:rPr>
        <w:t>our instruments. We have also experienced supply delays for critical hardware, instrumentation, medical and testing supplies that we use for product development and certain components of our consumable kits, as these other components and supplies are otherwise diverted to COVID-19-related testing and other uses.</w:t>
      </w:r>
    </w:p>
    <w:p>
      <w:pPr>
        <w:spacing w:after="0" w:line="66"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0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1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sustain or successfully manage our anticipated growth, our business and prospects will be harmed.</w:t>
      </w:r>
    </w:p>
    <w:p>
      <w:pPr>
        <w:spacing w:after="0" w:line="165"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Our anticipated growth will place significant strains on our management, operational and manufacturing systems and processes, sales and marketing team, financial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Our ability to successfully manage our expected growth is uncertain given the fact that we have been in operation only since 2017.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2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We depend on our key personnel and other highly qualified personnel, and if we are unable to recruit, train and retain our personnel, we may not achieve our goals.</w:t>
      </w:r>
    </w:p>
    <w:p>
      <w:pPr>
        <w:spacing w:after="0" w:line="113" w:lineRule="exact"/>
        <w:rPr>
          <w:sz w:val="20"/>
          <w:szCs w:val="20"/>
          <w:color w:val="auto"/>
        </w:rPr>
      </w:pPr>
    </w:p>
    <w:p>
      <w:pPr>
        <w:jc w:val="both"/>
        <w:ind w:right="40"/>
        <w:spacing w:after="0" w:line="262" w:lineRule="auto"/>
        <w:rPr>
          <w:sz w:val="20"/>
          <w:szCs w:val="20"/>
          <w:color w:val="auto"/>
        </w:rPr>
      </w:pPr>
      <w:r>
        <w:rPr>
          <w:rFonts w:ascii="Arial" w:cs="Arial" w:eastAsia="Arial" w:hAnsi="Arial"/>
          <w:sz w:val="17"/>
          <w:szCs w:val="17"/>
          <w:color w:val="auto"/>
        </w:rPr>
        <w:t>Our future success depends upon our ability to recruit, train, retain and motivate key personnel. Our senior management team, including Omid Farokhzad, one of our founders and our Chief Executive Officer; Omead Ostadan, our President and Chief Operating Officer; and David Horn, our Chief Financial Officer, is critical to our vision, strategic direction, product development and commercialization efforts. On November 20, 2021, Mr. Ostadan took a leave of absence as an officer of the Company for personal reasons lasting approximately three months.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80" w:lineRule="exact"/>
        <w:rPr>
          <w:sz w:val="20"/>
          <w:szCs w:val="20"/>
          <w:color w:val="auto"/>
        </w:rPr>
      </w:pPr>
    </w:p>
    <w:p>
      <w:pPr>
        <w:jc w:val="both"/>
        <w:ind w:right="140"/>
        <w:spacing w:after="0" w:line="318" w:lineRule="auto"/>
        <w:rPr>
          <w:sz w:val="20"/>
          <w:szCs w:val="20"/>
          <w:color w:val="auto"/>
        </w:rPr>
      </w:pPr>
      <w:r>
        <w:rPr>
          <w:rFonts w:ascii="Arial" w:cs="Arial" w:eastAsia="Arial" w:hAnsi="Arial"/>
          <w:sz w:val="15"/>
          <w:szCs w:val="15"/>
          <w:color w:val="auto"/>
        </w:rPr>
        <w:t>Ostadan returned on a part-time basis as the Company’s President on February 28, 2022 and his part-time status is expected to last approximately ten months for ongoing personal reasons. The departure of one or more of our executive officers, senior management team members, or other key employees could be disruptive to our business until we are able to hire qualified successors. We do not maintain “key man” life insurance on our senior management team.</w:t>
      </w:r>
    </w:p>
    <w:p>
      <w:pPr>
        <w:spacing w:after="0" w:line="88"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and San Diego.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and San Diego,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w:t>
      </w:r>
    </w:p>
    <w:p>
      <w:pPr>
        <w:spacing w:after="0" w:line="125"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We do not maintain fixed term employment contracts with any of our employees. As a result, our employees could leave our company with little or no prior notice and would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pacing w:after="0" w:line="12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We expect to be dependent upon revenue generated from the sale of the Proteograph Product Suite from the time it is commercialized through the foreseeable future.</w:t>
      </w:r>
    </w:p>
    <w:p>
      <w:pPr>
        <w:spacing w:after="0" w:line="113" w:lineRule="exact"/>
        <w:rPr>
          <w:sz w:val="20"/>
          <w:szCs w:val="20"/>
          <w:color w:val="auto"/>
        </w:rPr>
      </w:pPr>
    </w:p>
    <w:p>
      <w:pPr>
        <w:ind w:right="240"/>
        <w:spacing w:after="0" w:line="256" w:lineRule="auto"/>
        <w:rPr>
          <w:sz w:val="20"/>
          <w:szCs w:val="20"/>
          <w:color w:val="auto"/>
        </w:rPr>
      </w:pPr>
      <w:r>
        <w:rPr>
          <w:rFonts w:ascii="Arial" w:cs="Arial" w:eastAsia="Arial" w:hAnsi="Arial"/>
          <w:sz w:val="17"/>
          <w:szCs w:val="17"/>
          <w:color w:val="auto"/>
        </w:rPr>
        <w:t>While we have recently moved into broad commercialization, if we are able to successfully broadly commercialize the Proteograph, we expect that we will generate substantially all of our revenue from the sale of the Proteograph Product Suite and associated consumables. There can be no assurance that we will be able to successfully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w:t>
      </w:r>
    </w:p>
    <w:p>
      <w:pPr>
        <w:spacing w:after="0" w:line="135"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In our development and commercialization plans for the Proteograph Product Suite, we may forego other opportunities that may provide greater revenue or be more profitable. If our research and product development efforts do not result in commercially viable products within anticipated timelines, or at all, our business and results of operations will be adversely affected. Any delay or failure by us to develop and release the Proteograph Product Suite or new products or product enhancements would have a substantial adverse effect on our business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sales have been concentrated in a small number of customers.</w:t>
      </w:r>
    </w:p>
    <w:p>
      <w:pPr>
        <w:spacing w:after="0" w:line="16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During the initial stages of our broad release phase of our commercialization plan, our revenues have been concentrated in a relatively small number of customers, including a related party, PrognomIQ, Inc. For the three months ended March 31, 2022, PrognomIQ, Inc. accounted for 32% of our revenue. If one or more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0"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 xml:space="preserve">including PrognomIQ, Inc., terminate all or any portion of their agreements, delay installations or fail to order the anticipated amount of consumables or services, there could be a material adverse effect on our business, financial condition and results of operations. See Note 5 </w:t>
      </w:r>
      <w:r>
        <w:rPr>
          <w:rFonts w:ascii="Arial" w:cs="Arial" w:eastAsia="Arial" w:hAnsi="Arial"/>
          <w:sz w:val="15"/>
          <w:szCs w:val="15"/>
          <w:i w:val="1"/>
          <w:iCs w:val="1"/>
          <w:color w:val="auto"/>
        </w:rPr>
        <w:t>- Revenue and Deferred Revenue</w:t>
      </w:r>
      <w:r>
        <w:rPr>
          <w:rFonts w:ascii="Arial" w:cs="Arial" w:eastAsia="Arial" w:hAnsi="Arial"/>
          <w:sz w:val="15"/>
          <w:szCs w:val="15"/>
          <w:color w:val="auto"/>
        </w:rPr>
        <w:t xml:space="preserve"> and Note 9 - </w:t>
      </w:r>
      <w:r>
        <w:rPr>
          <w:rFonts w:ascii="Arial" w:cs="Arial" w:eastAsia="Arial" w:hAnsi="Arial"/>
          <w:sz w:val="15"/>
          <w:szCs w:val="15"/>
          <w:i w:val="1"/>
          <w:iCs w:val="1"/>
          <w:color w:val="auto"/>
        </w:rPr>
        <w:t xml:space="preserve">PrognomIQ, Inc. </w:t>
      </w:r>
      <w:r>
        <w:rPr>
          <w:rFonts w:ascii="Arial" w:cs="Arial" w:eastAsia="Arial" w:hAnsi="Arial"/>
          <w:sz w:val="15"/>
          <w:szCs w:val="15"/>
          <w:color w:val="auto"/>
        </w:rPr>
        <w:t>to our notes to financial statements included in Part I, Item 1, herein for further information regarding our relationship with PrognomIQ, Inc.</w:t>
      </w:r>
    </w:p>
    <w:p>
      <w:pPr>
        <w:spacing w:after="0" w:line="88"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b w:val="1"/>
          <w:bCs w:val="1"/>
          <w:i w:val="1"/>
          <w:iCs w:val="1"/>
          <w:color w:val="auto"/>
        </w:rPr>
        <w:t>Our business will depend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p>
    <w:p>
      <w:pPr>
        <w:spacing w:after="0" w:line="12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We expect that substantially all of our sales revenue in the near term will be generated from sales to commercial companies, academic institutions and other research institutions. Certain of these customers’ funding will be, in turn, provided by various state, federal and international government agencies. As a result, the demand for the Proteograph Product Suite will depend upon the research and development budgets of these customers, which are impacted by factors beyond our control, such as:</w:t>
      </w:r>
    </w:p>
    <w:p>
      <w:pPr>
        <w:spacing w:after="0" w:line="126" w:lineRule="exact"/>
        <w:rPr>
          <w:sz w:val="20"/>
          <w:szCs w:val="20"/>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decreases in government funding of research and development;</w:t>
      </w:r>
    </w:p>
    <w:p>
      <w:pPr>
        <w:spacing w:after="0" w:line="165"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112" w:lineRule="exact"/>
        <w:rPr>
          <w:rFonts w:ascii="Arial" w:cs="Arial" w:eastAsia="Arial" w:hAnsi="Arial"/>
          <w:sz w:val="17"/>
          <w:szCs w:val="17"/>
          <w:color w:val="auto"/>
        </w:rPr>
      </w:pPr>
    </w:p>
    <w:p>
      <w:pPr>
        <w:ind w:left="620" w:right="100" w:hanging="307"/>
        <w:spacing w:after="0" w:line="279"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strategy and funding by commercial companies in their efforts around therapeutic and diagnostic product development and their adoption and use of the Proteograph Product Suite;</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macroeconomic conditions;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opinions in the scientific community, including researchers’ opinions of the utility of the Proteograph solution;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citation of the Proteograph Product Suite in published research;</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potential changes in the regulatory environment;</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differences in budgetary cycles, especially government- or grant-funded customers, whose cycles often coincide with government fiscal year ends;</w:t>
      </w:r>
    </w:p>
    <w:p>
      <w:pPr>
        <w:spacing w:after="0" w:line="176" w:lineRule="exact"/>
        <w:rPr>
          <w:rFonts w:ascii="Arial" w:cs="Arial" w:eastAsia="Arial" w:hAnsi="Arial"/>
          <w:sz w:val="16"/>
          <w:szCs w:val="16"/>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competitor product offerings or pricing;</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market-driven pressures to consolidate operations and reduce costs; and</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market acceptance of relatively new technologies, such as the Proteograph Product Suite.</w:t>
      </w:r>
    </w:p>
    <w:p>
      <w:pPr>
        <w:spacing w:after="0" w:line="165"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for the last 19 years, and reached a new high in 2020, but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80"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24"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b w:val="1"/>
          <w:bCs w:val="1"/>
          <w:i w:val="1"/>
          <w:iCs w:val="1"/>
          <w:color w:val="auto"/>
        </w:rPr>
        <w:t>We rely on single suppliers for some of the components of the Proteograph Product Suite, including a single contract manufacturer to manufacture and supply our instruments. If these suppliers or manufacturers should fail or not perform satisfactorily, our ability to meet demand and supply the Proteograph Product Suite would be adversely affected.</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For example, due to the COVID-19 pandemic and increased demand for Hamilton’s products, we have seen the lead time for our instruments increase significantly. Further, if Hamilton is unable to obtain critical components used in the Proteograph solution or supply our instruments on the timelines we require, our business and commercialization efforts would be harmed.</w:t>
      </w:r>
    </w:p>
    <w:p>
      <w:pPr>
        <w:spacing w:after="0" w:line="133"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In the event it becomes necessary to utilize one or more different contract manufacturers for automated liquid handling workstations, products, or product components associated with the Proteograph Product Suite, we would experience additional costs, delays and difficulties in doing so as a result of identifying and entering into new agreements with new suppliers or manufacturers as well as preparing such new suppliers or manufacturers to meet the logistical requirements associated with supplying and manufacturing the Proteograph Product Suite, and our business would suffer.</w:t>
      </w:r>
    </w:p>
    <w:p>
      <w:pPr>
        <w:spacing w:after="0" w:line="112"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In addition, certain of the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 Our suppliers have also been impacted by the COVID-19 pandemic, and we have also experienced supply delays for critical hardware, instrumentation, medical and testing supplies that we use for product development, and certain components of our consumable kits, as these other components and supplies are otherwise diverted to COVID-19-related testing and other uses. If any of these events occur, our business, results of operations, financial condition and prospects could be harmed.</w:t>
      </w:r>
    </w:p>
    <w:p>
      <w:pPr>
        <w:spacing w:after="0" w:line="118"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b w:val="1"/>
          <w:bCs w:val="1"/>
          <w:i w:val="1"/>
          <w:iCs w:val="1"/>
          <w:color w:val="auto"/>
        </w:rPr>
        <w:t>We have limited experience producing and supplying our products, and we may be unable to consistently manufacture or source our SP100 automation instruments and consumables to the necessary specifications or in quantities necessary to meet demand on a timely basis and at acceptable performance and cost levels.</w:t>
      </w:r>
    </w:p>
    <w:p>
      <w:pPr>
        <w:spacing w:after="0" w:line="12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Proteograph Product Suite is an integrated solution with many different components that work together. As such, a quality defect in a single component can compromise the performance of the entire solution. In order to 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32" w:lineRule="exact"/>
        <w:rPr>
          <w:sz w:val="20"/>
          <w:szCs w:val="20"/>
          <w:color w:val="auto"/>
        </w:rPr>
      </w:pPr>
    </w:p>
    <w:p>
      <w:pPr>
        <w:jc w:val="both"/>
        <w:ind w:right="140"/>
        <w:spacing w:after="0" w:line="290" w:lineRule="auto"/>
        <w:rPr>
          <w:sz w:val="20"/>
          <w:szCs w:val="20"/>
          <w:color w:val="auto"/>
        </w:rPr>
      </w:pPr>
      <w:r>
        <w:rPr>
          <w:rFonts w:ascii="Arial" w:cs="Arial" w:eastAsia="Arial" w:hAnsi="Arial"/>
          <w:sz w:val="16"/>
          <w:szCs w:val="16"/>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These manufacturing processes are complex. As we increase the commercial scale formulation and manufacturing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80"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of certain hazardous substances or chemicals, including in commercial products, or the collection, reuse, and recycling of waste from products we manufacture, our business will be adversely impacted.</w:t>
      </w:r>
    </w:p>
    <w:p>
      <w:pPr>
        <w:spacing w:after="0" w:line="126"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automation instrument so that it consistently achieves the product specifications and produces results with acceptable quality. Our NPs and other consumables have a limited shelf life, after which their performance is not ensured. While we have completed accelerated stability testing for our NPs, our real-time long-term liquid stability studies are underway, but have not been completed.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our third-party manufacturers fail to maintain ISO quality management certifications, customers might choose not to purchase products from us.</w:t>
      </w:r>
    </w:p>
    <w:p>
      <w:pPr>
        <w:spacing w:after="0" w:line="128"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9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11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b w:val="1"/>
          <w:bCs w:val="1"/>
          <w:i w:val="1"/>
          <w:iCs w:val="1"/>
          <w:color w:val="auto"/>
        </w:rPr>
        <w:t>Our products could have defects or errors, which may give rise to claims against us, adversely affect market adoption of the Proteograph Product Suite, and adversely affect our business, financial condition, and results of operations.</w:t>
      </w:r>
    </w:p>
    <w:p>
      <w:pPr>
        <w:spacing w:after="0" w:line="11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Proteograph Product Suite utilizes novel and complex technology and may develop or contain undetected defects or errors. We cannot assure you that material performance problems, defects, or errors will not arise, and as we commercialize the Proteograph, these risks may increase. We provide warranties that our products will meet performance expectations and will be free from material defects. The costs incurred in correcting any defects or errors may be substantial and could adversely affect our operating margins.</w:t>
      </w:r>
    </w:p>
    <w:p>
      <w:pPr>
        <w:spacing w:after="0" w:line="126"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In manufacturing the Proteograph Product Suite, we depend upon third parties for the supply of our instruments and various components, many of which require a significant degree of technical expertise to produce. If our suppliers fail to produce our SP100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If the Proteograph Product Suite contains defects, we may experience:</w:t>
      </w:r>
    </w:p>
    <w:p>
      <w:pPr>
        <w:spacing w:after="0" w:line="165"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failure to achieve market acceptance for the Proteograph or expansion of the Proteograph Product Suite sales;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2"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0" w:lineRule="exact"/>
        <w:rPr>
          <w:sz w:val="20"/>
          <w:szCs w:val="20"/>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loss of customer orders and delay in order fulfillment;</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damage to our brand reputation;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increased warranty and customer service and support costs due to product repair or replacement;</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product recalls or replacements;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inability to attract new customers;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diversion of resources from our manufacturing and research and development departments to our service department;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77"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spacing w:after="0" w:line="11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b w:val="1"/>
          <w:bCs w:val="1"/>
          <w:i w:val="1"/>
          <w:iCs w:val="1"/>
          <w:color w:val="auto"/>
        </w:rPr>
        <w:t>If we do not successfully deploy and implement enhancements of the Proteograph Analysis Suite, our commercialization efforts and therefore business and results of operations could suffer.</w:t>
      </w:r>
    </w:p>
    <w:p>
      <w:pPr>
        <w:spacing w:after="0" w:line="113"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success of the Proteograph Product Suite depends, in part, on our ability to design and deploy the Proteograph Analysis Suite and subsequent enhancements in a manner that enables the integration with our potential customers’ systems and accommodates our customers’ needs. Without the Proteograph Analysis Suite, quality control of the workflow and data analysis is less accessible and robust and it may be difficult for our customers to understand and evaluate the quality of their results.</w:t>
      </w:r>
    </w:p>
    <w:p>
      <w:pPr>
        <w:spacing w:after="0" w:line="12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have and will continue to spend significant amounts of effort continuing to develop the Proteograph Analysis Suite and potential enhanced versions over time, to meet our customers’ and potential customers’ evolving needs. There is no assurance that the development or deployment of the Proteograph Analysis Suite, or any potential enhancements, will be compelling to our customers. In addition, we may experience delays in our release dates of the Proteograph Analysis Suite or any enhancements, and there can be no assurance that the Proteograph Analysis Suite or any enhancements will be released according to schedule. If our software development and deployment plan, which may include participation from third party vendors and licensors, does not accurately anticipate customer demands, or if we fail to develop the Proteograph Analysis Suite in a manner that satisfies customer preferences in a timely and cost-effective manner, the Proteograph Product Suite may fail to gain market acceptance. The occurrence of any one or more of the foregoing could negatively affect our business, financial condition, and results of operations.</w:t>
      </w:r>
    </w:p>
    <w:p>
      <w:pPr>
        <w:spacing w:after="0" w:line="13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As we commercialize the Proteograph Product Suite outside of the United States, our international business could expose us to business, regulatory, political, operational, financial, and economic risks associated with doing business outside of the United States.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Engaging in international business inherently involves a number of difficulties and risks, including:</w:t>
      </w:r>
    </w:p>
    <w:p>
      <w:pPr>
        <w:spacing w:after="0" w:line="165" w:lineRule="exact"/>
        <w:rPr>
          <w:sz w:val="20"/>
          <w:szCs w:val="20"/>
          <w:color w:val="auto"/>
        </w:rPr>
      </w:pPr>
    </w:p>
    <w:p>
      <w:pPr>
        <w:ind w:left="620" w:right="40" w:hanging="307"/>
        <w:spacing w:after="0" w:line="283" w:lineRule="auto"/>
        <w:tabs>
          <w:tab w:leader="none" w:pos="616"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to the collection, reuse, and recycling of waste from products we manufacture;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0" w:lineRule="exact"/>
        <w:rPr>
          <w:sz w:val="20"/>
          <w:szCs w:val="20"/>
          <w:color w:val="auto"/>
        </w:rPr>
      </w:pPr>
    </w:p>
    <w:p>
      <w:pPr>
        <w:ind w:left="620" w:right="280" w:hanging="307"/>
        <w:spacing w:after="0" w:line="279"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required compliance with U.S. laws such as the Foreign Corrupt Practices Act, and other U.S. federal laws and regulations established by the office of Foreign Asset Control;</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export requirements and import or trade restrictions, including, without limitation, trade retaliation laws;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laws and business practices favoring local companies;</w:t>
      </w:r>
    </w:p>
    <w:p>
      <w:pPr>
        <w:spacing w:after="0" w:line="165" w:lineRule="exact"/>
        <w:rPr>
          <w:rFonts w:ascii="Arial" w:cs="Arial" w:eastAsia="Arial" w:hAnsi="Arial"/>
          <w:sz w:val="17"/>
          <w:szCs w:val="17"/>
          <w:color w:val="auto"/>
        </w:rPr>
      </w:pPr>
    </w:p>
    <w:p>
      <w:pPr>
        <w:ind w:left="620" w:right="520" w:hanging="307"/>
        <w:spacing w:after="0" w:line="279"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foreign currency exchange, longer payment cycles and difficulties in enforcing agreements and collecting receivables through certain foreign legal systems;</w:t>
      </w:r>
    </w:p>
    <w:p>
      <w:pPr>
        <w:spacing w:after="0" w:line="112" w:lineRule="exact"/>
        <w:rPr>
          <w:rFonts w:ascii="Arial" w:cs="Arial" w:eastAsia="Arial" w:hAnsi="Arial"/>
          <w:sz w:val="17"/>
          <w:szCs w:val="17"/>
          <w:color w:val="auto"/>
        </w:rPr>
      </w:pPr>
    </w:p>
    <w:p>
      <w:pPr>
        <w:ind w:left="620" w:right="60" w:hanging="307"/>
        <w:spacing w:after="0" w:line="290" w:lineRule="auto"/>
        <w:tabs>
          <w:tab w:leader="none" w:pos="616"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 including as a result of the separation of the United Kingdom from the European Union (Brexit);</w:t>
      </w:r>
    </w:p>
    <w:p>
      <w:pPr>
        <w:spacing w:after="0" w:line="106" w:lineRule="exact"/>
        <w:rPr>
          <w:rFonts w:ascii="Arial" w:cs="Arial" w:eastAsia="Arial" w:hAnsi="Arial"/>
          <w:sz w:val="16"/>
          <w:szCs w:val="16"/>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potentially adverse tax consequences, tariffs, customs charges, bureaucratic requirements, and other trade barriers;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difficulties and costs of staffing and managing foreign operations;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difficulties protecting, maintaining, enforcing or procuring intellectual property rights.</w:t>
      </w:r>
    </w:p>
    <w:p>
      <w:pPr>
        <w:spacing w:after="0" w:line="165" w:lineRule="exact"/>
        <w:rPr>
          <w:sz w:val="20"/>
          <w:szCs w:val="20"/>
          <w:color w:val="auto"/>
        </w:rPr>
      </w:pPr>
    </w:p>
    <w:p>
      <w:pPr>
        <w:ind w:right="200"/>
        <w:spacing w:after="0" w:line="299" w:lineRule="auto"/>
        <w:rPr>
          <w:sz w:val="20"/>
          <w:szCs w:val="20"/>
          <w:color w:val="auto"/>
        </w:rPr>
      </w:pPr>
      <w:r>
        <w:rPr>
          <w:rFonts w:ascii="Arial" w:cs="Arial" w:eastAsia="Arial" w:hAnsi="Arial"/>
          <w:sz w:val="15"/>
          <w:szCs w:val="15"/>
          <w:color w:val="auto"/>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spacing w:after="0" w:line="103" w:lineRule="exact"/>
        <w:rPr>
          <w:sz w:val="20"/>
          <w:szCs w:val="20"/>
          <w:color w:val="auto"/>
        </w:rPr>
      </w:pPr>
    </w:p>
    <w:p>
      <w:pPr>
        <w:ind w:right="580"/>
        <w:spacing w:after="0" w:line="279" w:lineRule="auto"/>
        <w:rPr>
          <w:sz w:val="20"/>
          <w:szCs w:val="20"/>
          <w:color w:val="auto"/>
        </w:rPr>
      </w:pPr>
      <w:r>
        <w:rPr>
          <w:rFonts w:ascii="Arial" w:cs="Arial" w:eastAsia="Arial" w:hAnsi="Arial"/>
          <w:sz w:val="17"/>
          <w:szCs w:val="17"/>
          <w:color w:val="auto"/>
        </w:rPr>
        <w:t>If one or more of these risks occurs, it could require us to dedicate significant resources to remedy such occurrence, and if we are unsuccessful in finding a solution, our financial results will suffer.</w:t>
      </w:r>
    </w:p>
    <w:p>
      <w:pPr>
        <w:spacing w:after="0" w:line="113"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b w:val="1"/>
          <w:bCs w:val="1"/>
          <w:i w:val="1"/>
          <w:iCs w:val="1"/>
          <w:color w:val="auto"/>
        </w:rPr>
        <w:t>A portion of our international sales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 and business may be negatively affected.</w:t>
      </w:r>
    </w:p>
    <w:p>
      <w:pPr>
        <w:spacing w:after="0" w:line="10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Our current commercial model includes direct sales in the United States, and we are building relationships with third party distributors in various countries, including China, to enable us to enter additional markets more efficiently. If we are unable to enter or maintain such distribution arrangements on acceptable terms, or at all, we may not be able to successfully commercialize our products in certain countries.</w:t>
      </w:r>
    </w:p>
    <w:p>
      <w:pPr>
        <w:spacing w:after="0" w:line="12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Furthermore, distributors can choose the level of effort that they apply to selling our products relative to others in their portfolio.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8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addition, although we intend to require contract terms obligating our distributors to comply with all applicable laws regarding the sale of our products, including regulatory labelling, protection of personal data, U.S. export regulations and the U.S. Foreign Corrupt Practices Act (FCPA), we may not be able to ensure proper compliance. If our distributors fail to effectively market and sell our products in full compliance with applicable laws and regulations, our results of operations and business may suffer.</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 will suffer.</w:t>
      </w:r>
    </w:p>
    <w:p>
      <w:pPr>
        <w:spacing w:after="0" w:line="177"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Bruker Corporation, Danaher, DiaSorin, and Thermo Fisher Scientific. We also compete with a number of companies that have developed, or are developing, proteomic products and solutions, such as Nautilus Biotechnology, Olink Proteomics, Quanterix, Quantum-Si and SomaLogic.</w:t>
      </w:r>
    </w:p>
    <w:p>
      <w:pPr>
        <w:spacing w:after="0" w:line="11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Some of our current competitors are large publicly-traded companies, or are divisions of large publicly-traded companies, and may enjoy a number of competitive advantages over us, including:</w:t>
      </w:r>
    </w:p>
    <w:p>
      <w:pPr>
        <w:spacing w:after="0" w:line="113" w:lineRule="exact"/>
        <w:rPr>
          <w:sz w:val="20"/>
          <w:szCs w:val="20"/>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greater name and brand recognition;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greater financial and human resources;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broader product lines;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larger sales forces and more established distributor networks;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substantial intellectual property portfolios;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larger and more established customer bases and relationships;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better established, larger scale and lower cost manufacturing capabilities.</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31"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We cannot assure investors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investors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1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b w:val="1"/>
          <w:bCs w:val="1"/>
          <w:i w:val="1"/>
          <w:iCs w:val="1"/>
          <w:color w:val="auto"/>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spacing w:after="0" w:line="11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Based on our current plans, we believe that our current cash, cash equivalents and investments will be sufficient to meet our anticipated cash flow requirements for at least twelve months from the date of this Quarterly Report. If our available cash resources and anticipated cash flow from operations are insufficient to satisfy our liquidity requirements including because of lower demand for our products or the realization of other risks described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8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Quarterly Report, we may be required to raise additional capital prior to such time through issuances of equity or convertible debt securities, entrance into a credit facility or another form of third-party funding or seek other debt financing.</w:t>
      </w:r>
    </w:p>
    <w:p>
      <w:pPr>
        <w:spacing w:after="0" w:line="11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will consider raising additional capital in the future to expand our business, to pursue strategic investments, to take advantage of financing opportunities or for other reasons, including:</w:t>
      </w:r>
    </w:p>
    <w:p>
      <w:pPr>
        <w:spacing w:after="0" w:line="113" w:lineRule="exact"/>
        <w:rPr>
          <w:sz w:val="20"/>
          <w:szCs w:val="20"/>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increasing our sales and marketing and other commercialization efforts to drive market adoption of the Proteograph Product Suite;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funding development and marketing efforts of the Proteograph Product Suite or any other future products;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expanding our technologies into additional markets;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acquiring, licensing or investing in technologies and other intellectual property rights;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acquiring or investing in complementary businesses or assets;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financing capital expenditures and general and administrative expenses.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Our present and future funding requirements will depend on many factors, including:</w:t>
      </w:r>
    </w:p>
    <w:p>
      <w:pPr>
        <w:spacing w:after="0" w:line="165" w:lineRule="exact"/>
        <w:rPr>
          <w:sz w:val="20"/>
          <w:szCs w:val="20"/>
          <w:color w:val="auto"/>
        </w:rPr>
      </w:pPr>
    </w:p>
    <w:p>
      <w:pPr>
        <w:ind w:left="620" w:hanging="307"/>
        <w:spacing w:after="0" w:line="279"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rate of progress in commercializing the Proteograph Product Suite and new products, and the cost of the sales and marketing activities associated with establishing adoption of our products;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rate of progress in, and cost of research and development activities associated with, products in research and development;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3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24" w:lineRule="exact"/>
        <w:rPr>
          <w:sz w:val="20"/>
          <w:szCs w:val="20"/>
          <w:color w:val="auto"/>
        </w:rPr>
      </w:pPr>
    </w:p>
    <w:p>
      <w:pPr>
        <w:ind w:right="580"/>
        <w:spacing w:after="0" w:line="279" w:lineRule="auto"/>
        <w:rPr>
          <w:sz w:val="20"/>
          <w:szCs w:val="20"/>
          <w:color w:val="auto"/>
        </w:rPr>
      </w:pPr>
      <w:r>
        <w:rPr>
          <w:rFonts w:ascii="Arial" w:cs="Arial" w:eastAsia="Arial" w:hAnsi="Arial"/>
          <w:sz w:val="17"/>
          <w:szCs w:val="17"/>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may in the future seek to acquire or invest in businesses, applications or technologies that we believe could complement or expand the Proteograph Product Suite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3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our operating results. In addition, if an acquired business fails to meet our expectations, our operating results, business and financial condition may suffer.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realize the benefits of PrognomIQ as a separate healthcare company in the area of disease testing.</w:t>
      </w:r>
    </w:p>
    <w:p>
      <w:pPr>
        <w:spacing w:after="0" w:line="16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In August 2020, we transferred certain assets to PrognomIQ, as a separate healthcare company to help enable the growth of ecosystems around new applications that leverage the Proteograph solution for unbiased, deep and large-scale proteomic information. As of March 31, 2022, we held approximately 15% of the outstanding capital stock of PrognomIQ. We may not realize the potential benefits of forming PrognomIQ for a variety of reasons, including:</w:t>
      </w:r>
    </w:p>
    <w:p>
      <w:pPr>
        <w:spacing w:after="0" w:line="107" w:lineRule="exact"/>
        <w:rPr>
          <w:sz w:val="20"/>
          <w:szCs w:val="20"/>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PrognomIQ may be unable to successfully develop viable testing products;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PrognomIQ’s business may not help demonstrate the value of the Proteograph;</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inability to reach agreement with PrognomIQ on future commercial arrangements;</w:t>
      </w:r>
    </w:p>
    <w:p>
      <w:pPr>
        <w:spacing w:after="0" w:line="165" w:lineRule="exact"/>
        <w:rPr>
          <w:rFonts w:ascii="Arial" w:cs="Arial" w:eastAsia="Arial" w:hAnsi="Arial"/>
          <w:sz w:val="17"/>
          <w:szCs w:val="17"/>
          <w:color w:val="auto"/>
        </w:rPr>
      </w:pPr>
    </w:p>
    <w:p>
      <w:pPr>
        <w:ind w:left="620" w:right="80" w:hanging="307"/>
        <w:spacing w:after="0" w:line="279"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although PrognomIQ accounted for 32% of our revenue during the three months ended March 31, 2022, it may not continue to be a meaningful customer of ours;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PrognomIQ may need to raise additional funding in the future and be unable to do so; and</w:t>
      </w:r>
    </w:p>
    <w:p>
      <w:pPr>
        <w:spacing w:after="0" w:line="165" w:lineRule="exact"/>
        <w:rPr>
          <w:rFonts w:ascii="Arial" w:cs="Arial" w:eastAsia="Arial" w:hAnsi="Arial"/>
          <w:sz w:val="17"/>
          <w:szCs w:val="17"/>
          <w:color w:val="auto"/>
        </w:rPr>
      </w:pPr>
    </w:p>
    <w:p>
      <w:pPr>
        <w:ind w:left="620" w:right="140" w:hanging="307"/>
        <w:spacing w:after="0" w:line="279"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formation of PrognomIQ and our continuing equity position in PrognomIQ may add complexities to our business from a finance, tax and accounting perspective.</w:t>
      </w:r>
    </w:p>
    <w:p>
      <w:pPr>
        <w:spacing w:after="0" w:line="11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Financial Reporting</w:t>
      </w:r>
    </w:p>
    <w:p>
      <w:pPr>
        <w:spacing w:after="0" w:line="171"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b w:val="1"/>
          <w:bCs w:val="1"/>
          <w:i w:val="1"/>
          <w:iCs w:val="1"/>
          <w:color w:val="auto"/>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spacing w:after="0" w:line="124" w:lineRule="exact"/>
        <w:rPr>
          <w:sz w:val="20"/>
          <w:szCs w:val="20"/>
          <w:color w:val="auto"/>
        </w:rPr>
      </w:pPr>
    </w:p>
    <w:p>
      <w:pPr>
        <w:jc w:val="both"/>
        <w:ind w:right="80"/>
        <w:spacing w:after="0" w:line="259" w:lineRule="auto"/>
        <w:rPr>
          <w:sz w:val="20"/>
          <w:szCs w:val="20"/>
          <w:color w:val="auto"/>
        </w:rPr>
      </w:pPr>
      <w:r>
        <w:rPr>
          <w:rFonts w:ascii="Arial" w:cs="Arial" w:eastAsia="Arial" w:hAnsi="Arial"/>
          <w:sz w:val="17"/>
          <w:szCs w:val="17"/>
          <w:color w:val="auto"/>
        </w:rPr>
        <w:t>As a public company with SEC reporting obligations, we are required to document and test our internal control procedures to satisfy the requirements of Section 404(b) of the Sarbanes-Oxley Act (SOX), which requires annual assessments by management of the effectiveness of our internal control over financial reporting. Effective December 31, 2021, we no longer qualify as an emerging growth company and the reduced compliance requirements to emerging growth companies no longer apply to us. We must implement and maintain substantial internal control systems and procedures to satisfy the reporting requirements under the Securities Exchange Act of 1934.</w:t>
      </w:r>
    </w:p>
    <w:p>
      <w:pPr>
        <w:spacing w:after="0" w:line="13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Class A common stock listing on Nasdaq to be suspended or terminated, which could have a negative effect on the trading price of our common stock.</w:t>
      </w:r>
    </w:p>
    <w:p>
      <w:pPr>
        <w:spacing w:after="0" w:line="118"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i w:val="1"/>
          <w:iCs w:val="1"/>
          <w:color w:val="auto"/>
        </w:rPr>
        <w:t>We previously identified material weaknesses in our internal control over financial reporting, and if we fail to maintain an effective system of internal controls, or otherwise fail to comply with the Sarbanes-Oxley Act of 2002 now that we are a large accelerated filer, we may not be able to accurately and timely report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which may adversely affect our business and investor confidence in us and, as a result, the value of our Class A common stock.</w:t>
      </w:r>
    </w:p>
    <w:p>
      <w:pPr>
        <w:spacing w:after="0" w:line="16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As previously disclosed in our Annual Report on Form 10-K for the year ended December 31, 2020, we and our independent registered public accounting firm identified the following material weaknesses in our internal control over financial reporting:</w:t>
      </w:r>
    </w:p>
    <w:p>
      <w:pPr>
        <w:spacing w:after="0" w:line="113" w:lineRule="exact"/>
        <w:rPr>
          <w:sz w:val="20"/>
          <w:szCs w:val="20"/>
          <w:color w:val="auto"/>
        </w:rPr>
      </w:pPr>
    </w:p>
    <w:p>
      <w:pPr>
        <w:ind w:left="620" w:hanging="307"/>
        <w:spacing w:after="0"/>
        <w:tabs>
          <w:tab w:leader="none" w:pos="6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there is insufficient accounting personnel to enable segregation of duties relating to the general ledger, disbursement, and certain accounting functions;</w:t>
      </w:r>
    </w:p>
    <w:p>
      <w:pPr>
        <w:spacing w:after="0" w:line="188" w:lineRule="exact"/>
        <w:rPr>
          <w:rFonts w:ascii="Arial" w:cs="Arial" w:eastAsia="Arial" w:hAnsi="Arial"/>
          <w:sz w:val="15"/>
          <w:szCs w:val="15"/>
          <w:color w:val="auto"/>
        </w:rPr>
      </w:pPr>
    </w:p>
    <w:p>
      <w:pPr>
        <w:ind w:left="620" w:right="500" w:hanging="307"/>
        <w:spacing w:after="0" w:line="312" w:lineRule="auto"/>
        <w:tabs>
          <w:tab w:leader="none" w:pos="616"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there are not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88" w:lineRule="exact"/>
        <w:rPr>
          <w:rFonts w:ascii="Arial" w:cs="Arial" w:eastAsia="Arial" w:hAnsi="Arial"/>
          <w:sz w:val="16"/>
          <w:szCs w:val="16"/>
          <w:color w:val="auto"/>
        </w:rPr>
      </w:pPr>
    </w:p>
    <w:p>
      <w:pPr>
        <w:ind w:left="620" w:right="620" w:hanging="307"/>
        <w:spacing w:after="0" w:line="279"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there is not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We completed remediation measures related to the material weaknesses and concluded that our internal control over financial reporting was effective as of December 31, 2021.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3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3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1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Remediation of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25" w:lineRule="exact"/>
        <w:rPr>
          <w:sz w:val="20"/>
          <w:szCs w:val="20"/>
          <w:color w:val="auto"/>
        </w:rPr>
      </w:pPr>
    </w:p>
    <w:p>
      <w:pPr>
        <w:jc w:val="both"/>
        <w:ind w:right="640"/>
        <w:spacing w:after="0" w:line="290" w:lineRule="auto"/>
        <w:rPr>
          <w:sz w:val="20"/>
          <w:szCs w:val="20"/>
          <w:color w:val="auto"/>
        </w:rPr>
      </w:pPr>
      <w:r>
        <w:rPr>
          <w:rFonts w:ascii="Arial" w:cs="Arial" w:eastAsia="Arial" w:hAnsi="Arial"/>
          <w:sz w:val="16"/>
          <w:szCs w:val="16"/>
          <w:color w:val="auto"/>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0" w:lineRule="exact"/>
        <w:rPr>
          <w:sz w:val="20"/>
          <w:szCs w:val="20"/>
          <w:color w:val="auto"/>
        </w:rPr>
      </w:pPr>
    </w:p>
    <w:p>
      <w:pPr>
        <w:ind w:right="780"/>
        <w:spacing w:after="0" w:line="279" w:lineRule="auto"/>
        <w:rPr>
          <w:sz w:val="20"/>
          <w:szCs w:val="20"/>
          <w:color w:val="auto"/>
        </w:rPr>
      </w:pPr>
      <w:r>
        <w:rPr>
          <w:rFonts w:ascii="Arial" w:cs="Arial" w:eastAsia="Arial" w:hAnsi="Arial"/>
          <w:sz w:val="17"/>
          <w:szCs w:val="17"/>
          <w:color w:val="auto"/>
        </w:rPr>
        <w:t>control processes as appropriate, validate through testing that controls are designed and operating effectively and implement a continuous reporting and improvement process for internal control over financial reporting.</w:t>
      </w:r>
    </w:p>
    <w:p>
      <w:pPr>
        <w:spacing w:after="0" w:line="11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89"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Class A common stock.</w:t>
      </w:r>
    </w:p>
    <w:p>
      <w:pPr>
        <w:spacing w:after="0" w:line="124"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reported in our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However, we have a limited operating history. For example, in connection with the implementation of the new revenue accounting standard for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Class A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Regulatory Compliance</w:t>
      </w:r>
    </w:p>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Our products are currently labeled and promoted, and are, and in the near-future will be, sold as research use only (RUO) products, primarily to academic and research institutions and research companies, and are not currently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31"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01" w:lineRule="exact"/>
        <w:rPr>
          <w:sz w:val="20"/>
          <w:szCs w:val="20"/>
          <w:color w:val="auto"/>
        </w:rPr>
      </w:pPr>
    </w:p>
    <w:p>
      <w:pPr>
        <w:ind w:right="160"/>
        <w:spacing w:after="0" w:line="302" w:lineRule="auto"/>
        <w:rPr>
          <w:sz w:val="20"/>
          <w:szCs w:val="20"/>
          <w:color w:val="auto"/>
        </w:rPr>
      </w:pPr>
      <w:r>
        <w:rPr>
          <w:rFonts w:ascii="Arial" w:cs="Arial" w:eastAsia="Arial" w:hAnsi="Arial"/>
          <w:sz w:val="15"/>
          <w:szCs w:val="15"/>
          <w:color w:val="auto"/>
        </w:rPr>
        <w:t xml:space="preserve">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 w:name="page50"/>
    <w:bookmarkEnd w:id="49"/>
    <w:p>
      <w:pPr>
        <w:spacing w:after="0" w:line="80"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30"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97"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0" w:lineRule="exact"/>
        <w:rPr>
          <w:sz w:val="20"/>
          <w:szCs w:val="20"/>
          <w:color w:val="auto"/>
        </w:rPr>
      </w:pPr>
    </w:p>
    <w:p>
      <w:pPr>
        <w:ind w:right="400"/>
        <w:spacing w:after="0" w:line="266" w:lineRule="auto"/>
        <w:rPr>
          <w:sz w:val="20"/>
          <w:szCs w:val="20"/>
          <w:color w:val="auto"/>
        </w:rPr>
      </w:pPr>
      <w:r>
        <w:rPr>
          <w:rFonts w:ascii="Arial" w:cs="Arial" w:eastAsia="Arial" w:hAnsi="Arial"/>
          <w:sz w:val="17"/>
          <w:szCs w:val="17"/>
          <w:color w:val="auto"/>
        </w:rPr>
        <w:t>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24"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1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3"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In August 2020, the Department of Health and Human Services, or HHS, announced rescission of guidances and other informal issuances of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EUA request, respectively, but are not required to do so. In November 2021, HHS under the Biden administration issued a statement that withdrew the August 2020 policy announcement, stating that HHS does not have a policy on LDTs that is separate from FDA's longstanding approach.</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71"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b w:val="1"/>
          <w:bCs w:val="1"/>
          <w:i w:val="1"/>
          <w:iCs w:val="1"/>
          <w:color w:val="auto"/>
        </w:rPr>
        <w:t>If we are unable to obtain,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2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enforce and protect our intellectual property, third parties may be able to compete more effectively against us. In addition, we may incur substantial litigation costs in our attempts to recover or restrict use of our intellectual property.</w:t>
      </w:r>
    </w:p>
    <w:p>
      <w:pPr>
        <w:spacing w:after="0" w:line="112"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0"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financial condition, results of operations and prospects. Both the patent application process and the process of managing patent and other intellectual property disputes can be time-consuming, expensive and unpredictable.</w:t>
      </w:r>
    </w:p>
    <w:p>
      <w:pPr>
        <w:spacing w:after="0" w:line="113"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25"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0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and derivation proceedings. The America Invents Act and its implementation could increase the uncertainties and costs surrounding the prosecution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patent applications and future patent applications, and the enforcement or defense of our issued patents, all of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80"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65" w:lineRule="exact"/>
        <w:rPr>
          <w:sz w:val="20"/>
          <w:szCs w:val="20"/>
          <w:color w:val="auto"/>
        </w:rPr>
      </w:pPr>
    </w:p>
    <w:p>
      <w:pPr>
        <w:ind w:right="40"/>
        <w:spacing w:after="0" w:line="349" w:lineRule="auto"/>
        <w:rPr>
          <w:sz w:val="20"/>
          <w:szCs w:val="20"/>
          <w:color w:val="auto"/>
        </w:rPr>
      </w:pPr>
      <w:r>
        <w:rPr>
          <w:rFonts w:ascii="Arial" w:cs="Arial" w:eastAsia="Arial" w:hAnsi="Arial"/>
          <w:sz w:val="15"/>
          <w:szCs w:val="15"/>
          <w:color w:val="auto"/>
        </w:rPr>
        <w:t>Filing, prosecuting and defending patents on our technology and products, including the Proteograph Product Suite, in all countries throughout the world would be prohibitively expensive, and our intellectual property rights in some countries outside the United States can be less extensive than those in the United States.</w:t>
      </w:r>
    </w:p>
    <w:p>
      <w:pPr>
        <w:spacing w:after="0" w:line="66"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and we and our licensor may encounter difficulties in protecting and defending such rights in foreign jurisdictions. Obtaining granted patents in foreign jurisdictions is time-consuming and expensive, the outcome is 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 timely manner, and if we are unable to do so it could have a material adverse effect on our business, financial condition, results of operation and prospects in various geographies.</w:t>
      </w:r>
    </w:p>
    <w:p>
      <w:pPr>
        <w:spacing w:after="0" w:line="118"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Competitors and other third parties may also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certain countries may also favor state-sponsored or companies headquartered in particular jurisdictions over our first-in-time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2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Issued patents covering our products could be found invalid or unenforceable if challenged.</w:t>
      </w:r>
    </w:p>
    <w:p>
      <w:pPr>
        <w:spacing w:after="0" w:line="165"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may be challenged at a future point in time in opposition, revocation, nullification,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or exclude our competitor’s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24"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1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If we are unable to protect the confidentiality of our trade secrets, the value of our technology could be materially adversely affected and our business could be harmed.</w:t>
      </w:r>
    </w:p>
    <w:p>
      <w:pPr>
        <w:spacing w:after="0" w:line="113" w:lineRule="exact"/>
        <w:rPr>
          <w:sz w:val="20"/>
          <w:szCs w:val="20"/>
          <w:color w:val="auto"/>
        </w:rPr>
      </w:pPr>
    </w:p>
    <w:p>
      <w:pPr>
        <w:ind w:right="80"/>
        <w:spacing w:after="0" w:line="307" w:lineRule="auto"/>
        <w:rPr>
          <w:sz w:val="20"/>
          <w:szCs w:val="20"/>
          <w:color w:val="auto"/>
        </w:rPr>
      </w:pPr>
      <w:r>
        <w:rPr>
          <w:rFonts w:ascii="Arial" w:cs="Arial" w:eastAsia="Arial" w:hAnsi="Arial"/>
          <w:sz w:val="15"/>
          <w:szCs w:val="15"/>
          <w:color w:val="auto"/>
        </w:rPr>
        <w:t>We may rely heavily on trade secrets and confidentiality agreements to protect our unpatented know-how, technology and other proprietary and confidential information, including parts of the Proteograph Product Suite,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academia and industry.</w:t>
      </w:r>
    </w:p>
    <w:p>
      <w:pPr>
        <w:spacing w:after="0" w:line="97"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spacing w:after="0" w:line="1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0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of our patents and other intellectual property.</w:t>
      </w:r>
    </w:p>
    <w:p>
      <w:pPr>
        <w:spacing w:after="0" w:line="165"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We or our licensor may be subject to claims that former employees, collaborators or other third parties have an interest in our owned or in-licensed patents, trade secrets or other intellectual property as an inventor or co-inventor. For example,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spacing w:after="0" w:line="12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Litigation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solution,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21" w:lineRule="exact"/>
        <w:rPr>
          <w:sz w:val="20"/>
          <w:szCs w:val="20"/>
          <w:color w:val="auto"/>
        </w:rPr>
      </w:pPr>
    </w:p>
    <w:p>
      <w:pPr>
        <w:ind w:right="620"/>
        <w:spacing w:after="0" w:line="279" w:lineRule="auto"/>
        <w:rPr>
          <w:sz w:val="20"/>
          <w:szCs w:val="20"/>
          <w:color w:val="auto"/>
        </w:rPr>
      </w:pPr>
      <w:r>
        <w:rPr>
          <w:rFonts w:ascii="Arial" w:cs="Arial" w:eastAsia="Arial" w:hAnsi="Arial"/>
          <w:sz w:val="17"/>
          <w:szCs w:val="17"/>
          <w:b w:val="1"/>
          <w:bCs w:val="1"/>
          <w:i w:val="1"/>
          <w:iCs w:val="1"/>
          <w:color w:val="auto"/>
        </w:rPr>
        <w:t>We may not be able to protect and enforce our trademarks and trade names, or build name recognition in our markets of interest thereby harming our competitive position.</w:t>
      </w:r>
    </w:p>
    <w:p>
      <w:pPr>
        <w:spacing w:after="0" w:line="113"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we may in the future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22" w:lineRule="exact"/>
        <w:rPr>
          <w:sz w:val="20"/>
          <w:szCs w:val="20"/>
          <w:color w:val="auto"/>
        </w:rPr>
      </w:pPr>
    </w:p>
    <w:p>
      <w:pPr>
        <w:ind w:right="640"/>
        <w:spacing w:after="0" w:line="279" w:lineRule="auto"/>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products and technologies, including the Proteograph Product Suite for an adequate amount of time.</w:t>
      </w:r>
    </w:p>
    <w:p>
      <w:pPr>
        <w:spacing w:after="0" w:line="11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While extensions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80"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18" w:lineRule="exact"/>
        <w:rPr>
          <w:sz w:val="20"/>
          <w:szCs w:val="20"/>
          <w:color w:val="auto"/>
        </w:rPr>
      </w:pPr>
    </w:p>
    <w:p>
      <w:pPr>
        <w:jc w:val="both"/>
        <w:ind w:right="260"/>
        <w:spacing w:after="0" w:line="266" w:lineRule="auto"/>
        <w:rPr>
          <w:sz w:val="20"/>
          <w:szCs w:val="20"/>
          <w:color w:val="auto"/>
        </w:rPr>
      </w:pPr>
      <w:r>
        <w:rPr>
          <w:rFonts w:ascii="Arial" w:cs="Arial" w:eastAsia="Arial" w:hAnsi="Arial"/>
          <w:sz w:val="17"/>
          <w:szCs w:val="17"/>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4"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 2026, without taking into account any possible patent term adjustments or extensions. We are also aware of pending patent applications in Europe and in the United States owned by a third party that are directed to a method of identifying biomarkers in biofluids using nanoparticles and, if issued, is projected to expire in 2037, without taking into account any possible patent term adjustments or extensions. Such patent and patent applications could be construed to cover certain aspects of our products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or technologies and we may be required to redesign such products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124"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 xml:space="preserve">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Arial" w:cs="Arial" w:eastAsia="Arial" w:hAnsi="Arial"/>
          <w:sz w:val="16"/>
          <w:szCs w:val="16"/>
          <w:i w:val="1"/>
          <w:iCs w:val="1"/>
          <w:color w:val="auto"/>
        </w:rPr>
        <w:t xml:space="preserve">ex-parte </w:t>
      </w:r>
      <w:r>
        <w:rPr>
          <w:rFonts w:ascii="Arial" w:cs="Arial" w:eastAsia="Arial" w:hAnsi="Arial"/>
          <w:sz w:val="16"/>
          <w:szCs w:val="16"/>
          <w:color w:val="auto"/>
        </w:rPr>
        <w:t>reexamination,</w:t>
      </w:r>
      <w:r>
        <w:rPr>
          <w:rFonts w:ascii="Arial" w:cs="Arial" w:eastAsia="Arial" w:hAnsi="Arial"/>
          <w:sz w:val="16"/>
          <w:szCs w:val="16"/>
          <w:i w:val="1"/>
          <w:iCs w:val="1"/>
          <w:color w:val="auto"/>
        </w:rPr>
        <w:t xml:space="preserve"> inter partes </w:t>
      </w:r>
      <w:r>
        <w:rPr>
          <w:rFonts w:ascii="Arial" w:cs="Arial" w:eastAsia="Arial" w:hAnsi="Arial"/>
          <w:sz w:val="16"/>
          <w:szCs w:val="16"/>
          <w:color w:val="auto"/>
        </w:rPr>
        <w:t>review, post-grant review proceeding, opposition or other comparable proceeding. However, there can be no assurance that any</w:t>
      </w:r>
      <w:r>
        <w:rPr>
          <w:rFonts w:ascii="Arial" w:cs="Arial" w:eastAsia="Arial" w:hAnsi="Arial"/>
          <w:sz w:val="16"/>
          <w:szCs w:val="16"/>
          <w:i w:val="1"/>
          <w:iCs w:val="1"/>
          <w:color w:val="auto"/>
        </w:rPr>
        <w:t xml:space="preserve"> </w:t>
      </w:r>
      <w:r>
        <w:rPr>
          <w:rFonts w:ascii="Arial" w:cs="Arial" w:eastAsia="Arial" w:hAnsi="Arial"/>
          <w:sz w:val="16"/>
          <w:szCs w:val="16"/>
          <w:color w:val="auto"/>
        </w:rPr>
        <w:t>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spacing w:after="0" w:line="118"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1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and technologies, any of which could have a material adverse effect on our business, financial condition, results of operations and prospects. The outcome in any such proceedings are unpredictable.</w:t>
      </w:r>
    </w:p>
    <w:p>
      <w:pPr>
        <w:spacing w:after="0" w:line="130"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8" w:name="page59"/>
    <w:bookmarkEnd w:id="58"/>
    <w:p>
      <w:pPr>
        <w:spacing w:after="0" w:line="80"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3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89"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have employed and expect to employ individuals, and engaged consultants and expect to engage consultants, who were previously employed, or consulted, at universities or other companies, including our competitors or potential competitors. Although we try to ensure that our employees, consultants, advisors and independent contractors do not use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confidential or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2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Furthermore, we or our licensor may in the future be subject to claims by former employees, consultants or other third parties asserting an ownership right in our owned or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8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manufacture or commercialize our products without infringing third-party patent rights. Any of the foregoing could harm our business, financial condition, results of operations and prospects.</w:t>
      </w:r>
    </w:p>
    <w:p>
      <w:pPr>
        <w:spacing w:after="0" w:line="113" w:lineRule="exact"/>
        <w:rPr>
          <w:sz w:val="20"/>
          <w:szCs w:val="20"/>
          <w:color w:val="auto"/>
        </w:rPr>
      </w:pPr>
    </w:p>
    <w:p>
      <w:pPr>
        <w:ind w:right="60"/>
        <w:spacing w:after="0" w:line="349" w:lineRule="auto"/>
        <w:rPr>
          <w:sz w:val="20"/>
          <w:szCs w:val="20"/>
          <w:color w:val="auto"/>
        </w:rPr>
      </w:pPr>
      <w:r>
        <w:rPr>
          <w:rFonts w:ascii="Arial" w:cs="Arial" w:eastAsia="Arial" w:hAnsi="Arial"/>
          <w:sz w:val="15"/>
          <w:szCs w:val="15"/>
          <w:b w:val="1"/>
          <w:bCs w:val="1"/>
          <w:i w:val="1"/>
          <w:iCs w:val="1"/>
          <w:color w:val="auto"/>
        </w:rPr>
        <w:t>We currently rely on a license from a third party, and in the future may rely on additional licenses from other third parties, in relation to our technologies and products, including the Proteograph Product Suite and if we lose any of these licenses, then we may be subjected to future litigation.</w:t>
      </w:r>
    </w:p>
    <w:p>
      <w:pPr>
        <w:spacing w:after="0" w:line="66"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We are, and may in the future become, a party to license agreements that grant us rights to use certain intellectual property, including patents and patent applications, typically in certain specified fields of use. Currently, we rely on an in-license from The Brigham and Women’s Hospital, Inc.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a patent family which includes methods used in the Proteograph Product Suite, and to the extent any additional intellectual property developed by BWH that are not included in such licensed patent families are necessary or useful for the Proteograph Product Suite or any other product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130"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b w:val="1"/>
          <w:bCs w:val="1"/>
          <w:i w:val="1"/>
          <w:iCs w:val="1"/>
          <w:color w:val="auto"/>
        </w:rPr>
        <w:t>If we fail to comply with our obligations under any license, collaboration or other agreements, we may be required to pay damages and could lose intellectual property rights necessary for developing and protecting our technologies and products, including the Proteograph Product Suite, or we could lose certain rights to grant sublicenses.</w:t>
      </w:r>
    </w:p>
    <w:p>
      <w:pPr>
        <w:spacing w:after="0" w:line="124"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 future royalty obligations will depend on the technology and intellectual property we use in products we commercialize, if at all. Therefore, even if we successfully develop and commercialize existing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80"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future products, we may be unable to achieve or maintain profitability. Any of the foregoing could have a material adverse effect on our competitive position, business, financial conditions, results of operations and prospects.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Moreover, disputes may also arise between us and our licensor regarding intellectual property subject to a license agreement, including:</w:t>
      </w:r>
    </w:p>
    <w:p>
      <w:pPr>
        <w:spacing w:after="0" w:line="165" w:lineRule="exact"/>
        <w:rPr>
          <w:sz w:val="20"/>
          <w:szCs w:val="20"/>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financial or other obligations under the license agreement;</w:t>
      </w:r>
    </w:p>
    <w:p>
      <w:pPr>
        <w:spacing w:after="0" w:line="165" w:lineRule="exact"/>
        <w:rPr>
          <w:rFonts w:ascii="Arial" w:cs="Arial" w:eastAsia="Arial" w:hAnsi="Arial"/>
          <w:sz w:val="17"/>
          <w:szCs w:val="17"/>
          <w:color w:val="auto"/>
        </w:rPr>
      </w:pPr>
    </w:p>
    <w:p>
      <w:pPr>
        <w:ind w:left="620" w:right="600" w:hanging="307"/>
        <w:spacing w:after="0" w:line="279"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whether, and the extent to which, our products, technology and processes infringe on intellectual property of the licensor that is not subject to the licensing agreement;</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inventorship and ownership of inventions and know-how resulting from the joint creation or use of intellectual property by our licensor(s); and</w:t>
      </w:r>
    </w:p>
    <w:p>
      <w:pPr>
        <w:spacing w:after="0" w:line="176" w:lineRule="exact"/>
        <w:rPr>
          <w:rFonts w:ascii="Arial" w:cs="Arial" w:eastAsia="Arial" w:hAnsi="Arial"/>
          <w:sz w:val="16"/>
          <w:szCs w:val="16"/>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165"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132"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18"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including the Proteograph Product Suite,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6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may identify third-party technology that we may need to license or acquire in order to develop or commercialize our products or technologies, including the Proteograph Product Suite.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1" w:name="page62"/>
    <w:bookmarkEnd w:id="61"/>
    <w:p>
      <w:pPr>
        <w:spacing w:after="0" w:line="8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13"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spacing w:after="0" w:line="104" w:lineRule="exact"/>
        <w:rPr>
          <w:sz w:val="20"/>
          <w:szCs w:val="20"/>
          <w:color w:val="auto"/>
        </w:rPr>
      </w:pPr>
    </w:p>
    <w:p>
      <w:pPr>
        <w:ind w:right="320"/>
        <w:spacing w:after="0" w:line="391" w:lineRule="auto"/>
        <w:rPr>
          <w:sz w:val="20"/>
          <w:szCs w:val="20"/>
          <w:color w:val="auto"/>
        </w:rPr>
      </w:pPr>
      <w:r>
        <w:rPr>
          <w:rFonts w:ascii="Arial" w:cs="Arial" w:eastAsia="Arial" w:hAnsi="Arial"/>
          <w:sz w:val="14"/>
          <w:szCs w:val="14"/>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4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Our products contain third-party open source software components and failure to comply with the terms of the underlying open source software licenses could restrict our ability to sell our products and provide third parties access to our proprietary software.</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Our products contain software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w:t>
      </w:r>
    </w:p>
    <w:p>
      <w:pPr>
        <w:spacing w:after="0" w:line="165" w:lineRule="exact"/>
        <w:rPr>
          <w:sz w:val="20"/>
          <w:szCs w:val="20"/>
          <w:color w:val="auto"/>
        </w:rPr>
      </w:pPr>
    </w:p>
    <w:p>
      <w:pPr>
        <w:ind w:right="680"/>
        <w:spacing w:after="0" w:line="279"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3" w:lineRule="exact"/>
        <w:rPr>
          <w:sz w:val="20"/>
          <w:szCs w:val="20"/>
          <w:color w:val="auto"/>
        </w:rPr>
      </w:pPr>
    </w:p>
    <w:p>
      <w:pPr>
        <w:ind w:left="620" w:right="180" w:hanging="307"/>
        <w:spacing w:after="0" w:line="279"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112" w:lineRule="exact"/>
        <w:rPr>
          <w:rFonts w:ascii="Arial" w:cs="Arial" w:eastAsia="Arial" w:hAnsi="Arial"/>
          <w:sz w:val="17"/>
          <w:szCs w:val="17"/>
          <w:color w:val="auto"/>
        </w:rPr>
      </w:pPr>
    </w:p>
    <w:p>
      <w:pPr>
        <w:ind w:left="620" w:right="140" w:hanging="307"/>
        <w:spacing w:after="0" w:line="279"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or our licensor(s), might not have been the first to make the inventions covered by the issued patent or pending patent application that we license or may own in the future;</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or our licensor(s), might not have been the first to file patent applications covering certain of our or their inventions;</w:t>
      </w:r>
    </w:p>
    <w:p>
      <w:pPr>
        <w:spacing w:after="0" w:line="165" w:lineRule="exact"/>
        <w:rPr>
          <w:rFonts w:ascii="Arial" w:cs="Arial" w:eastAsia="Arial" w:hAnsi="Arial"/>
          <w:sz w:val="17"/>
          <w:szCs w:val="17"/>
          <w:color w:val="auto"/>
        </w:rPr>
      </w:pPr>
    </w:p>
    <w:p>
      <w:pPr>
        <w:ind w:left="620" w:right="560" w:hanging="307"/>
        <w:spacing w:after="0" w:line="279"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misappropriating or otherwise violating our owned or licensed intellectual property rights;</w:t>
      </w:r>
    </w:p>
    <w:p>
      <w:pPr>
        <w:spacing w:after="0" w:line="11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and our licensed pending patent applications, or those that we may own or license in the future, will not lead to issued patents;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65" w:lineRule="exact"/>
        <w:rPr>
          <w:rFonts w:ascii="Arial" w:cs="Arial" w:eastAsia="Arial" w:hAnsi="Arial"/>
          <w:sz w:val="17"/>
          <w:szCs w:val="17"/>
          <w:color w:val="auto"/>
        </w:rPr>
      </w:pPr>
    </w:p>
    <w:p>
      <w:pPr>
        <w:ind w:left="620" w:right="100" w:hanging="307"/>
        <w:spacing w:after="0" w:line="279"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and our licensor(s), may not develop additional proprietary technologies that are patentable;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patents of others may harm our business; and</w:t>
      </w:r>
    </w:p>
    <w:p>
      <w:pPr>
        <w:spacing w:after="0" w:line="165" w:lineRule="exact"/>
        <w:rPr>
          <w:rFonts w:ascii="Arial" w:cs="Arial" w:eastAsia="Arial" w:hAnsi="Arial"/>
          <w:sz w:val="17"/>
          <w:szCs w:val="17"/>
          <w:color w:val="auto"/>
        </w:rPr>
      </w:pPr>
    </w:p>
    <w:p>
      <w:pPr>
        <w:ind w:left="620" w:right="440" w:hanging="307"/>
        <w:spacing w:after="0" w:line="279"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may choose not to file a patent for certain trade secrets or know-how, and a third party may subsequently file a patent covering such intellectual property.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Should any of these events occur, they could materially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3" w:name="page64"/>
    <w:bookmarkEnd w:id="63"/>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Class A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our Class A common stock may not be sustained.</w:t>
      </w:r>
    </w:p>
    <w:p>
      <w:pPr>
        <w:spacing w:after="0" w:line="165" w:lineRule="exact"/>
        <w:rPr>
          <w:sz w:val="20"/>
          <w:szCs w:val="20"/>
          <w:color w:val="auto"/>
        </w:rPr>
      </w:pPr>
    </w:p>
    <w:p>
      <w:pPr>
        <w:jc w:val="both"/>
        <w:ind w:right="300"/>
        <w:spacing w:after="0" w:line="283" w:lineRule="auto"/>
        <w:rPr>
          <w:sz w:val="20"/>
          <w:szCs w:val="20"/>
          <w:color w:val="auto"/>
        </w:rPr>
      </w:pPr>
      <w:r>
        <w:rPr>
          <w:rFonts w:ascii="Arial" w:cs="Arial" w:eastAsia="Arial" w:hAnsi="Arial"/>
          <w:sz w:val="16"/>
          <w:szCs w:val="16"/>
          <w:color w:val="auto"/>
        </w:rPr>
        <w:t>Although our Class A common stock is traded on the Nasdaq Global Select Market under the symbol “SEER,” there is a limited trading history and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Class A common stock has been and may continue to be volatile.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Some of the factors that may cause the market price of our Class A common stock to fluctuate include, but are not limited to:</w:t>
      </w:r>
    </w:p>
    <w:p>
      <w:pPr>
        <w:spacing w:after="0" w:line="165" w:lineRule="exact"/>
        <w:rPr>
          <w:sz w:val="20"/>
          <w:szCs w:val="20"/>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degree to which our launch and commercialization of our products meets the expectations of securities analysts and investors;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anticipated fluctuations in our operating results, including fluctuations in our quarterly and annual results;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revenue being less than anticipated or operating expenses being more than anticipated;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failure or discontinuation of any of our product development and research programs;</w:t>
      </w:r>
    </w:p>
    <w:p>
      <w:pPr>
        <w:spacing w:after="0" w:line="165" w:lineRule="exact"/>
        <w:rPr>
          <w:rFonts w:ascii="Arial" w:cs="Arial" w:eastAsia="Arial" w:hAnsi="Arial"/>
          <w:sz w:val="17"/>
          <w:szCs w:val="17"/>
          <w:color w:val="auto"/>
        </w:rPr>
      </w:pPr>
    </w:p>
    <w:p>
      <w:pPr>
        <w:ind w:left="620" w:right="120" w:hanging="307"/>
        <w:spacing w:after="0" w:line="279"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the structure or funding of research at academic and research laboratories and institutions, including changes that would affect their ability to purchase our instruments or consumables;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success of existing or new competitive businesses or technologies;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announcements about new research programs or products of our competitors;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litigation and governmental investigations involving us, our industry or both;</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volatility and variations in market conditions in the life sciences technology sector generally, or the proteomics or genomics sectors specifically;</w:t>
      </w:r>
    </w:p>
    <w:p>
      <w:pPr>
        <w:spacing w:after="0" w:line="176" w:lineRule="exact"/>
        <w:rPr>
          <w:rFonts w:ascii="Arial" w:cs="Arial" w:eastAsia="Arial" w:hAnsi="Arial"/>
          <w:sz w:val="16"/>
          <w:szCs w:val="16"/>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investor perceptions of us or our industry;</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level of expenses related to any of our research and development programs or products;</w:t>
      </w:r>
    </w:p>
    <w:p>
      <w:pPr>
        <w:spacing w:after="0" w:line="165" w:lineRule="exact"/>
        <w:rPr>
          <w:rFonts w:ascii="Arial" w:cs="Arial" w:eastAsia="Arial" w:hAnsi="Arial"/>
          <w:sz w:val="17"/>
          <w:szCs w:val="17"/>
          <w:color w:val="auto"/>
        </w:rPr>
      </w:pPr>
    </w:p>
    <w:p>
      <w:pPr>
        <w:ind w:left="620" w:hanging="307"/>
        <w:spacing w:after="0" w:line="266"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23"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whether our financial results meet the expectations of securities analysts or investors;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announcement or expectation of additional financing efforts;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sales of our Class A common stock by us or sales of our Class A common stock or Class B common stock by our insiders or other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4" w:name="page65"/>
    <w:bookmarkEnd w:id="64"/>
    <w:p>
      <w:pPr>
        <w:spacing w:after="0" w:line="80" w:lineRule="exact"/>
        <w:rPr>
          <w:sz w:val="20"/>
          <w:szCs w:val="20"/>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general economic, industry and market conditions;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COVID-19 pandemic, natural disasters or major catastrophic events.</w:t>
      </w:r>
    </w:p>
    <w:p>
      <w:pPr>
        <w:spacing w:after="0" w:line="165"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Class A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03"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b w:val="1"/>
          <w:bCs w:val="1"/>
          <w:i w:val="1"/>
          <w:iCs w:val="1"/>
          <w:color w:val="auto"/>
        </w:rPr>
        <w:t>The multi-class structure of our common stock will have the effect of concentrating voting control with certain stockholders and it may depress the trading price of our Class A common stock.</w:t>
      </w:r>
    </w:p>
    <w:p>
      <w:pPr>
        <w:spacing w:after="0" w:line="11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Our Class A common stock, which is our publicly-traded class of stock, has one vote per share, and our Class B common stock has ten votes per share, except as otherwise required by law. Our Class B common stock is held by our founders and early investors. As of April 30, 2022, the holders of our Class B common stock hold in the aggregate 40.9% of the voting power of our capital stock.</w:t>
      </w:r>
    </w:p>
    <w:p>
      <w:pPr>
        <w:spacing w:after="0" w:line="124"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8, 2025. The conversion of Class B common stock to Class A common stock will have the effect, over time, of increasing the relative voting power of those individual holders of Class B common stock who retain their shares over the long term.</w:t>
      </w:r>
    </w:p>
    <w:p>
      <w:pPr>
        <w:spacing w:after="0" w:line="12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July 2017, S&amp;P Dow Jones announced that it would no longer admit companies with multiple-class share structures to certain of its indices. Affected indices include the S&amp;P 500, S&amp;P MidCap 400, and S&amp;P SmallCap 600, which together make up the S&amp;P Composite 1500. Our multi-class capital structure may make us ineligible for inclusion in certain indices, and as a result, mutual funds, exchange-traded funds and other investment vehicles that attempt to passively track these indices may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3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Class A common stock, the price of our Class A common stock could decline.</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0"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b w:val="1"/>
          <w:bCs w:val="1"/>
          <w:i w:val="1"/>
          <w:iCs w:val="1"/>
          <w:color w:val="auto"/>
        </w:rPr>
        <w:t>Sales of a substantial number of shares of our Class A common stock by our existing stockholders could cause the price of our Class A common stock to decline.</w:t>
      </w:r>
    </w:p>
    <w:p>
      <w:pPr>
        <w:spacing w:after="0" w:line="113"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Sales of a substantial number of shares of our Class A common stock in the public market could occur at any time following the expiration of the market standoff and lock-up agreements or the early release of these agreements or the perception in the market that the holders of a large number of shares of Class A common stock intend to sell shares and could reduce the market price of our Class A common stock.</w:t>
      </w:r>
    </w:p>
    <w:p>
      <w:pPr>
        <w:spacing w:after="0" w:line="124"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2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We have not paid dividends in the past and do not expect to pay dividends in the future, and, as a result, any return on investment may be limited to the value of our stock.</w:t>
      </w:r>
    </w:p>
    <w:p>
      <w:pPr>
        <w:spacing w:after="0" w:line="11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32" w:lineRule="exact"/>
        <w:rPr>
          <w:sz w:val="20"/>
          <w:szCs w:val="20"/>
          <w:color w:val="auto"/>
        </w:rPr>
      </w:pPr>
    </w:p>
    <w:p>
      <w:pPr>
        <w:jc w:val="both"/>
        <w:ind w:right="120"/>
        <w:spacing w:after="0" w:line="262"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6"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25" w:lineRule="exact"/>
        <w:rPr>
          <w:sz w:val="20"/>
          <w:szCs w:val="20"/>
          <w:color w:val="auto"/>
        </w:rPr>
      </w:pPr>
    </w:p>
    <w:p>
      <w:pPr>
        <w:ind w:right="180"/>
        <w:spacing w:after="0" w:line="307" w:lineRule="auto"/>
        <w:rPr>
          <w:sz w:val="20"/>
          <w:szCs w:val="20"/>
          <w:color w:val="auto"/>
        </w:rPr>
      </w:pPr>
      <w:r>
        <w:rPr>
          <w:rFonts w:ascii="Arial" w:cs="Arial" w:eastAsia="Arial" w:hAnsi="Arial"/>
          <w:sz w:val="15"/>
          <w:szCs w:val="15"/>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9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18" w:lineRule="exact"/>
        <w:rPr>
          <w:sz w:val="20"/>
          <w:szCs w:val="20"/>
          <w:color w:val="auto"/>
        </w:rPr>
      </w:pPr>
    </w:p>
    <w:p>
      <w:pPr>
        <w:ind w:right="140"/>
        <w:spacing w:after="0" w:line="349" w:lineRule="auto"/>
        <w:rPr>
          <w:sz w:val="20"/>
          <w:szCs w:val="20"/>
          <w:color w:val="auto"/>
        </w:rPr>
      </w:pPr>
      <w:r>
        <w:rPr>
          <w:rFonts w:ascii="Arial" w:cs="Arial" w:eastAsia="Arial" w:hAnsi="Arial"/>
          <w:sz w:val="15"/>
          <w:szCs w:val="15"/>
          <w:b w:val="1"/>
          <w:bCs w:val="1"/>
          <w:i w:val="1"/>
          <w:iCs w:val="1"/>
          <w:color w:val="auto"/>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p>
    <w:p>
      <w:pPr>
        <w:spacing w:after="0" w:line="66"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12" w:lineRule="exact"/>
        <w:rPr>
          <w:sz w:val="20"/>
          <w:szCs w:val="20"/>
          <w:color w:val="auto"/>
        </w:rPr>
      </w:pPr>
    </w:p>
    <w:p>
      <w:pPr>
        <w:ind w:left="620" w:right="360" w:hanging="307"/>
        <w:spacing w:after="0" w:line="279"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transaction that would result in a change in control of our company requires the approval of a majority of our outstanding Class B common stock voting as a separate class;</w:t>
      </w:r>
    </w:p>
    <w:p>
      <w:pPr>
        <w:spacing w:after="0" w:line="112" w:lineRule="exact"/>
        <w:rPr>
          <w:rFonts w:ascii="Arial" w:cs="Arial" w:eastAsia="Arial" w:hAnsi="Arial"/>
          <w:sz w:val="17"/>
          <w:szCs w:val="17"/>
          <w:color w:val="auto"/>
        </w:rPr>
      </w:pPr>
    </w:p>
    <w:p>
      <w:pPr>
        <w:ind w:left="620" w:right="180" w:hanging="307"/>
        <w:spacing w:after="0" w:line="266"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123" w:lineRule="exact"/>
        <w:rPr>
          <w:rFonts w:ascii="Arial" w:cs="Arial" w:eastAsia="Arial" w:hAnsi="Arial"/>
          <w:sz w:val="17"/>
          <w:szCs w:val="17"/>
          <w:color w:val="auto"/>
        </w:rPr>
      </w:pPr>
    </w:p>
    <w:p>
      <w:pPr>
        <w:ind w:left="620" w:right="40" w:hanging="307"/>
        <w:spacing w:after="0" w:line="312" w:lineRule="auto"/>
        <w:tabs>
          <w:tab w:leader="none" w:pos="616"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board of directors is classified into three classes of directors with staggered three-year terms and directors will only be able to be removed from office for cause by the affirmative vote of holders of at least two-thirds of the voting power of our then outstanding capital stock;</w:t>
      </w:r>
    </w:p>
    <w:p>
      <w:pPr>
        <w:spacing w:after="0" w:line="88" w:lineRule="exact"/>
        <w:rPr>
          <w:rFonts w:ascii="Arial" w:cs="Arial" w:eastAsia="Arial" w:hAnsi="Arial"/>
          <w:sz w:val="16"/>
          <w:szCs w:val="16"/>
          <w:color w:val="auto"/>
        </w:rPr>
      </w:pPr>
    </w:p>
    <w:p>
      <w:pPr>
        <w:ind w:left="620" w:right="140" w:hanging="307"/>
        <w:spacing w:after="0" w:line="279"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certain amendments to our amended and restated certificate of incorporation require the approval of stockholders holding two-thirds of the voting power of our then outstanding capital stock;</w:t>
      </w:r>
    </w:p>
    <w:p>
      <w:pPr>
        <w:spacing w:after="0" w:line="112" w:lineRule="exact"/>
        <w:rPr>
          <w:rFonts w:ascii="Arial" w:cs="Arial" w:eastAsia="Arial" w:hAnsi="Arial"/>
          <w:sz w:val="17"/>
          <w:szCs w:val="17"/>
          <w:color w:val="auto"/>
        </w:rPr>
      </w:pPr>
    </w:p>
    <w:p>
      <w:pPr>
        <w:ind w:left="620" w:right="80" w:hanging="307"/>
        <w:spacing w:after="0" w:line="279"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stockholder-proposed amendment to our amended and restated bylaws require the approval of stockholders holding two-thirds of the voting power of our then outstanding capital stock;</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stockholders may only be able to take action at a meeting of stockholders and may not be able to take action by written consent for any matter;</w:t>
      </w:r>
    </w:p>
    <w:p>
      <w:pPr>
        <w:spacing w:after="0" w:line="176" w:lineRule="exact"/>
        <w:rPr>
          <w:rFonts w:ascii="Arial" w:cs="Arial" w:eastAsia="Arial" w:hAnsi="Arial"/>
          <w:sz w:val="16"/>
          <w:szCs w:val="16"/>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stockholders are be able to act by written consent only if the action is first recommended or approved by the board of directors;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vacancies on our board of directors may be filled only by our board of directors and not by stockholders;</w:t>
      </w:r>
    </w:p>
    <w:p>
      <w:pPr>
        <w:spacing w:after="0" w:line="165" w:lineRule="exact"/>
        <w:rPr>
          <w:rFonts w:ascii="Arial" w:cs="Arial" w:eastAsia="Arial" w:hAnsi="Arial"/>
          <w:sz w:val="17"/>
          <w:szCs w:val="17"/>
          <w:color w:val="auto"/>
        </w:rPr>
      </w:pPr>
    </w:p>
    <w:p>
      <w:pPr>
        <w:ind w:left="620" w:right="800" w:hanging="307"/>
        <w:spacing w:after="0" w:line="279"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only the chair of the board of directors, chief executive officer or a majority of the board of directors are authorized to call a special meeting of stockholders;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certain litigation against us can only be brought in Delaware;</w:t>
      </w:r>
    </w:p>
    <w:p>
      <w:pPr>
        <w:spacing w:after="0" w:line="165" w:lineRule="exact"/>
        <w:rPr>
          <w:rFonts w:ascii="Arial" w:cs="Arial" w:eastAsia="Arial" w:hAnsi="Arial"/>
          <w:sz w:val="17"/>
          <w:szCs w:val="17"/>
          <w:color w:val="auto"/>
        </w:rPr>
      </w:pPr>
    </w:p>
    <w:p>
      <w:pPr>
        <w:ind w:left="620" w:right="480" w:hanging="307"/>
        <w:spacing w:after="0" w:line="279"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restated certificate of incorporation authorizes undesignated preferred stock, the terms of which may be established and shares of which may be issued, without the approval of the holders of our capital stock; and</w:t>
      </w:r>
    </w:p>
    <w:p>
      <w:pPr>
        <w:spacing w:after="0" w:line="112" w:lineRule="exact"/>
        <w:rPr>
          <w:rFonts w:ascii="Arial" w:cs="Arial" w:eastAsia="Arial" w:hAnsi="Arial"/>
          <w:sz w:val="17"/>
          <w:szCs w:val="17"/>
          <w:color w:val="auto"/>
        </w:rPr>
      </w:pPr>
    </w:p>
    <w:p>
      <w:pPr>
        <w:ind w:left="620" w:right="640" w:hanging="307"/>
        <w:spacing w:after="0" w:line="279"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165"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As of December 31, 2021 we had U.S. federal and state net operating loss carryforwards (NOLs) of $94.0 million and $84.5 million, respectively, which if not utilized will expire in 2035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continue to incur significant increased costs and management resources as a result of operating as a public company.</w:t>
      </w:r>
    </w:p>
    <w:p>
      <w:pPr>
        <w:spacing w:after="0" w:line="165"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As a public company, we continue to incur significant legal, accounting, compliance and other expenses that we did not incur as a private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spacing w:after="0" w:line="126"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SOX, and the related rules and regulations implemented by the SEC and the Nasdaq Stock Market, LLC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Environmental, social, and governance (ESG) matters are subject to increasing scrutiny and evolving expectations from customers, regulators, investors and other stakeholders and may expose us to reputational, cost and other risks.</w:t>
      </w:r>
    </w:p>
    <w:p>
      <w:pPr>
        <w:spacing w:after="0" w:line="11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Companies across all industries are subject to increasing scrutiny and evolving expectations regarding ESG matters. In particular, customers, regulators, investors and other stakeholders are increasingly focusing on environmental issues, including climate change, energy use, industrial waste, and other sustainability concerns. Failure to implement sufficient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spacing w:after="0" w:line="13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If our facilities or our third-party manufacturers’ facilities become unavailable or inoperable, our research and development program and commercialization plan could be adversely impacted and manufacturing of our instruments and consumables could be interrupted.</w:t>
      </w:r>
    </w:p>
    <w:p>
      <w:pPr>
        <w:spacing w:after="0" w:line="113"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color w:val="auto"/>
        </w:rPr>
        <w:t>Our Redwood City, California, facilities house our corporate, research and development, NP manufacturing and quality assurance teams. Our instruments are manufactured at our third-party manufacturer’s facilities in Nevada, and our consumables are manufactured at various locations in the United States and internationally.</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Our facilities in Redwood City and those of our third-party manufacturers are vulnerable to natural disasters, public health crises, including the impact of the COVID-19 pandemic,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2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188"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0"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breakdown, malicious intrusion and computer viruses or other disruptive events, including, but not limited to,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2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122"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The CPRA will restrict use of certain categories of sensitive personal information that we may handle, establish restrictions on the retention of personal information, expand the types of data breaches subject to the private right of action, and establish the California Privacy Protection Agency to implement and enforce the new law and impose administrative fines. The majority of the CPRA’s provisions will go into effect on January 1, 2023, and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becomes effective on January 1, 2023, and on June 8, 2021, Colorado enacted the Colorado Privacy Act, or CPA, which takes effect on July 1, 2023. The CPA and CDPA share similarities with the CCPA,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80" w:lineRule="exact"/>
        <w:rPr>
          <w:sz w:val="20"/>
          <w:szCs w:val="20"/>
          <w:color w:val="auto"/>
        </w:rPr>
      </w:pPr>
    </w:p>
    <w:p>
      <w:pPr>
        <w:ind w:right="160"/>
        <w:spacing w:after="0" w:line="307" w:lineRule="auto"/>
        <w:rPr>
          <w:sz w:val="20"/>
          <w:szCs w:val="20"/>
          <w:color w:val="auto"/>
        </w:rPr>
      </w:pPr>
      <w:r>
        <w:rPr>
          <w:rFonts w:ascii="Arial" w:cs="Arial" w:eastAsia="Arial" w:hAnsi="Arial"/>
          <w:sz w:val="15"/>
          <w:szCs w:val="15"/>
          <w:color w:val="auto"/>
        </w:rPr>
        <w:t>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97"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10"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88"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35"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28"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None during the three months ended March 31, 2022.</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Exhibit Number</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0" w:type="dxa"/>
            <w:vAlign w:val="bottom"/>
            <w:gridSpan w:val="16"/>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24"/>
        </w:trPr>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73"/>
        </w:trPr>
        <w:tc>
          <w:tcPr>
            <w:tcW w:w="1120" w:type="dxa"/>
            <w:vAlign w:val="bottom"/>
          </w:tcPr>
          <w:p>
            <w:pPr>
              <w:jc w:val="center"/>
              <w:spacing w:after="0" w:line="174" w:lineRule="exact"/>
              <w:rPr>
                <w:sz w:val="20"/>
                <w:szCs w:val="20"/>
                <w:color w:val="auto"/>
              </w:rPr>
            </w:pPr>
            <w:r>
              <w:rPr>
                <w:rFonts w:ascii="Arial" w:cs="Arial" w:eastAsia="Arial" w:hAnsi="Arial"/>
                <w:sz w:val="16"/>
                <w:szCs w:val="16"/>
                <w:color w:val="auto"/>
                <w:w w:val="93"/>
              </w:rPr>
              <w:t>10.1+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tcBorders>
              <w:bottom w:val="single" w:sz="8" w:color="0000FF"/>
            </w:tcBorders>
            <w:gridSpan w:val="15"/>
          </w:tcPr>
          <w:p>
            <w:pPr>
              <w:spacing w:after="0" w:line="174" w:lineRule="exact"/>
              <w:rPr>
                <w:rFonts w:ascii="Arial" w:cs="Arial" w:eastAsia="Arial" w:hAnsi="Arial"/>
                <w:sz w:val="16"/>
                <w:szCs w:val="16"/>
                <w:color w:val="0000FF"/>
                <w:w w:val="90"/>
              </w:rPr>
            </w:pPr>
            <w:hyperlink w:anchor="page75">
              <w:r>
                <w:rPr>
                  <w:rFonts w:ascii="Arial" w:cs="Arial" w:eastAsia="Arial" w:hAnsi="Arial"/>
                  <w:sz w:val="16"/>
                  <w:szCs w:val="16"/>
                  <w:color w:val="0000FF"/>
                  <w:w w:val="90"/>
                </w:rPr>
                <w:t>Amended and Restated 2020 Employee Stock Purchase Plan</w:t>
              </w:r>
            </w:hyperlink>
          </w:p>
        </w:tc>
        <w:tc>
          <w:tcPr>
            <w:tcW w:w="40" w:type="dxa"/>
            <w:vAlign w:val="bottom"/>
            <w:gridSpan w:val="2"/>
          </w:tcPr>
          <w:p>
            <w:pPr>
              <w:spacing w:after="0"/>
              <w:rPr>
                <w:sz w:val="15"/>
                <w:szCs w:val="15"/>
                <w:color w:val="auto"/>
              </w:rPr>
            </w:pPr>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gridSpan w:val="17"/>
          </w:tcPr>
          <w:p>
            <w:pPr>
              <w:spacing w:after="0" w:line="174" w:lineRule="exact"/>
              <w:rPr>
                <w:rFonts w:ascii="Arial" w:cs="Arial" w:eastAsia="Arial" w:hAnsi="Arial"/>
                <w:sz w:val="16"/>
                <w:szCs w:val="16"/>
                <w:color w:val="0000FF"/>
              </w:rPr>
            </w:pPr>
            <w:hyperlink w:anchor="page75">
              <w:r>
                <w:rPr>
                  <w:rFonts w:ascii="Arial" w:cs="Arial" w:eastAsia="Arial" w:hAnsi="Arial"/>
                  <w:sz w:val="16"/>
                  <w:szCs w:val="16"/>
                  <w:color w:val="0000FF"/>
                </w:rPr>
                <w:t>and related form agreements.</w:t>
              </w:r>
            </w:hyperlink>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1"/>
        </w:trPr>
        <w:tc>
          <w:tcPr>
            <w:tcW w:w="1120" w:type="dxa"/>
            <w:vAlign w:val="bottom"/>
          </w:tcPr>
          <w:p>
            <w:pPr>
              <w:jc w:val="center"/>
              <w:spacing w:after="0"/>
              <w:rPr>
                <w:sz w:val="20"/>
                <w:szCs w:val="20"/>
                <w:color w:val="auto"/>
              </w:rPr>
            </w:pPr>
            <w:r>
              <w:rPr>
                <w:rFonts w:ascii="Arial" w:cs="Arial" w:eastAsia="Arial" w:hAnsi="Arial"/>
                <w:sz w:val="16"/>
                <w:szCs w:val="16"/>
                <w:color w:val="auto"/>
                <w:w w:val="93"/>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Borders>
              <w:bottom w:val="single" w:sz="8" w:color="0000FF"/>
            </w:tcBorders>
            <w:gridSpan w:val="14"/>
          </w:tcPr>
          <w:p>
            <w:pPr>
              <w:spacing w:after="0"/>
              <w:rPr>
                <w:rFonts w:ascii="Arial" w:cs="Arial" w:eastAsia="Arial" w:hAnsi="Arial"/>
                <w:sz w:val="16"/>
                <w:szCs w:val="16"/>
                <w:color w:val="0000FF"/>
                <w:w w:val="93"/>
              </w:rPr>
            </w:pPr>
            <w:hyperlink r:id="rId92">
              <w:r>
                <w:rPr>
                  <w:rFonts w:ascii="Arial" w:cs="Arial" w:eastAsia="Arial" w:hAnsi="Arial"/>
                  <w:sz w:val="16"/>
                  <w:szCs w:val="16"/>
                  <w:color w:val="0000FF"/>
                  <w:w w:val="93"/>
                </w:rPr>
                <w:t>Amended Confirmatory Offer Letter between the Registrant</w:t>
              </w:r>
            </w:hyperlink>
          </w:p>
        </w:tc>
        <w:tc>
          <w:tcPr>
            <w:tcW w:w="80" w:type="dxa"/>
            <w:vAlign w:val="bottom"/>
            <w:gridSpan w:val="3"/>
          </w:tcPr>
          <w:p>
            <w:pPr>
              <w:spacing w:after="0"/>
              <w:rPr>
                <w:sz w:val="24"/>
                <w:szCs w:val="24"/>
                <w:color w:val="auto"/>
              </w:rPr>
            </w:pPr>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40" w:type="dxa"/>
            <w:vAlign w:val="bottom"/>
            <w:tcBorders>
              <w:bottom w:val="single" w:sz="8" w:color="0000FF"/>
            </w:tcBorders>
            <w:gridSpan w:val="6"/>
          </w:tcPr>
          <w:p>
            <w:pPr>
              <w:spacing w:after="0" w:line="174" w:lineRule="exact"/>
              <w:rPr>
                <w:rFonts w:ascii="Arial" w:cs="Arial" w:eastAsia="Arial" w:hAnsi="Arial"/>
                <w:sz w:val="16"/>
                <w:szCs w:val="16"/>
                <w:color w:val="0000FF"/>
                <w:w w:val="89"/>
              </w:rPr>
            </w:pPr>
            <w:hyperlink r:id="rId92">
              <w:r>
                <w:rPr>
                  <w:rFonts w:ascii="Arial" w:cs="Arial" w:eastAsia="Arial" w:hAnsi="Arial"/>
                  <w:sz w:val="16"/>
                  <w:szCs w:val="16"/>
                  <w:color w:val="0000FF"/>
                  <w:w w:val="89"/>
                </w:rPr>
                <w:t>and Omead Ostadan, dated February 18, 2022.</w:t>
              </w:r>
            </w:hyperlink>
          </w:p>
        </w:tc>
        <w:tc>
          <w:tcPr>
            <w:tcW w:w="960" w:type="dxa"/>
            <w:vAlign w:val="bottom"/>
            <w:gridSpan w:val="11"/>
          </w:tcPr>
          <w:p>
            <w:pPr>
              <w:spacing w:after="0"/>
              <w:rPr>
                <w:sz w:val="15"/>
                <w:szCs w:val="15"/>
                <w:color w:val="auto"/>
              </w:rPr>
            </w:pPr>
          </w:p>
        </w:tc>
      </w:tr>
      <w:tr>
        <w:trPr>
          <w:trHeight w:val="431"/>
        </w:trPr>
        <w:tc>
          <w:tcPr>
            <w:tcW w:w="1120" w:type="dxa"/>
            <w:vAlign w:val="bottom"/>
          </w:tcPr>
          <w:p>
            <w:pPr>
              <w:jc w:val="center"/>
              <w:spacing w:after="0"/>
              <w:rPr>
                <w:sz w:val="20"/>
                <w:szCs w:val="20"/>
                <w:color w:val="auto"/>
              </w:rPr>
            </w:pPr>
            <w:r>
              <w:rPr>
                <w:rFonts w:ascii="Arial" w:cs="Arial" w:eastAsia="Arial" w:hAnsi="Arial"/>
                <w:sz w:val="16"/>
                <w:szCs w:val="16"/>
                <w:color w:val="auto"/>
                <w:w w:val="93"/>
              </w:rPr>
              <w:t>10.3+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17"/>
          </w:tcPr>
          <w:p>
            <w:pPr>
              <w:spacing w:after="0"/>
              <w:rPr>
                <w:rFonts w:ascii="Arial" w:cs="Arial" w:eastAsia="Arial" w:hAnsi="Arial"/>
                <w:sz w:val="16"/>
                <w:szCs w:val="16"/>
                <w:color w:val="0000FF"/>
                <w:w w:val="91"/>
              </w:rPr>
            </w:pPr>
            <w:hyperlink r:id="rId93">
              <w:r>
                <w:rPr>
                  <w:rFonts w:ascii="Arial" w:cs="Arial" w:eastAsia="Arial" w:hAnsi="Arial"/>
                  <w:sz w:val="16"/>
                  <w:szCs w:val="16"/>
                  <w:color w:val="0000FF"/>
                  <w:w w:val="91"/>
                </w:rPr>
                <w:t>Offer Letter between the Registrant and Scott Thomas, dated</w:t>
              </w:r>
            </w:hyperlink>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0000FF"/>
              <w:bottom w:val="single" w:sz="8" w:color="0000FF"/>
            </w:tcBorders>
          </w:tcPr>
          <w:p>
            <w:pPr>
              <w:spacing w:after="0" w:line="174" w:lineRule="exact"/>
              <w:rPr>
                <w:rFonts w:ascii="Arial" w:cs="Arial" w:eastAsia="Arial" w:hAnsi="Arial"/>
                <w:sz w:val="16"/>
                <w:szCs w:val="16"/>
                <w:color w:val="0000FF"/>
                <w:w w:val="91"/>
              </w:rPr>
            </w:pPr>
            <w:hyperlink r:id="rId93">
              <w:r>
                <w:rPr>
                  <w:rFonts w:ascii="Arial" w:cs="Arial" w:eastAsia="Arial" w:hAnsi="Arial"/>
                  <w:sz w:val="16"/>
                  <w:szCs w:val="16"/>
                  <w:color w:val="0000FF"/>
                  <w:w w:val="91"/>
                </w:rPr>
                <w:t xml:space="preserve">March </w:t>
              </w:r>
            </w:hyperlink>
            <w:r>
              <w:rPr>
                <w:rFonts w:ascii="Arial" w:cs="Arial" w:eastAsia="Arial" w:hAnsi="Arial"/>
                <w:sz w:val="16"/>
                <w:szCs w:val="16"/>
                <w:color w:val="0000FF"/>
                <w:w w:val="91"/>
              </w:rPr>
              <w:t xml:space="preserve">2, </w:t>
            </w:r>
            <w:hyperlink r:id="rId93">
              <w:r>
                <w:rPr>
                  <w:rFonts w:ascii="Arial" w:cs="Arial" w:eastAsia="Arial" w:hAnsi="Arial"/>
                  <w:sz w:val="16"/>
                  <w:szCs w:val="16"/>
                  <w:color w:val="0000FF"/>
                  <w:w w:val="91"/>
                </w:rPr>
                <w:t>2022.</w:t>
              </w:r>
            </w:hyperlink>
          </w:p>
        </w:tc>
        <w:tc>
          <w:tcPr>
            <w:tcW w:w="2960" w:type="dxa"/>
            <w:vAlign w:val="bottom"/>
            <w:tcBorders>
              <w:top w:val="single" w:sz="8" w:color="0000FF"/>
            </w:tcBorders>
            <w:gridSpan w:val="1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31"/>
        </w:trPr>
        <w:tc>
          <w:tcPr>
            <w:tcW w:w="1120" w:type="dxa"/>
            <w:vAlign w:val="bottom"/>
          </w:tcPr>
          <w:p>
            <w:pPr>
              <w:jc w:val="center"/>
              <w:spacing w:after="0"/>
              <w:rPr>
                <w:sz w:val="20"/>
                <w:szCs w:val="20"/>
                <w:color w:val="auto"/>
              </w:rPr>
            </w:pPr>
            <w:r>
              <w:rPr>
                <w:rFonts w:ascii="Arial" w:cs="Arial" w:eastAsia="Arial" w:hAnsi="Arial"/>
                <w:sz w:val="16"/>
                <w:szCs w:val="16"/>
                <w:color w:val="auto"/>
                <w:w w:val="89"/>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tcBorders>
              <w:bottom w:val="single" w:sz="8" w:color="0000FF"/>
            </w:tcBorders>
            <w:gridSpan w:val="9"/>
          </w:tcPr>
          <w:p>
            <w:pPr>
              <w:spacing w:after="0"/>
              <w:rPr>
                <w:rFonts w:ascii="Arial" w:cs="Arial" w:eastAsia="Arial" w:hAnsi="Arial"/>
                <w:sz w:val="16"/>
                <w:szCs w:val="16"/>
                <w:color w:val="0000FF"/>
                <w:w w:val="94"/>
              </w:rPr>
            </w:pPr>
            <w:hyperlink w:anchor="page96">
              <w:r>
                <w:rPr>
                  <w:rFonts w:ascii="Arial" w:cs="Arial" w:eastAsia="Arial" w:hAnsi="Arial"/>
                  <w:sz w:val="16"/>
                  <w:szCs w:val="16"/>
                  <w:color w:val="0000FF"/>
                  <w:w w:val="94"/>
                </w:rPr>
                <w:t>Certification of Principal Executive Officer Pursuant to</w:t>
              </w:r>
            </w:hyperlink>
          </w:p>
        </w:tc>
        <w:tc>
          <w:tcPr>
            <w:tcW w:w="380" w:type="dxa"/>
            <w:vAlign w:val="bottom"/>
            <w:gridSpan w:val="8"/>
          </w:tcPr>
          <w:p>
            <w:pPr>
              <w:spacing w:after="0"/>
              <w:rPr>
                <w:sz w:val="24"/>
                <w:szCs w:val="24"/>
                <w:color w:val="auto"/>
              </w:rPr>
            </w:pPr>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tcBorders>
              <w:bottom w:val="single" w:sz="8" w:color="0000FF"/>
            </w:tcBorders>
            <w:gridSpan w:val="8"/>
          </w:tcPr>
          <w:p>
            <w:pPr>
              <w:spacing w:after="0" w:line="174" w:lineRule="exact"/>
              <w:rPr>
                <w:rFonts w:ascii="Arial" w:cs="Arial" w:eastAsia="Arial" w:hAnsi="Arial"/>
                <w:sz w:val="16"/>
                <w:szCs w:val="16"/>
                <w:color w:val="0000FF"/>
                <w:w w:val="91"/>
              </w:rPr>
            </w:pPr>
            <w:hyperlink w:anchor="page96">
              <w:r>
                <w:rPr>
                  <w:rFonts w:ascii="Arial" w:cs="Arial" w:eastAsia="Arial" w:hAnsi="Arial"/>
                  <w:sz w:val="16"/>
                  <w:szCs w:val="16"/>
                  <w:color w:val="0000FF"/>
                  <w:w w:val="91"/>
                </w:rPr>
                <w:t>Rules 13a-14(a) and 15d-14(a) under the Securities</w:t>
              </w:r>
            </w:hyperlink>
          </w:p>
        </w:tc>
        <w:tc>
          <w:tcPr>
            <w:tcW w:w="640" w:type="dxa"/>
            <w:vAlign w:val="bottom"/>
            <w:gridSpan w:val="9"/>
          </w:tcPr>
          <w:p>
            <w:pPr>
              <w:spacing w:after="0"/>
              <w:rPr>
                <w:sz w:val="15"/>
                <w:szCs w:val="15"/>
                <w:color w:val="auto"/>
              </w:rPr>
            </w:pPr>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tcBorders>
              <w:bottom w:val="single" w:sz="8" w:color="0000FF"/>
            </w:tcBorders>
            <w:gridSpan w:val="12"/>
          </w:tcPr>
          <w:p>
            <w:pPr>
              <w:spacing w:after="0" w:line="174" w:lineRule="exact"/>
              <w:rPr>
                <w:rFonts w:ascii="Arial" w:cs="Arial" w:eastAsia="Arial" w:hAnsi="Arial"/>
                <w:sz w:val="16"/>
                <w:szCs w:val="16"/>
                <w:color w:val="0000FF"/>
                <w:w w:val="91"/>
              </w:rPr>
            </w:pPr>
            <w:hyperlink w:anchor="page96">
              <w:r>
                <w:rPr>
                  <w:rFonts w:ascii="Arial" w:cs="Arial" w:eastAsia="Arial" w:hAnsi="Arial"/>
                  <w:sz w:val="16"/>
                  <w:szCs w:val="16"/>
                  <w:color w:val="0000FF"/>
                  <w:w w:val="91"/>
                </w:rPr>
                <w:t>Exchange Act of 1934, as Adopted Pursuant to Section 302</w:t>
              </w:r>
            </w:hyperlink>
          </w:p>
        </w:tc>
        <w:tc>
          <w:tcPr>
            <w:tcW w:w="120" w:type="dxa"/>
            <w:vAlign w:val="bottom"/>
            <w:gridSpan w:val="5"/>
          </w:tcPr>
          <w:p>
            <w:pPr>
              <w:spacing w:after="0"/>
              <w:rPr>
                <w:sz w:val="15"/>
                <w:szCs w:val="15"/>
                <w:color w:val="auto"/>
              </w:rPr>
            </w:pPr>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20" w:type="dxa"/>
            <w:vAlign w:val="bottom"/>
            <w:tcBorders>
              <w:bottom w:val="single" w:sz="8" w:color="0000FF"/>
            </w:tcBorders>
            <w:gridSpan w:val="5"/>
          </w:tcPr>
          <w:p>
            <w:pPr>
              <w:spacing w:after="0" w:line="174" w:lineRule="exact"/>
              <w:rPr>
                <w:rFonts w:ascii="Arial" w:cs="Arial" w:eastAsia="Arial" w:hAnsi="Arial"/>
                <w:sz w:val="16"/>
                <w:szCs w:val="16"/>
                <w:color w:val="0000FF"/>
                <w:w w:val="92"/>
              </w:rPr>
            </w:pPr>
            <w:hyperlink w:anchor="page96">
              <w:r>
                <w:rPr>
                  <w:rFonts w:ascii="Arial" w:cs="Arial" w:eastAsia="Arial" w:hAnsi="Arial"/>
                  <w:sz w:val="16"/>
                  <w:szCs w:val="16"/>
                  <w:color w:val="0000FF"/>
                  <w:w w:val="92"/>
                </w:rPr>
                <w:t>of the Sarbanes-Oxley Act of 2002.</w:t>
              </w:r>
            </w:hyperlink>
          </w:p>
        </w:tc>
        <w:tc>
          <w:tcPr>
            <w:tcW w:w="1680" w:type="dxa"/>
            <w:vAlign w:val="bottom"/>
            <w:gridSpan w:val="12"/>
          </w:tcPr>
          <w:p>
            <w:pPr>
              <w:spacing w:after="0"/>
              <w:rPr>
                <w:sz w:val="15"/>
                <w:szCs w:val="15"/>
                <w:color w:val="auto"/>
              </w:rPr>
            </w:pPr>
          </w:p>
        </w:tc>
      </w:tr>
      <w:tr>
        <w:trPr>
          <w:trHeight w:val="431"/>
        </w:trPr>
        <w:tc>
          <w:tcPr>
            <w:tcW w:w="1120" w:type="dxa"/>
            <w:vAlign w:val="bottom"/>
          </w:tcPr>
          <w:p>
            <w:pPr>
              <w:jc w:val="center"/>
              <w:spacing w:after="0"/>
              <w:rPr>
                <w:sz w:val="20"/>
                <w:szCs w:val="20"/>
                <w:color w:val="auto"/>
              </w:rPr>
            </w:pPr>
            <w:r>
              <w:rPr>
                <w:rFonts w:ascii="Arial" w:cs="Arial" w:eastAsia="Arial" w:hAnsi="Arial"/>
                <w:sz w:val="16"/>
                <w:szCs w:val="16"/>
                <w:color w:val="auto"/>
                <w:w w:val="89"/>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Borders>
              <w:bottom w:val="single" w:sz="8" w:color="0000FF"/>
            </w:tcBorders>
            <w:gridSpan w:val="16"/>
          </w:tcPr>
          <w:p>
            <w:pPr>
              <w:spacing w:after="0"/>
              <w:rPr>
                <w:rFonts w:ascii="Arial" w:cs="Arial" w:eastAsia="Arial" w:hAnsi="Arial"/>
                <w:sz w:val="16"/>
                <w:szCs w:val="16"/>
                <w:color w:val="0000FF"/>
                <w:w w:val="94"/>
              </w:rPr>
            </w:pPr>
            <w:hyperlink w:anchor="page98">
              <w:r>
                <w:rPr>
                  <w:rFonts w:ascii="Arial" w:cs="Arial" w:eastAsia="Arial" w:hAnsi="Arial"/>
                  <w:sz w:val="16"/>
                  <w:szCs w:val="16"/>
                  <w:color w:val="0000FF"/>
                  <w:w w:val="94"/>
                </w:rPr>
                <w:t>Certification of Principal Financial Officer Pursuant to Rules</w:t>
              </w:r>
            </w:hyperlink>
          </w:p>
        </w:tc>
        <w:tc>
          <w:tcPr>
            <w:tcW w:w="20" w:type="dxa"/>
            <w:vAlign w:val="bottom"/>
          </w:tcPr>
          <w:p>
            <w:pPr>
              <w:spacing w:after="0"/>
              <w:rPr>
                <w:sz w:val="24"/>
                <w:szCs w:val="24"/>
                <w:color w:val="auto"/>
              </w:rPr>
            </w:pPr>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tcBorders>
              <w:bottom w:val="single" w:sz="8" w:color="0000FF"/>
            </w:tcBorders>
            <w:gridSpan w:val="13"/>
          </w:tcPr>
          <w:p>
            <w:pPr>
              <w:spacing w:after="0" w:line="174" w:lineRule="exact"/>
              <w:rPr>
                <w:rFonts w:ascii="Arial" w:cs="Arial" w:eastAsia="Arial" w:hAnsi="Arial"/>
                <w:sz w:val="16"/>
                <w:szCs w:val="16"/>
                <w:color w:val="0000FF"/>
                <w:w w:val="91"/>
              </w:rPr>
            </w:pPr>
            <w:hyperlink w:anchor="page98">
              <w:r>
                <w:rPr>
                  <w:rFonts w:ascii="Arial" w:cs="Arial" w:eastAsia="Arial" w:hAnsi="Arial"/>
                  <w:sz w:val="16"/>
                  <w:szCs w:val="16"/>
                  <w:color w:val="0000FF"/>
                  <w:w w:val="91"/>
                </w:rPr>
                <w:t>13a-14(a) and 15d-14(a) under the Securities Exchange Act</w:t>
              </w:r>
            </w:hyperlink>
          </w:p>
        </w:tc>
        <w:tc>
          <w:tcPr>
            <w:tcW w:w="100" w:type="dxa"/>
            <w:vAlign w:val="bottom"/>
            <w:gridSpan w:val="4"/>
          </w:tcPr>
          <w:p>
            <w:pPr>
              <w:spacing w:after="0"/>
              <w:rPr>
                <w:sz w:val="15"/>
                <w:szCs w:val="15"/>
                <w:color w:val="auto"/>
              </w:rPr>
            </w:pPr>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40" w:type="dxa"/>
            <w:vAlign w:val="bottom"/>
            <w:tcBorders>
              <w:bottom w:val="single" w:sz="8" w:color="0000FF"/>
            </w:tcBorders>
            <w:gridSpan w:val="7"/>
          </w:tcPr>
          <w:p>
            <w:pPr>
              <w:spacing w:after="0" w:line="174" w:lineRule="exact"/>
              <w:rPr>
                <w:rFonts w:ascii="Arial" w:cs="Arial" w:eastAsia="Arial" w:hAnsi="Arial"/>
                <w:sz w:val="16"/>
                <w:szCs w:val="16"/>
                <w:color w:val="0000FF"/>
                <w:w w:val="91"/>
              </w:rPr>
            </w:pPr>
            <w:hyperlink w:anchor="page98">
              <w:r>
                <w:rPr>
                  <w:rFonts w:ascii="Arial" w:cs="Arial" w:eastAsia="Arial" w:hAnsi="Arial"/>
                  <w:sz w:val="16"/>
                  <w:szCs w:val="16"/>
                  <w:color w:val="0000FF"/>
                  <w:w w:val="91"/>
                </w:rPr>
                <w:t>of 1934, as Adopted Pursuant to Section 302 of the</w:t>
              </w:r>
            </w:hyperlink>
          </w:p>
        </w:tc>
        <w:tc>
          <w:tcPr>
            <w:tcW w:w="660" w:type="dxa"/>
            <w:vAlign w:val="bottom"/>
            <w:gridSpan w:val="10"/>
          </w:tcPr>
          <w:p>
            <w:pPr>
              <w:spacing w:after="0"/>
              <w:rPr>
                <w:sz w:val="15"/>
                <w:szCs w:val="15"/>
                <w:color w:val="auto"/>
              </w:rPr>
            </w:pPr>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gridSpan w:val="17"/>
          </w:tcPr>
          <w:p>
            <w:pPr>
              <w:spacing w:after="0" w:line="174" w:lineRule="exact"/>
              <w:rPr>
                <w:rFonts w:ascii="Arial" w:cs="Arial" w:eastAsia="Arial" w:hAnsi="Arial"/>
                <w:sz w:val="16"/>
                <w:szCs w:val="16"/>
                <w:color w:val="0000FF"/>
              </w:rPr>
            </w:pPr>
            <w:hyperlink w:anchor="page98">
              <w:r>
                <w:rPr>
                  <w:rFonts w:ascii="Arial" w:cs="Arial" w:eastAsia="Arial" w:hAnsi="Arial"/>
                  <w:sz w:val="16"/>
                  <w:szCs w:val="16"/>
                  <w:color w:val="0000FF"/>
                </w:rPr>
                <w:t>Sarbanes-Oxley Act of 2002.</w:t>
              </w:r>
            </w:hyperlink>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31"/>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32.1†</w:t>
            </w:r>
          </w:p>
        </w:tc>
        <w:tc>
          <w:tcPr>
            <w:tcW w:w="20" w:type="dxa"/>
            <w:vAlign w:val="bottom"/>
          </w:tcPr>
          <w:p>
            <w:pPr>
              <w:spacing w:after="0"/>
              <w:rPr>
                <w:sz w:val="24"/>
                <w:szCs w:val="24"/>
                <w:color w:val="auto"/>
              </w:rPr>
            </w:pPr>
          </w:p>
        </w:tc>
        <w:tc>
          <w:tcPr>
            <w:tcW w:w="3820" w:type="dxa"/>
            <w:vAlign w:val="bottom"/>
            <w:tcBorders>
              <w:bottom w:val="single" w:sz="8" w:color="0000FF"/>
            </w:tcBorders>
            <w:gridSpan w:val="11"/>
          </w:tcPr>
          <w:p>
            <w:pPr>
              <w:spacing w:after="0"/>
              <w:rPr>
                <w:rFonts w:ascii="Arial" w:cs="Arial" w:eastAsia="Arial" w:hAnsi="Arial"/>
                <w:sz w:val="16"/>
                <w:szCs w:val="16"/>
                <w:color w:val="0000FF"/>
                <w:w w:val="94"/>
              </w:rPr>
            </w:pPr>
            <w:hyperlink w:anchor="page100">
              <w:r>
                <w:rPr>
                  <w:rFonts w:ascii="Arial" w:cs="Arial" w:eastAsia="Arial" w:hAnsi="Arial"/>
                  <w:sz w:val="16"/>
                  <w:szCs w:val="16"/>
                  <w:color w:val="0000FF"/>
                  <w:w w:val="94"/>
                </w:rPr>
                <w:t>Certification of Principal Executive Officer Pursuant to 18</w:t>
              </w:r>
            </w:hyperlink>
          </w:p>
        </w:tc>
        <w:tc>
          <w:tcPr>
            <w:tcW w:w="180" w:type="dxa"/>
            <w:vAlign w:val="bottom"/>
            <w:gridSpan w:val="6"/>
          </w:tcPr>
          <w:p>
            <w:pPr>
              <w:spacing w:after="0"/>
              <w:rPr>
                <w:sz w:val="24"/>
                <w:szCs w:val="24"/>
                <w:color w:val="auto"/>
              </w:rPr>
            </w:pPr>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gridSpan w:val="17"/>
          </w:tcPr>
          <w:p>
            <w:pPr>
              <w:spacing w:after="0" w:line="174" w:lineRule="exact"/>
              <w:rPr>
                <w:rFonts w:ascii="Arial" w:cs="Arial" w:eastAsia="Arial" w:hAnsi="Arial"/>
                <w:sz w:val="16"/>
                <w:szCs w:val="16"/>
                <w:color w:val="0000FF"/>
                <w:w w:val="93"/>
              </w:rPr>
            </w:pPr>
            <w:hyperlink w:anchor="page100">
              <w:r>
                <w:rPr>
                  <w:rFonts w:ascii="Arial" w:cs="Arial" w:eastAsia="Arial" w:hAnsi="Arial"/>
                  <w:sz w:val="16"/>
                  <w:szCs w:val="16"/>
                  <w:color w:val="0000FF"/>
                  <w:w w:val="93"/>
                </w:rPr>
                <w:t>U.S.C. Section 1350, as Adopted Pursuant to Section 906 of</w:t>
              </w:r>
            </w:hyperlink>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tcBorders>
              <w:top w:val="single" w:sz="8" w:color="0000FF"/>
              <w:bottom w:val="single" w:sz="8" w:color="0000FF"/>
            </w:tcBorders>
            <w:gridSpan w:val="4"/>
          </w:tcPr>
          <w:p>
            <w:pPr>
              <w:spacing w:after="0" w:line="174" w:lineRule="exact"/>
              <w:rPr>
                <w:rFonts w:ascii="Arial" w:cs="Arial" w:eastAsia="Arial" w:hAnsi="Arial"/>
                <w:sz w:val="16"/>
                <w:szCs w:val="16"/>
                <w:color w:val="0000FF"/>
                <w:w w:val="92"/>
              </w:rPr>
            </w:pPr>
            <w:hyperlink w:anchor="page100">
              <w:r>
                <w:rPr>
                  <w:rFonts w:ascii="Arial" w:cs="Arial" w:eastAsia="Arial" w:hAnsi="Arial"/>
                  <w:sz w:val="16"/>
                  <w:szCs w:val="16"/>
                  <w:color w:val="0000FF"/>
                  <w:w w:val="92"/>
                </w:rPr>
                <w:t>the Sarbanes-Oxley Act of 2002.</w:t>
              </w:r>
            </w:hyperlink>
          </w:p>
        </w:tc>
        <w:tc>
          <w:tcPr>
            <w:tcW w:w="1760" w:type="dxa"/>
            <w:vAlign w:val="bottom"/>
            <w:tcBorders>
              <w:top w:val="single" w:sz="8" w:color="0000FF"/>
            </w:tcBorders>
            <w:gridSpan w:val="10"/>
          </w:tcPr>
          <w:p>
            <w:pPr>
              <w:spacing w:after="0"/>
              <w:rPr>
                <w:sz w:val="15"/>
                <w:szCs w:val="15"/>
                <w:color w:val="auto"/>
              </w:rPr>
            </w:pPr>
          </w:p>
        </w:tc>
        <w:tc>
          <w:tcPr>
            <w:tcW w:w="80" w:type="dxa"/>
            <w:vAlign w:val="bottom"/>
            <w:gridSpan w:val="3"/>
          </w:tcPr>
          <w:p>
            <w:pPr>
              <w:spacing w:after="0"/>
              <w:rPr>
                <w:sz w:val="15"/>
                <w:szCs w:val="15"/>
                <w:color w:val="auto"/>
              </w:rPr>
            </w:pPr>
          </w:p>
        </w:tc>
      </w:tr>
      <w:tr>
        <w:trPr>
          <w:trHeight w:val="431"/>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32.2†</w:t>
            </w:r>
          </w:p>
        </w:tc>
        <w:tc>
          <w:tcPr>
            <w:tcW w:w="20" w:type="dxa"/>
            <w:vAlign w:val="bottom"/>
          </w:tcPr>
          <w:p>
            <w:pPr>
              <w:spacing w:after="0"/>
              <w:rPr>
                <w:sz w:val="24"/>
                <w:szCs w:val="24"/>
                <w:color w:val="auto"/>
              </w:rPr>
            </w:pPr>
          </w:p>
        </w:tc>
        <w:tc>
          <w:tcPr>
            <w:tcW w:w="3780" w:type="dxa"/>
            <w:vAlign w:val="bottom"/>
            <w:tcBorders>
              <w:bottom w:val="single" w:sz="8" w:color="0000FF"/>
            </w:tcBorders>
            <w:gridSpan w:val="10"/>
          </w:tcPr>
          <w:p>
            <w:pPr>
              <w:spacing w:after="0"/>
              <w:rPr>
                <w:rFonts w:ascii="Arial" w:cs="Arial" w:eastAsia="Arial" w:hAnsi="Arial"/>
                <w:sz w:val="16"/>
                <w:szCs w:val="16"/>
                <w:color w:val="0000FF"/>
                <w:w w:val="94"/>
              </w:rPr>
            </w:pPr>
            <w:hyperlink w:anchor="page101">
              <w:r>
                <w:rPr>
                  <w:rFonts w:ascii="Arial" w:cs="Arial" w:eastAsia="Arial" w:hAnsi="Arial"/>
                  <w:sz w:val="16"/>
                  <w:szCs w:val="16"/>
                  <w:color w:val="0000FF"/>
                  <w:w w:val="94"/>
                </w:rPr>
                <w:t>Certification of Principal Financial Officer Pursuant to 18</w:t>
              </w:r>
            </w:hyperlink>
          </w:p>
        </w:tc>
        <w:tc>
          <w:tcPr>
            <w:tcW w:w="220" w:type="dxa"/>
            <w:vAlign w:val="bottom"/>
            <w:gridSpan w:val="7"/>
          </w:tcPr>
          <w:p>
            <w:pPr>
              <w:spacing w:after="0"/>
              <w:rPr>
                <w:sz w:val="24"/>
                <w:szCs w:val="24"/>
                <w:color w:val="auto"/>
              </w:rPr>
            </w:pPr>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gridSpan w:val="17"/>
          </w:tcPr>
          <w:p>
            <w:pPr>
              <w:spacing w:after="0" w:line="174" w:lineRule="exact"/>
              <w:rPr>
                <w:rFonts w:ascii="Arial" w:cs="Arial" w:eastAsia="Arial" w:hAnsi="Arial"/>
                <w:sz w:val="16"/>
                <w:szCs w:val="16"/>
                <w:color w:val="0000FF"/>
                <w:w w:val="93"/>
              </w:rPr>
            </w:pPr>
            <w:hyperlink w:anchor="page101">
              <w:r>
                <w:rPr>
                  <w:rFonts w:ascii="Arial" w:cs="Arial" w:eastAsia="Arial" w:hAnsi="Arial"/>
                  <w:sz w:val="16"/>
                  <w:szCs w:val="16"/>
                  <w:color w:val="0000FF"/>
                  <w:w w:val="93"/>
                </w:rPr>
                <w:t>U.S.C. Section 1350, as Adopted Pursuant to Section 906 of</w:t>
              </w:r>
            </w:hyperlink>
          </w:p>
        </w:tc>
      </w:tr>
      <w:tr>
        <w:trPr>
          <w:trHeight w:val="17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20" w:type="dxa"/>
            <w:vAlign w:val="bottom"/>
            <w:tcBorders>
              <w:top w:val="single" w:sz="8" w:color="0000FF"/>
            </w:tcBorders>
            <w:gridSpan w:val="14"/>
          </w:tcPr>
          <w:p>
            <w:pPr>
              <w:spacing w:after="0" w:line="174" w:lineRule="exact"/>
              <w:rPr>
                <w:rFonts w:ascii="Arial" w:cs="Arial" w:eastAsia="Arial" w:hAnsi="Arial"/>
                <w:sz w:val="16"/>
                <w:szCs w:val="16"/>
                <w:color w:val="0000FF"/>
              </w:rPr>
            </w:pPr>
            <w:hyperlink w:anchor="page101">
              <w:r>
                <w:rPr>
                  <w:rFonts w:ascii="Arial" w:cs="Arial" w:eastAsia="Arial" w:hAnsi="Arial"/>
                  <w:sz w:val="16"/>
                  <w:szCs w:val="16"/>
                  <w:color w:val="0000FF"/>
                </w:rPr>
                <w:t>the Sarbanes-Oxley Act of 2002.</w:t>
              </w:r>
            </w:hyperlink>
          </w:p>
        </w:tc>
        <w:tc>
          <w:tcPr>
            <w:tcW w:w="80" w:type="dxa"/>
            <w:vAlign w:val="bottom"/>
            <w:gridSpan w:val="3"/>
          </w:tcPr>
          <w:p>
            <w:pPr>
              <w:spacing w:after="0"/>
              <w:rPr>
                <w:sz w:val="15"/>
                <w:szCs w:val="15"/>
                <w:color w:val="auto"/>
              </w:rPr>
            </w:pPr>
          </w:p>
        </w:tc>
      </w:tr>
      <w:tr>
        <w:trPr>
          <w:trHeight w:val="466"/>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101.INS</w:t>
            </w:r>
          </w:p>
        </w:tc>
        <w:tc>
          <w:tcPr>
            <w:tcW w:w="20" w:type="dxa"/>
            <w:vAlign w:val="bottom"/>
          </w:tcPr>
          <w:p>
            <w:pPr>
              <w:spacing w:after="0"/>
              <w:rPr>
                <w:sz w:val="24"/>
                <w:szCs w:val="24"/>
                <w:color w:val="auto"/>
              </w:rPr>
            </w:pPr>
          </w:p>
        </w:tc>
        <w:tc>
          <w:tcPr>
            <w:tcW w:w="214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auto"/>
              </w:rPr>
              <w:t>XBRL Instance Document</w:t>
            </w:r>
          </w:p>
        </w:tc>
        <w:tc>
          <w:tcPr>
            <w:tcW w:w="1860" w:type="dxa"/>
            <w:vAlign w:val="bottom"/>
            <w:gridSpan w:val="14"/>
          </w:tcPr>
          <w:p>
            <w:pPr>
              <w:spacing w:after="0"/>
              <w:rPr>
                <w:sz w:val="24"/>
                <w:szCs w:val="24"/>
                <w:color w:val="auto"/>
              </w:rPr>
            </w:pPr>
          </w:p>
        </w:tc>
      </w:tr>
      <w:tr>
        <w:trPr>
          <w:trHeight w:val="297"/>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101.SCH</w:t>
            </w:r>
          </w:p>
        </w:tc>
        <w:tc>
          <w:tcPr>
            <w:tcW w:w="20" w:type="dxa"/>
            <w:vAlign w:val="bottom"/>
          </w:tcPr>
          <w:p>
            <w:pPr>
              <w:spacing w:after="0"/>
              <w:rPr>
                <w:sz w:val="24"/>
                <w:szCs w:val="24"/>
                <w:color w:val="auto"/>
              </w:rPr>
            </w:pPr>
          </w:p>
        </w:tc>
        <w:tc>
          <w:tcPr>
            <w:tcW w:w="4000" w:type="dxa"/>
            <w:vAlign w:val="bottom"/>
            <w:gridSpan w:val="17"/>
          </w:tcPr>
          <w:p>
            <w:pPr>
              <w:spacing w:after="0"/>
              <w:rPr>
                <w:sz w:val="20"/>
                <w:szCs w:val="20"/>
                <w:color w:val="auto"/>
              </w:rPr>
            </w:pPr>
            <w:r>
              <w:rPr>
                <w:rFonts w:ascii="Arial" w:cs="Arial" w:eastAsia="Arial" w:hAnsi="Arial"/>
                <w:sz w:val="16"/>
                <w:szCs w:val="16"/>
                <w:color w:val="auto"/>
              </w:rPr>
              <w:t>XBRL Taxonomy Extension Schema Document</w:t>
            </w:r>
          </w:p>
        </w:tc>
      </w:tr>
      <w:tr>
        <w:trPr>
          <w:trHeight w:val="282"/>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101.CAL</w:t>
            </w:r>
          </w:p>
        </w:tc>
        <w:tc>
          <w:tcPr>
            <w:tcW w:w="20" w:type="dxa"/>
            <w:vAlign w:val="bottom"/>
          </w:tcPr>
          <w:p>
            <w:pPr>
              <w:spacing w:after="0"/>
              <w:rPr>
                <w:sz w:val="24"/>
                <w:szCs w:val="24"/>
                <w:color w:val="auto"/>
              </w:rPr>
            </w:pPr>
          </w:p>
        </w:tc>
        <w:tc>
          <w:tcPr>
            <w:tcW w:w="4000" w:type="dxa"/>
            <w:vAlign w:val="bottom"/>
            <w:gridSpan w:val="17"/>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07"/>
        </w:trPr>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17"/>
          </w:tcPr>
          <w:p>
            <w:pPr>
              <w:spacing w:after="0"/>
              <w:rPr>
                <w:sz w:val="20"/>
                <w:szCs w:val="20"/>
                <w:color w:val="auto"/>
              </w:rPr>
            </w:pPr>
            <w:r>
              <w:rPr>
                <w:rFonts w:ascii="Arial" w:cs="Arial" w:eastAsia="Arial" w:hAnsi="Arial"/>
                <w:sz w:val="16"/>
                <w:szCs w:val="16"/>
                <w:color w:val="auto"/>
              </w:rPr>
              <w:t>Document</w:t>
            </w:r>
          </w:p>
        </w:tc>
      </w:tr>
      <w:tr>
        <w:trPr>
          <w:trHeight w:val="297"/>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101.DEF</w:t>
            </w:r>
          </w:p>
        </w:tc>
        <w:tc>
          <w:tcPr>
            <w:tcW w:w="20" w:type="dxa"/>
            <w:vAlign w:val="bottom"/>
          </w:tcPr>
          <w:p>
            <w:pPr>
              <w:spacing w:after="0"/>
              <w:rPr>
                <w:sz w:val="24"/>
                <w:szCs w:val="24"/>
                <w:color w:val="auto"/>
              </w:rPr>
            </w:pPr>
          </w:p>
        </w:tc>
        <w:tc>
          <w:tcPr>
            <w:tcW w:w="4000" w:type="dxa"/>
            <w:vAlign w:val="bottom"/>
            <w:gridSpan w:val="17"/>
          </w:tcPr>
          <w:p>
            <w:pPr>
              <w:spacing w:after="0"/>
              <w:rPr>
                <w:sz w:val="20"/>
                <w:szCs w:val="20"/>
                <w:color w:val="auto"/>
              </w:rPr>
            </w:pPr>
            <w:r>
              <w:rPr>
                <w:rFonts w:ascii="Arial" w:cs="Arial" w:eastAsia="Arial" w:hAnsi="Arial"/>
                <w:sz w:val="16"/>
                <w:szCs w:val="16"/>
                <w:color w:val="auto"/>
                <w:w w:val="96"/>
              </w:rPr>
              <w:t>XBRL Taxonomy Extension Definition Linkbase Document</w:t>
            </w:r>
          </w:p>
        </w:tc>
      </w:tr>
      <w:tr>
        <w:trPr>
          <w:trHeight w:val="297"/>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101.LAB</w:t>
            </w:r>
          </w:p>
        </w:tc>
        <w:tc>
          <w:tcPr>
            <w:tcW w:w="20" w:type="dxa"/>
            <w:vAlign w:val="bottom"/>
          </w:tcPr>
          <w:p>
            <w:pPr>
              <w:spacing w:after="0"/>
              <w:rPr>
                <w:sz w:val="24"/>
                <w:szCs w:val="24"/>
                <w:color w:val="auto"/>
              </w:rPr>
            </w:pPr>
          </w:p>
        </w:tc>
        <w:tc>
          <w:tcPr>
            <w:tcW w:w="4000" w:type="dxa"/>
            <w:vAlign w:val="bottom"/>
            <w:gridSpan w:val="17"/>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82"/>
        </w:trPr>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101.PRE</w:t>
            </w:r>
          </w:p>
        </w:tc>
        <w:tc>
          <w:tcPr>
            <w:tcW w:w="20" w:type="dxa"/>
            <w:vAlign w:val="bottom"/>
          </w:tcPr>
          <w:p>
            <w:pPr>
              <w:spacing w:after="0"/>
              <w:rPr>
                <w:sz w:val="24"/>
                <w:szCs w:val="24"/>
                <w:color w:val="auto"/>
              </w:rPr>
            </w:pPr>
          </w:p>
        </w:tc>
        <w:tc>
          <w:tcPr>
            <w:tcW w:w="4000" w:type="dxa"/>
            <w:vAlign w:val="bottom"/>
            <w:gridSpan w:val="17"/>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07"/>
        </w:trPr>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17"/>
          </w:tcPr>
          <w:p>
            <w:pPr>
              <w:spacing w:after="0"/>
              <w:rPr>
                <w:sz w:val="20"/>
                <w:szCs w:val="20"/>
                <w:color w:val="auto"/>
              </w:rPr>
            </w:pPr>
            <w:r>
              <w:rPr>
                <w:rFonts w:ascii="Arial" w:cs="Arial" w:eastAsia="Arial" w:hAnsi="Arial"/>
                <w:sz w:val="16"/>
                <w:szCs w:val="16"/>
                <w:color w:val="auto"/>
              </w:rPr>
              <w:t>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920" w:type="dxa"/>
            <w:vAlign w:val="bottom"/>
          </w:tcPr>
          <w:p>
            <w:pPr>
              <w:jc w:val="center"/>
              <w:ind w:right="523"/>
              <w:spacing w:after="0"/>
              <w:rPr>
                <w:sz w:val="20"/>
                <w:szCs w:val="20"/>
                <w:color w:val="auto"/>
              </w:rPr>
            </w:pPr>
            <w:r>
              <w:rPr>
                <w:rFonts w:ascii="Arial" w:cs="Arial" w:eastAsia="Arial" w:hAnsi="Arial"/>
                <w:sz w:val="14"/>
                <w:szCs w:val="14"/>
                <w:b w:val="1"/>
                <w:bCs w:val="1"/>
                <w:color w:val="auto"/>
                <w:w w:val="91"/>
              </w:rPr>
              <w:t>Form</w:t>
            </w:r>
          </w:p>
        </w:tc>
        <w:tc>
          <w:tcPr>
            <w:tcW w:w="1700" w:type="dxa"/>
            <w:vAlign w:val="bottom"/>
          </w:tcPr>
          <w:p>
            <w:pPr>
              <w:jc w:val="center"/>
              <w:ind w:left="123"/>
              <w:spacing w:after="0"/>
              <w:rPr>
                <w:sz w:val="20"/>
                <w:szCs w:val="20"/>
                <w:color w:val="auto"/>
              </w:rPr>
            </w:pPr>
            <w:r>
              <w:rPr>
                <w:rFonts w:ascii="Arial" w:cs="Arial" w:eastAsia="Arial" w:hAnsi="Arial"/>
                <w:sz w:val="14"/>
                <w:szCs w:val="14"/>
                <w:b w:val="1"/>
                <w:bCs w:val="1"/>
                <w:color w:val="auto"/>
                <w:w w:val="90"/>
              </w:rPr>
              <w:t>File No.</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1080" w:type="dxa"/>
            <w:vAlign w:val="bottom"/>
          </w:tcPr>
          <w:p>
            <w:pPr>
              <w:ind w:left="400"/>
              <w:spacing w:after="0"/>
              <w:rPr>
                <w:sz w:val="20"/>
                <w:szCs w:val="20"/>
                <w:color w:val="auto"/>
              </w:rPr>
            </w:pPr>
            <w:r>
              <w:rPr>
                <w:rFonts w:ascii="Arial" w:cs="Arial" w:eastAsia="Arial" w:hAnsi="Arial"/>
                <w:sz w:val="14"/>
                <w:szCs w:val="14"/>
                <w:b w:val="1"/>
                <w:bCs w:val="1"/>
                <w:color w:val="auto"/>
                <w:w w:val="92"/>
              </w:rPr>
              <w:t>Filing Date</w:t>
            </w:r>
          </w:p>
        </w:tc>
      </w:tr>
      <w:tr>
        <w:trPr>
          <w:trHeight w:val="435"/>
        </w:trPr>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jc w:val="center"/>
              <w:ind w:left="278"/>
              <w:spacing w:after="0"/>
              <w:rPr>
                <w:sz w:val="20"/>
                <w:szCs w:val="20"/>
                <w:color w:val="auto"/>
              </w:rPr>
            </w:pPr>
            <w:r>
              <w:rPr>
                <w:rFonts w:ascii="Arial" w:cs="Arial" w:eastAsia="Arial" w:hAnsi="Arial"/>
                <w:sz w:val="17"/>
                <w:szCs w:val="17"/>
                <w:color w:val="auto"/>
              </w:rPr>
              <w:t>*</w:t>
            </w:r>
          </w:p>
        </w:tc>
      </w:tr>
      <w:tr>
        <w:trPr>
          <w:trHeight w:val="645"/>
        </w:trPr>
        <w:tc>
          <w:tcPr>
            <w:tcW w:w="920" w:type="dxa"/>
            <w:vAlign w:val="bottom"/>
          </w:tcPr>
          <w:p>
            <w:pPr>
              <w:jc w:val="center"/>
              <w:ind w:right="523"/>
              <w:spacing w:after="0"/>
              <w:rPr>
                <w:sz w:val="20"/>
                <w:szCs w:val="20"/>
                <w:color w:val="auto"/>
              </w:rPr>
            </w:pPr>
            <w:r>
              <w:rPr>
                <w:rFonts w:ascii="Arial" w:cs="Arial" w:eastAsia="Arial" w:hAnsi="Arial"/>
                <w:sz w:val="16"/>
                <w:szCs w:val="16"/>
                <w:color w:val="auto"/>
                <w:w w:val="96"/>
              </w:rPr>
              <w:t>8-K</w:t>
            </w:r>
          </w:p>
        </w:tc>
        <w:tc>
          <w:tcPr>
            <w:tcW w:w="1700" w:type="dxa"/>
            <w:vAlign w:val="bottom"/>
          </w:tcPr>
          <w:p>
            <w:pPr>
              <w:jc w:val="center"/>
              <w:ind w:left="143"/>
              <w:spacing w:after="0"/>
              <w:rPr>
                <w:sz w:val="20"/>
                <w:szCs w:val="20"/>
                <w:color w:val="auto"/>
              </w:rPr>
            </w:pPr>
            <w:r>
              <w:rPr>
                <w:rFonts w:ascii="Arial" w:cs="Arial" w:eastAsia="Arial" w:hAnsi="Arial"/>
                <w:sz w:val="16"/>
                <w:szCs w:val="16"/>
                <w:color w:val="auto"/>
                <w:w w:val="94"/>
              </w:rPr>
              <w:t>001-39747</w:t>
            </w: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080" w:type="dxa"/>
            <w:vAlign w:val="bottom"/>
          </w:tcPr>
          <w:p>
            <w:pPr>
              <w:jc w:val="center"/>
              <w:ind w:left="298"/>
              <w:spacing w:after="0"/>
              <w:rPr>
                <w:sz w:val="20"/>
                <w:szCs w:val="20"/>
                <w:color w:val="auto"/>
              </w:rPr>
            </w:pPr>
            <w:r>
              <w:rPr>
                <w:rFonts w:ascii="Arial" w:cs="Arial" w:eastAsia="Arial" w:hAnsi="Arial"/>
                <w:sz w:val="17"/>
                <w:szCs w:val="17"/>
                <w:color w:val="auto"/>
                <w:w w:val="92"/>
              </w:rPr>
              <w:t>2/18/2022</w:t>
            </w:r>
          </w:p>
        </w:tc>
      </w:tr>
      <w:tr>
        <w:trPr>
          <w:trHeight w:val="645"/>
        </w:trPr>
        <w:tc>
          <w:tcPr>
            <w:tcW w:w="920" w:type="dxa"/>
            <w:vAlign w:val="bottom"/>
          </w:tcPr>
          <w:p>
            <w:pPr>
              <w:jc w:val="center"/>
              <w:ind w:right="523"/>
              <w:spacing w:after="0"/>
              <w:rPr>
                <w:sz w:val="20"/>
                <w:szCs w:val="20"/>
                <w:color w:val="auto"/>
              </w:rPr>
            </w:pPr>
            <w:r>
              <w:rPr>
                <w:rFonts w:ascii="Arial" w:cs="Arial" w:eastAsia="Arial" w:hAnsi="Arial"/>
                <w:sz w:val="16"/>
                <w:szCs w:val="16"/>
                <w:color w:val="auto"/>
                <w:w w:val="96"/>
              </w:rPr>
              <w:t>8-K</w:t>
            </w:r>
          </w:p>
        </w:tc>
        <w:tc>
          <w:tcPr>
            <w:tcW w:w="1700" w:type="dxa"/>
            <w:vAlign w:val="bottom"/>
          </w:tcPr>
          <w:p>
            <w:pPr>
              <w:jc w:val="center"/>
              <w:ind w:left="143"/>
              <w:spacing w:after="0"/>
              <w:rPr>
                <w:sz w:val="20"/>
                <w:szCs w:val="20"/>
                <w:color w:val="auto"/>
              </w:rPr>
            </w:pPr>
            <w:r>
              <w:rPr>
                <w:rFonts w:ascii="Arial" w:cs="Arial" w:eastAsia="Arial" w:hAnsi="Arial"/>
                <w:sz w:val="16"/>
                <w:szCs w:val="16"/>
                <w:color w:val="auto"/>
                <w:w w:val="94"/>
              </w:rPr>
              <w:t>001-39747</w:t>
            </w: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080" w:type="dxa"/>
            <w:vAlign w:val="bottom"/>
          </w:tcPr>
          <w:p>
            <w:pPr>
              <w:jc w:val="center"/>
              <w:ind w:left="298"/>
              <w:spacing w:after="0"/>
              <w:rPr>
                <w:sz w:val="20"/>
                <w:szCs w:val="20"/>
                <w:color w:val="auto"/>
              </w:rPr>
            </w:pPr>
            <w:r>
              <w:rPr>
                <w:rFonts w:ascii="Arial" w:cs="Arial" w:eastAsia="Arial" w:hAnsi="Arial"/>
                <w:sz w:val="17"/>
                <w:szCs w:val="17"/>
                <w:color w:val="auto"/>
                <w:w w:val="92"/>
              </w:rPr>
              <w:t>3/18/2022</w:t>
            </w:r>
          </w:p>
        </w:tc>
      </w:tr>
      <w:tr>
        <w:trPr>
          <w:trHeight w:val="838"/>
        </w:trPr>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jc w:val="center"/>
              <w:ind w:left="278"/>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t>
      </w:r>
    </w:p>
    <w:p>
      <w:pPr>
        <w:spacing w:after="0" w:line="2643" w:lineRule="exact"/>
        <w:rPr>
          <w:sz w:val="20"/>
          <w:szCs w:val="20"/>
          <w:color w:val="auto"/>
        </w:rPr>
      </w:pPr>
    </w:p>
    <w:p>
      <w:pPr>
        <w:sectPr>
          <w:pgSz w:w="11900" w:h="16838" w:orient="portrait"/>
          <w:cols w:equalWidth="0" w:num="2">
            <w:col w:w="5220" w:space="640"/>
            <w:col w:w="5360"/>
          </w:cols>
          <w:pgMar w:left="320" w:top="1440" w:right="35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__________</w:t>
      </w:r>
    </w:p>
    <w:p>
      <w:pPr>
        <w:spacing w:after="0" w:line="22" w:lineRule="exact"/>
        <w:rPr>
          <w:sz w:val="20"/>
          <w:szCs w:val="20"/>
          <w:color w:val="auto"/>
        </w:rPr>
      </w:pPr>
    </w:p>
    <w:p>
      <w:pPr>
        <w:ind w:left="140" w:hanging="137"/>
        <w:spacing w:after="0"/>
        <w:tabs>
          <w:tab w:leader="none" w:pos="140" w:val="left"/>
        </w:tabs>
        <w:numPr>
          <w:ilvl w:val="0"/>
          <w:numId w:val="37"/>
        </w:numPr>
        <w:rPr>
          <w:rFonts w:ascii="Arial" w:cs="Arial" w:eastAsia="Arial" w:hAnsi="Arial"/>
          <w:sz w:val="17"/>
          <w:szCs w:val="17"/>
          <w:color w:val="auto"/>
        </w:rPr>
      </w:pPr>
      <w:r>
        <w:rPr>
          <w:rFonts w:ascii="Arial" w:cs="Arial" w:eastAsia="Arial" w:hAnsi="Arial"/>
          <w:sz w:val="14"/>
          <w:szCs w:val="14"/>
          <w:color w:val="auto"/>
        </w:rPr>
        <w:t>Indicates management contract or compensatory plan.</w:t>
      </w:r>
    </w:p>
    <w:p>
      <w:pPr>
        <w:spacing w:after="0" w:line="5" w:lineRule="exact"/>
        <w:rPr>
          <w:sz w:val="20"/>
          <w:szCs w:val="20"/>
          <w:color w:val="auto"/>
        </w:rPr>
      </w:pPr>
    </w:p>
    <w:p>
      <w:pPr>
        <w:ind w:left="320" w:hanging="317"/>
        <w:spacing w:after="0" w:line="230" w:lineRule="auto"/>
        <w:tabs>
          <w:tab w:leader="none" w:pos="113"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73" w:name="page74"/>
    <w:bookmarkEnd w:id="73"/>
    <w:p>
      <w:pPr>
        <w:spacing w:after="0" w:line="7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SIGNATURES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5860"/>
        <w:spacing w:after="0"/>
        <w:rPr>
          <w:sz w:val="20"/>
          <w:szCs w:val="20"/>
          <w:color w:val="auto"/>
        </w:rPr>
      </w:pPr>
      <w:r>
        <w:rPr>
          <w:rFonts w:ascii="Arial" w:cs="Arial" w:eastAsia="Arial" w:hAnsi="Arial"/>
          <w:sz w:val="17"/>
          <w:szCs w:val="17"/>
          <w:b w:val="1"/>
          <w:bCs w:val="1"/>
          <w:color w:val="auto"/>
        </w:rPr>
        <w:t>SEER, INC.</w:t>
      </w:r>
    </w:p>
    <w:p>
      <w:pPr>
        <w:spacing w:after="0" w:line="326" w:lineRule="exact"/>
        <w:rPr>
          <w:sz w:val="20"/>
          <w:szCs w:val="20"/>
          <w:color w:val="auto"/>
        </w:rPr>
      </w:pPr>
    </w:p>
    <w:p>
      <w:pPr>
        <w:ind w:left="20"/>
        <w:spacing w:after="0"/>
        <w:tabs>
          <w:tab w:leader="none" w:pos="5840" w:val="left"/>
          <w:tab w:leader="none" w:pos="6440" w:val="left"/>
        </w:tabs>
        <w:rPr>
          <w:sz w:val="20"/>
          <w:szCs w:val="20"/>
          <w:color w:val="auto"/>
        </w:rPr>
      </w:pPr>
      <w:r>
        <w:rPr>
          <w:rFonts w:ascii="Arial" w:cs="Arial" w:eastAsia="Arial" w:hAnsi="Arial"/>
          <w:sz w:val="17"/>
          <w:szCs w:val="17"/>
          <w:color w:val="auto"/>
        </w:rPr>
        <w:t>Date: May 6,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31115</wp:posOffset>
            </wp:positionV>
            <wp:extent cx="30537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5"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Omid Farokhzad, M.D.</w:t>
      </w:r>
    </w:p>
    <w:p>
      <w:pPr>
        <w:spacing w:after="0" w:line="62"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Chief Executive Officer and</w:t>
      </w:r>
    </w:p>
    <w:p>
      <w:pPr>
        <w:spacing w:after="0" w:line="22"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Chair of the Board of Directors</w:t>
      </w:r>
    </w:p>
    <w:p>
      <w:pPr>
        <w:spacing w:after="0" w:line="52"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5840" w:val="left"/>
          <w:tab w:leader="none" w:pos="6440" w:val="left"/>
        </w:tabs>
        <w:rPr>
          <w:sz w:val="20"/>
          <w:szCs w:val="20"/>
          <w:color w:val="auto"/>
        </w:rPr>
      </w:pPr>
      <w:r>
        <w:rPr>
          <w:rFonts w:ascii="Arial" w:cs="Arial" w:eastAsia="Arial" w:hAnsi="Arial"/>
          <w:sz w:val="17"/>
          <w:szCs w:val="17"/>
          <w:color w:val="auto"/>
        </w:rPr>
        <w:t>Date: May 6,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David R.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31115</wp:posOffset>
            </wp:positionV>
            <wp:extent cx="30537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5"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David R. Horn</w:t>
      </w:r>
    </w:p>
    <w:p>
      <w:pPr>
        <w:spacing w:after="0" w:line="62"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Chief Financial Officer</w:t>
      </w:r>
    </w:p>
    <w:p>
      <w:pPr>
        <w:spacing w:after="0" w:line="62"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 and Accounting Officer</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700"/>
          </w:cols>
          <w:pgMar w:left="320" w:top="1440" w:right="879" w:bottom="1440" w:gutter="0" w:footer="0" w:header="0"/>
        </w:sectPr>
      </w:pPr>
    </w:p>
    <w:bookmarkStart w:id="74" w:name="page75"/>
    <w:bookmarkEnd w:id="74"/>
    <w:p>
      <w:pPr>
        <w:spacing w:after="0"/>
        <w:rPr>
          <w:sz w:val="20"/>
          <w:szCs w:val="20"/>
          <w:color w:val="auto"/>
        </w:rPr>
      </w:pPr>
      <w:r>
        <w:rPr>
          <w:rFonts w:ascii="Arial" w:cs="Arial" w:eastAsia="Arial" w:hAnsi="Arial"/>
          <w:sz w:val="21"/>
          <w:szCs w:val="21"/>
          <w:b w:val="1"/>
          <w:bCs w:val="1"/>
          <w:color w:val="auto"/>
        </w:rPr>
        <w:t>Ex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SEER,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2020 EMPLOYEE STOCK PURCHASE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most recently amended and restated April 20, 2022)</w:t>
      </w:r>
    </w:p>
    <w:p>
      <w:pPr>
        <w:spacing w:after="0" w:line="165" w:lineRule="exact"/>
        <w:rPr>
          <w:sz w:val="20"/>
          <w:szCs w:val="20"/>
          <w:color w:val="auto"/>
        </w:rPr>
      </w:pPr>
    </w:p>
    <w:p>
      <w:pPr>
        <w:jc w:val="both"/>
        <w:ind w:firstLine="622"/>
        <w:spacing w:after="0" w:line="220" w:lineRule="auto"/>
        <w:tabs>
          <w:tab w:leader="none" w:pos="1238" w:val="left"/>
        </w:tabs>
        <w:numPr>
          <w:ilvl w:val="0"/>
          <w:numId w:val="39"/>
        </w:numPr>
        <w:rPr>
          <w:rFonts w:ascii="Arial" w:cs="Arial" w:eastAsia="Arial" w:hAnsi="Arial"/>
          <w:sz w:val="20"/>
          <w:szCs w:val="20"/>
          <w:color w:val="auto"/>
        </w:rPr>
      </w:pPr>
      <w:r>
        <w:rPr>
          <w:rFonts w:ascii="Arial" w:cs="Arial" w:eastAsia="Arial" w:hAnsi="Arial"/>
          <w:sz w:val="20"/>
          <w:szCs w:val="20"/>
          <w:b w:val="1"/>
          <w:bCs w:val="1"/>
          <w:color w:val="auto"/>
        </w:rPr>
        <w:t>Purpose</w:t>
      </w:r>
      <w:r>
        <w:rPr>
          <w:rFonts w:ascii="Arial" w:cs="Arial" w:eastAsia="Arial" w:hAnsi="Arial"/>
          <w:sz w:val="20"/>
          <w:szCs w:val="20"/>
          <w:color w:val="auto"/>
        </w:rPr>
        <w:t>. The purpose of the Plan is to provide employees of the Company and its Designated Companies with an</w:t>
      </w:r>
      <w:r>
        <w:rPr>
          <w:rFonts w:ascii="Arial" w:cs="Arial" w:eastAsia="Arial" w:hAnsi="Arial"/>
          <w:sz w:val="20"/>
          <w:szCs w:val="20"/>
          <w:b w:val="1"/>
          <w:bCs w:val="1"/>
          <w:color w:val="auto"/>
        </w:rPr>
        <w:t xml:space="preserve"> </w:t>
      </w:r>
      <w:r>
        <w:rPr>
          <w:rFonts w:ascii="Arial" w:cs="Arial" w:eastAsia="Arial" w:hAnsi="Arial"/>
          <w:sz w:val="20"/>
          <w:szCs w:val="20"/>
          <w:color w:val="auto"/>
        </w:rPr>
        <w:t>opportunity to purchase Common Stock through accumulated Contributions. The Company intends for the Plan to have two components: a component that is intended to qualify as an “employee stock purchase plan” under Code Section 423 (the “</w:t>
      </w:r>
      <w:r>
        <w:rPr>
          <w:rFonts w:ascii="Arial" w:cs="Arial" w:eastAsia="Arial" w:hAnsi="Arial"/>
          <w:sz w:val="20"/>
          <w:szCs w:val="20"/>
          <w:b w:val="1"/>
          <w:bCs w:val="1"/>
          <w:color w:val="auto"/>
        </w:rPr>
        <w:t>423 Component</w:t>
      </w:r>
      <w:r>
        <w:rPr>
          <w:rFonts w:ascii="Arial" w:cs="Arial" w:eastAsia="Arial" w:hAnsi="Arial"/>
          <w:sz w:val="20"/>
          <w:szCs w:val="20"/>
          <w:color w:val="auto"/>
        </w:rPr>
        <w:t>”) and a component that is not intended to qualify as an “employee stock purchase plan” under Code Section 423 (the “</w:t>
      </w:r>
      <w:r>
        <w:rPr>
          <w:rFonts w:ascii="Arial" w:cs="Arial" w:eastAsia="Arial" w:hAnsi="Arial"/>
          <w:sz w:val="20"/>
          <w:szCs w:val="20"/>
          <w:b w:val="1"/>
          <w:bCs w:val="1"/>
          <w:color w:val="auto"/>
        </w:rPr>
        <w:t>Non-423 Component</w:t>
      </w:r>
      <w:r>
        <w:rPr>
          <w:rFonts w:ascii="Arial" w:cs="Arial" w:eastAsia="Arial" w:hAnsi="Arial"/>
          <w:sz w:val="20"/>
          <w:szCs w:val="20"/>
          <w:color w:val="auto"/>
        </w:rPr>
        <w:t>”). The provisions of the 423 Component, accordingly, will be construed so as to extend and limit Plan participation in a uniform and nondiscriminatory basis consistent with the requirements of Code Section 423. In addition, this Plan authorizes the grant of an option to purchase shares of Common Stock under the Non-423 Component that does not qualify as an “employee stock purchase plan” under Code Section 423; an option granted under the Non-423 Component will provide for substantially the same benefits as an option granted under the 423 Component, except that a Non-423 Component option may include features necessary to comply with applicable non-U.S. laws pursuant to rules, procedures or sub-plans adopted by the Administrator. Except as otherwise provided herein or by the Administrator, the Non-423 Component will operate and be administered in the same manner as the 423 Component.</w:t>
      </w:r>
    </w:p>
    <w:p>
      <w:pPr>
        <w:spacing w:after="0" w:line="151" w:lineRule="exact"/>
        <w:rPr>
          <w:rFonts w:ascii="Arial" w:cs="Arial" w:eastAsia="Arial" w:hAnsi="Arial"/>
          <w:sz w:val="20"/>
          <w:szCs w:val="20"/>
          <w:color w:val="auto"/>
        </w:rPr>
      </w:pPr>
    </w:p>
    <w:p>
      <w:pPr>
        <w:ind w:left="1240" w:hanging="618"/>
        <w:spacing w:after="0"/>
        <w:tabs>
          <w:tab w:leader="none" w:pos="1240" w:val="left"/>
        </w:tabs>
        <w:numPr>
          <w:ilvl w:val="0"/>
          <w:numId w:val="39"/>
        </w:numPr>
        <w:rPr>
          <w:rFonts w:ascii="Arial" w:cs="Arial" w:eastAsia="Arial" w:hAnsi="Arial"/>
          <w:sz w:val="21"/>
          <w:szCs w:val="21"/>
          <w:color w:val="auto"/>
        </w:rPr>
      </w:pPr>
      <w:r>
        <w:rPr>
          <w:rFonts w:ascii="Arial" w:cs="Arial" w:eastAsia="Arial" w:hAnsi="Arial"/>
          <w:sz w:val="21"/>
          <w:szCs w:val="21"/>
          <w:b w:val="1"/>
          <w:bCs w:val="1"/>
          <w:color w:val="auto"/>
        </w:rPr>
        <w:t>Definitions</w:t>
      </w:r>
      <w:r>
        <w:rPr>
          <w:rFonts w:ascii="Arial" w:cs="Arial" w:eastAsia="Arial" w:hAnsi="Arial"/>
          <w:sz w:val="21"/>
          <w:szCs w:val="21"/>
          <w:color w:val="auto"/>
        </w:rPr>
        <w:t>.</w:t>
      </w:r>
    </w:p>
    <w:p>
      <w:pPr>
        <w:spacing w:after="0" w:line="154"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means the Board or any Committee designated by the Board to administer the Plan pursuant to</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Section 3.</w:t>
      </w:r>
    </w:p>
    <w:p>
      <w:pPr>
        <w:spacing w:after="0" w:line="147" w:lineRule="exact"/>
        <w:rPr>
          <w:sz w:val="20"/>
          <w:szCs w:val="20"/>
          <w:color w:val="auto"/>
        </w:rPr>
      </w:pPr>
    </w:p>
    <w:p>
      <w:pPr>
        <w:jc w:val="both"/>
        <w:ind w:firstLine="1238"/>
        <w:spacing w:after="0" w:line="217" w:lineRule="auto"/>
        <w:rPr>
          <w:sz w:val="20"/>
          <w:szCs w:val="20"/>
          <w:color w:val="auto"/>
        </w:rPr>
      </w:pPr>
      <w:r>
        <w:rPr>
          <w:rFonts w:ascii="Arial" w:cs="Arial" w:eastAsia="Arial" w:hAnsi="Arial"/>
          <w:sz w:val="21"/>
          <w:szCs w:val="21"/>
          <w:color w:val="auto"/>
        </w:rPr>
        <w:t>2.2 “</w:t>
      </w:r>
      <w:r>
        <w:rPr>
          <w:rFonts w:ascii="Arial" w:cs="Arial" w:eastAsia="Arial" w:hAnsi="Arial"/>
          <w:sz w:val="21"/>
          <w:szCs w:val="21"/>
          <w:b w:val="1"/>
          <w:bCs w:val="1"/>
          <w:color w:val="auto"/>
        </w:rPr>
        <w:t>Applicable Laws</w:t>
      </w:r>
      <w:r>
        <w:rPr>
          <w:rFonts w:ascii="Arial" w:cs="Arial" w:eastAsia="Arial" w:hAnsi="Arial"/>
          <w:sz w:val="21"/>
          <w:szCs w:val="21"/>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options are, or will be, granted under the Plan.</w:t>
      </w:r>
    </w:p>
    <w:p>
      <w:pPr>
        <w:spacing w:after="0" w:line="146"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jc w:val="both"/>
        <w:ind w:firstLine="1238"/>
        <w:spacing w:after="0" w:line="236" w:lineRule="auto"/>
        <w:rPr>
          <w:sz w:val="20"/>
          <w:szCs w:val="20"/>
          <w:color w:val="auto"/>
        </w:rPr>
      </w:pPr>
      <w:r>
        <w:rPr>
          <w:rFonts w:ascii="Arial" w:cs="Arial" w:eastAsia="Arial" w:hAnsi="Arial"/>
          <w:sz w:val="21"/>
          <w:szCs w:val="21"/>
          <w:color w:val="auto"/>
        </w:rPr>
        <w:t>2.4 “</w:t>
      </w:r>
      <w:r>
        <w:rPr>
          <w:rFonts w:ascii="Arial" w:cs="Arial" w:eastAsia="Arial" w:hAnsi="Arial"/>
          <w:sz w:val="21"/>
          <w:szCs w:val="21"/>
          <w:b w:val="1"/>
          <w:bCs w:val="1"/>
          <w:color w:val="auto"/>
        </w:rPr>
        <w:t>Change in Control</w:t>
      </w:r>
      <w:r>
        <w:rPr>
          <w:rFonts w:ascii="Arial" w:cs="Arial" w:eastAsia="Arial" w:hAnsi="Arial"/>
          <w:sz w:val="21"/>
          <w:szCs w:val="21"/>
          <w:color w:val="auto"/>
        </w:rPr>
        <w:t>” means the occurrence of any of the following events, unless specifically provided otherwise by the Administrator with respect to a particular Offering:</w:t>
      </w:r>
    </w:p>
    <w:p>
      <w:pPr>
        <w:spacing w:after="0" w:line="144" w:lineRule="exact"/>
        <w:rPr>
          <w:sz w:val="20"/>
          <w:szCs w:val="20"/>
          <w:color w:val="auto"/>
        </w:rPr>
      </w:pPr>
    </w:p>
    <w:p>
      <w:pPr>
        <w:jc w:val="both"/>
        <w:ind w:firstLine="1860"/>
        <w:spacing w:after="0" w:line="232" w:lineRule="auto"/>
        <w:tabs>
          <w:tab w:leader="none" w:pos="2472" w:val="left"/>
        </w:tabs>
        <w:numPr>
          <w:ilvl w:val="0"/>
          <w:numId w:val="40"/>
        </w:numPr>
        <w:rPr>
          <w:rFonts w:ascii="Arial" w:cs="Arial" w:eastAsia="Arial" w:hAnsi="Arial"/>
          <w:sz w:val="19"/>
          <w:szCs w:val="19"/>
          <w:color w:val="auto"/>
        </w:rPr>
      </w:pPr>
      <w:r>
        <w:rPr>
          <w:rFonts w:ascii="Arial" w:cs="Arial" w:eastAsia="Arial" w:hAnsi="Arial"/>
          <w:sz w:val="19"/>
          <w:szCs w:val="19"/>
          <w:b w:val="1"/>
          <w:bCs w:val="1"/>
          <w:color w:val="auto"/>
        </w:rPr>
        <w:t>Change in Ownership of the Company</w:t>
      </w:r>
      <w:r>
        <w:rPr>
          <w:rFonts w:ascii="Arial" w:cs="Arial" w:eastAsia="Arial" w:hAnsi="Arial"/>
          <w:sz w:val="19"/>
          <w:szCs w:val="19"/>
          <w:color w:val="auto"/>
        </w:rPr>
        <w:t>. A change in the ownership of the Company which occurs on</w:t>
      </w:r>
      <w:r>
        <w:rPr>
          <w:rFonts w:ascii="Arial" w:cs="Arial" w:eastAsia="Arial" w:hAnsi="Arial"/>
          <w:sz w:val="19"/>
          <w:szCs w:val="19"/>
          <w:b w:val="1"/>
          <w:bCs w:val="1"/>
          <w:color w:val="auto"/>
        </w:rPr>
        <w:t xml:space="preserve"> </w:t>
      </w:r>
      <w:r>
        <w:rPr>
          <w:rFonts w:ascii="Arial" w:cs="Arial" w:eastAsia="Arial" w:hAnsi="Arial"/>
          <w:sz w:val="19"/>
          <w:szCs w:val="19"/>
          <w:color w:val="auto"/>
        </w:rPr>
        <w:t>the date that any one person, or more than one person acting as a group (“</w:t>
      </w:r>
      <w:r>
        <w:rPr>
          <w:rFonts w:ascii="Arial" w:cs="Arial" w:eastAsia="Arial" w:hAnsi="Arial"/>
          <w:sz w:val="19"/>
          <w:szCs w:val="19"/>
          <w:b w:val="1"/>
          <w:bCs w:val="1"/>
          <w:color w:val="auto"/>
        </w:rPr>
        <w:t>Person</w:t>
      </w:r>
      <w:r>
        <w:rPr>
          <w:rFonts w:ascii="Arial" w:cs="Arial" w:eastAsia="Arial" w:hAnsi="Arial"/>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Seer - 2020 Employee Stock Purchase Plan (IPO)(11.15.2020) 4816-8411-7454 v.8.docx</w:t>
      </w:r>
    </w:p>
    <w:p>
      <w:pPr>
        <w:sectPr>
          <w:pgSz w:w="11900" w:h="16838" w:orient="portrait"/>
          <w:cols w:equalWidth="0" w:num="1">
            <w:col w:w="11240"/>
          </w:cols>
          <w:pgMar w:left="320" w:top="96" w:right="339" w:bottom="1440" w:gutter="0" w:footer="0" w:header="0"/>
        </w:sectPr>
      </w:pPr>
    </w:p>
    <w:bookmarkStart w:id="75" w:name="page76"/>
    <w:bookmarkEnd w:id="75"/>
    <w:p>
      <w:pPr>
        <w:spacing w:after="0" w:line="110"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44" w:lineRule="exact"/>
        <w:rPr>
          <w:sz w:val="20"/>
          <w:szCs w:val="20"/>
          <w:color w:val="auto"/>
        </w:rPr>
      </w:pPr>
    </w:p>
    <w:p>
      <w:pPr>
        <w:jc w:val="both"/>
        <w:ind w:firstLine="1860"/>
        <w:spacing w:after="0" w:line="215" w:lineRule="auto"/>
        <w:tabs>
          <w:tab w:leader="none" w:pos="2471" w:val="left"/>
        </w:tabs>
        <w:numPr>
          <w:ilvl w:val="0"/>
          <w:numId w:val="41"/>
        </w:numPr>
        <w:rPr>
          <w:rFonts w:ascii="Arial" w:cs="Arial" w:eastAsia="Arial" w:hAnsi="Arial"/>
          <w:sz w:val="21"/>
          <w:szCs w:val="21"/>
          <w:color w:val="auto"/>
        </w:rPr>
      </w:pPr>
      <w:r>
        <w:rPr>
          <w:rFonts w:ascii="Arial" w:cs="Arial" w:eastAsia="Arial" w:hAnsi="Arial"/>
          <w:sz w:val="21"/>
          <w:szCs w:val="21"/>
          <w:b w:val="1"/>
          <w:bCs w:val="1"/>
          <w:color w:val="auto"/>
        </w:rPr>
        <w:t>Change in Effective Control of the Company</w:t>
      </w:r>
      <w:r>
        <w:rPr>
          <w:rFonts w:ascii="Arial" w:cs="Arial" w:eastAsia="Arial" w:hAnsi="Arial"/>
          <w:sz w:val="21"/>
          <w:szCs w:val="21"/>
          <w:color w:val="auto"/>
        </w:rPr>
        <w:t>. If the Company has a class of securities registered</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45" w:lineRule="exact"/>
        <w:rPr>
          <w:rFonts w:ascii="Arial" w:cs="Arial" w:eastAsia="Arial" w:hAnsi="Arial"/>
          <w:sz w:val="21"/>
          <w:szCs w:val="21"/>
          <w:color w:val="auto"/>
        </w:rPr>
      </w:pPr>
    </w:p>
    <w:p>
      <w:pPr>
        <w:jc w:val="both"/>
        <w:ind w:firstLine="1860"/>
        <w:spacing w:after="0" w:line="231" w:lineRule="auto"/>
        <w:tabs>
          <w:tab w:leader="none" w:pos="2472" w:val="left"/>
        </w:tabs>
        <w:numPr>
          <w:ilvl w:val="0"/>
          <w:numId w:val="41"/>
        </w:numPr>
        <w:rPr>
          <w:rFonts w:ascii="Arial" w:cs="Arial" w:eastAsia="Arial" w:hAnsi="Arial"/>
          <w:sz w:val="19"/>
          <w:szCs w:val="19"/>
          <w:color w:val="auto"/>
        </w:rPr>
      </w:pPr>
      <w:r>
        <w:rPr>
          <w:rFonts w:ascii="Arial" w:cs="Arial" w:eastAsia="Arial" w:hAnsi="Arial"/>
          <w:sz w:val="19"/>
          <w:szCs w:val="19"/>
          <w:b w:val="1"/>
          <w:bCs w:val="1"/>
          <w:color w:val="auto"/>
        </w:rPr>
        <w:t>Change in Ownership of a Substantial Portion of the Company’s Assets</w:t>
      </w:r>
      <w:r>
        <w:rPr>
          <w:rFonts w:ascii="Arial" w:cs="Arial" w:eastAsia="Arial" w:hAnsi="Arial"/>
          <w:sz w:val="19"/>
          <w:szCs w:val="19"/>
          <w:color w:val="auto"/>
        </w:rPr>
        <w:t>. A change in the ownership</w:t>
      </w:r>
      <w:r>
        <w:rPr>
          <w:rFonts w:ascii="Arial" w:cs="Arial" w:eastAsia="Arial" w:hAnsi="Arial"/>
          <w:sz w:val="19"/>
          <w:szCs w:val="19"/>
          <w:b w:val="1"/>
          <w:bCs w:val="1"/>
          <w:color w:val="auto"/>
        </w:rPr>
        <w:t xml:space="preserve"> </w:t>
      </w:r>
      <w:r>
        <w:rPr>
          <w:rFonts w:ascii="Arial" w:cs="Arial" w:eastAsia="Arial" w:hAnsi="Arial"/>
          <w:sz w:val="19"/>
          <w:szCs w:val="19"/>
          <w:color w:val="auto"/>
        </w:rPr>
        <w:t>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56" w:lineRule="exact"/>
        <w:rPr>
          <w:sz w:val="20"/>
          <w:szCs w:val="20"/>
          <w:color w:val="auto"/>
        </w:rPr>
      </w:pPr>
    </w:p>
    <w:p>
      <w:pPr>
        <w:jc w:val="both"/>
        <w:ind w:firstLine="1238"/>
        <w:spacing w:after="0" w:line="276" w:lineRule="auto"/>
        <w:rPr>
          <w:sz w:val="20"/>
          <w:szCs w:val="20"/>
          <w:color w:val="auto"/>
        </w:rPr>
      </w:pPr>
      <w:r>
        <w:rPr>
          <w:rFonts w:ascii="Arial" w:cs="Arial" w:eastAsia="Arial" w:hAnsi="Arial"/>
          <w:sz w:val="19"/>
          <w:szCs w:val="19"/>
          <w:color w:val="auto"/>
        </w:rPr>
        <w:t>For purposes of this Section 2.4, persons will be considered to be acting as a group if they are owners of a corporation that enters into a merger, consolidation, purchase or acquisition of stock, or similar business transaction with the Company.</w:t>
      </w:r>
    </w:p>
    <w:p>
      <w:pPr>
        <w:spacing w:after="0" w:line="116" w:lineRule="exact"/>
        <w:rPr>
          <w:sz w:val="20"/>
          <w:szCs w:val="20"/>
          <w:color w:val="auto"/>
        </w:rPr>
      </w:pPr>
    </w:p>
    <w:p>
      <w:pPr>
        <w:jc w:val="both"/>
        <w:ind w:firstLine="1238"/>
        <w:spacing w:after="0" w:line="233" w:lineRule="auto"/>
        <w:rPr>
          <w:sz w:val="20"/>
          <w:szCs w:val="20"/>
          <w:color w:val="auto"/>
        </w:rPr>
      </w:pPr>
      <w:r>
        <w:rPr>
          <w:rFonts w:ascii="Arial" w:cs="Arial" w:eastAsia="Arial" w:hAnsi="Arial"/>
          <w:sz w:val="21"/>
          <w:szCs w:val="21"/>
          <w:color w:val="auto"/>
        </w:rPr>
        <w:t>Notwithstanding the foregoing, a transaction will not be deemed a Change in Control unless the transaction qualifies as a change in control event within the meaning of Section 409A.</w:t>
      </w:r>
    </w:p>
    <w:p>
      <w:pPr>
        <w:spacing w:after="0" w:line="150" w:lineRule="exact"/>
        <w:rPr>
          <w:sz w:val="20"/>
          <w:szCs w:val="20"/>
          <w:color w:val="auto"/>
        </w:rPr>
      </w:pPr>
    </w:p>
    <w:p>
      <w:pPr>
        <w:jc w:val="both"/>
        <w:ind w:firstLine="1238"/>
        <w:spacing w:after="0" w:line="251" w:lineRule="auto"/>
        <w:rPr>
          <w:sz w:val="20"/>
          <w:szCs w:val="20"/>
          <w:color w:val="auto"/>
        </w:rPr>
      </w:pPr>
      <w:r>
        <w:rPr>
          <w:rFonts w:ascii="Arial" w:cs="Arial" w:eastAsia="Arial" w:hAnsi="Arial"/>
          <w:sz w:val="19"/>
          <w:szCs w:val="19"/>
          <w:color w:val="auto"/>
        </w:rPr>
        <w:t>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134" w:lineRule="exact"/>
        <w:rPr>
          <w:sz w:val="20"/>
          <w:szCs w:val="20"/>
          <w:color w:val="auto"/>
        </w:rPr>
      </w:pPr>
    </w:p>
    <w:p>
      <w:pPr>
        <w:jc w:val="both"/>
        <w:ind w:firstLine="1238"/>
        <w:spacing w:after="0" w:line="220" w:lineRule="auto"/>
        <w:rPr>
          <w:sz w:val="20"/>
          <w:szCs w:val="20"/>
          <w:color w:val="auto"/>
        </w:rPr>
      </w:pPr>
      <w:r>
        <w:rPr>
          <w:rFonts w:ascii="Arial" w:cs="Arial" w:eastAsia="Arial" w:hAnsi="Arial"/>
          <w:sz w:val="21"/>
          <w:szCs w:val="21"/>
          <w:color w:val="auto"/>
        </w:rPr>
        <w:t>2.5 “</w:t>
      </w:r>
      <w:r>
        <w:rPr>
          <w:rFonts w:ascii="Arial" w:cs="Arial" w:eastAsia="Arial" w:hAnsi="Arial"/>
          <w:sz w:val="21"/>
          <w:szCs w:val="21"/>
          <w:b w:val="1"/>
          <w:bCs w:val="1"/>
          <w:color w:val="auto"/>
        </w:rPr>
        <w:t>Code</w:t>
      </w:r>
      <w:r>
        <w:rPr>
          <w:rFonts w:ascii="Arial" w:cs="Arial" w:eastAsia="Arial" w:hAnsi="Arial"/>
          <w:sz w:val="21"/>
          <w:szCs w:val="21"/>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46"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a committee of the Board appointed in accordance with Section 3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04"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Class A common stock of the Company.</w:t>
      </w:r>
    </w:p>
    <w:p>
      <w:pPr>
        <w:spacing w:after="0" w:line="171"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Seer, Inc., a Delaware corporation, or any successor thereto.</w:t>
      </w:r>
    </w:p>
    <w:p>
      <w:pPr>
        <w:spacing w:after="0" w:line="171" w:lineRule="exact"/>
        <w:rPr>
          <w:sz w:val="20"/>
          <w:szCs w:val="20"/>
          <w:color w:val="auto"/>
        </w:rPr>
      </w:pPr>
    </w:p>
    <w:p>
      <w:pPr>
        <w:jc w:val="both"/>
        <w:ind w:firstLine="1238"/>
        <w:spacing w:after="0" w:line="220" w:lineRule="auto"/>
        <w:rPr>
          <w:sz w:val="20"/>
          <w:szCs w:val="20"/>
          <w:color w:val="auto"/>
        </w:rPr>
      </w:pPr>
      <w:r>
        <w:rPr>
          <w:rFonts w:ascii="Arial" w:cs="Arial" w:eastAsia="Arial" w:hAnsi="Arial"/>
          <w:sz w:val="21"/>
          <w:szCs w:val="21"/>
          <w:color w:val="auto"/>
        </w:rPr>
        <w:t>2.9 “</w:t>
      </w:r>
      <w:r>
        <w:rPr>
          <w:rFonts w:ascii="Arial" w:cs="Arial" w:eastAsia="Arial" w:hAnsi="Arial"/>
          <w:sz w:val="21"/>
          <w:szCs w:val="21"/>
          <w:b w:val="1"/>
          <w:bCs w:val="1"/>
          <w:color w:val="auto"/>
        </w:rPr>
        <w:t>Compensation</w:t>
      </w:r>
      <w:r>
        <w:rPr>
          <w:rFonts w:ascii="Arial" w:cs="Arial" w:eastAsia="Arial" w:hAnsi="Arial"/>
          <w:sz w:val="21"/>
          <w:szCs w:val="21"/>
          <w:color w:val="auto"/>
        </w:rPr>
        <w:t>” means an Eligible Employee’s base straight time gross earnings, but exclusive of payments for overtime, shift premium, commissions, incentive compensation, equity compensation, bonuses and other similar compensation. The Administrator, in its discretion, may, on a uniform and nondiscriminatory basis, establish a different definition of Compensation for a subsequent Offering Period.</w:t>
      </w:r>
    </w:p>
    <w:p>
      <w:pPr>
        <w:spacing w:after="0" w:line="146" w:lineRule="exact"/>
        <w:rPr>
          <w:sz w:val="20"/>
          <w:szCs w:val="20"/>
          <w:color w:val="auto"/>
        </w:rPr>
      </w:pPr>
    </w:p>
    <w:p>
      <w:pPr>
        <w:jc w:val="both"/>
        <w:ind w:firstLine="1238"/>
        <w:spacing w:after="0" w:line="236" w:lineRule="auto"/>
        <w:rPr>
          <w:sz w:val="20"/>
          <w:szCs w:val="20"/>
          <w:color w:val="auto"/>
        </w:rPr>
      </w:pPr>
      <w:r>
        <w:rPr>
          <w:rFonts w:ascii="Arial" w:cs="Arial" w:eastAsia="Arial" w:hAnsi="Arial"/>
          <w:sz w:val="21"/>
          <w:szCs w:val="21"/>
          <w:color w:val="auto"/>
        </w:rPr>
        <w:t>2.10 “</w:t>
      </w:r>
      <w:r>
        <w:rPr>
          <w:rFonts w:ascii="Arial" w:cs="Arial" w:eastAsia="Arial" w:hAnsi="Arial"/>
          <w:sz w:val="21"/>
          <w:szCs w:val="21"/>
          <w:b w:val="1"/>
          <w:bCs w:val="1"/>
          <w:color w:val="auto"/>
        </w:rPr>
        <w:t>Contributions</w:t>
      </w:r>
      <w:r>
        <w:rPr>
          <w:rFonts w:ascii="Arial" w:cs="Arial" w:eastAsia="Arial" w:hAnsi="Arial"/>
          <w:sz w:val="21"/>
          <w:szCs w:val="21"/>
          <w:color w:val="auto"/>
        </w:rPr>
        <w:t>” means the payroll deductions and other additional payments that the Company may permit to be made by a Participant to fund the exercise of options granted pursuant to the Plan.</w:t>
      </w:r>
    </w:p>
    <w:p>
      <w:pPr>
        <w:spacing w:after="0" w:line="144" w:lineRule="exact"/>
        <w:rPr>
          <w:sz w:val="20"/>
          <w:szCs w:val="20"/>
          <w:color w:val="auto"/>
        </w:rPr>
      </w:pPr>
    </w:p>
    <w:p>
      <w:pPr>
        <w:jc w:val="both"/>
        <w:ind w:firstLine="1238"/>
        <w:spacing w:after="0" w:line="231" w:lineRule="auto"/>
        <w:rPr>
          <w:sz w:val="20"/>
          <w:szCs w:val="20"/>
          <w:color w:val="auto"/>
        </w:rPr>
      </w:pPr>
      <w:r>
        <w:rPr>
          <w:rFonts w:ascii="Arial" w:cs="Arial" w:eastAsia="Arial" w:hAnsi="Arial"/>
          <w:sz w:val="20"/>
          <w:szCs w:val="20"/>
          <w:color w:val="auto"/>
        </w:rPr>
        <w:t>2.11 “</w:t>
      </w:r>
      <w:r>
        <w:rPr>
          <w:rFonts w:ascii="Arial" w:cs="Arial" w:eastAsia="Arial" w:hAnsi="Arial"/>
          <w:sz w:val="20"/>
          <w:szCs w:val="20"/>
          <w:b w:val="1"/>
          <w:bCs w:val="1"/>
          <w:color w:val="auto"/>
        </w:rPr>
        <w:t>Designated Company</w:t>
      </w:r>
      <w:r>
        <w:rPr>
          <w:rFonts w:ascii="Arial" w:cs="Arial" w:eastAsia="Arial" w:hAnsi="Arial"/>
          <w:sz w:val="20"/>
          <w:szCs w:val="20"/>
          <w:color w:val="auto"/>
        </w:rPr>
        <w:t>” means any Subsidiary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Non-423 Component.</w:t>
      </w:r>
    </w:p>
    <w:p>
      <w:pPr>
        <w:spacing w:after="0" w:line="146"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2.12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w:t>
      </w:r>
    </w:p>
    <w:p>
      <w:pPr>
        <w:spacing w:after="0" w:line="171" w:lineRule="exact"/>
        <w:rPr>
          <w:sz w:val="20"/>
          <w:szCs w:val="20"/>
          <w:color w:val="auto"/>
        </w:rPr>
      </w:pPr>
    </w:p>
    <w:p>
      <w:pPr>
        <w:jc w:val="both"/>
        <w:ind w:firstLine="1238"/>
        <w:spacing w:after="0" w:line="228" w:lineRule="auto"/>
        <w:rPr>
          <w:sz w:val="20"/>
          <w:szCs w:val="20"/>
          <w:color w:val="auto"/>
        </w:rPr>
      </w:pPr>
      <w:r>
        <w:rPr>
          <w:rFonts w:ascii="Arial" w:cs="Arial" w:eastAsia="Arial" w:hAnsi="Arial"/>
          <w:sz w:val="19"/>
          <w:szCs w:val="19"/>
          <w:color w:val="auto"/>
        </w:rPr>
        <w:t>2.13 “</w:t>
      </w:r>
      <w:r>
        <w:rPr>
          <w:rFonts w:ascii="Arial" w:cs="Arial" w:eastAsia="Arial" w:hAnsi="Arial"/>
          <w:sz w:val="19"/>
          <w:szCs w:val="19"/>
          <w:b w:val="1"/>
          <w:bCs w:val="1"/>
          <w:color w:val="auto"/>
        </w:rPr>
        <w:t>Eligible Employee</w:t>
      </w:r>
      <w:r>
        <w:rPr>
          <w:rFonts w:ascii="Arial" w:cs="Arial" w:eastAsia="Arial" w:hAnsi="Arial"/>
          <w:sz w:val="19"/>
          <w:szCs w:val="19"/>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Regulations Section 1.423-2) that the definition of Eligible Employee will or will not include an individual if he or she: (a) has not completed at least two (2) years of service since his or her last hire date (or such lesser period of time as may be determined by the Administrator in its discretion),</w:t>
      </w:r>
    </w:p>
    <w:p>
      <w:pPr>
        <w:spacing w:after="0" w:line="7" w:lineRule="exact"/>
        <w:rPr>
          <w:sz w:val="20"/>
          <w:szCs w:val="20"/>
          <w:color w:val="auto"/>
        </w:rPr>
      </w:pPr>
    </w:p>
    <w:p>
      <w:pPr>
        <w:jc w:val="both"/>
        <w:ind w:firstLine="3"/>
        <w:spacing w:after="0" w:line="226" w:lineRule="auto"/>
        <w:tabs>
          <w:tab w:leader="none" w:pos="338" w:val="left"/>
        </w:tabs>
        <w:numPr>
          <w:ilvl w:val="0"/>
          <w:numId w:val="42"/>
        </w:numPr>
        <w:rPr>
          <w:rFonts w:ascii="Arial" w:cs="Arial" w:eastAsia="Arial" w:hAnsi="Arial"/>
          <w:sz w:val="19"/>
          <w:szCs w:val="19"/>
          <w:color w:val="auto"/>
        </w:rPr>
      </w:pPr>
      <w:r>
        <w:rPr>
          <w:rFonts w:ascii="Arial" w:cs="Arial" w:eastAsia="Arial" w:hAnsi="Arial"/>
          <w:sz w:val="19"/>
          <w:szCs w:val="19"/>
          <w:color w:val="auto"/>
        </w:rPr>
        <w:t>customarily works not more than twenty (20) hours per week (or such lesser period of time as may be determined by the Administrator in its discretion), (c) customarily works not more than five (5) months per calendar year (or such lesser period of time as may be determined by the Administrator in its discretion), (d) is a highly compensated employee within the meaning of Code Section 414(q), or (e) is a highly compensated employee within the meaning of Code 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w:t>
      </w:r>
    </w:p>
    <w:p>
      <w:pPr>
        <w:spacing w:after="0" w:line="3"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whose employees are participating in that Offering. Each exclusion will be applied with respect to an Offering under the 423 Component in a manner complying with U.S. Treasury Regulations Section 1.423-2(e)(2)(ii). Such exclusions may be applied with respect to an Offering under the Non-423 Component without regard to the limitations of U.S. Treasury Regulations Section 1.423-2.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04"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2.14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Employer</w:t>
      </w:r>
      <w:r>
        <w:rPr>
          <w:rFonts w:ascii="Arial" w:cs="Arial" w:eastAsia="Arial" w:hAnsi="Arial"/>
          <w:sz w:val="19"/>
          <w:szCs w:val="19"/>
          <w:color w:val="auto"/>
        </w:rPr>
        <w:t>” means the employer of the applicable Eligible Employee(s).</w:t>
      </w:r>
    </w:p>
    <w:p>
      <w:pPr>
        <w:spacing w:after="0" w:line="171"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2.15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Enrollment Date</w:t>
      </w:r>
      <w:r>
        <w:rPr>
          <w:rFonts w:ascii="Arial" w:cs="Arial" w:eastAsia="Arial" w:hAnsi="Arial"/>
          <w:sz w:val="19"/>
          <w:szCs w:val="19"/>
          <w:color w:val="auto"/>
        </w:rPr>
        <w:t>” means the first Trading Day of each Offering Period.</w:t>
      </w:r>
    </w:p>
    <w:p>
      <w:pPr>
        <w:spacing w:after="0" w:line="171" w:lineRule="exact"/>
        <w:rPr>
          <w:sz w:val="20"/>
          <w:szCs w:val="20"/>
          <w:color w:val="auto"/>
        </w:rPr>
      </w:pPr>
    </w:p>
    <w:p>
      <w:pPr>
        <w:jc w:val="both"/>
        <w:ind w:firstLine="1238"/>
        <w:spacing w:after="0" w:line="236" w:lineRule="auto"/>
        <w:rPr>
          <w:sz w:val="20"/>
          <w:szCs w:val="20"/>
          <w:color w:val="auto"/>
        </w:rPr>
      </w:pPr>
      <w:r>
        <w:rPr>
          <w:rFonts w:ascii="Arial" w:cs="Arial" w:eastAsia="Arial" w:hAnsi="Arial"/>
          <w:sz w:val="21"/>
          <w:szCs w:val="21"/>
          <w:color w:val="auto"/>
        </w:rPr>
        <w:t>2.16 “</w:t>
      </w:r>
      <w:r>
        <w:rPr>
          <w:rFonts w:ascii="Arial" w:cs="Arial" w:eastAsia="Arial" w:hAnsi="Arial"/>
          <w:sz w:val="21"/>
          <w:szCs w:val="21"/>
          <w:b w:val="1"/>
          <w:bCs w:val="1"/>
          <w:color w:val="auto"/>
        </w:rPr>
        <w:t>Exchange Act</w:t>
      </w:r>
      <w:r>
        <w:rPr>
          <w:rFonts w:ascii="Arial" w:cs="Arial" w:eastAsia="Arial" w:hAnsi="Arial"/>
          <w:sz w:val="21"/>
          <w:szCs w:val="21"/>
          <w:color w:val="auto"/>
        </w:rPr>
        <w:t>” means the U.S. Securities Exchange Act of 1934, as amended, including the rules and regulations promulgated thereunder.</w:t>
      </w:r>
    </w:p>
    <w:p>
      <w:pPr>
        <w:spacing w:after="0" w:line="144" w:lineRule="exact"/>
        <w:rPr>
          <w:sz w:val="20"/>
          <w:szCs w:val="20"/>
          <w:color w:val="auto"/>
        </w:rPr>
      </w:pPr>
    </w:p>
    <w:p>
      <w:pPr>
        <w:jc w:val="both"/>
        <w:ind w:firstLine="1238"/>
        <w:spacing w:after="0" w:line="231" w:lineRule="auto"/>
        <w:rPr>
          <w:sz w:val="20"/>
          <w:szCs w:val="20"/>
          <w:color w:val="auto"/>
        </w:rPr>
      </w:pPr>
      <w:r>
        <w:rPr>
          <w:rFonts w:ascii="Arial" w:cs="Arial" w:eastAsia="Arial" w:hAnsi="Arial"/>
          <w:sz w:val="20"/>
          <w:szCs w:val="20"/>
          <w:color w:val="auto"/>
        </w:rPr>
        <w:t>2.17 “</w:t>
      </w:r>
      <w:r>
        <w:rPr>
          <w:rFonts w:ascii="Arial" w:cs="Arial" w:eastAsia="Arial" w:hAnsi="Arial"/>
          <w:sz w:val="20"/>
          <w:szCs w:val="20"/>
          <w:b w:val="1"/>
          <w:bCs w:val="1"/>
          <w:color w:val="auto"/>
        </w:rPr>
        <w:t>Exercise Date</w:t>
      </w:r>
      <w:r>
        <w:rPr>
          <w:rFonts w:ascii="Arial" w:cs="Arial" w:eastAsia="Arial" w:hAnsi="Arial"/>
          <w:sz w:val="20"/>
          <w:szCs w:val="20"/>
          <w:color w:val="auto"/>
        </w:rPr>
        <w:t>” means the last Trading Day of a Purchase Period. Notwithstanding the foregoing, in the event that an Offering Period is terminated prior to its expiration pursuant to Section 18, the Administrator, in its sole discretion, may determine that any Purchase Period also terminating under such Offering Period will terminate without options being exercised on the Exercise Date(s) that otherwise would have occurred on the last Trading Day of such Purchase Period.</w:t>
      </w:r>
    </w:p>
    <w:p>
      <w:pPr>
        <w:spacing w:after="0" w:line="129"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2.18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Fair Market Value</w:t>
      </w:r>
      <w:r>
        <w:rPr>
          <w:rFonts w:ascii="Arial" w:cs="Arial" w:eastAsia="Arial" w:hAnsi="Arial"/>
          <w:sz w:val="19"/>
          <w:szCs w:val="19"/>
          <w:color w:val="auto"/>
        </w:rPr>
        <w:t>” means, as of any date and unless the Administrator determines otherwise, the value of</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Common Stock determined as follows:</w:t>
      </w:r>
    </w:p>
    <w:p>
      <w:pPr>
        <w:spacing w:after="0" w:line="153" w:lineRule="exact"/>
        <w:rPr>
          <w:sz w:val="20"/>
          <w:szCs w:val="20"/>
          <w:color w:val="auto"/>
        </w:rPr>
      </w:pPr>
    </w:p>
    <w:p>
      <w:pPr>
        <w:jc w:val="both"/>
        <w:ind w:firstLine="1860"/>
        <w:spacing w:after="0" w:line="214" w:lineRule="auto"/>
        <w:tabs>
          <w:tab w:leader="none" w:pos="2472" w:val="left"/>
        </w:tabs>
        <w:numPr>
          <w:ilvl w:val="0"/>
          <w:numId w:val="43"/>
        </w:numPr>
        <w:rPr>
          <w:rFonts w:ascii="Arial" w:cs="Arial" w:eastAsia="Arial" w:hAnsi="Arial"/>
          <w:sz w:val="21"/>
          <w:szCs w:val="21"/>
          <w:color w:val="auto"/>
        </w:rPr>
      </w:pPr>
      <w:r>
        <w:rPr>
          <w:rFonts w:ascii="Arial" w:cs="Arial" w:eastAsia="Arial" w:hAnsi="Arial"/>
          <w:sz w:val="21"/>
          <w:szCs w:val="21"/>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Arial" w:cs="Arial" w:eastAsia="Arial" w:hAnsi="Arial"/>
          <w:sz w:val="21"/>
          <w:szCs w:val="21"/>
          <w:i w:val="1"/>
          <w:iCs w:val="1"/>
          <w:color w:val="auto"/>
        </w:rPr>
        <w:t>The Wall Street Journal</w:t>
      </w:r>
      <w:r>
        <w:rPr>
          <w:rFonts w:ascii="Arial" w:cs="Arial" w:eastAsia="Arial" w:hAnsi="Arial"/>
          <w:sz w:val="21"/>
          <w:szCs w:val="21"/>
          <w:color w:val="auto"/>
        </w:rPr>
        <w:t xml:space="preserve"> or such other source as the Administrator deems reliable;</w:t>
      </w:r>
    </w:p>
    <w:p>
      <w:pPr>
        <w:spacing w:after="0" w:line="151" w:lineRule="exact"/>
        <w:rPr>
          <w:rFonts w:ascii="Arial" w:cs="Arial" w:eastAsia="Arial" w:hAnsi="Arial"/>
          <w:sz w:val="21"/>
          <w:szCs w:val="21"/>
          <w:color w:val="auto"/>
        </w:rPr>
      </w:pPr>
    </w:p>
    <w:p>
      <w:pPr>
        <w:jc w:val="both"/>
        <w:ind w:firstLine="1860"/>
        <w:spacing w:after="0" w:line="243" w:lineRule="auto"/>
        <w:tabs>
          <w:tab w:leader="none" w:pos="2471"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If the Common Stock is regularly quoted by a recognized securities dealer but selling prices are not reported, the Fair Market Value of a share of Common Stock will be the mean between the high bid and low asked prices for the Common Stock on the day of determination (or if no bids and asks were reported on that date, as applicable, on the last Trading Day such bids and asks were reported),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 Administrator deems reliable;</w:t>
      </w:r>
    </w:p>
    <w:p>
      <w:pPr>
        <w:spacing w:after="0" w:line="146" w:lineRule="exact"/>
        <w:rPr>
          <w:rFonts w:ascii="Arial" w:cs="Arial" w:eastAsia="Arial" w:hAnsi="Arial"/>
          <w:sz w:val="19"/>
          <w:szCs w:val="19"/>
          <w:color w:val="auto"/>
        </w:rPr>
      </w:pPr>
    </w:p>
    <w:p>
      <w:pPr>
        <w:ind w:firstLine="1860"/>
        <w:spacing w:after="0" w:line="233" w:lineRule="auto"/>
        <w:tabs>
          <w:tab w:leader="none" w:pos="2472" w:val="left"/>
        </w:tabs>
        <w:numPr>
          <w:ilvl w:val="0"/>
          <w:numId w:val="43"/>
        </w:numPr>
        <w:rPr>
          <w:rFonts w:ascii="Arial" w:cs="Arial" w:eastAsia="Arial" w:hAnsi="Arial"/>
          <w:sz w:val="21"/>
          <w:szCs w:val="21"/>
          <w:color w:val="auto"/>
        </w:rPr>
      </w:pPr>
      <w:r>
        <w:rPr>
          <w:rFonts w:ascii="Arial" w:cs="Arial" w:eastAsia="Arial" w:hAnsi="Arial"/>
          <w:sz w:val="21"/>
          <w:szCs w:val="21"/>
          <w:color w:val="auto"/>
        </w:rPr>
        <w:t>In the absence of an established market for the Common Stock, the Fair Market Value will be determined in good faith by the Administrator.</w:t>
      </w:r>
    </w:p>
    <w:p>
      <w:pPr>
        <w:spacing w:after="0" w:line="150" w:lineRule="exact"/>
        <w:rPr>
          <w:sz w:val="20"/>
          <w:szCs w:val="20"/>
          <w:color w:val="auto"/>
        </w:rPr>
      </w:pPr>
    </w:p>
    <w:p>
      <w:pPr>
        <w:ind w:right="260" w:firstLine="1238"/>
        <w:spacing w:after="0" w:line="276" w:lineRule="auto"/>
        <w:rPr>
          <w:sz w:val="20"/>
          <w:szCs w:val="20"/>
          <w:color w:val="auto"/>
        </w:rPr>
      </w:pPr>
      <w:r>
        <w:rPr>
          <w:rFonts w:ascii="Arial" w:cs="Arial" w:eastAsia="Arial" w:hAnsi="Arial"/>
          <w:sz w:val="19"/>
          <w:szCs w:val="19"/>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10"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2.19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fiscal year of the Company.</w:t>
      </w:r>
    </w:p>
    <w:p>
      <w:pPr>
        <w:spacing w:after="0" w:line="154"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2.20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New Exercise Date</w:t>
      </w:r>
      <w:r>
        <w:rPr>
          <w:rFonts w:ascii="Arial" w:cs="Arial" w:eastAsia="Arial" w:hAnsi="Arial"/>
          <w:sz w:val="19"/>
          <w:szCs w:val="19"/>
          <w:color w:val="auto"/>
        </w:rPr>
        <w:t>” means a new Exercise Date if the Administrator shortens any Offering Period then in</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progress.</w:t>
      </w:r>
    </w:p>
    <w:p>
      <w:pPr>
        <w:spacing w:after="0" w:line="147" w:lineRule="exact"/>
        <w:rPr>
          <w:sz w:val="20"/>
          <w:szCs w:val="20"/>
          <w:color w:val="auto"/>
        </w:rPr>
      </w:pPr>
    </w:p>
    <w:p>
      <w:pPr>
        <w:jc w:val="both"/>
        <w:ind w:firstLine="1238"/>
        <w:spacing w:after="0" w:line="238" w:lineRule="auto"/>
        <w:rPr>
          <w:sz w:val="20"/>
          <w:szCs w:val="20"/>
          <w:color w:val="auto"/>
        </w:rPr>
      </w:pPr>
      <w:r>
        <w:rPr>
          <w:rFonts w:ascii="Arial" w:cs="Arial" w:eastAsia="Arial" w:hAnsi="Arial"/>
          <w:sz w:val="19"/>
          <w:szCs w:val="19"/>
          <w:color w:val="auto"/>
        </w:rPr>
        <w:t>2.21 “</w:t>
      </w:r>
      <w:r>
        <w:rPr>
          <w:rFonts w:ascii="Arial" w:cs="Arial" w:eastAsia="Arial" w:hAnsi="Arial"/>
          <w:sz w:val="19"/>
          <w:szCs w:val="19"/>
          <w:b w:val="1"/>
          <w:bCs w:val="1"/>
          <w:color w:val="auto"/>
        </w:rPr>
        <w:t>Offering</w:t>
      </w:r>
      <w:r>
        <w:rPr>
          <w:rFonts w:ascii="Arial" w:cs="Arial" w:eastAsia="Arial" w:hAnsi="Arial"/>
          <w:sz w:val="19"/>
          <w:szCs w:val="19"/>
          <w:color w:val="auto"/>
        </w:rPr>
        <w:t>” means an offer under the Plan of an option that may be exercised during an 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 Section 1.423-2(a)(1), the terms of each Offering need not be identical provided that the terms of the Plan and an Offering together satisfy U.S. Treasury Regulations Section 1.423-2(a)(2) and (a)(3).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04" w:lineRule="exact"/>
        <w:rPr>
          <w:sz w:val="20"/>
          <w:szCs w:val="20"/>
          <w:color w:val="auto"/>
        </w:rPr>
      </w:pPr>
    </w:p>
    <w:p>
      <w:pPr>
        <w:jc w:val="both"/>
        <w:ind w:firstLine="1238"/>
        <w:spacing w:after="0" w:line="222" w:lineRule="auto"/>
        <w:rPr>
          <w:sz w:val="20"/>
          <w:szCs w:val="20"/>
          <w:color w:val="auto"/>
        </w:rPr>
      </w:pPr>
      <w:r>
        <w:rPr>
          <w:rFonts w:ascii="Arial" w:cs="Arial" w:eastAsia="Arial" w:hAnsi="Arial"/>
          <w:sz w:val="20"/>
          <w:szCs w:val="20"/>
          <w:color w:val="auto"/>
        </w:rPr>
        <w:t>2.22 “</w:t>
      </w:r>
      <w:r>
        <w:rPr>
          <w:rFonts w:ascii="Arial" w:cs="Arial" w:eastAsia="Arial" w:hAnsi="Arial"/>
          <w:sz w:val="20"/>
          <w:szCs w:val="20"/>
          <w:b w:val="1"/>
          <w:bCs w:val="1"/>
          <w:color w:val="auto"/>
        </w:rPr>
        <w:t>Offering Period</w:t>
      </w:r>
      <w:r>
        <w:rPr>
          <w:rFonts w:ascii="Arial" w:cs="Arial" w:eastAsia="Arial" w:hAnsi="Arial"/>
          <w:sz w:val="20"/>
          <w:szCs w:val="20"/>
          <w:color w:val="auto"/>
        </w:rPr>
        <w:t>” means a period beginning on such date as may be determined by the Administrator, in its discretion, during which an Option granted pursuant to the Plan may be exercised. Upon the Administrator’s determination that Offering Periods shall commence under the Plan (the “</w:t>
      </w:r>
      <w:r>
        <w:rPr>
          <w:rFonts w:ascii="Arial" w:cs="Arial" w:eastAsia="Arial" w:hAnsi="Arial"/>
          <w:sz w:val="20"/>
          <w:szCs w:val="20"/>
          <w:b w:val="1"/>
          <w:bCs w:val="1"/>
          <w:color w:val="auto"/>
        </w:rPr>
        <w:t>Offer Commencement Approval</w:t>
      </w:r>
      <w:r>
        <w:rPr>
          <w:rFonts w:ascii="Arial" w:cs="Arial" w:eastAsia="Arial" w:hAnsi="Arial"/>
          <w:sz w:val="20"/>
          <w:szCs w:val="20"/>
          <w:color w:val="auto"/>
        </w:rPr>
        <w:t>”) and unless determined otherwise by the Administrator prior to the Enrollment Date of an Offering Period, Offering Periods will be the consecutive periods of approximately six (6) months commencing on the first Trading Day on or after May 15 and November 15 of each year following the date of the Offer Commencement Approval, and terminating on the first Trading Day on or after November 15 and May 15, respectively, approximately six (6) months later; provided, however, that the first Offering Period under the Plan will commence with the first Trading Day on or after July 15, 2021 and will end on the first Trading Day on or after November 15, 2021. The duration and timing of Offering Periods may be changed pursuant to Sections 6 and 18.</w:t>
      </w:r>
    </w:p>
    <w:p>
      <w:pPr>
        <w:spacing w:after="0" w:line="148"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2.23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a “</w:t>
      </w:r>
      <w:r>
        <w:rPr>
          <w:rFonts w:ascii="Arial" w:cs="Arial" w:eastAsia="Arial" w:hAnsi="Arial"/>
          <w:sz w:val="18"/>
          <w:szCs w:val="18"/>
          <w:b w:val="1"/>
          <w:bCs w:val="1"/>
          <w:color w:val="auto"/>
        </w:rPr>
        <w:t>parent corporation,</w:t>
      </w:r>
      <w:r>
        <w:rPr>
          <w:rFonts w:ascii="Arial" w:cs="Arial" w:eastAsia="Arial" w:hAnsi="Arial"/>
          <w:sz w:val="18"/>
          <w:szCs w:val="18"/>
          <w:color w:val="auto"/>
        </w:rPr>
        <w:t>” whether now or hereafter existing, as defined in Code Section 424(e).</w:t>
      </w:r>
    </w:p>
    <w:p>
      <w:pPr>
        <w:spacing w:after="0" w:line="171"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2.24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 Eligible Employee that participates in the Plan.</w:t>
      </w:r>
    </w:p>
    <w:p>
      <w:pPr>
        <w:spacing w:after="0" w:line="171"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2.25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Seer, Inc. 2020 Employee Stock Purchase Plan.</w:t>
      </w:r>
    </w:p>
    <w:p>
      <w:pPr>
        <w:spacing w:after="0" w:line="171" w:lineRule="exact"/>
        <w:rPr>
          <w:sz w:val="20"/>
          <w:szCs w:val="20"/>
          <w:color w:val="auto"/>
        </w:rPr>
      </w:pPr>
    </w:p>
    <w:p>
      <w:pPr>
        <w:jc w:val="both"/>
        <w:ind w:firstLine="1238"/>
        <w:spacing w:after="0" w:line="215" w:lineRule="auto"/>
        <w:rPr>
          <w:sz w:val="20"/>
          <w:szCs w:val="20"/>
          <w:color w:val="auto"/>
        </w:rPr>
      </w:pPr>
      <w:r>
        <w:rPr>
          <w:rFonts w:ascii="Arial" w:cs="Arial" w:eastAsia="Arial" w:hAnsi="Arial"/>
          <w:sz w:val="21"/>
          <w:szCs w:val="21"/>
          <w:color w:val="auto"/>
        </w:rPr>
        <w:t>2.26 “</w:t>
      </w:r>
      <w:r>
        <w:rPr>
          <w:rFonts w:ascii="Arial" w:cs="Arial" w:eastAsia="Arial" w:hAnsi="Arial"/>
          <w:sz w:val="21"/>
          <w:szCs w:val="21"/>
          <w:b w:val="1"/>
          <w:bCs w:val="1"/>
          <w:color w:val="auto"/>
        </w:rPr>
        <w:t>Purchase Period</w:t>
      </w:r>
      <w:r>
        <w:rPr>
          <w:rFonts w:ascii="Arial" w:cs="Arial" w:eastAsia="Arial" w:hAnsi="Arial"/>
          <w:sz w:val="21"/>
          <w:szCs w:val="21"/>
          <w:color w:val="auto"/>
        </w:rPr>
        <w:t>” means the period during an Offering Period and during which shares of Common Stock may be purchased on behalf of Participants thereunder in accordance with the terms of the Plan. Purchase Periods will have such duration as determined by the Administrator, commencing after one Exercise Date and ending with the next Exercise Date, except that the first Purchase Period of any Offering Period will commence on the Enrollment Date and end with the next Exercise Date. Unless the Administrator provides otherwise, a Purchase Period in an Offering Period will have the same duration as, and coincide with the length of, such Offering Period.</w:t>
      </w:r>
    </w:p>
    <w:p>
      <w:pPr>
        <w:spacing w:after="0" w:line="146" w:lineRule="exact"/>
        <w:rPr>
          <w:sz w:val="20"/>
          <w:szCs w:val="20"/>
          <w:color w:val="auto"/>
        </w:rPr>
      </w:pPr>
    </w:p>
    <w:p>
      <w:pPr>
        <w:jc w:val="both"/>
        <w:ind w:firstLine="1238"/>
        <w:spacing w:after="0" w:line="231" w:lineRule="auto"/>
        <w:rPr>
          <w:sz w:val="20"/>
          <w:szCs w:val="20"/>
          <w:color w:val="auto"/>
        </w:rPr>
      </w:pPr>
      <w:r>
        <w:rPr>
          <w:rFonts w:ascii="Arial" w:cs="Arial" w:eastAsia="Arial" w:hAnsi="Arial"/>
          <w:sz w:val="20"/>
          <w:szCs w:val="20"/>
          <w:color w:val="auto"/>
        </w:rPr>
        <w:t>2.27 “</w:t>
      </w:r>
      <w:r>
        <w:rPr>
          <w:rFonts w:ascii="Arial" w:cs="Arial" w:eastAsia="Arial" w:hAnsi="Arial"/>
          <w:sz w:val="20"/>
          <w:szCs w:val="20"/>
          <w:b w:val="1"/>
          <w:bCs w:val="1"/>
          <w:color w:val="auto"/>
        </w:rPr>
        <w:t>Purchase Price</w:t>
      </w:r>
      <w:r>
        <w:rPr>
          <w:rFonts w:ascii="Arial" w:cs="Arial" w:eastAsia="Arial" w:hAnsi="Arial"/>
          <w:sz w:val="20"/>
          <w:szCs w:val="20"/>
          <w:color w:val="auto"/>
        </w:rPr>
        <w:t>” means an amount equal to eighty-five percent (85%) of the Fair Market Value of a share of Common Stock on the Enrollment Date or on the Exercise Date, whichever is lower; provided however, that the Purchase Price may be determined for subsequent Offering Periods by the Administrator subject to compliance with Code Section 423 (or any successor rule or provision or any other Applicable Law, regulation or stock exchange rule) or pursuant to Section 18.</w:t>
      </w:r>
    </w:p>
    <w:p>
      <w:pPr>
        <w:spacing w:after="0" w:line="146" w:lineRule="exact"/>
        <w:rPr>
          <w:sz w:val="20"/>
          <w:szCs w:val="20"/>
          <w:color w:val="auto"/>
        </w:rPr>
      </w:pPr>
    </w:p>
    <w:p>
      <w:pPr>
        <w:jc w:val="both"/>
        <w:ind w:firstLine="1238"/>
        <w:spacing w:after="0" w:line="256" w:lineRule="auto"/>
        <w:rPr>
          <w:sz w:val="20"/>
          <w:szCs w:val="20"/>
          <w:color w:val="auto"/>
        </w:rPr>
      </w:pPr>
      <w:r>
        <w:rPr>
          <w:rFonts w:ascii="Arial" w:cs="Arial" w:eastAsia="Arial" w:hAnsi="Arial"/>
          <w:sz w:val="20"/>
          <w:szCs w:val="20"/>
          <w:color w:val="auto"/>
        </w:rPr>
        <w:t>2.28 “</w:t>
      </w:r>
      <w:r>
        <w:rPr>
          <w:rFonts w:ascii="Arial" w:cs="Arial" w:eastAsia="Arial" w:hAnsi="Arial"/>
          <w:sz w:val="20"/>
          <w:szCs w:val="20"/>
          <w:b w:val="1"/>
          <w:bCs w:val="1"/>
          <w:color w:val="auto"/>
        </w:rPr>
        <w:t>Registration Date</w:t>
      </w:r>
      <w:r>
        <w:rPr>
          <w:rFonts w:ascii="Arial" w:cs="Arial" w:eastAsia="Arial" w:hAnsi="Arial"/>
          <w:sz w:val="20"/>
          <w:szCs w:val="20"/>
          <w:color w:val="auto"/>
        </w:rPr>
        <w:t>” means the effective date of the first registration statement that is filed by the Company and declared effective pursuant to Section 12(b) of the Exchange Act, with respect to any class of the Company’s securities.</w:t>
      </w:r>
    </w:p>
    <w:p>
      <w:pPr>
        <w:spacing w:after="0" w:line="128" w:lineRule="exact"/>
        <w:rPr>
          <w:sz w:val="20"/>
          <w:szCs w:val="20"/>
          <w:color w:val="auto"/>
        </w:rPr>
      </w:pPr>
    </w:p>
    <w:p>
      <w:pPr>
        <w:jc w:val="both"/>
        <w:ind w:firstLine="1238"/>
        <w:spacing w:after="0" w:line="256" w:lineRule="auto"/>
        <w:rPr>
          <w:sz w:val="20"/>
          <w:szCs w:val="20"/>
          <w:color w:val="auto"/>
        </w:rPr>
      </w:pPr>
      <w:r>
        <w:rPr>
          <w:rFonts w:ascii="Arial" w:cs="Arial" w:eastAsia="Arial" w:hAnsi="Arial"/>
          <w:sz w:val="20"/>
          <w:szCs w:val="20"/>
          <w:color w:val="auto"/>
        </w:rPr>
        <w:t>2.29 “</w:t>
      </w:r>
      <w:r>
        <w:rPr>
          <w:rFonts w:ascii="Arial" w:cs="Arial" w:eastAsia="Arial" w:hAnsi="Arial"/>
          <w:sz w:val="20"/>
          <w:szCs w:val="20"/>
          <w:b w:val="1"/>
          <w:bCs w:val="1"/>
          <w:color w:val="auto"/>
        </w:rPr>
        <w:t>Section 409A</w:t>
      </w:r>
      <w:r>
        <w:rPr>
          <w:rFonts w:ascii="Arial" w:cs="Arial" w:eastAsia="Arial" w:hAnsi="Arial"/>
          <w:sz w:val="20"/>
          <w:szCs w:val="20"/>
          <w:color w:val="auto"/>
        </w:rPr>
        <w:t>” means Code Section 409A and the U.S. Treasury Regulations and guidance thereunder, and any applicable state law equivalent, as each may be promulgated, amended or modified from time to time.</w:t>
      </w:r>
    </w:p>
    <w:p>
      <w:pPr>
        <w:spacing w:after="0" w:line="111"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2.30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a “subsidiary corporation,” whether now or hereafter existing, as defined in Code</w:t>
      </w:r>
    </w:p>
    <w:p>
      <w:pPr>
        <w:spacing w:after="0"/>
        <w:rPr>
          <w:sz w:val="20"/>
          <w:szCs w:val="20"/>
          <w:color w:val="auto"/>
        </w:rPr>
      </w:pPr>
      <w:r>
        <w:rPr>
          <w:rFonts w:ascii="Arial" w:cs="Arial" w:eastAsia="Arial" w:hAnsi="Arial"/>
          <w:sz w:val="21"/>
          <w:szCs w:val="21"/>
          <w:color w:val="auto"/>
        </w:rPr>
        <w:t>Section 424(f).</w:t>
      </w:r>
    </w:p>
    <w:p>
      <w:pPr>
        <w:spacing w:after="0" w:line="147" w:lineRule="exact"/>
        <w:rPr>
          <w:sz w:val="20"/>
          <w:szCs w:val="20"/>
          <w:color w:val="auto"/>
        </w:rPr>
      </w:pPr>
    </w:p>
    <w:p>
      <w:pPr>
        <w:jc w:val="both"/>
        <w:ind w:firstLine="1238"/>
        <w:spacing w:after="0" w:line="226" w:lineRule="auto"/>
        <w:rPr>
          <w:sz w:val="20"/>
          <w:szCs w:val="20"/>
          <w:color w:val="auto"/>
        </w:rPr>
      </w:pPr>
      <w:r>
        <w:rPr>
          <w:rFonts w:ascii="Arial" w:cs="Arial" w:eastAsia="Arial" w:hAnsi="Arial"/>
          <w:sz w:val="21"/>
          <w:szCs w:val="21"/>
          <w:color w:val="auto"/>
        </w:rPr>
        <w:t>2.31 “</w:t>
      </w:r>
      <w:r>
        <w:rPr>
          <w:rFonts w:ascii="Arial" w:cs="Arial" w:eastAsia="Arial" w:hAnsi="Arial"/>
          <w:sz w:val="21"/>
          <w:szCs w:val="21"/>
          <w:b w:val="1"/>
          <w:bCs w:val="1"/>
          <w:color w:val="auto"/>
        </w:rPr>
        <w:t>Trading Day</w:t>
      </w:r>
      <w:r>
        <w:rPr>
          <w:rFonts w:ascii="Arial" w:cs="Arial" w:eastAsia="Arial" w:hAnsi="Arial"/>
          <w:sz w:val="21"/>
          <w:szCs w:val="21"/>
          <w:color w:val="auto"/>
        </w:rPr>
        <w:t>” means a day on which the primary stock exchange, national market system, or other trading platform, as applicable, upon which the Common Stock is listed (or otherwise trades regularly, as determined by the Administrator, in its sole discretion) is open for trading.</w:t>
      </w:r>
    </w:p>
    <w:p>
      <w:pPr>
        <w:spacing w:after="0" w:line="143" w:lineRule="exact"/>
        <w:rPr>
          <w:sz w:val="20"/>
          <w:szCs w:val="20"/>
          <w:color w:val="auto"/>
        </w:rPr>
      </w:pPr>
    </w:p>
    <w:p>
      <w:pPr>
        <w:jc w:val="both"/>
        <w:ind w:firstLine="1238"/>
        <w:spacing w:after="0" w:line="236" w:lineRule="auto"/>
        <w:rPr>
          <w:sz w:val="20"/>
          <w:szCs w:val="20"/>
          <w:color w:val="auto"/>
        </w:rPr>
      </w:pPr>
      <w:r>
        <w:rPr>
          <w:rFonts w:ascii="Arial" w:cs="Arial" w:eastAsia="Arial" w:hAnsi="Arial"/>
          <w:sz w:val="21"/>
          <w:szCs w:val="21"/>
          <w:color w:val="auto"/>
        </w:rPr>
        <w:t>2.32 “</w:t>
      </w:r>
      <w:r>
        <w:rPr>
          <w:rFonts w:ascii="Arial" w:cs="Arial" w:eastAsia="Arial" w:hAnsi="Arial"/>
          <w:sz w:val="21"/>
          <w:szCs w:val="21"/>
          <w:b w:val="1"/>
          <w:bCs w:val="1"/>
          <w:color w:val="auto"/>
        </w:rPr>
        <w:t>U.S. Treasury Regulations</w:t>
      </w:r>
      <w:r>
        <w:rPr>
          <w:rFonts w:ascii="Arial" w:cs="Arial" w:eastAsia="Arial" w:hAnsi="Arial"/>
          <w:sz w:val="21"/>
          <w:szCs w:val="21"/>
          <w:color w:val="auto"/>
        </w:rPr>
        <w:t>” means the Treasury Regulations of the Code. Reference to a specific Treasury Regulation or Section of the Code will include such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10"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Regulation or Section, any valid regulation promulgated under such Section, and any comparable provision of any future legislation or regulation amending, supplementing or superseding such Section or regulation.</w:t>
      </w:r>
    </w:p>
    <w:p>
      <w:pPr>
        <w:spacing w:after="0" w:line="144" w:lineRule="exact"/>
        <w:rPr>
          <w:sz w:val="20"/>
          <w:szCs w:val="20"/>
          <w:color w:val="auto"/>
        </w:rPr>
      </w:pPr>
    </w:p>
    <w:p>
      <w:pPr>
        <w:ind w:left="1240" w:hanging="618"/>
        <w:spacing w:after="0"/>
        <w:tabs>
          <w:tab w:leader="none" w:pos="1240" w:val="left"/>
        </w:tabs>
        <w:numPr>
          <w:ilvl w:val="0"/>
          <w:numId w:val="44"/>
        </w:numPr>
        <w:rPr>
          <w:rFonts w:ascii="Arial" w:cs="Arial" w:eastAsia="Arial" w:hAnsi="Arial"/>
          <w:sz w:val="21"/>
          <w:szCs w:val="21"/>
          <w:color w:val="auto"/>
        </w:rPr>
      </w:pPr>
      <w:r>
        <w:rPr>
          <w:rFonts w:ascii="Arial" w:cs="Arial" w:eastAsia="Arial" w:hAnsi="Arial"/>
          <w:sz w:val="21"/>
          <w:szCs w:val="21"/>
          <w:b w:val="1"/>
          <w:bCs w:val="1"/>
          <w:color w:val="auto"/>
        </w:rPr>
        <w:t>Stock</w:t>
      </w:r>
      <w:r>
        <w:rPr>
          <w:rFonts w:ascii="Arial" w:cs="Arial" w:eastAsia="Arial" w:hAnsi="Arial"/>
          <w:sz w:val="21"/>
          <w:szCs w:val="21"/>
          <w:color w:val="auto"/>
        </w:rPr>
        <w:t>.</w:t>
      </w:r>
    </w:p>
    <w:p>
      <w:pPr>
        <w:spacing w:after="0" w:line="171" w:lineRule="exact"/>
        <w:rPr>
          <w:sz w:val="20"/>
          <w:szCs w:val="20"/>
          <w:color w:val="auto"/>
        </w:rPr>
      </w:pPr>
    </w:p>
    <w:p>
      <w:pPr>
        <w:jc w:val="both"/>
        <w:ind w:firstLine="1238"/>
        <w:spacing w:after="0" w:line="226"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b w:val="1"/>
          <w:bCs w:val="1"/>
          <w:color w:val="auto"/>
        </w:rPr>
        <w:t>Stock Subject to the Plan</w:t>
      </w:r>
      <w:r>
        <w:rPr>
          <w:rFonts w:ascii="Arial" w:cs="Arial" w:eastAsia="Arial" w:hAnsi="Arial"/>
          <w:sz w:val="21"/>
          <w:szCs w:val="21"/>
          <w:color w:val="auto"/>
        </w:rPr>
        <w:t>. Subject to adjustment upon changes in capitalization of the Company as provided in Section 17 hereof, the maximum number of shares of Common Stock that will be made available for sale under the Plan will be equal to 602,570 shares of Common Stock.</w:t>
      </w:r>
    </w:p>
    <w:p>
      <w:pPr>
        <w:spacing w:after="0" w:line="143" w:lineRule="exact"/>
        <w:rPr>
          <w:sz w:val="20"/>
          <w:szCs w:val="20"/>
          <w:color w:val="auto"/>
        </w:rPr>
      </w:pPr>
    </w:p>
    <w:p>
      <w:pPr>
        <w:jc w:val="both"/>
        <w:ind w:firstLine="1238"/>
        <w:spacing w:after="0" w:line="212"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b w:val="1"/>
          <w:bCs w:val="1"/>
          <w:color w:val="auto"/>
        </w:rPr>
        <w:t>Automatic Share Reserve Increase</w:t>
      </w:r>
      <w:r>
        <w:rPr>
          <w:rFonts w:ascii="Arial" w:cs="Arial" w:eastAsia="Arial" w:hAnsi="Arial"/>
          <w:sz w:val="21"/>
          <w:szCs w:val="21"/>
          <w:color w:val="auto"/>
        </w:rPr>
        <w:t>. Subject to adjustment upon changes in capitalization of the Company as provided in Section 17 hereof, the number of shares of Common Stock available for issuance under the Plan will be increased on the first day of each Fiscal Year beginning with the 2021 Fiscal Year in an amount equal to the least of (a) 1,807,476 shares of Common Stock, (b) a number of shares of Common Stock equal to one percent (1%) of the total number of shares of all classes of common stock of the Company (whether Class A common stock, Class B common stock or other class of Company common stock) outstanding on the last day of the immediately preceding Fiscal Year, or (c) such number of shares determined by the Administrator no later than the last day of the immediately preceding Fiscal Year. The shares of Common Stock may be authorized, but unissued, or reacquired Common Stock.</w:t>
      </w:r>
    </w:p>
    <w:p>
      <w:pPr>
        <w:spacing w:after="0" w:line="150" w:lineRule="exact"/>
        <w:rPr>
          <w:sz w:val="20"/>
          <w:szCs w:val="20"/>
          <w:color w:val="auto"/>
        </w:rPr>
      </w:pPr>
    </w:p>
    <w:p>
      <w:pPr>
        <w:ind w:firstLine="622"/>
        <w:spacing w:after="0" w:line="282" w:lineRule="auto"/>
        <w:tabs>
          <w:tab w:leader="none" w:pos="1238" w:val="left"/>
        </w:tabs>
        <w:numPr>
          <w:ilvl w:val="0"/>
          <w:numId w:val="45"/>
        </w:numPr>
        <w:rPr>
          <w:rFonts w:ascii="Arial" w:cs="Arial" w:eastAsia="Arial" w:hAnsi="Arial"/>
          <w:sz w:val="19"/>
          <w:szCs w:val="19"/>
          <w:color w:val="auto"/>
        </w:rPr>
      </w:pPr>
      <w:r>
        <w:rPr>
          <w:rFonts w:ascii="Arial" w:cs="Arial" w:eastAsia="Arial" w:hAnsi="Arial"/>
          <w:sz w:val="19"/>
          <w:szCs w:val="19"/>
          <w:b w:val="1"/>
          <w:bCs w:val="1"/>
          <w:color w:val="auto"/>
        </w:rPr>
        <w:t>Administration</w:t>
      </w:r>
      <w:r>
        <w:rPr>
          <w:rFonts w:ascii="Arial" w:cs="Arial" w:eastAsia="Arial" w:hAnsi="Arial"/>
          <w:sz w:val="19"/>
          <w:szCs w:val="19"/>
          <w:color w:val="auto"/>
        </w:rPr>
        <w:t>. The Plan will be administered by the Board or a Committee appointed by the Board, which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constituted to comply with Applicable Laws. The Administrator will have full and exclusive discretionary authority to</w:t>
      </w:r>
    </w:p>
    <w:p>
      <w:pPr>
        <w:spacing w:after="0" w:line="111" w:lineRule="exact"/>
        <w:rPr>
          <w:rFonts w:ascii="Arial" w:cs="Arial" w:eastAsia="Arial" w:hAnsi="Arial"/>
          <w:sz w:val="19"/>
          <w:szCs w:val="19"/>
          <w:color w:val="auto"/>
        </w:rPr>
      </w:pPr>
    </w:p>
    <w:p>
      <w:pPr>
        <w:ind w:left="1860" w:hanging="619"/>
        <w:spacing w:after="0"/>
        <w:tabs>
          <w:tab w:leader="none" w:pos="1860" w:val="left"/>
        </w:tabs>
        <w:numPr>
          <w:ilvl w:val="1"/>
          <w:numId w:val="45"/>
        </w:numPr>
        <w:rPr>
          <w:rFonts w:ascii="Arial" w:cs="Arial" w:eastAsia="Arial" w:hAnsi="Arial"/>
          <w:sz w:val="21"/>
          <w:szCs w:val="21"/>
          <w:color w:val="auto"/>
        </w:rPr>
      </w:pPr>
      <w:r>
        <w:rPr>
          <w:rFonts w:ascii="Arial" w:cs="Arial" w:eastAsia="Arial" w:hAnsi="Arial"/>
          <w:sz w:val="21"/>
          <w:szCs w:val="21"/>
          <w:color w:val="auto"/>
        </w:rPr>
        <w:t>construe, interpret and apply the terms of the Plan,</w:t>
      </w:r>
    </w:p>
    <w:p>
      <w:pPr>
        <w:spacing w:after="0" w:line="171" w:lineRule="exact"/>
        <w:rPr>
          <w:rFonts w:ascii="Arial" w:cs="Arial" w:eastAsia="Arial" w:hAnsi="Arial"/>
          <w:sz w:val="21"/>
          <w:szCs w:val="21"/>
          <w:color w:val="auto"/>
        </w:rPr>
      </w:pPr>
    </w:p>
    <w:p>
      <w:pPr>
        <w:ind w:left="1860" w:hanging="619"/>
        <w:spacing w:after="0"/>
        <w:tabs>
          <w:tab w:leader="none" w:pos="1860" w:val="left"/>
        </w:tabs>
        <w:numPr>
          <w:ilvl w:val="1"/>
          <w:numId w:val="45"/>
        </w:numPr>
        <w:rPr>
          <w:rFonts w:ascii="Arial" w:cs="Arial" w:eastAsia="Arial" w:hAnsi="Arial"/>
          <w:sz w:val="21"/>
          <w:szCs w:val="21"/>
          <w:color w:val="auto"/>
        </w:rPr>
      </w:pPr>
      <w:r>
        <w:rPr>
          <w:rFonts w:ascii="Arial" w:cs="Arial" w:eastAsia="Arial" w:hAnsi="Arial"/>
          <w:sz w:val="21"/>
          <w:szCs w:val="21"/>
          <w:color w:val="auto"/>
        </w:rPr>
        <w:t>delegate ministerial duties to any of the Company’s employees,</w:t>
      </w:r>
    </w:p>
    <w:p>
      <w:pPr>
        <w:spacing w:after="0" w:line="171" w:lineRule="exact"/>
        <w:rPr>
          <w:rFonts w:ascii="Arial" w:cs="Arial" w:eastAsia="Arial" w:hAnsi="Arial"/>
          <w:sz w:val="21"/>
          <w:szCs w:val="21"/>
          <w:color w:val="auto"/>
        </w:rPr>
      </w:pPr>
    </w:p>
    <w:p>
      <w:pPr>
        <w:ind w:left="1860" w:hanging="619"/>
        <w:spacing w:after="0"/>
        <w:tabs>
          <w:tab w:leader="none" w:pos="1860" w:val="left"/>
        </w:tabs>
        <w:numPr>
          <w:ilvl w:val="1"/>
          <w:numId w:val="45"/>
        </w:numPr>
        <w:rPr>
          <w:rFonts w:ascii="Arial" w:cs="Arial" w:eastAsia="Arial" w:hAnsi="Arial"/>
          <w:sz w:val="21"/>
          <w:szCs w:val="21"/>
          <w:color w:val="auto"/>
        </w:rPr>
      </w:pPr>
      <w:r>
        <w:rPr>
          <w:rFonts w:ascii="Arial" w:cs="Arial" w:eastAsia="Arial" w:hAnsi="Arial"/>
          <w:sz w:val="21"/>
          <w:szCs w:val="21"/>
          <w:color w:val="auto"/>
        </w:rPr>
        <w:t>designate separate Offerings under the Plan,</w:t>
      </w:r>
    </w:p>
    <w:p>
      <w:pPr>
        <w:spacing w:after="0" w:line="171" w:lineRule="exact"/>
        <w:rPr>
          <w:rFonts w:ascii="Arial" w:cs="Arial" w:eastAsia="Arial" w:hAnsi="Arial"/>
          <w:sz w:val="21"/>
          <w:szCs w:val="21"/>
          <w:color w:val="auto"/>
        </w:rPr>
      </w:pPr>
    </w:p>
    <w:p>
      <w:pPr>
        <w:ind w:left="1860" w:hanging="619"/>
        <w:spacing w:after="0"/>
        <w:tabs>
          <w:tab w:leader="none" w:pos="1860" w:val="left"/>
        </w:tabs>
        <w:numPr>
          <w:ilvl w:val="1"/>
          <w:numId w:val="45"/>
        </w:numPr>
        <w:rPr>
          <w:rFonts w:ascii="Arial" w:cs="Arial" w:eastAsia="Arial" w:hAnsi="Arial"/>
          <w:sz w:val="21"/>
          <w:szCs w:val="21"/>
          <w:color w:val="auto"/>
        </w:rPr>
      </w:pPr>
      <w:r>
        <w:rPr>
          <w:rFonts w:ascii="Arial" w:cs="Arial" w:eastAsia="Arial" w:hAnsi="Arial"/>
          <w:sz w:val="21"/>
          <w:szCs w:val="21"/>
          <w:color w:val="auto"/>
        </w:rPr>
        <w:t>designate Subsidiaries as participating in the 423 Component or Non-423 Component,</w:t>
      </w:r>
    </w:p>
    <w:p>
      <w:pPr>
        <w:spacing w:after="0" w:line="171" w:lineRule="exact"/>
        <w:rPr>
          <w:rFonts w:ascii="Arial" w:cs="Arial" w:eastAsia="Arial" w:hAnsi="Arial"/>
          <w:sz w:val="21"/>
          <w:szCs w:val="21"/>
          <w:color w:val="auto"/>
        </w:rPr>
      </w:pPr>
    </w:p>
    <w:p>
      <w:pPr>
        <w:ind w:left="1860" w:hanging="619"/>
        <w:spacing w:after="0"/>
        <w:tabs>
          <w:tab w:leader="none" w:pos="1860" w:val="left"/>
        </w:tabs>
        <w:numPr>
          <w:ilvl w:val="1"/>
          <w:numId w:val="45"/>
        </w:numPr>
        <w:rPr>
          <w:rFonts w:ascii="Arial" w:cs="Arial" w:eastAsia="Arial" w:hAnsi="Arial"/>
          <w:sz w:val="21"/>
          <w:szCs w:val="21"/>
          <w:color w:val="auto"/>
        </w:rPr>
      </w:pPr>
      <w:r>
        <w:rPr>
          <w:rFonts w:ascii="Arial" w:cs="Arial" w:eastAsia="Arial" w:hAnsi="Arial"/>
          <w:sz w:val="21"/>
          <w:szCs w:val="21"/>
          <w:color w:val="auto"/>
        </w:rPr>
        <w:t>determine eligibility,</w:t>
      </w:r>
    </w:p>
    <w:p>
      <w:pPr>
        <w:spacing w:after="0" w:line="171" w:lineRule="exact"/>
        <w:rPr>
          <w:rFonts w:ascii="Arial" w:cs="Arial" w:eastAsia="Arial" w:hAnsi="Arial"/>
          <w:sz w:val="21"/>
          <w:szCs w:val="21"/>
          <w:color w:val="auto"/>
        </w:rPr>
      </w:pPr>
    </w:p>
    <w:p>
      <w:pPr>
        <w:ind w:left="1860" w:hanging="619"/>
        <w:spacing w:after="0"/>
        <w:tabs>
          <w:tab w:leader="none" w:pos="1860" w:val="left"/>
        </w:tabs>
        <w:numPr>
          <w:ilvl w:val="1"/>
          <w:numId w:val="45"/>
        </w:numPr>
        <w:rPr>
          <w:rFonts w:ascii="Arial" w:cs="Arial" w:eastAsia="Arial" w:hAnsi="Arial"/>
          <w:sz w:val="21"/>
          <w:szCs w:val="21"/>
          <w:color w:val="auto"/>
        </w:rPr>
      </w:pPr>
      <w:r>
        <w:rPr>
          <w:rFonts w:ascii="Arial" w:cs="Arial" w:eastAsia="Arial" w:hAnsi="Arial"/>
          <w:sz w:val="21"/>
          <w:szCs w:val="21"/>
          <w:color w:val="auto"/>
        </w:rPr>
        <w:t>adjudicate all disputed claims filed under the Plan, and</w:t>
      </w:r>
    </w:p>
    <w:p>
      <w:pPr>
        <w:spacing w:after="0" w:line="171" w:lineRule="exact"/>
        <w:rPr>
          <w:rFonts w:ascii="Arial" w:cs="Arial" w:eastAsia="Arial" w:hAnsi="Arial"/>
          <w:sz w:val="21"/>
          <w:szCs w:val="21"/>
          <w:color w:val="auto"/>
        </w:rPr>
      </w:pPr>
    </w:p>
    <w:p>
      <w:pPr>
        <w:jc w:val="both"/>
        <w:ind w:firstLine="1241"/>
        <w:spacing w:after="0" w:line="211" w:lineRule="auto"/>
        <w:tabs>
          <w:tab w:leader="none" w:pos="1852" w:val="left"/>
        </w:tabs>
        <w:numPr>
          <w:ilvl w:val="1"/>
          <w:numId w:val="45"/>
        </w:numPr>
        <w:rPr>
          <w:rFonts w:ascii="Arial" w:cs="Arial" w:eastAsia="Arial" w:hAnsi="Arial"/>
          <w:sz w:val="21"/>
          <w:szCs w:val="21"/>
          <w:color w:val="auto"/>
        </w:rPr>
      </w:pPr>
      <w:r>
        <w:rPr>
          <w:rFonts w:ascii="Arial" w:cs="Arial" w:eastAsia="Arial" w:hAnsi="Arial"/>
          <w:sz w:val="21"/>
          <w:szCs w:val="21"/>
          <w:color w:val="auto"/>
        </w:rPr>
        <w:t>establish such procedures that it deems necessary or advisable for the administration of the Plan (including, without limitation, to adopt such procedures, sub-plans, and appendices to the enrollment agreement as are necessary or appropriate to permit the participation in the Plan by employees who are foreign nationals or employed outside the U.S., the terms of which sub-plans and appendices may take precedence over other provisions of this Plan, with the exception of Section 3 hereof, but unless otherwise superseded by the terms of such sub-plan or appendix, the provisions of this Plan will govern the operation of such sub-plan or appendix). Unless otherwise determined by the Administrator, the Eligible Employees eligible to participate in each sub-plan will participate in a separate Offering under the 423 Component, or if the terms would not qualify under the 423 Component, in the Non-423 Component, in either case unless such designation would cause the 423 Component to violate the requirements of Code Section 423.</w:t>
      </w:r>
    </w:p>
    <w:p>
      <w:pPr>
        <w:spacing w:after="0" w:line="152" w:lineRule="exact"/>
        <w:rPr>
          <w:sz w:val="20"/>
          <w:szCs w:val="20"/>
          <w:color w:val="auto"/>
        </w:rPr>
      </w:pPr>
    </w:p>
    <w:p>
      <w:pPr>
        <w:jc w:val="both"/>
        <w:ind w:firstLine="1238"/>
        <w:spacing w:after="0" w:line="224" w:lineRule="auto"/>
        <w:rPr>
          <w:sz w:val="20"/>
          <w:szCs w:val="20"/>
          <w:color w:val="auto"/>
        </w:rPr>
      </w:pPr>
      <w:r>
        <w:rPr>
          <w:rFonts w:ascii="Arial" w:cs="Arial" w:eastAsia="Arial" w:hAnsi="Arial"/>
          <w:sz w:val="21"/>
          <w:szCs w:val="21"/>
          <w:color w:val="auto"/>
        </w:rPr>
        <w:t>Without limiting the generality of the foregoing, the Administrator is specifically authorized to adopt rules and procedures regarding eligibility to participate, the definition of Compensation, handling of Contributions, making of Contributions to the Plan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10"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48" w:lineRule="exact"/>
        <w:rPr>
          <w:sz w:val="20"/>
          <w:szCs w:val="20"/>
          <w:color w:val="auto"/>
        </w:rPr>
      </w:pPr>
    </w:p>
    <w:p>
      <w:pPr>
        <w:ind w:left="1240" w:hanging="618"/>
        <w:spacing w:after="0"/>
        <w:tabs>
          <w:tab w:leader="none" w:pos="1240" w:val="left"/>
        </w:tabs>
        <w:numPr>
          <w:ilvl w:val="0"/>
          <w:numId w:val="46"/>
        </w:numPr>
        <w:rPr>
          <w:rFonts w:ascii="Arial" w:cs="Arial" w:eastAsia="Arial" w:hAnsi="Arial"/>
          <w:sz w:val="21"/>
          <w:szCs w:val="21"/>
          <w:color w:val="auto"/>
        </w:rPr>
      </w:pPr>
      <w:r>
        <w:rPr>
          <w:rFonts w:ascii="Arial" w:cs="Arial" w:eastAsia="Arial" w:hAnsi="Arial"/>
          <w:sz w:val="21"/>
          <w:szCs w:val="21"/>
          <w:b w:val="1"/>
          <w:bCs w:val="1"/>
          <w:color w:val="auto"/>
        </w:rPr>
        <w:t>Eligibility</w:t>
      </w:r>
      <w:r>
        <w:rPr>
          <w:rFonts w:ascii="Arial" w:cs="Arial" w:eastAsia="Arial" w:hAnsi="Arial"/>
          <w:sz w:val="21"/>
          <w:szCs w:val="21"/>
          <w:color w:val="auto"/>
        </w:rPr>
        <w:t>.</w:t>
      </w:r>
    </w:p>
    <w:p>
      <w:pPr>
        <w:spacing w:after="0" w:line="171" w:lineRule="exact"/>
        <w:rPr>
          <w:sz w:val="20"/>
          <w:szCs w:val="20"/>
          <w:color w:val="auto"/>
        </w:rPr>
      </w:pPr>
    </w:p>
    <w:p>
      <w:pPr>
        <w:jc w:val="both"/>
        <w:ind w:firstLine="1238"/>
        <w:spacing w:after="0" w:line="228"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b w:val="1"/>
          <w:bCs w:val="1"/>
          <w:color w:val="auto"/>
        </w:rPr>
        <w:t>Offering Periods</w:t>
      </w:r>
      <w:r>
        <w:rPr>
          <w:rFonts w:ascii="Arial" w:cs="Arial" w:eastAsia="Arial" w:hAnsi="Arial"/>
          <w:sz w:val="20"/>
          <w:szCs w:val="20"/>
          <w:color w:val="auto"/>
        </w:rPr>
        <w:t>. With respect to Offering Periods beginning prior to April 20, 2022, any Eligible Employee on a given Enrollment Date will be eligible to participate in the Plan, subject to the requirements of Section 7. Solely with respect to Offering Periods beginning on or after April 20, 2022, any individual who is an Eligible Employee (i) as of the Friday immediately prior to the applicable Enrollment Date and (ii) through that Enrollment Date will be eligible to participate in the Plan with respect to the Offering Period that begins on that Enrollment Date, subject to the requirements of Section 7.</w:t>
      </w:r>
    </w:p>
    <w:p>
      <w:pPr>
        <w:spacing w:after="0" w:line="145" w:lineRule="exact"/>
        <w:rPr>
          <w:sz w:val="20"/>
          <w:szCs w:val="20"/>
          <w:color w:val="auto"/>
        </w:rPr>
      </w:pPr>
    </w:p>
    <w:p>
      <w:pPr>
        <w:jc w:val="both"/>
        <w:ind w:firstLine="1238"/>
        <w:spacing w:after="0" w:line="239"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b w:val="1"/>
          <w:bCs w:val="1"/>
          <w:color w:val="auto"/>
        </w:rPr>
        <w:t>Non-U.S. Employees</w:t>
      </w:r>
      <w:r>
        <w:rPr>
          <w:rFonts w:ascii="Arial" w:cs="Arial" w:eastAsia="Arial" w:hAnsi="Arial"/>
          <w:sz w:val="19"/>
          <w:szCs w:val="19"/>
          <w:color w:val="auto"/>
        </w:rPr>
        <w:t>. Eligible Employees who are citizens or residents of a non-U.S. jurisdiction (without regard to whether they also are citizens or residents of the United States or resident aliens (within the meaning of Code Section 7701(b)</w:t>
      </w:r>
    </w:p>
    <w:p>
      <w:pPr>
        <w:spacing w:after="0" w:line="1" w:lineRule="exact"/>
        <w:rPr>
          <w:sz w:val="20"/>
          <w:szCs w:val="20"/>
          <w:color w:val="auto"/>
        </w:rPr>
      </w:pPr>
    </w:p>
    <w:p>
      <w:pPr>
        <w:jc w:val="both"/>
        <w:spacing w:after="0" w:line="212" w:lineRule="auto"/>
        <w:rPr>
          <w:sz w:val="20"/>
          <w:szCs w:val="20"/>
          <w:color w:val="auto"/>
        </w:rPr>
      </w:pPr>
      <w:r>
        <w:rPr>
          <w:rFonts w:ascii="Arial" w:cs="Arial" w:eastAsia="Arial" w:hAnsi="Arial"/>
          <w:sz w:val="21"/>
          <w:szCs w:val="21"/>
          <w:color w:val="auto"/>
        </w:rPr>
        <w:t>(1)(A)))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Non-423 Component, an Eligible Employee may be excluded from participation in the Plan or an Offering if the Administrator has determined that participation of such Eligible Employee is not advisable or practicable.</w:t>
      </w:r>
    </w:p>
    <w:p>
      <w:pPr>
        <w:spacing w:after="0" w:line="147" w:lineRule="exact"/>
        <w:rPr>
          <w:sz w:val="20"/>
          <w:szCs w:val="20"/>
          <w:color w:val="auto"/>
        </w:rPr>
      </w:pPr>
    </w:p>
    <w:p>
      <w:pPr>
        <w:jc w:val="both"/>
        <w:ind w:firstLine="1238"/>
        <w:spacing w:after="0" w:line="24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Limitations</w:t>
      </w:r>
      <w:r>
        <w:rPr>
          <w:rFonts w:ascii="Arial" w:cs="Arial" w:eastAsia="Arial" w:hAnsi="Arial"/>
          <w:sz w:val="18"/>
          <w:szCs w:val="18"/>
          <w:color w:val="auto"/>
        </w:rPr>
        <w:t>. Any provisions of the Plan to the contrary notwithstanding, no Eligible Employee will be granted an option under the Plan (a) 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w:t>
      </w:r>
    </w:p>
    <w:p>
      <w:pPr>
        <w:spacing w:after="0" w:line="3" w:lineRule="exact"/>
        <w:rPr>
          <w:sz w:val="20"/>
          <w:szCs w:val="20"/>
          <w:color w:val="auto"/>
        </w:rPr>
      </w:pPr>
    </w:p>
    <w:p>
      <w:pPr>
        <w:jc w:val="both"/>
        <w:ind w:firstLine="3"/>
        <w:spacing w:after="0" w:line="237" w:lineRule="auto"/>
        <w:tabs>
          <w:tab w:leader="none" w:pos="294" w:val="left"/>
        </w:tabs>
        <w:numPr>
          <w:ilvl w:val="0"/>
          <w:numId w:val="47"/>
        </w:numPr>
        <w:rPr>
          <w:rFonts w:ascii="Arial" w:cs="Arial" w:eastAsia="Arial" w:hAnsi="Arial"/>
          <w:sz w:val="19"/>
          <w:szCs w:val="19"/>
          <w:color w:val="auto"/>
        </w:rPr>
      </w:pPr>
      <w:r>
        <w:rPr>
          <w:rFonts w:ascii="Arial" w:cs="Arial" w:eastAsia="Arial" w:hAnsi="Arial"/>
          <w:sz w:val="19"/>
          <w:szCs w:val="19"/>
          <w:color w:val="auto"/>
        </w:rPr>
        <w:t>to the extent that his or her rights to purchase stock under all employee stock purchase plans (as defined in Code Section 423)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Code Section 423 and the regulations thereunder.</w:t>
      </w:r>
    </w:p>
    <w:p>
      <w:pPr>
        <w:spacing w:after="0" w:line="144" w:lineRule="exact"/>
        <w:rPr>
          <w:rFonts w:ascii="Arial" w:cs="Arial" w:eastAsia="Arial" w:hAnsi="Arial"/>
          <w:sz w:val="19"/>
          <w:szCs w:val="19"/>
          <w:color w:val="auto"/>
        </w:rPr>
      </w:pPr>
    </w:p>
    <w:p>
      <w:pPr>
        <w:jc w:val="both"/>
        <w:ind w:firstLine="622"/>
        <w:spacing w:after="0" w:line="236" w:lineRule="auto"/>
        <w:tabs>
          <w:tab w:leader="none" w:pos="1238" w:val="left"/>
        </w:tabs>
        <w:numPr>
          <w:ilvl w:val="1"/>
          <w:numId w:val="47"/>
        </w:numPr>
        <w:rPr>
          <w:rFonts w:ascii="Arial" w:cs="Arial" w:eastAsia="Arial" w:hAnsi="Arial"/>
          <w:sz w:val="19"/>
          <w:szCs w:val="19"/>
          <w:color w:val="auto"/>
        </w:rPr>
      </w:pPr>
      <w:r>
        <w:rPr>
          <w:rFonts w:ascii="Arial" w:cs="Arial" w:eastAsia="Arial" w:hAnsi="Arial"/>
          <w:sz w:val="19"/>
          <w:szCs w:val="19"/>
          <w:b w:val="1"/>
          <w:bCs w:val="1"/>
          <w:color w:val="auto"/>
        </w:rPr>
        <w:t>Offering Periods</w:t>
      </w:r>
      <w:r>
        <w:rPr>
          <w:rFonts w:ascii="Arial" w:cs="Arial" w:eastAsia="Arial" w:hAnsi="Arial"/>
          <w:sz w:val="19"/>
          <w:szCs w:val="19"/>
          <w:color w:val="auto"/>
        </w:rPr>
        <w:t>. The Plan will be implemented by Offering Periods established by the Administrator from time to</w:t>
      </w:r>
      <w:r>
        <w:rPr>
          <w:rFonts w:ascii="Arial" w:cs="Arial" w:eastAsia="Arial" w:hAnsi="Arial"/>
          <w:sz w:val="19"/>
          <w:szCs w:val="19"/>
          <w:b w:val="1"/>
          <w:bCs w:val="1"/>
          <w:color w:val="auto"/>
        </w:rPr>
        <w:t xml:space="preserve"> </w:t>
      </w:r>
      <w:r>
        <w:rPr>
          <w:rFonts w:ascii="Arial" w:cs="Arial" w:eastAsia="Arial" w:hAnsi="Arial"/>
          <w:sz w:val="19"/>
          <w:szCs w:val="19"/>
          <w:color w:val="auto"/>
        </w:rPr>
        <w:t>time. Offering Periods will expire on the earliest to occur of (a) the completion of the purchase of shares on the last Exercise Date occurring within twenty-seven (27) months of the applicable Enrollment Date on which the option to purchase shares was granted under the Plan, or (b) such shorter period established prior to the Enrollment Date of the Offering Period by the Administrator, from time to time, in its discretion, on a uniform and nondiscriminatory basis, for all options to be granted on such Enrollment Date. The Administrator will have the power to change the duration of Offering Periods (including the commencement dates thereof) with respect to future Offerings without stockholder approval if such change is announced prior to the scheduled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10"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beginning of the first Offering Period to be affected thereafter; provided, however, that no Offering Period may last more than twenty-seven (27) months.</w:t>
      </w:r>
    </w:p>
    <w:p>
      <w:pPr>
        <w:spacing w:after="0" w:line="144" w:lineRule="exact"/>
        <w:rPr>
          <w:sz w:val="20"/>
          <w:szCs w:val="20"/>
          <w:color w:val="auto"/>
        </w:rPr>
      </w:pPr>
    </w:p>
    <w:p>
      <w:pPr>
        <w:jc w:val="both"/>
        <w:ind w:firstLine="622"/>
        <w:spacing w:after="0" w:line="217" w:lineRule="auto"/>
        <w:tabs>
          <w:tab w:leader="none" w:pos="1238" w:val="left"/>
        </w:tabs>
        <w:numPr>
          <w:ilvl w:val="0"/>
          <w:numId w:val="48"/>
        </w:numPr>
        <w:rPr>
          <w:rFonts w:ascii="Arial" w:cs="Arial" w:eastAsia="Arial" w:hAnsi="Arial"/>
          <w:sz w:val="21"/>
          <w:szCs w:val="21"/>
          <w:color w:val="auto"/>
        </w:rPr>
      </w:pPr>
      <w:r>
        <w:rPr>
          <w:rFonts w:ascii="Arial" w:cs="Arial" w:eastAsia="Arial" w:hAnsi="Arial"/>
          <w:sz w:val="21"/>
          <w:szCs w:val="21"/>
          <w:b w:val="1"/>
          <w:bCs w:val="1"/>
          <w:color w:val="auto"/>
        </w:rPr>
        <w:t>Participation</w:t>
      </w:r>
      <w:r>
        <w:rPr>
          <w:rFonts w:ascii="Arial" w:cs="Arial" w:eastAsia="Arial" w:hAnsi="Arial"/>
          <w:sz w:val="21"/>
          <w:szCs w:val="21"/>
          <w:color w:val="auto"/>
        </w:rPr>
        <w:t>. An Eligible Employee may participate in the Plan pursuant to Section 5.1 by (a) submitting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Company’s Finance Department (or its designee), a properly completed subscription agreement authorizing Contributions in the form provided by the Administrator for such purpose (which may be similar to the form attached hereto as </w:t>
      </w:r>
      <w:r>
        <w:rPr>
          <w:rFonts w:ascii="Arial" w:cs="Arial" w:eastAsia="Arial" w:hAnsi="Arial"/>
          <w:sz w:val="21"/>
          <w:szCs w:val="21"/>
          <w:b w:val="1"/>
          <w:bCs w:val="1"/>
          <w:u w:val="single" w:color="auto"/>
          <w:color w:val="auto"/>
        </w:rPr>
        <w:t>Exhibit A</w:t>
      </w:r>
      <w:r>
        <w:rPr>
          <w:rFonts w:ascii="Arial" w:cs="Arial" w:eastAsia="Arial" w:hAnsi="Arial"/>
          <w:sz w:val="21"/>
          <w:szCs w:val="21"/>
          <w:color w:val="auto"/>
        </w:rPr>
        <w:t>), or (b) following an electronic or other enrollment procedure determined by the Administrator, in either case, on or before a date determined by the Administrator prior to an applicable Enrollment Date.</w:t>
      </w:r>
    </w:p>
    <w:p>
      <w:pPr>
        <w:spacing w:after="0" w:line="145" w:lineRule="exact"/>
        <w:rPr>
          <w:rFonts w:ascii="Arial" w:cs="Arial" w:eastAsia="Arial" w:hAnsi="Arial"/>
          <w:sz w:val="21"/>
          <w:szCs w:val="21"/>
          <w:color w:val="auto"/>
        </w:rPr>
      </w:pPr>
    </w:p>
    <w:p>
      <w:pPr>
        <w:ind w:left="1240" w:hanging="618"/>
        <w:spacing w:after="0"/>
        <w:tabs>
          <w:tab w:leader="none" w:pos="1240" w:val="left"/>
        </w:tabs>
        <w:numPr>
          <w:ilvl w:val="0"/>
          <w:numId w:val="48"/>
        </w:numPr>
        <w:rPr>
          <w:rFonts w:ascii="Arial" w:cs="Arial" w:eastAsia="Arial" w:hAnsi="Arial"/>
          <w:sz w:val="21"/>
          <w:szCs w:val="21"/>
          <w:color w:val="auto"/>
        </w:rPr>
      </w:pPr>
      <w:r>
        <w:rPr>
          <w:rFonts w:ascii="Arial" w:cs="Arial" w:eastAsia="Arial" w:hAnsi="Arial"/>
          <w:sz w:val="21"/>
          <w:szCs w:val="21"/>
          <w:b w:val="1"/>
          <w:bCs w:val="1"/>
          <w:color w:val="auto"/>
        </w:rPr>
        <w:t>Contributions</w:t>
      </w:r>
      <w:r>
        <w:rPr>
          <w:rFonts w:ascii="Arial" w:cs="Arial" w:eastAsia="Arial" w:hAnsi="Arial"/>
          <w:sz w:val="21"/>
          <w:szCs w:val="21"/>
          <w:color w:val="auto"/>
        </w:rPr>
        <w:t>.</w:t>
      </w:r>
    </w:p>
    <w:p>
      <w:pPr>
        <w:spacing w:after="0" w:line="171" w:lineRule="exact"/>
        <w:rPr>
          <w:sz w:val="20"/>
          <w:szCs w:val="20"/>
          <w:color w:val="auto"/>
        </w:rPr>
      </w:pPr>
    </w:p>
    <w:p>
      <w:pPr>
        <w:jc w:val="both"/>
        <w:ind w:firstLine="1238"/>
        <w:spacing w:after="0"/>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b w:val="1"/>
          <w:bCs w:val="1"/>
          <w:color w:val="auto"/>
        </w:rPr>
        <w:t>Contribution Amounts</w:t>
      </w:r>
      <w:r>
        <w:rPr>
          <w:rFonts w:ascii="Arial" w:cs="Arial" w:eastAsia="Arial" w:hAnsi="Arial"/>
          <w:sz w:val="19"/>
          <w:szCs w:val="19"/>
          <w:color w:val="auto"/>
        </w:rPr>
        <w:t>. At the time a Participant enrolls in the Plan pursuant to Section 7,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should a pay day occur on an Exercise Date, a Participant will have any Contributions made on such day applied to his or her account under the then-current Purchase Period or Offering Period.</w:t>
      </w:r>
    </w:p>
    <w:p>
      <w:pPr>
        <w:spacing w:after="0" w:line="145" w:lineRule="exact"/>
        <w:rPr>
          <w:sz w:val="20"/>
          <w:szCs w:val="20"/>
          <w:color w:val="auto"/>
        </w:rPr>
      </w:pPr>
    </w:p>
    <w:p>
      <w:pPr>
        <w:jc w:val="both"/>
        <w:ind w:firstLine="1238"/>
        <w:spacing w:after="0" w:line="217"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b w:val="1"/>
          <w:bCs w:val="1"/>
          <w:color w:val="auto"/>
        </w:rPr>
        <w:t>Contribution Methods</w:t>
      </w:r>
      <w:r>
        <w:rPr>
          <w:rFonts w:ascii="Arial" w:cs="Arial" w:eastAsia="Arial" w:hAnsi="Arial"/>
          <w:sz w:val="21"/>
          <w:szCs w:val="21"/>
          <w:color w:val="auto"/>
        </w:rPr>
        <w:t>.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12 hereof (or Participant’s participation is terminated as provided in Section 13 hereof).</w:t>
      </w:r>
    </w:p>
    <w:p>
      <w:pPr>
        <w:spacing w:after="0" w:line="152" w:lineRule="exact"/>
        <w:rPr>
          <w:sz w:val="20"/>
          <w:szCs w:val="20"/>
          <w:color w:val="auto"/>
        </w:rPr>
      </w:pPr>
    </w:p>
    <w:p>
      <w:pPr>
        <w:jc w:val="both"/>
        <w:ind w:firstLine="1860"/>
        <w:spacing w:after="0" w:line="230" w:lineRule="auto"/>
        <w:tabs>
          <w:tab w:leader="none" w:pos="2472"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 (or Participant’s participation is terminated as provided in Section 13 hereof).</w:t>
      </w:r>
    </w:p>
    <w:p>
      <w:pPr>
        <w:spacing w:after="0" w:line="149" w:lineRule="exact"/>
        <w:rPr>
          <w:rFonts w:ascii="Arial" w:cs="Arial" w:eastAsia="Arial" w:hAnsi="Arial"/>
          <w:sz w:val="20"/>
          <w:szCs w:val="20"/>
          <w:color w:val="auto"/>
        </w:rPr>
      </w:pPr>
    </w:p>
    <w:p>
      <w:pPr>
        <w:jc w:val="both"/>
        <w:ind w:firstLine="1860"/>
        <w:spacing w:after="0" w:line="224" w:lineRule="auto"/>
        <w:tabs>
          <w:tab w:leader="none" w:pos="2471" w:val="left"/>
        </w:tabs>
        <w:numPr>
          <w:ilvl w:val="0"/>
          <w:numId w:val="49"/>
        </w:numPr>
        <w:rPr>
          <w:rFonts w:ascii="Arial" w:cs="Arial" w:eastAsia="Arial" w:hAnsi="Arial"/>
          <w:sz w:val="21"/>
          <w:szCs w:val="21"/>
          <w:color w:val="auto"/>
        </w:rPr>
      </w:pPr>
      <w:r>
        <w:rPr>
          <w:rFonts w:ascii="Arial" w:cs="Arial" w:eastAsia="Arial" w:hAnsi="Arial"/>
          <w:sz w:val="21"/>
          <w:szCs w:val="21"/>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43" w:lineRule="exact"/>
        <w:rPr>
          <w:sz w:val="20"/>
          <w:szCs w:val="20"/>
          <w:color w:val="auto"/>
        </w:rPr>
      </w:pPr>
    </w:p>
    <w:p>
      <w:pPr>
        <w:jc w:val="both"/>
        <w:ind w:firstLine="1238"/>
        <w:spacing w:after="0" w:line="222"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b w:val="1"/>
          <w:bCs w:val="1"/>
          <w:color w:val="auto"/>
        </w:rPr>
        <w:t>Participant Changes to Contributions</w:t>
      </w:r>
      <w:r>
        <w:rPr>
          <w:rFonts w:ascii="Arial" w:cs="Arial" w:eastAsia="Arial" w:hAnsi="Arial"/>
          <w:sz w:val="20"/>
          <w:szCs w:val="20"/>
          <w:color w:val="auto"/>
        </w:rPr>
        <w:t>. A Participant may discontinue his or her participation in the Plan as provided under Section 12. Until and unless determined otherwise by the Administrator, in its sole discretion, during any Offering Period, a Participant may not increase the rate of his or her Contributions and may decrease the rate of his or her Contributions only one (1) time, provided that such decrease is to a Contribution rate of zero percent (0%). In addition, until and unless determined otherwise by the Administrator, in its sole discretion, during any Offering Period, a Participant may increase or decrease the rate of his or her Contributions (as a whole percent to a rate between zero percent (0%) and the maximum percentage specified in Section 8.1), which Contribution rate adjustment will become effective upon the commencement of the next Offering Period and remain in effect for subsequent Offering Periods and, except as set forth in the immediately preceding sentence, any such adjustment will not affect the Contribution rate for any ongoing Offering Period.</w:t>
      </w:r>
    </w:p>
    <w:p>
      <w:pPr>
        <w:spacing w:after="0" w:line="154" w:lineRule="exact"/>
        <w:rPr>
          <w:sz w:val="20"/>
          <w:szCs w:val="20"/>
          <w:color w:val="auto"/>
        </w:rPr>
      </w:pPr>
    </w:p>
    <w:p>
      <w:pPr>
        <w:jc w:val="both"/>
        <w:ind w:firstLine="1860"/>
        <w:spacing w:after="0" w:line="224" w:lineRule="auto"/>
        <w:tabs>
          <w:tab w:leader="none" w:pos="2472" w:val="left"/>
        </w:tabs>
        <w:numPr>
          <w:ilvl w:val="0"/>
          <w:numId w:val="50"/>
        </w:numPr>
        <w:rPr>
          <w:rFonts w:ascii="Arial" w:cs="Arial" w:eastAsia="Arial" w:hAnsi="Arial"/>
          <w:sz w:val="21"/>
          <w:szCs w:val="21"/>
          <w:color w:val="auto"/>
        </w:rPr>
      </w:pPr>
      <w:r>
        <w:rPr>
          <w:rFonts w:ascii="Arial" w:cs="Arial" w:eastAsia="Arial" w:hAnsi="Arial"/>
          <w:sz w:val="21"/>
          <w:szCs w:val="21"/>
          <w:color w:val="auto"/>
        </w:rPr>
        <w:t>A Participant may make a Contribution rate adjustment pursuant to this Section 8.3 by (A) properly completing and submitting to the Company’s Finance Department (or its designee), a new subscription agreement authorizing the change in Contribution rate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1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form provided by the Administrator for such purpose, or (B) following an electronic or other procedure prescribed by the Administrator, in either case, on or before a date determined by the Administrator prior to (x) the scheduled Enrollment Date of the first Offering Period to be affected or (y) an applicable Exercise Date, as applicable. If a Participant has not followed such procedures to change the rate of Contributions, the rate of his or her Contributions will continue at the originally elected rate throughout the Offering Period and future Offering Periods (unless the Participant’s participation is terminated as provided in Sections 12 or 13).</w:t>
      </w:r>
    </w:p>
    <w:p>
      <w:pPr>
        <w:spacing w:after="0" w:line="150" w:lineRule="exact"/>
        <w:rPr>
          <w:sz w:val="20"/>
          <w:szCs w:val="20"/>
          <w:color w:val="auto"/>
        </w:rPr>
      </w:pPr>
    </w:p>
    <w:p>
      <w:pPr>
        <w:jc w:val="both"/>
        <w:ind w:firstLine="1860"/>
        <w:spacing w:after="0" w:line="219" w:lineRule="auto"/>
        <w:tabs>
          <w:tab w:leader="none" w:pos="2471"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w:t>
      </w:r>
    </w:p>
    <w:p>
      <w:pPr>
        <w:spacing w:after="0" w:line="149" w:lineRule="exact"/>
        <w:rPr>
          <w:rFonts w:ascii="Arial" w:cs="Arial" w:eastAsia="Arial" w:hAnsi="Arial"/>
          <w:sz w:val="21"/>
          <w:szCs w:val="21"/>
          <w:color w:val="auto"/>
        </w:rPr>
      </w:pPr>
    </w:p>
    <w:p>
      <w:pPr>
        <w:jc w:val="both"/>
        <w:ind w:firstLine="1860"/>
        <w:spacing w:after="0" w:line="251" w:lineRule="auto"/>
        <w:tabs>
          <w:tab w:leader="none" w:pos="2472" w:val="left"/>
        </w:tabs>
        <w:numPr>
          <w:ilvl w:val="0"/>
          <w:numId w:val="51"/>
        </w:numPr>
        <w:rPr>
          <w:rFonts w:ascii="Arial" w:cs="Arial" w:eastAsia="Arial" w:hAnsi="Arial"/>
          <w:sz w:val="19"/>
          <w:szCs w:val="19"/>
          <w:color w:val="auto"/>
        </w:rPr>
      </w:pPr>
      <w:r>
        <w:rPr>
          <w:rFonts w:ascii="Arial" w:cs="Arial" w:eastAsia="Arial" w:hAnsi="Arial"/>
          <w:sz w:val="19"/>
          <w:szCs w:val="19"/>
          <w:color w:val="auto"/>
        </w:rPr>
        <w:t>Except as provided by this Section 8.3, any change in Contribution rate made pursuant to this Section 8.3 will be effective as of the first full payroll period following five (5) business days after the date on which the change is made by the Participant (unless the Administrator, in its sole discretion, elects to process a given change in Contribution rate earlier).</w:t>
      </w:r>
    </w:p>
    <w:p>
      <w:pPr>
        <w:spacing w:after="0" w:line="134" w:lineRule="exact"/>
        <w:rPr>
          <w:sz w:val="20"/>
          <w:szCs w:val="20"/>
          <w:color w:val="auto"/>
        </w:rPr>
      </w:pPr>
    </w:p>
    <w:p>
      <w:pPr>
        <w:jc w:val="both"/>
        <w:ind w:firstLine="1238"/>
        <w:spacing w:after="0" w:line="25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Other Contribution Changes</w:t>
      </w:r>
      <w:r>
        <w:rPr>
          <w:rFonts w:ascii="Arial" w:cs="Arial" w:eastAsia="Arial" w:hAnsi="Arial"/>
          <w:sz w:val="18"/>
          <w:szCs w:val="18"/>
          <w:color w:val="auto"/>
        </w:rPr>
        <w:t>. Notwithstanding the foregoing, to the extent necessary to comply with Code Section 423(b)(8) and Section 5.3 hereof (which generally limit participation in an Offering Period pursuant to certain Applicable Laws), a Participant’s Contributions may be decreased to zero percent (0%) by the Administrator at any time during an Offering Period (or a Purchase Period, as applicable). Subject to Code Section 423(b)(8) and Section 5.3 hereof, Contributions will recommence at the rate originally elected by the Participant effective as of the beginning of the first Offering Period (or Purchase Period, as applicable) scheduled to end in the following calendar year, unless the Participant’s participation has terminated as provided in Sections 12 or 13.</w:t>
      </w:r>
    </w:p>
    <w:p>
      <w:pPr>
        <w:spacing w:after="0" w:line="135" w:lineRule="exact"/>
        <w:rPr>
          <w:sz w:val="20"/>
          <w:szCs w:val="20"/>
          <w:color w:val="auto"/>
        </w:rPr>
      </w:pPr>
    </w:p>
    <w:p>
      <w:pPr>
        <w:jc w:val="both"/>
        <w:ind w:firstLine="1238"/>
        <w:spacing w:after="0" w:line="231"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b w:val="1"/>
          <w:bCs w:val="1"/>
          <w:color w:val="auto"/>
        </w:rPr>
        <w:t>Cash Contributions</w:t>
      </w:r>
      <w:r>
        <w:rPr>
          <w:rFonts w:ascii="Arial" w:cs="Arial" w:eastAsia="Arial" w:hAnsi="Arial"/>
          <w:sz w:val="20"/>
          <w:szCs w:val="20"/>
          <w:color w:val="auto"/>
        </w:rPr>
        <w:t>. Notwithstanding any provisions to the contrary in the Plan, the Administrator may allow Participants to participate in the Plan via cash contributions instead of payroll deductions if (a) payroll deductions are not permitted or advisable under Applicable Laws, (b) the Administrator determines that cash contributions are permissible for Participants participating in the 423 Component and/or (c) the Participants are participating in the Non-423 Component.</w:t>
      </w:r>
    </w:p>
    <w:p>
      <w:pPr>
        <w:spacing w:after="0" w:line="146" w:lineRule="exact"/>
        <w:rPr>
          <w:sz w:val="20"/>
          <w:szCs w:val="20"/>
          <w:color w:val="auto"/>
        </w:rPr>
      </w:pPr>
    </w:p>
    <w:p>
      <w:pPr>
        <w:jc w:val="both"/>
        <w:ind w:firstLine="1238"/>
        <w:spacing w:after="0" w:line="246"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color w:val="auto"/>
        </w:rPr>
        <w:t>Tax Withholdings</w:t>
      </w:r>
      <w:r>
        <w:rPr>
          <w:rFonts w:ascii="Arial" w:cs="Arial" w:eastAsia="Arial" w:hAnsi="Arial"/>
          <w:sz w:val="18"/>
          <w:szCs w:val="18"/>
          <w:color w:val="auto"/>
        </w:rPr>
        <w:t>. 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Regulations Section 1.423-2(f).</w:t>
      </w:r>
    </w:p>
    <w:p>
      <w:pPr>
        <w:spacing w:after="0" w:line="141" w:lineRule="exact"/>
        <w:rPr>
          <w:sz w:val="20"/>
          <w:szCs w:val="20"/>
          <w:color w:val="auto"/>
        </w:rPr>
      </w:pPr>
    </w:p>
    <w:p>
      <w:pPr>
        <w:jc w:val="both"/>
        <w:ind w:firstLine="1238"/>
        <w:spacing w:after="0" w:line="236" w:lineRule="auto"/>
        <w:rPr>
          <w:sz w:val="20"/>
          <w:szCs w:val="20"/>
          <w:color w:val="auto"/>
        </w:rPr>
      </w:pPr>
      <w:r>
        <w:rPr>
          <w:rFonts w:ascii="Arial" w:cs="Arial" w:eastAsia="Arial" w:hAnsi="Arial"/>
          <w:sz w:val="21"/>
          <w:szCs w:val="21"/>
          <w:color w:val="auto"/>
        </w:rPr>
        <w:t xml:space="preserve">8.7 </w:t>
      </w:r>
      <w:r>
        <w:rPr>
          <w:rFonts w:ascii="Arial" w:cs="Arial" w:eastAsia="Arial" w:hAnsi="Arial"/>
          <w:sz w:val="21"/>
          <w:szCs w:val="21"/>
          <w:b w:val="1"/>
          <w:bCs w:val="1"/>
          <w:color w:val="auto"/>
        </w:rPr>
        <w:t>Use of Funds</w:t>
      </w:r>
      <w:r>
        <w:rPr>
          <w:rFonts w:ascii="Arial" w:cs="Arial" w:eastAsia="Arial" w:hAnsi="Arial"/>
          <w:sz w:val="21"/>
          <w:szCs w:val="21"/>
          <w:color w:val="auto"/>
        </w:rPr>
        <w:t>. The Company may use all Contributions received or held by it under the Plan for any corporate purpose, and the Company will not be obligated to segregate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10" w:lineRule="exact"/>
        <w:rPr>
          <w:sz w:val="20"/>
          <w:szCs w:val="20"/>
          <w:color w:val="auto"/>
        </w:rPr>
      </w:pPr>
    </w:p>
    <w:p>
      <w:pPr>
        <w:jc w:val="both"/>
        <w:spacing w:after="0" w:line="214" w:lineRule="auto"/>
        <w:rPr>
          <w:sz w:val="20"/>
          <w:szCs w:val="20"/>
          <w:color w:val="auto"/>
        </w:rPr>
      </w:pPr>
      <w:r>
        <w:rPr>
          <w:rFonts w:ascii="Arial" w:cs="Arial" w:eastAsia="Arial" w:hAnsi="Arial"/>
          <w:sz w:val="21"/>
          <w:szCs w:val="21"/>
          <w:color w:val="auto"/>
        </w:rPr>
        <w:t>Contributions except under Offerings or for Participants in the Non-423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Regulations Section 1.423-2(f). Until shares of Common Stock are issued, Participants will have only the rights of an unsecured creditor with respect to such shares.</w:t>
      </w:r>
    </w:p>
    <w:p>
      <w:pPr>
        <w:spacing w:after="0" w:line="146" w:lineRule="exact"/>
        <w:rPr>
          <w:sz w:val="20"/>
          <w:szCs w:val="20"/>
          <w:color w:val="auto"/>
        </w:rPr>
      </w:pPr>
    </w:p>
    <w:p>
      <w:pPr>
        <w:jc w:val="both"/>
        <w:ind w:firstLine="622"/>
        <w:spacing w:after="0" w:line="245" w:lineRule="auto"/>
        <w:tabs>
          <w:tab w:leader="none" w:pos="1238" w:val="left"/>
        </w:tabs>
        <w:numPr>
          <w:ilvl w:val="0"/>
          <w:numId w:val="52"/>
        </w:numPr>
        <w:rPr>
          <w:rFonts w:ascii="Arial" w:cs="Arial" w:eastAsia="Arial" w:hAnsi="Arial"/>
          <w:sz w:val="19"/>
          <w:szCs w:val="19"/>
          <w:color w:val="auto"/>
        </w:rPr>
      </w:pPr>
      <w:r>
        <w:rPr>
          <w:rFonts w:ascii="Arial" w:cs="Arial" w:eastAsia="Arial" w:hAnsi="Arial"/>
          <w:sz w:val="19"/>
          <w:szCs w:val="19"/>
          <w:b w:val="1"/>
          <w:bCs w:val="1"/>
          <w:color w:val="auto"/>
        </w:rPr>
        <w:t>Grant of Option</w:t>
      </w:r>
      <w:r>
        <w:rPr>
          <w:rFonts w:ascii="Arial" w:cs="Arial" w:eastAsia="Arial" w:hAnsi="Arial"/>
          <w:sz w:val="19"/>
          <w:szCs w:val="19"/>
          <w:color w:val="auto"/>
        </w:rPr>
        <w:t>. On the Enrollment Date of each Offering Period, each Eligible Employee participating in such</w:t>
      </w:r>
      <w:r>
        <w:rPr>
          <w:rFonts w:ascii="Arial" w:cs="Arial" w:eastAsia="Arial" w:hAnsi="Arial"/>
          <w:sz w:val="19"/>
          <w:szCs w:val="19"/>
          <w:b w:val="1"/>
          <w:bCs w:val="1"/>
          <w:color w:val="auto"/>
        </w:rPr>
        <w:t xml:space="preserve"> </w:t>
      </w:r>
      <w:r>
        <w:rPr>
          <w:rFonts w:ascii="Arial" w:cs="Arial" w:eastAsia="Arial" w:hAnsi="Arial"/>
          <w:sz w:val="19"/>
          <w:szCs w:val="19"/>
          <w:color w:val="auto"/>
        </w:rPr>
        <w:t>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w:t>
      </w:r>
    </w:p>
    <w:p>
      <w:pPr>
        <w:spacing w:after="0" w:line="139" w:lineRule="exact"/>
        <w:rPr>
          <w:sz w:val="20"/>
          <w:szCs w:val="20"/>
          <w:color w:val="auto"/>
        </w:rPr>
      </w:pPr>
    </w:p>
    <w:p>
      <w:pPr>
        <w:jc w:val="both"/>
        <w:ind w:firstLine="1238"/>
        <w:spacing w:after="0" w:line="228"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b w:val="1"/>
          <w:bCs w:val="1"/>
          <w:color w:val="auto"/>
        </w:rPr>
        <w:t>Certain Option Limits</w:t>
      </w:r>
      <w:r>
        <w:rPr>
          <w:rFonts w:ascii="Arial" w:cs="Arial" w:eastAsia="Arial" w:hAnsi="Arial"/>
          <w:sz w:val="20"/>
          <w:szCs w:val="20"/>
          <w:color w:val="auto"/>
        </w:rPr>
        <w:t>. In no event will an Eligible Employee be permitted to purchase during each Offering Period more than 1,168 shares of Common Stock (subject to any adjustment pursuant to Section 17), and provided further that such purchase will be subject to the limitations set forth in Sections 3 and 5.3 and in the subscription agreement. The Administrator, in its absolute discretion, may increase or decrease the maximum number of shares of Common Stock that an Eligible Employee may purchase during each Purchase Period or Offering Period, as applicable.</w:t>
      </w:r>
    </w:p>
    <w:p>
      <w:pPr>
        <w:spacing w:after="0" w:line="145" w:lineRule="exact"/>
        <w:rPr>
          <w:sz w:val="20"/>
          <w:szCs w:val="20"/>
          <w:color w:val="auto"/>
        </w:rPr>
      </w:pPr>
    </w:p>
    <w:p>
      <w:pPr>
        <w:jc w:val="both"/>
        <w:ind w:firstLine="1238"/>
        <w:spacing w:after="0" w:line="236"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b w:val="1"/>
          <w:bCs w:val="1"/>
          <w:color w:val="auto"/>
        </w:rPr>
        <w:t>Option Receipt</w:t>
      </w:r>
      <w:r>
        <w:rPr>
          <w:rFonts w:ascii="Arial" w:cs="Arial" w:eastAsia="Arial" w:hAnsi="Arial"/>
          <w:sz w:val="21"/>
          <w:szCs w:val="21"/>
          <w:color w:val="auto"/>
        </w:rPr>
        <w:t>. The Eligible Employee may accept the grant of an option under the Plan by electing to participate in the Plan in accordance with the requirements of Section 7.</w:t>
      </w:r>
    </w:p>
    <w:p>
      <w:pPr>
        <w:spacing w:after="0" w:line="144" w:lineRule="exact"/>
        <w:rPr>
          <w:sz w:val="20"/>
          <w:szCs w:val="20"/>
          <w:color w:val="auto"/>
        </w:rPr>
      </w:pPr>
    </w:p>
    <w:p>
      <w:pPr>
        <w:jc w:val="both"/>
        <w:ind w:firstLine="1238"/>
        <w:spacing w:after="0" w:line="236"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b w:val="1"/>
          <w:bCs w:val="1"/>
          <w:color w:val="auto"/>
        </w:rPr>
        <w:t>Option Term</w:t>
      </w:r>
      <w:r>
        <w:rPr>
          <w:rFonts w:ascii="Arial" w:cs="Arial" w:eastAsia="Arial" w:hAnsi="Arial"/>
          <w:sz w:val="21"/>
          <w:szCs w:val="21"/>
          <w:color w:val="auto"/>
        </w:rPr>
        <w:t>. Exercise of the option will occur as provided in Section 10, unless the Participant’s participation has terminated pursuant to Sections 12 or 13. The option will expire on the last day of the Offering Period.</w:t>
      </w:r>
    </w:p>
    <w:p>
      <w:pPr>
        <w:spacing w:after="0" w:line="144" w:lineRule="exact"/>
        <w:rPr>
          <w:sz w:val="20"/>
          <w:szCs w:val="20"/>
          <w:color w:val="auto"/>
        </w:rPr>
      </w:pPr>
    </w:p>
    <w:p>
      <w:pPr>
        <w:ind w:left="1240" w:hanging="618"/>
        <w:spacing w:after="0"/>
        <w:tabs>
          <w:tab w:leader="none" w:pos="1240" w:val="left"/>
        </w:tabs>
        <w:numPr>
          <w:ilvl w:val="0"/>
          <w:numId w:val="53"/>
        </w:numPr>
        <w:rPr>
          <w:rFonts w:ascii="Arial" w:cs="Arial" w:eastAsia="Arial" w:hAnsi="Arial"/>
          <w:sz w:val="21"/>
          <w:szCs w:val="21"/>
          <w:color w:val="auto"/>
        </w:rPr>
      </w:pPr>
      <w:r>
        <w:rPr>
          <w:rFonts w:ascii="Arial" w:cs="Arial" w:eastAsia="Arial" w:hAnsi="Arial"/>
          <w:sz w:val="21"/>
          <w:szCs w:val="21"/>
          <w:b w:val="1"/>
          <w:bCs w:val="1"/>
          <w:color w:val="auto"/>
        </w:rPr>
        <w:t>Exercise of Option</w:t>
      </w:r>
      <w:r>
        <w:rPr>
          <w:rFonts w:ascii="Arial" w:cs="Arial" w:eastAsia="Arial" w:hAnsi="Arial"/>
          <w:sz w:val="21"/>
          <w:szCs w:val="21"/>
          <w:color w:val="auto"/>
        </w:rPr>
        <w:t>.</w:t>
      </w:r>
    </w:p>
    <w:p>
      <w:pPr>
        <w:spacing w:after="0" w:line="171" w:lineRule="exact"/>
        <w:rPr>
          <w:sz w:val="20"/>
          <w:szCs w:val="20"/>
          <w:color w:val="auto"/>
        </w:rPr>
      </w:pPr>
    </w:p>
    <w:p>
      <w:pPr>
        <w:jc w:val="both"/>
        <w:ind w:firstLine="1238"/>
        <w:spacing w:after="0" w:line="222"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b w:val="1"/>
          <w:bCs w:val="1"/>
          <w:color w:val="auto"/>
        </w:rPr>
        <w:t>Automatic Exercise</w:t>
      </w:r>
      <w:r>
        <w:rPr>
          <w:rFonts w:ascii="Arial" w:cs="Arial" w:eastAsia="Arial" w:hAnsi="Arial"/>
          <w:sz w:val="20"/>
          <w:szCs w:val="20"/>
          <w:color w:val="auto"/>
        </w:rPr>
        <w:t>. Unless a Participant’s participation in the Plan has terminated as provided in Sections 12 and 13, his or her option for the purchase of shares of Common Stock will be exercised automatically on the Exercise Date, and the maximum number of full shares of Common Stock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Sections 12 or 13.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148" w:lineRule="exact"/>
        <w:rPr>
          <w:sz w:val="20"/>
          <w:szCs w:val="20"/>
          <w:color w:val="auto"/>
        </w:rPr>
      </w:pPr>
    </w:p>
    <w:p>
      <w:pPr>
        <w:jc w:val="both"/>
        <w:ind w:firstLine="1238"/>
        <w:spacing w:after="0" w:line="215"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b w:val="1"/>
          <w:bCs w:val="1"/>
          <w:color w:val="auto"/>
        </w:rPr>
        <w:t>Pro Rata Allocations</w:t>
      </w:r>
      <w:r>
        <w:rPr>
          <w:rFonts w:ascii="Arial" w:cs="Arial" w:eastAsia="Arial" w:hAnsi="Arial"/>
          <w:sz w:val="21"/>
          <w:szCs w:val="21"/>
          <w:color w:val="auto"/>
        </w:rPr>
        <w:t>. If the Administrator determines that, on a given Exercise Date, the number of shares of Common Stock with respect to which options are to be exercised may exceed (a) the number of shares of Common Stock that were available for sale under the Plan on the Enrollment Date of the applicable Offering Period, or (b)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10"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46" w:lineRule="exact"/>
        <w:rPr>
          <w:sz w:val="20"/>
          <w:szCs w:val="20"/>
          <w:color w:val="auto"/>
        </w:rPr>
      </w:pPr>
    </w:p>
    <w:p>
      <w:pPr>
        <w:jc w:val="both"/>
        <w:ind w:firstLine="622"/>
        <w:spacing w:after="0" w:line="248" w:lineRule="auto"/>
        <w:tabs>
          <w:tab w:leader="none" w:pos="123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Delivery</w:t>
      </w:r>
      <w:r>
        <w:rPr>
          <w:rFonts w:ascii="Arial" w:cs="Arial" w:eastAsia="Arial" w:hAnsi="Arial"/>
          <w:sz w:val="18"/>
          <w:szCs w:val="18"/>
          <w:color w:val="auto"/>
        </w:rPr>
        <w:t>. As soon as reasonably practicable after each Exercise Date on which a purchase of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occurs, the Company will arrange the delivery to each Participant of the shares of Common Stock purchased upon exercise of his or her option in a form determined by the Administrator (in its sole discretion) and pursuant to rules established by the Administrator. The Company may permit or require that shares of Common Stock be deposited directly with a broker designated by the Company or with a trustee or designated agent of the Company, and the Company may utilize electronic or automated methods of share transfer. The Company may require that shares of Common Stock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11.</w:t>
      </w:r>
    </w:p>
    <w:p>
      <w:pPr>
        <w:spacing w:after="0" w:line="137" w:lineRule="exact"/>
        <w:rPr>
          <w:rFonts w:ascii="Arial" w:cs="Arial" w:eastAsia="Arial" w:hAnsi="Arial"/>
          <w:sz w:val="18"/>
          <w:szCs w:val="18"/>
          <w:color w:val="auto"/>
        </w:rPr>
      </w:pPr>
    </w:p>
    <w:p>
      <w:pPr>
        <w:ind w:left="1240" w:hanging="618"/>
        <w:spacing w:after="0"/>
        <w:tabs>
          <w:tab w:leader="none" w:pos="1240" w:val="left"/>
        </w:tabs>
        <w:numPr>
          <w:ilvl w:val="0"/>
          <w:numId w:val="54"/>
        </w:numPr>
        <w:rPr>
          <w:rFonts w:ascii="Arial" w:cs="Arial" w:eastAsia="Arial" w:hAnsi="Arial"/>
          <w:sz w:val="21"/>
          <w:szCs w:val="21"/>
          <w:color w:val="auto"/>
        </w:rPr>
      </w:pPr>
      <w:r>
        <w:rPr>
          <w:rFonts w:ascii="Arial" w:cs="Arial" w:eastAsia="Arial" w:hAnsi="Arial"/>
          <w:sz w:val="21"/>
          <w:szCs w:val="21"/>
          <w:b w:val="1"/>
          <w:bCs w:val="1"/>
          <w:color w:val="auto"/>
        </w:rPr>
        <w:t>Withdrawal</w:t>
      </w:r>
      <w:r>
        <w:rPr>
          <w:rFonts w:ascii="Arial" w:cs="Arial" w:eastAsia="Arial" w:hAnsi="Arial"/>
          <w:sz w:val="21"/>
          <w:szCs w:val="21"/>
          <w:color w:val="auto"/>
        </w:rPr>
        <w:t>.</w:t>
      </w:r>
    </w:p>
    <w:p>
      <w:pPr>
        <w:spacing w:after="0" w:line="171" w:lineRule="exact"/>
        <w:rPr>
          <w:sz w:val="20"/>
          <w:szCs w:val="20"/>
          <w:color w:val="auto"/>
        </w:rPr>
      </w:pPr>
    </w:p>
    <w:p>
      <w:pPr>
        <w:jc w:val="both"/>
        <w:ind w:firstLine="1238"/>
        <w:spacing w:after="0" w:line="24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Withdrawal Procedures</w:t>
      </w:r>
      <w:r>
        <w:rPr>
          <w:rFonts w:ascii="Arial" w:cs="Arial" w:eastAsia="Arial" w:hAnsi="Arial"/>
          <w:sz w:val="18"/>
          <w:szCs w:val="18"/>
          <w:color w:val="auto"/>
        </w:rPr>
        <w:t xml:space="preserve">. A Participant may withdraw all but not less than all the Contributions credited to his or her account and not yet used to exercise his or her option under the Plan at any time by (a) submitting to the Company’s Finance Department (or its designee) a written notice of withdrawal in the form determined by the Administrator for such purpose (which may be similar to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or (b)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of Common Stock will be made for such Offering Period. If a Participant withdraws from an Offering Period, Contributions will not resume at the beginning of the succeeding Offering Period, unless the Participant re-enrolls in the Plan in accordance with the provisions of Section 7.</w:t>
      </w:r>
    </w:p>
    <w:p>
      <w:pPr>
        <w:spacing w:after="0" w:line="139" w:lineRule="exact"/>
        <w:rPr>
          <w:sz w:val="20"/>
          <w:szCs w:val="20"/>
          <w:color w:val="auto"/>
        </w:rPr>
      </w:pPr>
    </w:p>
    <w:p>
      <w:pPr>
        <w:jc w:val="both"/>
        <w:ind w:firstLine="1238"/>
        <w:spacing w:after="0" w:line="237"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b w:val="1"/>
          <w:bCs w:val="1"/>
          <w:color w:val="auto"/>
        </w:rPr>
        <w:t>No Effect on Future Participation</w:t>
      </w:r>
      <w:r>
        <w:rPr>
          <w:rFonts w:ascii="Arial" w:cs="Arial" w:eastAsia="Arial" w:hAnsi="Arial"/>
          <w:sz w:val="20"/>
          <w:szCs w:val="20"/>
          <w:color w:val="auto"/>
        </w:rPr>
        <w:t>.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44" w:lineRule="exact"/>
        <w:rPr>
          <w:sz w:val="20"/>
          <w:szCs w:val="20"/>
          <w:color w:val="auto"/>
        </w:rPr>
      </w:pPr>
    </w:p>
    <w:p>
      <w:pPr>
        <w:jc w:val="both"/>
        <w:ind w:firstLine="622"/>
        <w:spacing w:after="0" w:line="217" w:lineRule="auto"/>
        <w:tabs>
          <w:tab w:leader="none" w:pos="1238" w:val="left"/>
        </w:tabs>
        <w:numPr>
          <w:ilvl w:val="0"/>
          <w:numId w:val="55"/>
        </w:numPr>
        <w:rPr>
          <w:rFonts w:ascii="Arial" w:cs="Arial" w:eastAsia="Arial" w:hAnsi="Arial"/>
          <w:sz w:val="21"/>
          <w:szCs w:val="21"/>
          <w:color w:val="auto"/>
        </w:rPr>
      </w:pPr>
      <w:r>
        <w:rPr>
          <w:rFonts w:ascii="Arial" w:cs="Arial" w:eastAsia="Arial" w:hAnsi="Arial"/>
          <w:sz w:val="21"/>
          <w:szCs w:val="21"/>
          <w:b w:val="1"/>
          <w:bCs w:val="1"/>
          <w:color w:val="auto"/>
        </w:rPr>
        <w:t>Termination of Employment</w:t>
      </w:r>
      <w:r>
        <w:rPr>
          <w:rFonts w:ascii="Arial" w:cs="Arial" w:eastAsia="Arial" w:hAnsi="Arial"/>
          <w:sz w:val="21"/>
          <w:szCs w:val="21"/>
          <w:color w:val="auto"/>
        </w:rPr>
        <w:t>. Upon a Participant’s ceasing to be an Eligible Employee, for any reason, he or she will</w:t>
      </w:r>
      <w:r>
        <w:rPr>
          <w:rFonts w:ascii="Arial" w:cs="Arial" w:eastAsia="Arial" w:hAnsi="Arial"/>
          <w:sz w:val="21"/>
          <w:szCs w:val="21"/>
          <w:b w:val="1"/>
          <w:bCs w:val="1"/>
          <w:color w:val="auto"/>
        </w:rPr>
        <w:t xml:space="preserve"> </w:t>
      </w:r>
      <w:r>
        <w:rPr>
          <w:rFonts w:ascii="Arial" w:cs="Arial" w:eastAsia="Arial" w:hAnsi="Arial"/>
          <w:sz w:val="21"/>
          <w:szCs w:val="21"/>
          <w:color w:val="auto"/>
        </w:rPr>
        <w:t>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10"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Non-423 Component, the exercise of the option will be qualified under the 423 Component only to the extent it complies with Code Section 423; further, no Participant will be deemed to switch from an Offering under the Non-423 Component to an Offering under the 423 Component or vice versa unless (and then only to the extent) such switch would not cause the 423 Component or any option thereunder to fail to comply with Code Section 423.</w:t>
      </w:r>
    </w:p>
    <w:p>
      <w:pPr>
        <w:spacing w:after="0" w:line="148" w:lineRule="exact"/>
        <w:rPr>
          <w:sz w:val="20"/>
          <w:szCs w:val="20"/>
          <w:color w:val="auto"/>
        </w:rPr>
      </w:pPr>
    </w:p>
    <w:p>
      <w:pPr>
        <w:jc w:val="both"/>
        <w:ind w:firstLine="622"/>
        <w:spacing w:after="0" w:line="231" w:lineRule="auto"/>
        <w:tabs>
          <w:tab w:leader="none" w:pos="1238"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Section 409A</w:t>
      </w:r>
      <w:r>
        <w:rPr>
          <w:rFonts w:ascii="Arial" w:cs="Arial" w:eastAsia="Arial" w:hAnsi="Arial"/>
          <w:sz w:val="19"/>
          <w:szCs w:val="19"/>
          <w:color w:val="auto"/>
        </w:rPr>
        <w:t>. The Plan is intended to be exempt from the application of Section 409A, and, to the extent not exempt, is</w:t>
      </w:r>
      <w:r>
        <w:rPr>
          <w:rFonts w:ascii="Arial" w:cs="Arial" w:eastAsia="Arial" w:hAnsi="Arial"/>
          <w:sz w:val="19"/>
          <w:szCs w:val="19"/>
          <w:b w:val="1"/>
          <w:bCs w:val="1"/>
          <w:color w:val="auto"/>
        </w:rPr>
        <w:t xml:space="preserve"> </w:t>
      </w:r>
      <w:r>
        <w:rPr>
          <w:rFonts w:ascii="Arial" w:cs="Arial" w:eastAsia="Arial" w:hAnsi="Arial"/>
          <w:sz w:val="19"/>
          <w:szCs w:val="19"/>
          <w:color w:val="auto"/>
        </w:rPr>
        <w:t>intended to comply 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153" w:lineRule="exact"/>
        <w:rPr>
          <w:rFonts w:ascii="Arial" w:cs="Arial" w:eastAsia="Arial" w:hAnsi="Arial"/>
          <w:sz w:val="19"/>
          <w:szCs w:val="19"/>
          <w:color w:val="auto"/>
        </w:rPr>
      </w:pPr>
    </w:p>
    <w:p>
      <w:pPr>
        <w:jc w:val="both"/>
        <w:ind w:firstLine="622"/>
        <w:spacing w:after="0"/>
        <w:tabs>
          <w:tab w:leader="none" w:pos="1238"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Rights as Stockholder</w:t>
      </w:r>
      <w:r>
        <w:rPr>
          <w:rFonts w:ascii="Arial" w:cs="Arial" w:eastAsia="Arial" w:hAnsi="Arial"/>
          <w:sz w:val="19"/>
          <w:szCs w:val="19"/>
          <w:color w:val="auto"/>
        </w:rPr>
        <w:t>. Until the shares of Common Stock are issued (as evidenced by the appropriate entry on the</w:t>
      </w:r>
      <w:r>
        <w:rPr>
          <w:rFonts w:ascii="Arial" w:cs="Arial" w:eastAsia="Arial" w:hAnsi="Arial"/>
          <w:sz w:val="19"/>
          <w:szCs w:val="19"/>
          <w:b w:val="1"/>
          <w:bCs w:val="1"/>
          <w:color w:val="auto"/>
        </w:rPr>
        <w:t xml:space="preserve"> </w:t>
      </w:r>
      <w:r>
        <w:rPr>
          <w:rFonts w:ascii="Arial" w:cs="Arial" w:eastAsia="Arial" w:hAnsi="Arial"/>
          <w:sz w:val="19"/>
          <w:szCs w:val="19"/>
          <w:color w:val="auto"/>
        </w:rPr>
        <w:t>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his or her spouse.</w:t>
      </w:r>
    </w:p>
    <w:p>
      <w:pPr>
        <w:spacing w:after="0" w:line="145" w:lineRule="exact"/>
        <w:rPr>
          <w:rFonts w:ascii="Arial" w:cs="Arial" w:eastAsia="Arial" w:hAnsi="Arial"/>
          <w:sz w:val="19"/>
          <w:szCs w:val="19"/>
          <w:color w:val="auto"/>
        </w:rPr>
      </w:pPr>
    </w:p>
    <w:p>
      <w:pPr>
        <w:jc w:val="both"/>
        <w:ind w:firstLine="622"/>
        <w:spacing w:after="0" w:line="217" w:lineRule="auto"/>
        <w:tabs>
          <w:tab w:leader="none" w:pos="1238" w:val="left"/>
        </w:tabs>
        <w:numPr>
          <w:ilvl w:val="0"/>
          <w:numId w:val="56"/>
        </w:numPr>
        <w:rPr>
          <w:rFonts w:ascii="Arial" w:cs="Arial" w:eastAsia="Arial" w:hAnsi="Arial"/>
          <w:sz w:val="21"/>
          <w:szCs w:val="21"/>
          <w:color w:val="auto"/>
        </w:rPr>
      </w:pPr>
      <w:r>
        <w:rPr>
          <w:rFonts w:ascii="Arial" w:cs="Arial" w:eastAsia="Arial" w:hAnsi="Arial"/>
          <w:sz w:val="21"/>
          <w:szCs w:val="21"/>
          <w:b w:val="1"/>
          <w:bCs w:val="1"/>
          <w:color w:val="auto"/>
        </w:rPr>
        <w:t>Transferability</w:t>
      </w:r>
      <w:r>
        <w:rPr>
          <w:rFonts w:ascii="Arial" w:cs="Arial" w:eastAsia="Arial" w:hAnsi="Arial"/>
          <w:sz w:val="21"/>
          <w:szCs w:val="21"/>
          <w:color w:val="auto"/>
        </w:rPr>
        <w:t>. Neither Contributions credited to a Participant’s account nor any rights with regard to the exercise of an</w:t>
      </w:r>
      <w:r>
        <w:rPr>
          <w:rFonts w:ascii="Arial" w:cs="Arial" w:eastAsia="Arial" w:hAnsi="Arial"/>
          <w:sz w:val="21"/>
          <w:szCs w:val="21"/>
          <w:b w:val="1"/>
          <w:bCs w:val="1"/>
          <w:color w:val="auto"/>
        </w:rPr>
        <w:t xml:space="preserve"> </w:t>
      </w:r>
      <w:r>
        <w:rPr>
          <w:rFonts w:ascii="Arial" w:cs="Arial" w:eastAsia="Arial" w:hAnsi="Arial"/>
          <w:sz w:val="21"/>
          <w:szCs w:val="21"/>
          <w:color w:val="auto"/>
        </w:rPr>
        <w:t>option or to receive 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w:t>
      </w:r>
    </w:p>
    <w:p>
      <w:pPr>
        <w:spacing w:after="0" w:line="145" w:lineRule="exact"/>
        <w:rPr>
          <w:rFonts w:ascii="Arial" w:cs="Arial" w:eastAsia="Arial" w:hAnsi="Arial"/>
          <w:sz w:val="21"/>
          <w:szCs w:val="21"/>
          <w:color w:val="auto"/>
        </w:rPr>
      </w:pPr>
    </w:p>
    <w:p>
      <w:pPr>
        <w:ind w:left="1240" w:hanging="618"/>
        <w:spacing w:after="0"/>
        <w:tabs>
          <w:tab w:leader="none" w:pos="1240" w:val="left"/>
        </w:tabs>
        <w:numPr>
          <w:ilvl w:val="0"/>
          <w:numId w:val="56"/>
        </w:numPr>
        <w:rPr>
          <w:rFonts w:ascii="Arial" w:cs="Arial" w:eastAsia="Arial" w:hAnsi="Arial"/>
          <w:sz w:val="21"/>
          <w:szCs w:val="21"/>
          <w:color w:val="auto"/>
        </w:rPr>
      </w:pPr>
      <w:r>
        <w:rPr>
          <w:rFonts w:ascii="Arial" w:cs="Arial" w:eastAsia="Arial" w:hAnsi="Arial"/>
          <w:sz w:val="21"/>
          <w:szCs w:val="21"/>
          <w:b w:val="1"/>
          <w:bCs w:val="1"/>
          <w:color w:val="auto"/>
        </w:rPr>
        <w:t>Adjustments, Dissolution, Liquidation, Merger or Change in Control</w:t>
      </w:r>
      <w:r>
        <w:rPr>
          <w:rFonts w:ascii="Arial" w:cs="Arial" w:eastAsia="Arial" w:hAnsi="Arial"/>
          <w:sz w:val="21"/>
          <w:szCs w:val="21"/>
          <w:color w:val="auto"/>
        </w:rPr>
        <w:t>.</w:t>
      </w:r>
    </w:p>
    <w:p>
      <w:pPr>
        <w:spacing w:after="0" w:line="171" w:lineRule="exact"/>
        <w:rPr>
          <w:sz w:val="20"/>
          <w:szCs w:val="20"/>
          <w:color w:val="auto"/>
        </w:rPr>
      </w:pPr>
    </w:p>
    <w:p>
      <w:pPr>
        <w:jc w:val="both"/>
        <w:ind w:firstLine="1238"/>
        <w:spacing w:after="0" w:line="224" w:lineRule="auto"/>
        <w:rPr>
          <w:sz w:val="20"/>
          <w:szCs w:val="20"/>
          <w:color w:val="auto"/>
        </w:rPr>
      </w:pPr>
      <w:r>
        <w:rPr>
          <w:rFonts w:ascii="Arial" w:cs="Arial" w:eastAsia="Arial" w:hAnsi="Arial"/>
          <w:sz w:val="20"/>
          <w:szCs w:val="20"/>
          <w:color w:val="auto"/>
        </w:rPr>
        <w:t xml:space="preserve">17.1 </w:t>
      </w:r>
      <w:r>
        <w:rPr>
          <w:rFonts w:ascii="Arial" w:cs="Arial" w:eastAsia="Arial" w:hAnsi="Arial"/>
          <w:sz w:val="20"/>
          <w:szCs w:val="20"/>
          <w:b w:val="1"/>
          <w:bCs w:val="1"/>
          <w:color w:val="auto"/>
        </w:rPr>
        <w:t>Adjustments</w:t>
      </w:r>
      <w:r>
        <w:rPr>
          <w:rFonts w:ascii="Arial" w:cs="Arial" w:eastAsia="Arial" w:hAnsi="Arial"/>
          <w:sz w:val="20"/>
          <w:szCs w:val="20"/>
          <w:color w:val="auto"/>
        </w:rPr>
        <w:t>. In the event that any dividend or other distribution (whether in the form of cash, Common Stock, other securities, or other property), recapitalization, stock split, reverse stock split, reorganization, merger, consolidation, split-up, spin-off,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Plan, the Purchase Price per share, the class and the number of shares of common stock covered by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10" w:lineRule="exact"/>
        <w:rPr>
          <w:sz w:val="20"/>
          <w:szCs w:val="20"/>
          <w:color w:val="auto"/>
        </w:rPr>
      </w:pPr>
    </w:p>
    <w:p>
      <w:pPr>
        <w:spacing w:after="0"/>
        <w:rPr>
          <w:sz w:val="20"/>
          <w:szCs w:val="20"/>
          <w:color w:val="auto"/>
        </w:rPr>
      </w:pPr>
      <w:r>
        <w:rPr>
          <w:rFonts w:ascii="Arial" w:cs="Arial" w:eastAsia="Arial" w:hAnsi="Arial"/>
          <w:sz w:val="21"/>
          <w:szCs w:val="21"/>
          <w:color w:val="auto"/>
        </w:rPr>
        <w:t>option under the Plan that has not yet been exercised, and the numerical share limits of Sections 3 and 9.1.</w:t>
      </w:r>
    </w:p>
    <w:p>
      <w:pPr>
        <w:spacing w:after="0" w:line="165" w:lineRule="exact"/>
        <w:rPr>
          <w:sz w:val="20"/>
          <w:szCs w:val="20"/>
          <w:color w:val="auto"/>
        </w:rPr>
      </w:pPr>
    </w:p>
    <w:p>
      <w:pPr>
        <w:jc w:val="both"/>
        <w:ind w:firstLine="1238"/>
        <w:spacing w:after="0" w:line="223" w:lineRule="auto"/>
        <w:rPr>
          <w:sz w:val="20"/>
          <w:szCs w:val="20"/>
          <w:color w:val="auto"/>
        </w:rPr>
      </w:pPr>
      <w:r>
        <w:rPr>
          <w:rFonts w:ascii="Arial" w:cs="Arial" w:eastAsia="Arial" w:hAnsi="Arial"/>
          <w:sz w:val="20"/>
          <w:szCs w:val="20"/>
          <w:color w:val="auto"/>
        </w:rPr>
        <w:t xml:space="preserve">17.2 </w:t>
      </w:r>
      <w:r>
        <w:rPr>
          <w:rFonts w:ascii="Arial" w:cs="Arial" w:eastAsia="Arial" w:hAnsi="Arial"/>
          <w:sz w:val="20"/>
          <w:szCs w:val="20"/>
          <w:b w:val="1"/>
          <w:bCs w:val="1"/>
          <w:color w:val="auto"/>
        </w:rPr>
        <w:t>Dissolution or Liquidation</w:t>
      </w:r>
      <w:r>
        <w:rPr>
          <w:rFonts w:ascii="Arial" w:cs="Arial" w:eastAsia="Arial" w:hAnsi="Arial"/>
          <w:sz w:val="20"/>
          <w:szCs w:val="20"/>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147" w:lineRule="exact"/>
        <w:rPr>
          <w:sz w:val="20"/>
          <w:szCs w:val="20"/>
          <w:color w:val="auto"/>
        </w:rPr>
      </w:pPr>
    </w:p>
    <w:p>
      <w:pPr>
        <w:jc w:val="both"/>
        <w:ind w:firstLine="1238"/>
        <w:spacing w:after="0" w:line="234" w:lineRule="auto"/>
        <w:rPr>
          <w:sz w:val="20"/>
          <w:szCs w:val="20"/>
          <w:color w:val="auto"/>
        </w:rPr>
      </w:pPr>
      <w:r>
        <w:rPr>
          <w:rFonts w:ascii="Arial" w:cs="Arial" w:eastAsia="Arial" w:hAnsi="Arial"/>
          <w:sz w:val="19"/>
          <w:szCs w:val="19"/>
          <w:color w:val="auto"/>
        </w:rPr>
        <w:t xml:space="preserve">17.3 </w:t>
      </w:r>
      <w:r>
        <w:rPr>
          <w:rFonts w:ascii="Arial" w:cs="Arial" w:eastAsia="Arial" w:hAnsi="Arial"/>
          <w:sz w:val="19"/>
          <w:szCs w:val="19"/>
          <w:b w:val="1"/>
          <w:bCs w:val="1"/>
          <w:color w:val="auto"/>
        </w:rPr>
        <w:t>Merger or Change in Control</w:t>
      </w:r>
      <w:r>
        <w:rPr>
          <w:rFonts w:ascii="Arial" w:cs="Arial" w:eastAsia="Arial" w:hAnsi="Arial"/>
          <w:sz w:val="19"/>
          <w:szCs w:val="19"/>
          <w:color w:val="auto"/>
        </w:rPr>
        <w:t>. 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145" w:lineRule="exact"/>
        <w:rPr>
          <w:sz w:val="20"/>
          <w:szCs w:val="20"/>
          <w:color w:val="auto"/>
        </w:rPr>
      </w:pPr>
    </w:p>
    <w:p>
      <w:pPr>
        <w:ind w:left="1240" w:hanging="618"/>
        <w:spacing w:after="0"/>
        <w:tabs>
          <w:tab w:leader="none" w:pos="1240" w:val="left"/>
        </w:tabs>
        <w:numPr>
          <w:ilvl w:val="0"/>
          <w:numId w:val="57"/>
        </w:numPr>
        <w:rPr>
          <w:rFonts w:ascii="Arial" w:cs="Arial" w:eastAsia="Arial" w:hAnsi="Arial"/>
          <w:sz w:val="21"/>
          <w:szCs w:val="21"/>
          <w:color w:val="auto"/>
        </w:rPr>
      </w:pPr>
      <w:r>
        <w:rPr>
          <w:rFonts w:ascii="Arial" w:cs="Arial" w:eastAsia="Arial" w:hAnsi="Arial"/>
          <w:sz w:val="21"/>
          <w:szCs w:val="21"/>
          <w:b w:val="1"/>
          <w:bCs w:val="1"/>
          <w:color w:val="auto"/>
        </w:rPr>
        <w:t>Amendment or Termination</w:t>
      </w:r>
      <w:r>
        <w:rPr>
          <w:rFonts w:ascii="Arial" w:cs="Arial" w:eastAsia="Arial" w:hAnsi="Arial"/>
          <w:sz w:val="21"/>
          <w:szCs w:val="21"/>
          <w:color w:val="auto"/>
        </w:rPr>
        <w:t>.</w:t>
      </w:r>
    </w:p>
    <w:p>
      <w:pPr>
        <w:spacing w:after="0" w:line="171" w:lineRule="exact"/>
        <w:rPr>
          <w:sz w:val="20"/>
          <w:szCs w:val="20"/>
          <w:color w:val="auto"/>
        </w:rPr>
      </w:pPr>
    </w:p>
    <w:p>
      <w:pPr>
        <w:jc w:val="both"/>
        <w:ind w:firstLine="1238"/>
        <w:spacing w:after="0" w:line="235" w:lineRule="auto"/>
        <w:rPr>
          <w:sz w:val="20"/>
          <w:szCs w:val="20"/>
          <w:color w:val="auto"/>
        </w:rPr>
      </w:pPr>
      <w:r>
        <w:rPr>
          <w:rFonts w:ascii="Arial" w:cs="Arial" w:eastAsia="Arial" w:hAnsi="Arial"/>
          <w:sz w:val="19"/>
          <w:szCs w:val="19"/>
          <w:color w:val="auto"/>
        </w:rPr>
        <w:t xml:space="preserve">18.1 </w:t>
      </w:r>
      <w:r>
        <w:rPr>
          <w:rFonts w:ascii="Arial" w:cs="Arial" w:eastAsia="Arial" w:hAnsi="Arial"/>
          <w:sz w:val="19"/>
          <w:szCs w:val="19"/>
          <w:b w:val="1"/>
          <w:bCs w:val="1"/>
          <w:color w:val="auto"/>
        </w:rPr>
        <w:t>Amendment, Suspension, Termination</w:t>
      </w:r>
      <w:r>
        <w:rPr>
          <w:rFonts w:ascii="Arial" w:cs="Arial" w:eastAsia="Arial" w:hAnsi="Arial"/>
          <w:sz w:val="19"/>
          <w:szCs w:val="19"/>
          <w:color w:val="auto"/>
        </w:rPr>
        <w:t>.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w:t>
      </w:r>
    </w:p>
    <w:p>
      <w:pPr>
        <w:spacing w:after="0" w:line="145" w:lineRule="exact"/>
        <w:rPr>
          <w:sz w:val="20"/>
          <w:szCs w:val="20"/>
          <w:color w:val="auto"/>
        </w:rPr>
      </w:pPr>
    </w:p>
    <w:p>
      <w:pPr>
        <w:jc w:val="both"/>
        <w:ind w:firstLine="1238"/>
        <w:spacing w:after="0" w:line="235" w:lineRule="auto"/>
        <w:rPr>
          <w:sz w:val="20"/>
          <w:szCs w:val="20"/>
          <w:color w:val="auto"/>
        </w:rPr>
      </w:pPr>
      <w:r>
        <w:rPr>
          <w:rFonts w:ascii="Arial" w:cs="Arial" w:eastAsia="Arial" w:hAnsi="Arial"/>
          <w:sz w:val="19"/>
          <w:szCs w:val="19"/>
          <w:color w:val="auto"/>
        </w:rPr>
        <w:t xml:space="preserve">18.2 </w:t>
      </w:r>
      <w:r>
        <w:rPr>
          <w:rFonts w:ascii="Arial" w:cs="Arial" w:eastAsia="Arial" w:hAnsi="Arial"/>
          <w:sz w:val="19"/>
          <w:szCs w:val="19"/>
          <w:b w:val="1"/>
          <w:bCs w:val="1"/>
          <w:color w:val="auto"/>
        </w:rPr>
        <w:t>Certain Administrator Changes</w:t>
      </w:r>
      <w:r>
        <w:rPr>
          <w:rFonts w:ascii="Arial" w:cs="Arial" w:eastAsia="Arial" w:hAnsi="Arial"/>
          <w:sz w:val="19"/>
          <w:szCs w:val="19"/>
          <w:color w:val="auto"/>
        </w:rPr>
        <w:t>. Without stockholder consent and without limiting Section 18.1,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04" w:lineRule="exact"/>
        <w:rPr>
          <w:sz w:val="20"/>
          <w:szCs w:val="20"/>
          <w:color w:val="auto"/>
        </w:rPr>
      </w:pPr>
    </w:p>
    <w:p>
      <w:pPr>
        <w:jc w:val="both"/>
        <w:ind w:firstLine="1238"/>
        <w:spacing w:after="0" w:line="220" w:lineRule="auto"/>
        <w:rPr>
          <w:sz w:val="20"/>
          <w:szCs w:val="20"/>
          <w:color w:val="auto"/>
        </w:rPr>
      </w:pPr>
      <w:r>
        <w:rPr>
          <w:rFonts w:ascii="Arial" w:cs="Arial" w:eastAsia="Arial" w:hAnsi="Arial"/>
          <w:sz w:val="21"/>
          <w:szCs w:val="21"/>
          <w:color w:val="auto"/>
        </w:rPr>
        <w:t xml:space="preserve">18.3 </w:t>
      </w:r>
      <w:r>
        <w:rPr>
          <w:rFonts w:ascii="Arial" w:cs="Arial" w:eastAsia="Arial" w:hAnsi="Arial"/>
          <w:sz w:val="21"/>
          <w:szCs w:val="21"/>
          <w:b w:val="1"/>
          <w:bCs w:val="1"/>
          <w:color w:val="auto"/>
        </w:rPr>
        <w:t>Changes Due to Accounting Consequences</w:t>
      </w:r>
      <w:r>
        <w:rPr>
          <w:rFonts w:ascii="Arial" w:cs="Arial" w:eastAsia="Arial" w:hAnsi="Arial"/>
          <w:sz w:val="21"/>
          <w:szCs w:val="21"/>
          <w:color w:val="auto"/>
        </w:rPr>
        <w:t>.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52" w:lineRule="exact"/>
        <w:rPr>
          <w:sz w:val="20"/>
          <w:szCs w:val="20"/>
          <w:color w:val="auto"/>
        </w:rPr>
      </w:pPr>
    </w:p>
    <w:p>
      <w:pPr>
        <w:jc w:val="both"/>
        <w:ind w:firstLine="1860"/>
        <w:spacing w:after="0" w:line="224" w:lineRule="auto"/>
        <w:tabs>
          <w:tab w:leader="none" w:pos="2472" w:val="left"/>
        </w:tabs>
        <w:numPr>
          <w:ilvl w:val="0"/>
          <w:numId w:val="58"/>
        </w:numPr>
        <w:rPr>
          <w:rFonts w:ascii="Arial" w:cs="Arial" w:eastAsia="Arial" w:hAnsi="Arial"/>
          <w:sz w:val="21"/>
          <w:szCs w:val="21"/>
          <w:color w:val="auto"/>
        </w:rPr>
      </w:pPr>
      <w:r>
        <w:rPr>
          <w:rFonts w:ascii="Arial" w:cs="Arial" w:eastAsia="Arial" w:hAnsi="Arial"/>
          <w:sz w:val="21"/>
          <w:szCs w:val="21"/>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48" w:lineRule="exact"/>
        <w:rPr>
          <w:rFonts w:ascii="Arial" w:cs="Arial" w:eastAsia="Arial" w:hAnsi="Arial"/>
          <w:sz w:val="21"/>
          <w:szCs w:val="21"/>
          <w:color w:val="auto"/>
        </w:rPr>
      </w:pPr>
    </w:p>
    <w:p>
      <w:pPr>
        <w:ind w:firstLine="1860"/>
        <w:spacing w:after="0" w:line="233" w:lineRule="auto"/>
        <w:tabs>
          <w:tab w:leader="none" w:pos="2471" w:val="left"/>
        </w:tabs>
        <w:numPr>
          <w:ilvl w:val="0"/>
          <w:numId w:val="58"/>
        </w:numPr>
        <w:rPr>
          <w:rFonts w:ascii="Arial" w:cs="Arial" w:eastAsia="Arial" w:hAnsi="Arial"/>
          <w:sz w:val="21"/>
          <w:szCs w:val="21"/>
          <w:color w:val="auto"/>
        </w:rPr>
      </w:pPr>
      <w:r>
        <w:rPr>
          <w:rFonts w:ascii="Arial" w:cs="Arial" w:eastAsia="Arial" w:hAnsi="Arial"/>
          <w:sz w:val="21"/>
          <w:szCs w:val="21"/>
          <w:color w:val="auto"/>
        </w:rPr>
        <w:t>altering the Purchase Price for any Purchase Period or Offering Period including a Purchase Period or Offering Period underway at the time of the change in Purchase Price;</w:t>
      </w:r>
    </w:p>
    <w:p>
      <w:pPr>
        <w:spacing w:after="0" w:line="149" w:lineRule="exact"/>
        <w:rPr>
          <w:rFonts w:ascii="Arial" w:cs="Arial" w:eastAsia="Arial" w:hAnsi="Arial"/>
          <w:sz w:val="21"/>
          <w:szCs w:val="21"/>
          <w:color w:val="auto"/>
        </w:rPr>
      </w:pPr>
    </w:p>
    <w:p>
      <w:pPr>
        <w:ind w:firstLine="1860"/>
        <w:spacing w:after="0" w:line="233" w:lineRule="auto"/>
        <w:tabs>
          <w:tab w:leader="none" w:pos="2472" w:val="left"/>
        </w:tabs>
        <w:numPr>
          <w:ilvl w:val="0"/>
          <w:numId w:val="58"/>
        </w:numPr>
        <w:rPr>
          <w:rFonts w:ascii="Arial" w:cs="Arial" w:eastAsia="Arial" w:hAnsi="Arial"/>
          <w:sz w:val="21"/>
          <w:szCs w:val="21"/>
          <w:color w:val="auto"/>
        </w:rPr>
      </w:pPr>
      <w:r>
        <w:rPr>
          <w:rFonts w:ascii="Arial" w:cs="Arial" w:eastAsia="Arial" w:hAnsi="Arial"/>
          <w:sz w:val="21"/>
          <w:szCs w:val="21"/>
          <w:color w:val="auto"/>
        </w:rPr>
        <w:t>shortening any Purchase Period or Offering Period by setting a New Exercise Date, including a Purchase Period or Offering Period underway at the time of the Administrator action;</w:t>
      </w:r>
    </w:p>
    <w:p>
      <w:pPr>
        <w:spacing w:after="0" w:line="149" w:lineRule="exact"/>
        <w:rPr>
          <w:rFonts w:ascii="Arial" w:cs="Arial" w:eastAsia="Arial" w:hAnsi="Arial"/>
          <w:sz w:val="21"/>
          <w:szCs w:val="21"/>
          <w:color w:val="auto"/>
        </w:rPr>
      </w:pPr>
    </w:p>
    <w:p>
      <w:pPr>
        <w:ind w:left="2480" w:hanging="620"/>
        <w:spacing w:after="0"/>
        <w:tabs>
          <w:tab w:leader="none" w:pos="2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reducing the maximum percentage of Compensation a Participant may elect to set aside as Contributions;</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and</w:t>
      </w:r>
    </w:p>
    <w:p>
      <w:pPr>
        <w:spacing w:after="0" w:line="153" w:lineRule="exact"/>
        <w:rPr>
          <w:rFonts w:ascii="Arial" w:cs="Arial" w:eastAsia="Arial" w:hAnsi="Arial"/>
          <w:sz w:val="18"/>
          <w:szCs w:val="18"/>
          <w:color w:val="auto"/>
        </w:rPr>
      </w:pPr>
    </w:p>
    <w:p>
      <w:pPr>
        <w:ind w:firstLine="1860"/>
        <w:spacing w:after="0" w:line="233" w:lineRule="auto"/>
        <w:tabs>
          <w:tab w:leader="none" w:pos="2472" w:val="left"/>
        </w:tabs>
        <w:numPr>
          <w:ilvl w:val="0"/>
          <w:numId w:val="58"/>
        </w:numPr>
        <w:rPr>
          <w:rFonts w:ascii="Arial" w:cs="Arial" w:eastAsia="Arial" w:hAnsi="Arial"/>
          <w:sz w:val="21"/>
          <w:szCs w:val="21"/>
          <w:color w:val="auto"/>
        </w:rPr>
      </w:pPr>
      <w:r>
        <w:rPr>
          <w:rFonts w:ascii="Arial" w:cs="Arial" w:eastAsia="Arial" w:hAnsi="Arial"/>
          <w:sz w:val="21"/>
          <w:szCs w:val="21"/>
          <w:color w:val="auto"/>
        </w:rPr>
        <w:t>reducing the maximum number of shares of Common Stock a Participant may purchase during any Purchase Period or Offering Period.</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Such modifications or amendments will not require stockholder approval or the consent of any Plan Participants.</w:t>
      </w:r>
    </w:p>
    <w:p>
      <w:pPr>
        <w:spacing w:after="0" w:line="165" w:lineRule="exact"/>
        <w:rPr>
          <w:sz w:val="20"/>
          <w:szCs w:val="20"/>
          <w:color w:val="auto"/>
        </w:rPr>
      </w:pPr>
    </w:p>
    <w:p>
      <w:pPr>
        <w:ind w:left="1240" w:hanging="618"/>
        <w:spacing w:after="0"/>
        <w:tabs>
          <w:tab w:leader="none" w:pos="1240" w:val="left"/>
        </w:tabs>
        <w:numPr>
          <w:ilvl w:val="0"/>
          <w:numId w:val="59"/>
        </w:numPr>
        <w:rPr>
          <w:rFonts w:ascii="Arial" w:cs="Arial" w:eastAsia="Arial" w:hAnsi="Arial"/>
          <w:sz w:val="21"/>
          <w:szCs w:val="21"/>
          <w:color w:val="auto"/>
        </w:rPr>
      </w:pPr>
      <w:r>
        <w:rPr>
          <w:rFonts w:ascii="Arial" w:cs="Arial" w:eastAsia="Arial" w:hAnsi="Arial"/>
          <w:sz w:val="21"/>
          <w:szCs w:val="21"/>
          <w:b w:val="1"/>
          <w:bCs w:val="1"/>
          <w:color w:val="auto"/>
        </w:rPr>
        <w:t>Conditions Upon Issuance of Shares</w:t>
      </w:r>
      <w:r>
        <w:rPr>
          <w:rFonts w:ascii="Arial" w:cs="Arial" w:eastAsia="Arial" w:hAnsi="Arial"/>
          <w:sz w:val="21"/>
          <w:szCs w:val="21"/>
          <w:color w:val="auto"/>
        </w:rPr>
        <w:t>.</w:t>
      </w:r>
    </w:p>
    <w:p>
      <w:pPr>
        <w:spacing w:after="0" w:line="171" w:lineRule="exact"/>
        <w:rPr>
          <w:sz w:val="20"/>
          <w:szCs w:val="20"/>
          <w:color w:val="auto"/>
        </w:rPr>
      </w:pPr>
    </w:p>
    <w:p>
      <w:pPr>
        <w:jc w:val="both"/>
        <w:ind w:firstLine="1238"/>
        <w:spacing w:after="0" w:line="226" w:lineRule="auto"/>
        <w:rPr>
          <w:sz w:val="20"/>
          <w:szCs w:val="20"/>
          <w:color w:val="auto"/>
        </w:rPr>
      </w:pPr>
      <w:r>
        <w:rPr>
          <w:rFonts w:ascii="Arial" w:cs="Arial" w:eastAsia="Arial" w:hAnsi="Arial"/>
          <w:sz w:val="21"/>
          <w:szCs w:val="21"/>
          <w:color w:val="auto"/>
        </w:rPr>
        <w:t xml:space="preserve">19.1 </w:t>
      </w:r>
      <w:r>
        <w:rPr>
          <w:rFonts w:ascii="Arial" w:cs="Arial" w:eastAsia="Arial" w:hAnsi="Arial"/>
          <w:sz w:val="21"/>
          <w:szCs w:val="21"/>
          <w:b w:val="1"/>
          <w:bCs w:val="1"/>
          <w:color w:val="auto"/>
        </w:rPr>
        <w:t>Legal Compliance</w:t>
      </w:r>
      <w:r>
        <w:rPr>
          <w:rFonts w:ascii="Arial" w:cs="Arial" w:eastAsia="Arial" w:hAnsi="Arial"/>
          <w:sz w:val="21"/>
          <w:szCs w:val="21"/>
          <w:color w:val="auto"/>
        </w:rPr>
        <w:t>. 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spacing w:after="0" w:line="143" w:lineRule="exact"/>
        <w:rPr>
          <w:sz w:val="20"/>
          <w:szCs w:val="20"/>
          <w:color w:val="auto"/>
        </w:rPr>
      </w:pPr>
    </w:p>
    <w:p>
      <w:pPr>
        <w:jc w:val="both"/>
        <w:ind w:firstLine="1238"/>
        <w:spacing w:after="0" w:line="220" w:lineRule="auto"/>
        <w:rPr>
          <w:sz w:val="20"/>
          <w:szCs w:val="20"/>
          <w:color w:val="auto"/>
        </w:rPr>
      </w:pPr>
      <w:r>
        <w:rPr>
          <w:rFonts w:ascii="Arial" w:cs="Arial" w:eastAsia="Arial" w:hAnsi="Arial"/>
          <w:sz w:val="21"/>
          <w:szCs w:val="21"/>
          <w:color w:val="auto"/>
        </w:rPr>
        <w:t xml:space="preserve">19.2 </w:t>
      </w:r>
      <w:r>
        <w:rPr>
          <w:rFonts w:ascii="Arial" w:cs="Arial" w:eastAsia="Arial" w:hAnsi="Arial"/>
          <w:sz w:val="21"/>
          <w:szCs w:val="21"/>
          <w:b w:val="1"/>
          <w:bCs w:val="1"/>
          <w:color w:val="auto"/>
        </w:rPr>
        <w:t>Investment Representations</w:t>
      </w:r>
      <w:r>
        <w:rPr>
          <w:rFonts w:ascii="Arial" w:cs="Arial" w:eastAsia="Arial" w:hAnsi="Arial"/>
          <w:sz w:val="21"/>
          <w:szCs w:val="21"/>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46" w:lineRule="exact"/>
        <w:rPr>
          <w:sz w:val="20"/>
          <w:szCs w:val="20"/>
          <w:color w:val="auto"/>
        </w:rPr>
      </w:pPr>
    </w:p>
    <w:p>
      <w:pPr>
        <w:jc w:val="both"/>
        <w:ind w:firstLine="622"/>
        <w:spacing w:after="0" w:line="226" w:lineRule="auto"/>
        <w:tabs>
          <w:tab w:leader="none" w:pos="1238" w:val="left"/>
        </w:tabs>
        <w:numPr>
          <w:ilvl w:val="0"/>
          <w:numId w:val="60"/>
        </w:numPr>
        <w:rPr>
          <w:rFonts w:ascii="Arial" w:cs="Arial" w:eastAsia="Arial" w:hAnsi="Arial"/>
          <w:sz w:val="21"/>
          <w:szCs w:val="21"/>
          <w:color w:val="auto"/>
        </w:rPr>
      </w:pPr>
      <w:r>
        <w:rPr>
          <w:rFonts w:ascii="Arial" w:cs="Arial" w:eastAsia="Arial" w:hAnsi="Arial"/>
          <w:sz w:val="21"/>
          <w:szCs w:val="21"/>
          <w:b w:val="1"/>
          <w:bCs w:val="1"/>
          <w:color w:val="auto"/>
        </w:rPr>
        <w:t>Term of Plan</w:t>
      </w:r>
      <w:r>
        <w:rPr>
          <w:rFonts w:ascii="Arial" w:cs="Arial" w:eastAsia="Arial" w:hAnsi="Arial"/>
          <w:sz w:val="21"/>
          <w:szCs w:val="21"/>
          <w:color w:val="auto"/>
        </w:rPr>
        <w:t>. The Plan will become effective upon the later to occur of (a) its adoption by the Board or (b) the business</w:t>
      </w:r>
      <w:r>
        <w:rPr>
          <w:rFonts w:ascii="Arial" w:cs="Arial" w:eastAsia="Arial" w:hAnsi="Arial"/>
          <w:sz w:val="21"/>
          <w:szCs w:val="21"/>
          <w:b w:val="1"/>
          <w:bCs w:val="1"/>
          <w:color w:val="auto"/>
        </w:rPr>
        <w:t xml:space="preserve"> </w:t>
      </w:r>
      <w:r>
        <w:rPr>
          <w:rFonts w:ascii="Arial" w:cs="Arial" w:eastAsia="Arial" w:hAnsi="Arial"/>
          <w:sz w:val="21"/>
          <w:szCs w:val="21"/>
          <w:color w:val="auto"/>
        </w:rPr>
        <w:t>day immediately prior to the Registration Date. It will continue in effect for a term of twenty (20) years, unless sooner terminated under Section 18.</w:t>
      </w:r>
    </w:p>
    <w:p>
      <w:pPr>
        <w:spacing w:after="0" w:line="142" w:lineRule="exact"/>
        <w:rPr>
          <w:rFonts w:ascii="Arial" w:cs="Arial" w:eastAsia="Arial" w:hAnsi="Arial"/>
          <w:sz w:val="21"/>
          <w:szCs w:val="21"/>
          <w:color w:val="auto"/>
        </w:rPr>
      </w:pPr>
    </w:p>
    <w:p>
      <w:pPr>
        <w:jc w:val="both"/>
        <w:ind w:firstLine="622"/>
        <w:spacing w:after="0" w:line="226" w:lineRule="auto"/>
        <w:tabs>
          <w:tab w:leader="none" w:pos="1238" w:val="left"/>
        </w:tabs>
        <w:numPr>
          <w:ilvl w:val="0"/>
          <w:numId w:val="60"/>
        </w:numPr>
        <w:rPr>
          <w:rFonts w:ascii="Arial" w:cs="Arial" w:eastAsia="Arial" w:hAnsi="Arial"/>
          <w:sz w:val="21"/>
          <w:szCs w:val="21"/>
          <w:color w:val="auto"/>
        </w:rPr>
      </w:pPr>
      <w:r>
        <w:rPr>
          <w:rFonts w:ascii="Arial" w:cs="Arial" w:eastAsia="Arial" w:hAnsi="Arial"/>
          <w:sz w:val="21"/>
          <w:szCs w:val="21"/>
          <w:b w:val="1"/>
          <w:bCs w:val="1"/>
          <w:color w:val="auto"/>
        </w:rPr>
        <w:t>Stockholder Approval</w:t>
      </w:r>
      <w:r>
        <w:rPr>
          <w:rFonts w:ascii="Arial" w:cs="Arial" w:eastAsia="Arial" w:hAnsi="Arial"/>
          <w:sz w:val="21"/>
          <w:szCs w:val="21"/>
          <w:color w:val="auto"/>
        </w:rPr>
        <w:t>. The Plan will be subject to approval by the stockholders of the Company within twelve (12)</w:t>
      </w:r>
      <w:r>
        <w:rPr>
          <w:rFonts w:ascii="Arial" w:cs="Arial" w:eastAsia="Arial" w:hAnsi="Arial"/>
          <w:sz w:val="21"/>
          <w:szCs w:val="21"/>
          <w:b w:val="1"/>
          <w:bCs w:val="1"/>
          <w:color w:val="auto"/>
        </w:rPr>
        <w:t xml:space="preserve"> </w:t>
      </w:r>
      <w:r>
        <w:rPr>
          <w:rFonts w:ascii="Arial" w:cs="Arial" w:eastAsia="Arial" w:hAnsi="Arial"/>
          <w:sz w:val="21"/>
          <w:szCs w:val="21"/>
          <w:color w:val="auto"/>
        </w:rPr>
        <w:t>months after the date the Plan is adopted by the Board. Such stockholder approval will be obtained in the manner and to the degree required under Applicable Laws.</w:t>
      </w:r>
    </w:p>
    <w:p>
      <w:pPr>
        <w:spacing w:after="0" w:line="142" w:lineRule="exact"/>
        <w:rPr>
          <w:rFonts w:ascii="Arial" w:cs="Arial" w:eastAsia="Arial" w:hAnsi="Arial"/>
          <w:sz w:val="21"/>
          <w:szCs w:val="21"/>
          <w:color w:val="auto"/>
        </w:rPr>
      </w:pPr>
    </w:p>
    <w:p>
      <w:pPr>
        <w:jc w:val="both"/>
        <w:ind w:firstLine="622"/>
        <w:spacing w:after="0" w:line="220" w:lineRule="auto"/>
        <w:tabs>
          <w:tab w:leader="none" w:pos="1238" w:val="left"/>
        </w:tabs>
        <w:numPr>
          <w:ilvl w:val="0"/>
          <w:numId w:val="60"/>
        </w:numPr>
        <w:rPr>
          <w:rFonts w:ascii="Arial" w:cs="Arial" w:eastAsia="Arial" w:hAnsi="Arial"/>
          <w:sz w:val="21"/>
          <w:szCs w:val="21"/>
          <w:color w:val="auto"/>
        </w:rPr>
      </w:pPr>
      <w:r>
        <w:rPr>
          <w:rFonts w:ascii="Arial" w:cs="Arial" w:eastAsia="Arial" w:hAnsi="Arial"/>
          <w:sz w:val="21"/>
          <w:szCs w:val="21"/>
          <w:b w:val="1"/>
          <w:bCs w:val="1"/>
          <w:color w:val="auto"/>
        </w:rPr>
        <w:t>Interest</w:t>
      </w:r>
      <w:r>
        <w:rPr>
          <w:rFonts w:ascii="Arial" w:cs="Arial" w:eastAsia="Arial" w:hAnsi="Arial"/>
          <w:sz w:val="21"/>
          <w:szCs w:val="21"/>
          <w:color w:val="auto"/>
        </w:rPr>
        <w:t>. No interest will accrue on the Contributions of a participant in the Plan, except as may be required by</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Laws, as determined by the Company, and if so required by the laws of a particular jurisdiction, will apply, with respect to Offerings under the 423 Component, to all Participants in the relevant Offering, except to the extent otherwise permitted by U.S. Treasury Regulations Section 1.423-2(f).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04" w:lineRule="exact"/>
        <w:rPr>
          <w:sz w:val="20"/>
          <w:szCs w:val="20"/>
          <w:color w:val="auto"/>
        </w:rPr>
      </w:pPr>
    </w:p>
    <w:p>
      <w:pPr>
        <w:jc w:val="both"/>
        <w:ind w:firstLine="622"/>
        <w:spacing w:after="0" w:line="231" w:lineRule="auto"/>
        <w:tabs>
          <w:tab w:leader="none" w:pos="1238" w:val="left"/>
        </w:tabs>
        <w:numPr>
          <w:ilvl w:val="0"/>
          <w:numId w:val="61"/>
        </w:numPr>
        <w:rPr>
          <w:rFonts w:ascii="Arial" w:cs="Arial" w:eastAsia="Arial" w:hAnsi="Arial"/>
          <w:sz w:val="20"/>
          <w:szCs w:val="20"/>
          <w:color w:val="auto"/>
        </w:rPr>
      </w:pPr>
      <w:r>
        <w:rPr>
          <w:rFonts w:ascii="Arial" w:cs="Arial" w:eastAsia="Arial" w:hAnsi="Arial"/>
          <w:sz w:val="20"/>
          <w:szCs w:val="20"/>
          <w:b w:val="1"/>
          <w:bCs w:val="1"/>
          <w:color w:val="auto"/>
        </w:rPr>
        <w:t>No Effect on Employment</w:t>
      </w:r>
      <w:r>
        <w:rPr>
          <w:rFonts w:ascii="Arial" w:cs="Arial" w:eastAsia="Arial" w:hAnsi="Arial"/>
          <w:sz w:val="20"/>
          <w:szCs w:val="20"/>
          <w:color w:val="auto"/>
        </w:rPr>
        <w:t>. Neither the Plan nor any option under the Plan will confer upon any Participant any right</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continuing the Participant’s employment with the 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w:t>
      </w:r>
    </w:p>
    <w:p>
      <w:pPr>
        <w:spacing w:after="0" w:line="145" w:lineRule="exact"/>
        <w:rPr>
          <w:rFonts w:ascii="Arial" w:cs="Arial" w:eastAsia="Arial" w:hAnsi="Arial"/>
          <w:sz w:val="20"/>
          <w:szCs w:val="20"/>
          <w:color w:val="auto"/>
        </w:rPr>
      </w:pPr>
    </w:p>
    <w:p>
      <w:pPr>
        <w:jc w:val="both"/>
        <w:ind w:firstLine="622"/>
        <w:spacing w:after="0" w:line="237" w:lineRule="auto"/>
        <w:tabs>
          <w:tab w:leader="none" w:pos="1238" w:val="left"/>
        </w:tabs>
        <w:numPr>
          <w:ilvl w:val="0"/>
          <w:numId w:val="61"/>
        </w:numPr>
        <w:rPr>
          <w:rFonts w:ascii="Arial" w:cs="Arial" w:eastAsia="Arial" w:hAnsi="Arial"/>
          <w:sz w:val="20"/>
          <w:szCs w:val="20"/>
          <w:color w:val="auto"/>
        </w:rPr>
      </w:pPr>
      <w:r>
        <w:rPr>
          <w:rFonts w:ascii="Arial" w:cs="Arial" w:eastAsia="Arial" w:hAnsi="Arial"/>
          <w:sz w:val="20"/>
          <w:szCs w:val="20"/>
          <w:b w:val="1"/>
          <w:bCs w:val="1"/>
          <w:color w:val="auto"/>
        </w:rPr>
        <w:t>Reports</w:t>
      </w:r>
      <w:r>
        <w:rPr>
          <w:rFonts w:ascii="Arial" w:cs="Arial" w:eastAsia="Arial" w:hAnsi="Arial"/>
          <w:sz w:val="20"/>
          <w:szCs w:val="20"/>
          <w:color w:val="auto"/>
        </w:rPr>
        <w:t>. Individual accounts will be maintained for each Participant in the Plan. Statements of account will be given to</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participating Eligible Employees at least annually, which statements will set forth the amounts of Contributions, the Purchase Price, the number of shares of Common Stock purchased and the remaining cash balance, if any.</w:t>
      </w:r>
    </w:p>
    <w:p>
      <w:pPr>
        <w:spacing w:after="0" w:line="143" w:lineRule="exact"/>
        <w:rPr>
          <w:rFonts w:ascii="Arial" w:cs="Arial" w:eastAsia="Arial" w:hAnsi="Arial"/>
          <w:sz w:val="20"/>
          <w:szCs w:val="20"/>
          <w:color w:val="auto"/>
        </w:rPr>
      </w:pPr>
    </w:p>
    <w:p>
      <w:pPr>
        <w:jc w:val="both"/>
        <w:ind w:firstLine="622"/>
        <w:spacing w:after="0" w:line="226" w:lineRule="auto"/>
        <w:tabs>
          <w:tab w:leader="none" w:pos="1238" w:val="left"/>
        </w:tabs>
        <w:numPr>
          <w:ilvl w:val="0"/>
          <w:numId w:val="61"/>
        </w:numPr>
        <w:rPr>
          <w:rFonts w:ascii="Arial" w:cs="Arial" w:eastAsia="Arial" w:hAnsi="Arial"/>
          <w:sz w:val="21"/>
          <w:szCs w:val="21"/>
          <w:color w:val="auto"/>
        </w:rPr>
      </w:pPr>
      <w:r>
        <w:rPr>
          <w:rFonts w:ascii="Arial" w:cs="Arial" w:eastAsia="Arial" w:hAnsi="Arial"/>
          <w:sz w:val="21"/>
          <w:szCs w:val="21"/>
          <w:b w:val="1"/>
          <w:bCs w:val="1"/>
          <w:color w:val="auto"/>
        </w:rPr>
        <w:t>Notices</w:t>
      </w:r>
      <w:r>
        <w:rPr>
          <w:rFonts w:ascii="Arial" w:cs="Arial" w:eastAsia="Arial" w:hAnsi="Arial"/>
          <w:sz w:val="21"/>
          <w:szCs w:val="21"/>
          <w:color w:val="auto"/>
        </w:rPr>
        <w:t>. All notices or other communications by a Participant to the Company under or in connection with the Plan will</w:t>
      </w:r>
      <w:r>
        <w:rPr>
          <w:rFonts w:ascii="Arial" w:cs="Arial" w:eastAsia="Arial" w:hAnsi="Arial"/>
          <w:sz w:val="21"/>
          <w:szCs w:val="21"/>
          <w:b w:val="1"/>
          <w:bCs w:val="1"/>
          <w:color w:val="auto"/>
        </w:rPr>
        <w:t xml:space="preserve"> </w:t>
      </w:r>
      <w:r>
        <w:rPr>
          <w:rFonts w:ascii="Arial" w:cs="Arial" w:eastAsia="Arial" w:hAnsi="Arial"/>
          <w:sz w:val="21"/>
          <w:szCs w:val="21"/>
          <w:color w:val="auto"/>
        </w:rPr>
        <w:t>be deemed to have been duly given when received in the form and manner specified by the Company at the location, or by the person, designated by the Company for the receipt thereof.</w:t>
      </w:r>
    </w:p>
    <w:p>
      <w:pPr>
        <w:spacing w:after="0" w:line="142" w:lineRule="exact"/>
        <w:rPr>
          <w:rFonts w:ascii="Arial" w:cs="Arial" w:eastAsia="Arial" w:hAnsi="Arial"/>
          <w:sz w:val="21"/>
          <w:szCs w:val="21"/>
          <w:color w:val="auto"/>
        </w:rPr>
      </w:pPr>
    </w:p>
    <w:p>
      <w:pPr>
        <w:ind w:left="1240" w:hanging="618"/>
        <w:spacing w:after="0"/>
        <w:tabs>
          <w:tab w:leader="none" w:pos="1240" w:val="left"/>
        </w:tabs>
        <w:numPr>
          <w:ilvl w:val="0"/>
          <w:numId w:val="61"/>
        </w:numPr>
        <w:rPr>
          <w:rFonts w:ascii="Arial" w:cs="Arial" w:eastAsia="Arial" w:hAnsi="Arial"/>
          <w:sz w:val="21"/>
          <w:szCs w:val="21"/>
          <w:color w:val="auto"/>
        </w:rPr>
      </w:pPr>
      <w:r>
        <w:rPr>
          <w:rFonts w:ascii="Arial" w:cs="Arial" w:eastAsia="Arial" w:hAnsi="Arial"/>
          <w:sz w:val="21"/>
          <w:szCs w:val="21"/>
          <w:b w:val="1"/>
          <w:bCs w:val="1"/>
          <w:color w:val="auto"/>
        </w:rPr>
        <w:t>Legal Construction</w:t>
      </w:r>
      <w:r>
        <w:rPr>
          <w:rFonts w:ascii="Arial" w:cs="Arial" w:eastAsia="Arial" w:hAnsi="Arial"/>
          <w:sz w:val="21"/>
          <w:szCs w:val="21"/>
          <w:color w:val="auto"/>
        </w:rPr>
        <w:t>.</w:t>
      </w:r>
    </w:p>
    <w:p>
      <w:pPr>
        <w:spacing w:after="0" w:line="171" w:lineRule="exact"/>
        <w:rPr>
          <w:sz w:val="20"/>
          <w:szCs w:val="20"/>
          <w:color w:val="auto"/>
        </w:rPr>
      </w:pPr>
    </w:p>
    <w:p>
      <w:pPr>
        <w:jc w:val="both"/>
        <w:ind w:firstLine="1238"/>
        <w:spacing w:after="0" w:line="226" w:lineRule="auto"/>
        <w:rPr>
          <w:sz w:val="20"/>
          <w:szCs w:val="20"/>
          <w:color w:val="auto"/>
        </w:rPr>
      </w:pPr>
      <w:r>
        <w:rPr>
          <w:rFonts w:ascii="Arial" w:cs="Arial" w:eastAsia="Arial" w:hAnsi="Arial"/>
          <w:sz w:val="21"/>
          <w:szCs w:val="21"/>
          <w:color w:val="auto"/>
        </w:rPr>
        <w:t xml:space="preserve">26.1 </w:t>
      </w:r>
      <w:r>
        <w:rPr>
          <w:rFonts w:ascii="Arial" w:cs="Arial" w:eastAsia="Arial" w:hAnsi="Arial"/>
          <w:sz w:val="21"/>
          <w:szCs w:val="21"/>
          <w:b w:val="1"/>
          <w:bCs w:val="1"/>
          <w:color w:val="auto"/>
        </w:rPr>
        <w:t>Gender and Number</w:t>
      </w:r>
      <w:r>
        <w:rPr>
          <w:rFonts w:ascii="Arial" w:cs="Arial" w:eastAsia="Arial" w:hAnsi="Arial"/>
          <w:sz w:val="21"/>
          <w:szCs w:val="21"/>
          <w:color w:val="auto"/>
        </w:rPr>
        <w:t>. Except where otherwise indicated by the context, any feminine term used herein also will include the masculine and any masculine term used herein also will include the feminine; the plural will include the singular and the singular will include the plural.</w:t>
      </w:r>
    </w:p>
    <w:p>
      <w:pPr>
        <w:spacing w:after="0" w:line="143" w:lineRule="exact"/>
        <w:rPr>
          <w:sz w:val="20"/>
          <w:szCs w:val="20"/>
          <w:color w:val="auto"/>
        </w:rPr>
      </w:pPr>
    </w:p>
    <w:p>
      <w:pPr>
        <w:jc w:val="both"/>
        <w:ind w:firstLine="1238"/>
        <w:spacing w:after="0" w:line="220" w:lineRule="auto"/>
        <w:rPr>
          <w:sz w:val="20"/>
          <w:szCs w:val="20"/>
          <w:color w:val="auto"/>
        </w:rPr>
      </w:pPr>
      <w:r>
        <w:rPr>
          <w:rFonts w:ascii="Arial" w:cs="Arial" w:eastAsia="Arial" w:hAnsi="Arial"/>
          <w:sz w:val="21"/>
          <w:szCs w:val="21"/>
          <w:color w:val="auto"/>
        </w:rPr>
        <w:t xml:space="preserve">26.2 </w:t>
      </w:r>
      <w:r>
        <w:rPr>
          <w:rFonts w:ascii="Arial" w:cs="Arial" w:eastAsia="Arial" w:hAnsi="Arial"/>
          <w:sz w:val="21"/>
          <w:szCs w:val="21"/>
          <w:b w:val="1"/>
          <w:bCs w:val="1"/>
          <w:color w:val="auto"/>
        </w:rPr>
        <w:t>Severability</w:t>
      </w:r>
      <w:r>
        <w:rPr>
          <w:rFonts w:ascii="Arial" w:cs="Arial" w:eastAsia="Arial" w:hAnsi="Arial"/>
          <w:sz w:val="21"/>
          <w:szCs w:val="21"/>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46" w:lineRule="exact"/>
        <w:rPr>
          <w:sz w:val="20"/>
          <w:szCs w:val="20"/>
          <w:color w:val="auto"/>
        </w:rPr>
      </w:pPr>
    </w:p>
    <w:p>
      <w:pPr>
        <w:jc w:val="both"/>
        <w:ind w:firstLine="1238"/>
        <w:spacing w:after="0" w:line="236" w:lineRule="auto"/>
        <w:rPr>
          <w:sz w:val="20"/>
          <w:szCs w:val="20"/>
          <w:color w:val="auto"/>
        </w:rPr>
      </w:pPr>
      <w:r>
        <w:rPr>
          <w:rFonts w:ascii="Arial" w:cs="Arial" w:eastAsia="Arial" w:hAnsi="Arial"/>
          <w:sz w:val="21"/>
          <w:szCs w:val="21"/>
          <w:color w:val="auto"/>
        </w:rPr>
        <w:t xml:space="preserve">26.3 </w:t>
      </w:r>
      <w:r>
        <w:rPr>
          <w:rFonts w:ascii="Arial" w:cs="Arial" w:eastAsia="Arial" w:hAnsi="Arial"/>
          <w:sz w:val="21"/>
          <w:szCs w:val="21"/>
          <w:b w:val="1"/>
          <w:bCs w:val="1"/>
          <w:color w:val="auto"/>
        </w:rPr>
        <w:t>Governing Law</w:t>
      </w:r>
      <w:r>
        <w:rPr>
          <w:rFonts w:ascii="Arial" w:cs="Arial" w:eastAsia="Arial" w:hAnsi="Arial"/>
          <w:sz w:val="21"/>
          <w:szCs w:val="21"/>
          <w:color w:val="auto"/>
        </w:rPr>
        <w:t>. The Plan will be governed by, and construed in accordance with, the laws of the State of Delaware, but without regard to its conflict of law provisions.</w:t>
      </w:r>
    </w:p>
    <w:p>
      <w:pPr>
        <w:spacing w:after="0" w:line="127"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26.4</w:t>
      </w:r>
      <w:r>
        <w:rPr>
          <w:sz w:val="20"/>
          <w:szCs w:val="20"/>
          <w:color w:val="auto"/>
        </w:rPr>
        <w:tab/>
      </w:r>
      <w:r>
        <w:rPr>
          <w:rFonts w:ascii="Arial" w:cs="Arial" w:eastAsia="Arial" w:hAnsi="Arial"/>
          <w:sz w:val="19"/>
          <w:szCs w:val="19"/>
          <w:b w:val="1"/>
          <w:bCs w:val="1"/>
          <w:color w:val="auto"/>
        </w:rPr>
        <w:t>Headings</w:t>
      </w:r>
      <w:r>
        <w:rPr>
          <w:rFonts w:ascii="Arial" w:cs="Arial" w:eastAsia="Arial" w:hAnsi="Arial"/>
          <w:sz w:val="19"/>
          <w:szCs w:val="19"/>
          <w:color w:val="auto"/>
        </w:rPr>
        <w:t>. Headings are provided herein for convenience only, and will not serve as a basis for interpretation of</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the Plan.</w:t>
      </w:r>
    </w:p>
    <w:p>
      <w:pPr>
        <w:spacing w:after="0" w:line="147" w:lineRule="exact"/>
        <w:rPr>
          <w:sz w:val="20"/>
          <w:szCs w:val="20"/>
          <w:color w:val="auto"/>
        </w:rPr>
      </w:pPr>
    </w:p>
    <w:p>
      <w:pPr>
        <w:ind w:firstLine="622"/>
        <w:spacing w:after="0" w:line="236" w:lineRule="auto"/>
        <w:tabs>
          <w:tab w:leader="none" w:pos="1238" w:val="left"/>
        </w:tabs>
        <w:numPr>
          <w:ilvl w:val="0"/>
          <w:numId w:val="62"/>
        </w:numPr>
        <w:rPr>
          <w:rFonts w:ascii="Arial" w:cs="Arial" w:eastAsia="Arial" w:hAnsi="Arial"/>
          <w:sz w:val="21"/>
          <w:szCs w:val="21"/>
          <w:color w:val="auto"/>
        </w:rPr>
      </w:pPr>
      <w:r>
        <w:rPr>
          <w:rFonts w:ascii="Arial" w:cs="Arial" w:eastAsia="Arial" w:hAnsi="Arial"/>
          <w:sz w:val="21"/>
          <w:szCs w:val="21"/>
          <w:b w:val="1"/>
          <w:bCs w:val="1"/>
          <w:color w:val="auto"/>
        </w:rPr>
        <w:t>Compliance with Applicable Laws</w:t>
      </w:r>
      <w:r>
        <w:rPr>
          <w:rFonts w:ascii="Arial" w:cs="Arial" w:eastAsia="Arial" w:hAnsi="Arial"/>
          <w:sz w:val="21"/>
          <w:szCs w:val="21"/>
          <w:color w:val="auto"/>
        </w:rPr>
        <w:t>. The terms of this Plan are intended to comply with all Applicable Laws and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construed accordingly.</w:t>
      </w:r>
    </w:p>
    <w:p>
      <w:pPr>
        <w:spacing w:after="0" w:line="143" w:lineRule="exact"/>
        <w:rPr>
          <w:rFonts w:ascii="Arial" w:cs="Arial" w:eastAsia="Arial" w:hAnsi="Arial"/>
          <w:sz w:val="21"/>
          <w:szCs w:val="21"/>
          <w:color w:val="auto"/>
        </w:rPr>
      </w:pPr>
    </w:p>
    <w:p>
      <w:pPr>
        <w:jc w:val="both"/>
        <w:ind w:firstLine="622"/>
        <w:spacing w:after="0" w:line="253" w:lineRule="auto"/>
        <w:tabs>
          <w:tab w:leader="none" w:pos="1238"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Automatic Transfer to Low Price Offering Period</w:t>
      </w:r>
      <w:r>
        <w:rPr>
          <w:rFonts w:ascii="Arial" w:cs="Arial" w:eastAsia="Arial" w:hAnsi="Arial"/>
          <w:sz w:val="18"/>
          <w:szCs w:val="18"/>
          <w:color w:val="auto"/>
        </w:rPr>
        <w:t>. Unless determined otherwise by the Administrator, this Section 28</w:t>
      </w:r>
      <w:r>
        <w:rPr>
          <w:rFonts w:ascii="Arial" w:cs="Arial" w:eastAsia="Arial" w:hAnsi="Arial"/>
          <w:sz w:val="18"/>
          <w:szCs w:val="18"/>
          <w:b w:val="1"/>
          <w:bCs w:val="1"/>
          <w:color w:val="auto"/>
        </w:rPr>
        <w:t xml:space="preserve"> </w:t>
      </w:r>
      <w:r>
        <w:rPr>
          <w:rFonts w:ascii="Arial" w:cs="Arial" w:eastAsia="Arial" w:hAnsi="Arial"/>
          <w:sz w:val="18"/>
          <w:szCs w:val="18"/>
          <w:color w:val="auto"/>
        </w:rPr>
        <w:t>applies to an Offering Period to the extent such Offering Period provides for more than one (1) Exercise Date within such Offering Period. To the extent permitted by Applicable Laws, if the Fair Market Value of a share of Common Stock on any Exercise Date in an 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re-enrolled in the immediately following Offering Period as of the first day thereof.</w:t>
      </w:r>
    </w:p>
    <w:p>
      <w:pPr>
        <w:spacing w:after="0" w:line="140" w:lineRule="exact"/>
        <w:rPr>
          <w:rFonts w:ascii="Arial" w:cs="Arial" w:eastAsia="Arial" w:hAnsi="Arial"/>
          <w:sz w:val="18"/>
          <w:szCs w:val="18"/>
          <w:color w:val="auto"/>
        </w:rPr>
      </w:pPr>
    </w:p>
    <w:p>
      <w:pPr>
        <w:ind w:left="5420"/>
        <w:spacing w:after="0"/>
        <w:rPr>
          <w:rFonts w:ascii="Arial" w:cs="Arial" w:eastAsia="Arial" w:hAnsi="Arial"/>
          <w:sz w:val="18"/>
          <w:szCs w:val="18"/>
          <w:color w:val="auto"/>
        </w:rPr>
      </w:pPr>
      <w:r>
        <w:rPr>
          <w:rFonts w:ascii="Arial" w:cs="Arial" w:eastAsia="Arial" w:hAnsi="Arial"/>
          <w:sz w:val="21"/>
          <w:szCs w:val="2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SEER,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2020 EMPLOYEE STOCK PURCHASE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SUBSCRIPTION AGREEMENT</w:t>
      </w:r>
    </w:p>
    <w:p>
      <w:pPr>
        <w:spacing w:after="0" w:line="177" w:lineRule="exact"/>
        <w:rPr>
          <w:sz w:val="20"/>
          <w:szCs w:val="20"/>
          <w:color w:val="auto"/>
        </w:rPr>
      </w:pPr>
    </w:p>
    <w:p>
      <w:pPr>
        <w:spacing w:after="0"/>
        <w:tabs>
          <w:tab w:leader="none" w:pos="2460" w:val="left"/>
        </w:tabs>
        <w:rPr>
          <w:sz w:val="20"/>
          <w:szCs w:val="20"/>
          <w:color w:val="auto"/>
        </w:rPr>
      </w:pPr>
      <w:r>
        <w:rPr>
          <w:rFonts w:ascii="Arial" w:cs="Arial" w:eastAsia="Arial" w:hAnsi="Arial"/>
          <w:sz w:val="21"/>
          <w:szCs w:val="21"/>
          <w:color w:val="auto"/>
        </w:rPr>
        <w:t>_____ Original Application</w:t>
      </w:r>
      <w:r>
        <w:rPr>
          <w:sz w:val="20"/>
          <w:szCs w:val="20"/>
          <w:color w:val="auto"/>
        </w:rPr>
        <w:tab/>
      </w:r>
      <w:r>
        <w:rPr>
          <w:rFonts w:ascii="Arial" w:cs="Arial" w:eastAsia="Arial" w:hAnsi="Arial"/>
          <w:sz w:val="18"/>
          <w:szCs w:val="18"/>
          <w:color w:val="auto"/>
        </w:rPr>
        <w:t>Offering Date: 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_____ Change in Payroll Deduction Rate</w:t>
      </w:r>
    </w:p>
    <w:p>
      <w:pPr>
        <w:spacing w:after="0" w:line="165" w:lineRule="exact"/>
        <w:rPr>
          <w:sz w:val="20"/>
          <w:szCs w:val="20"/>
          <w:color w:val="auto"/>
        </w:rPr>
      </w:pPr>
    </w:p>
    <w:p>
      <w:pPr>
        <w:jc w:val="both"/>
        <w:ind w:firstLine="622"/>
        <w:spacing w:after="0" w:line="275" w:lineRule="auto"/>
        <w:tabs>
          <w:tab w:leader="none" w:pos="1238" w:val="left"/>
        </w:tabs>
        <w:numPr>
          <w:ilvl w:val="0"/>
          <w:numId w:val="63"/>
        </w:numPr>
        <w:rPr>
          <w:rFonts w:ascii="Arial" w:cs="Arial" w:eastAsia="Arial" w:hAnsi="Arial"/>
          <w:sz w:val="18"/>
          <w:szCs w:val="18"/>
          <w:color w:val="auto"/>
        </w:rPr>
      </w:pPr>
      <w:r>
        <w:rPr>
          <w:rFonts w:ascii="Arial" w:cs="Arial" w:eastAsia="Arial" w:hAnsi="Arial"/>
          <w:sz w:val="18"/>
          <w:szCs w:val="18"/>
          <w:color w:val="auto"/>
        </w:rPr>
        <w:t>____________________ hereby elects to participate in the Seer, Inc. 2020 Employee Stock Purchase Plan (the “</w:t>
      </w:r>
      <w:r>
        <w:rPr>
          <w:rFonts w:ascii="Arial" w:cs="Arial" w:eastAsia="Arial" w:hAnsi="Arial"/>
          <w:sz w:val="18"/>
          <w:szCs w:val="18"/>
          <w:b w:val="1"/>
          <w:bCs w:val="1"/>
          <w:color w:val="auto"/>
        </w:rPr>
        <w:t>Plan</w:t>
      </w:r>
      <w:r>
        <w:rPr>
          <w:rFonts w:ascii="Arial" w:cs="Arial" w:eastAsia="Arial" w:hAnsi="Arial"/>
          <w:sz w:val="18"/>
          <w:szCs w:val="18"/>
          <w:color w:val="auto"/>
        </w:rPr>
        <w:t>”) and subscribes to purchase shares of the Company’s Common Stock in accordance with this Subscription Agreement and the Plan. Any capitalized terms not specifically defined in this Subscription Agreement will have the meaning ascribed to them under the Plan.</w:t>
      </w:r>
    </w:p>
    <w:p>
      <w:pPr>
        <w:spacing w:after="0" w:line="119" w:lineRule="exact"/>
        <w:rPr>
          <w:rFonts w:ascii="Arial" w:cs="Arial" w:eastAsia="Arial" w:hAnsi="Arial"/>
          <w:sz w:val="18"/>
          <w:szCs w:val="18"/>
          <w:color w:val="auto"/>
        </w:rPr>
      </w:pPr>
    </w:p>
    <w:p>
      <w:pPr>
        <w:jc w:val="both"/>
        <w:ind w:firstLine="622"/>
        <w:spacing w:after="0" w:line="225" w:lineRule="auto"/>
        <w:tabs>
          <w:tab w:leader="none" w:pos="1238" w:val="left"/>
        </w:tabs>
        <w:numPr>
          <w:ilvl w:val="0"/>
          <w:numId w:val="63"/>
        </w:numPr>
        <w:rPr>
          <w:rFonts w:ascii="Arial" w:cs="Arial" w:eastAsia="Arial" w:hAnsi="Arial"/>
          <w:sz w:val="20"/>
          <w:szCs w:val="20"/>
          <w:color w:val="auto"/>
        </w:rPr>
      </w:pPr>
      <w:r>
        <w:rPr>
          <w:rFonts w:ascii="Arial" w:cs="Arial" w:eastAsia="Arial" w:hAnsi="Arial"/>
          <w:sz w:val="20"/>
          <w:szCs w:val="20"/>
          <w:color w:val="auto"/>
        </w:rPr>
        <w:t>I hereby authorize and consent to payroll deductions from each paycheck in the amount of ____% of my Compensation on each payday (from 0% to 15%)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150" w:lineRule="exact"/>
        <w:rPr>
          <w:rFonts w:ascii="Arial" w:cs="Arial" w:eastAsia="Arial" w:hAnsi="Arial"/>
          <w:sz w:val="20"/>
          <w:szCs w:val="20"/>
          <w:color w:val="auto"/>
        </w:rPr>
      </w:pPr>
    </w:p>
    <w:p>
      <w:pPr>
        <w:jc w:val="both"/>
        <w:ind w:firstLine="622"/>
        <w:spacing w:after="0" w:line="216" w:lineRule="auto"/>
        <w:tabs>
          <w:tab w:leader="none" w:pos="1238" w:val="left"/>
        </w:tabs>
        <w:numPr>
          <w:ilvl w:val="0"/>
          <w:numId w:val="63"/>
        </w:numPr>
        <w:rPr>
          <w:rFonts w:ascii="Arial" w:cs="Arial" w:eastAsia="Arial" w:hAnsi="Arial"/>
          <w:sz w:val="21"/>
          <w:szCs w:val="21"/>
          <w:color w:val="auto"/>
        </w:rPr>
      </w:pPr>
      <w:r>
        <w:rPr>
          <w:rFonts w:ascii="Arial" w:cs="Arial" w:eastAsia="Arial" w:hAnsi="Arial"/>
          <w:sz w:val="21"/>
          <w:szCs w:val="21"/>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150" w:lineRule="exact"/>
        <w:rPr>
          <w:rFonts w:ascii="Arial" w:cs="Arial" w:eastAsia="Arial" w:hAnsi="Arial"/>
          <w:sz w:val="21"/>
          <w:szCs w:val="21"/>
          <w:color w:val="auto"/>
        </w:rPr>
      </w:pPr>
    </w:p>
    <w:p>
      <w:pPr>
        <w:ind w:firstLine="622"/>
        <w:spacing w:after="0" w:line="233" w:lineRule="auto"/>
        <w:tabs>
          <w:tab w:leader="none" w:pos="1238" w:val="left"/>
        </w:tabs>
        <w:numPr>
          <w:ilvl w:val="0"/>
          <w:numId w:val="63"/>
        </w:numPr>
        <w:rPr>
          <w:rFonts w:ascii="Arial" w:cs="Arial" w:eastAsia="Arial" w:hAnsi="Arial"/>
          <w:sz w:val="21"/>
          <w:szCs w:val="21"/>
          <w:color w:val="auto"/>
        </w:rPr>
      </w:pPr>
      <w:r>
        <w:rPr>
          <w:rFonts w:ascii="Arial" w:cs="Arial" w:eastAsia="Arial" w:hAnsi="Arial"/>
          <w:sz w:val="21"/>
          <w:szCs w:val="21"/>
          <w:color w:val="auto"/>
        </w:rPr>
        <w:t>I have received a copy of the complete Plan and its accompanying prospectus. I understand that my participation in the Plan is in all respects subject to the terms of the Plan.</w:t>
      </w:r>
    </w:p>
    <w:p>
      <w:pPr>
        <w:spacing w:after="0" w:line="149" w:lineRule="exact"/>
        <w:rPr>
          <w:rFonts w:ascii="Arial" w:cs="Arial" w:eastAsia="Arial" w:hAnsi="Arial"/>
          <w:sz w:val="21"/>
          <w:szCs w:val="21"/>
          <w:color w:val="auto"/>
        </w:rPr>
      </w:pPr>
    </w:p>
    <w:p>
      <w:pPr>
        <w:ind w:firstLine="622"/>
        <w:spacing w:after="0" w:line="233" w:lineRule="auto"/>
        <w:tabs>
          <w:tab w:leader="none" w:pos="1238" w:val="left"/>
        </w:tabs>
        <w:numPr>
          <w:ilvl w:val="0"/>
          <w:numId w:val="63"/>
        </w:numPr>
        <w:rPr>
          <w:rFonts w:ascii="Arial" w:cs="Arial" w:eastAsia="Arial" w:hAnsi="Arial"/>
          <w:sz w:val="21"/>
          <w:szCs w:val="21"/>
          <w:color w:val="auto"/>
        </w:rPr>
      </w:pPr>
      <w:r>
        <w:rPr>
          <w:rFonts w:ascii="Arial" w:cs="Arial" w:eastAsia="Arial" w:hAnsi="Arial"/>
          <w:sz w:val="21"/>
          <w:szCs w:val="21"/>
          <w:color w:val="auto"/>
        </w:rPr>
        <w:t>Shares of Common Stock purchased for me under the Plan should be issued in the name(s) of _____________ (Eligible Employee or Eligible Employee and spouse only).</w:t>
      </w:r>
    </w:p>
    <w:p>
      <w:pPr>
        <w:spacing w:after="0" w:line="149" w:lineRule="exact"/>
        <w:rPr>
          <w:rFonts w:ascii="Arial" w:cs="Arial" w:eastAsia="Arial" w:hAnsi="Arial"/>
          <w:sz w:val="21"/>
          <w:szCs w:val="21"/>
          <w:color w:val="auto"/>
        </w:rPr>
      </w:pPr>
    </w:p>
    <w:p>
      <w:pPr>
        <w:jc w:val="both"/>
        <w:ind w:firstLine="622"/>
        <w:spacing w:after="0" w:line="222" w:lineRule="auto"/>
        <w:tabs>
          <w:tab w:leader="none" w:pos="1238" w:val="left"/>
        </w:tabs>
        <w:numPr>
          <w:ilvl w:val="0"/>
          <w:numId w:val="63"/>
        </w:numPr>
        <w:rPr>
          <w:rFonts w:ascii="Arial" w:cs="Arial" w:eastAsia="Arial" w:hAnsi="Arial"/>
          <w:sz w:val="20"/>
          <w:szCs w:val="20"/>
          <w:color w:val="auto"/>
        </w:rPr>
      </w:pPr>
      <w:r>
        <w:rPr>
          <w:rFonts w:ascii="Arial" w:cs="Arial" w:eastAsia="Arial" w:hAnsi="Arial"/>
          <w:sz w:val="20"/>
          <w:szCs w:val="20"/>
          <w:color w:val="auto"/>
        </w:rPr>
        <w:t xml:space="preserve">If I am a U.S. taxpayer, 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Arial" w:cs="Arial" w:eastAsia="Arial" w:hAnsi="Arial"/>
          <w:sz w:val="20"/>
          <w:szCs w:val="20"/>
          <w:b w:val="1"/>
          <w:bCs w:val="1"/>
          <w:color w:val="auto"/>
        </w:rPr>
        <w:t>I hereby agree to notify the Company in writing within thirty (30) days after the date of any disposition of my</w:t>
      </w:r>
      <w:r>
        <w:rPr>
          <w:rFonts w:ascii="Arial" w:cs="Arial" w:eastAsia="Arial" w:hAnsi="Arial"/>
          <w:sz w:val="20"/>
          <w:szCs w:val="20"/>
          <w:color w:val="auto"/>
        </w:rPr>
        <w:t xml:space="preserve"> </w:t>
      </w:r>
      <w:r>
        <w:rPr>
          <w:rFonts w:ascii="Arial" w:cs="Arial" w:eastAsia="Arial" w:hAnsi="Arial"/>
          <w:sz w:val="20"/>
          <w:szCs w:val="20"/>
          <w:b w:val="1"/>
          <w:bCs w:val="1"/>
          <w:color w:val="auto"/>
        </w:rPr>
        <w:t>shares and I will make adequate provision for federal, state or other tax withholding obligations, if any, which arise upon the disposition of the Common Stock</w:t>
      </w:r>
      <w:r>
        <w:rPr>
          <w:rFonts w:ascii="Arial" w:cs="Arial" w:eastAsia="Arial" w:hAnsi="Arial"/>
          <w:sz w:val="20"/>
          <w:szCs w:val="20"/>
          <w:color w:val="auto"/>
        </w:rPr>
        <w:t>. The Company may, but will not be obligated to, withhold from my compensation the amount</w:t>
      </w:r>
      <w:r>
        <w:rPr>
          <w:rFonts w:ascii="Arial" w:cs="Arial" w:eastAsia="Arial" w:hAnsi="Arial"/>
          <w:sz w:val="20"/>
          <w:szCs w:val="20"/>
          <w:b w:val="1"/>
          <w:bCs w:val="1"/>
          <w:color w:val="auto"/>
        </w:rPr>
        <w:t xml:space="preserve"> </w:t>
      </w:r>
      <w:r>
        <w:rPr>
          <w:rFonts w:ascii="Arial" w:cs="Arial" w:eastAsia="Arial" w:hAnsi="Arial"/>
          <w:sz w:val="20"/>
          <w:szCs w:val="20"/>
          <w:color w:val="auto"/>
        </w:rPr>
        <w:t>necessary to meet any applicable withholding</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w:t>
      </w:r>
    </w:p>
    <w:p>
      <w:pPr>
        <w:spacing w:after="0" w:line="2" w:lineRule="exact"/>
        <w:rPr>
          <w:sz w:val="20"/>
          <w:szCs w:val="20"/>
          <w:color w:val="auto"/>
        </w:rPr>
      </w:pPr>
    </w:p>
    <w:p>
      <w:pPr>
        <w:ind w:firstLine="3"/>
        <w:spacing w:after="0" w:line="224" w:lineRule="auto"/>
        <w:tabs>
          <w:tab w:leader="none" w:pos="295" w:val="left"/>
        </w:tabs>
        <w:numPr>
          <w:ilvl w:val="0"/>
          <w:numId w:val="64"/>
        </w:numPr>
        <w:rPr>
          <w:rFonts w:ascii="Arial" w:cs="Arial" w:eastAsia="Arial" w:hAnsi="Arial"/>
          <w:sz w:val="21"/>
          <w:szCs w:val="21"/>
          <w:color w:val="auto"/>
        </w:rPr>
      </w:pPr>
      <w:r>
        <w:rPr>
          <w:rFonts w:ascii="Arial" w:cs="Arial" w:eastAsia="Arial" w:hAnsi="Arial"/>
          <w:sz w:val="21"/>
          <w:szCs w:val="21"/>
          <w:color w:val="auto"/>
        </w:rPr>
        <w:t>fifteen percent (15%) of the fair market value of the shares on the first day of the Offering Period. The remainder of the gain, if any, recognized on such disposition will be taxed as capital gain.</w:t>
      </w:r>
    </w:p>
    <w:p>
      <w:pPr>
        <w:spacing w:after="0" w:line="150" w:lineRule="exact"/>
        <w:rPr>
          <w:rFonts w:ascii="Arial" w:cs="Arial" w:eastAsia="Arial" w:hAnsi="Arial"/>
          <w:sz w:val="21"/>
          <w:szCs w:val="21"/>
          <w:color w:val="auto"/>
        </w:rPr>
      </w:pPr>
    </w:p>
    <w:p>
      <w:pPr>
        <w:jc w:val="both"/>
        <w:ind w:firstLine="622"/>
        <w:spacing w:after="0" w:line="231" w:lineRule="auto"/>
        <w:tabs>
          <w:tab w:leader="none" w:pos="1238" w:val="left"/>
        </w:tabs>
        <w:numPr>
          <w:ilvl w:val="1"/>
          <w:numId w:val="64"/>
        </w:numPr>
        <w:rPr>
          <w:rFonts w:ascii="Arial" w:cs="Arial" w:eastAsia="Arial" w:hAnsi="Arial"/>
          <w:sz w:val="19"/>
          <w:szCs w:val="19"/>
          <w:color w:val="auto"/>
        </w:rPr>
      </w:pPr>
      <w:r>
        <w:rPr>
          <w:rFonts w:ascii="Arial" w:cs="Arial" w:eastAsia="Arial" w:hAnsi="Arial"/>
          <w:sz w:val="19"/>
          <w:szCs w:val="19"/>
          <w:color w:val="auto"/>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Arial" w:cs="Arial" w:eastAsia="Arial" w:hAnsi="Arial"/>
          <w:sz w:val="19"/>
          <w:szCs w:val="19"/>
          <w:b w:val="1"/>
          <w:bCs w:val="1"/>
          <w:color w:val="auto"/>
        </w:rPr>
        <w:t>Tax-Related Items</w:t>
      </w:r>
      <w:r>
        <w:rPr>
          <w:rFonts w:ascii="Arial" w:cs="Arial" w:eastAsia="Arial" w:hAnsi="Arial"/>
          <w:sz w:val="19"/>
          <w:szCs w:val="19"/>
          <w:color w:val="auto"/>
        </w:rPr>
        <w:t>”), the ultimate liability for all Tax-Related Items is and remains my responsibility and may exceed the amount actually withheld by the Company or a Designated Company. Furthermore, I acknowledge that the Company and/or any Designated Company (a) make no representations or undertakings regarding the treatment of any Tax-Related Items in connection with any aspect of the options under the Plan and (b) do not commit to and are under no obligation to structure the terms of the grant of options or any aspect of my participation in the Plan to reduce or eliminate my liability for Tax-Related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Tax-Related Items in more than one jurisdiction.</w:t>
      </w:r>
    </w:p>
    <w:p>
      <w:pPr>
        <w:spacing w:after="0" w:line="154" w:lineRule="exact"/>
        <w:rPr>
          <w:sz w:val="20"/>
          <w:szCs w:val="20"/>
          <w:color w:val="auto"/>
        </w:rPr>
      </w:pPr>
    </w:p>
    <w:p>
      <w:pPr>
        <w:jc w:val="both"/>
        <w:ind w:firstLine="619"/>
        <w:spacing w:after="0" w:line="243" w:lineRule="auto"/>
        <w:rPr>
          <w:sz w:val="20"/>
          <w:szCs w:val="20"/>
          <w:color w:val="auto"/>
        </w:rPr>
      </w:pPr>
      <w:r>
        <w:rPr>
          <w:rFonts w:ascii="Arial" w:cs="Arial" w:eastAsia="Arial" w:hAnsi="Arial"/>
          <w:sz w:val="18"/>
          <w:szCs w:val="18"/>
          <w:color w:val="auto"/>
        </w:rPr>
        <w:t>Prior to the purchase of shares of Common Stock under the Plan or any other relevant taxable or tax withholding event, as applicable, I agree to make adequate arrangements satisfactory to the Company and/or the applicable Designated Company to satisfy all Tax-Related Items. In this regard, I authorize the Company and/or the applicable Designated Company, or their respective agents, at their discretion, to satisfy any applicable withholding obligations with regard to all Tax-Related Items by one or a combination of the following: (a) withholding from my wages or Compensation paid to me by the Company and/or the applicable Designated Company; or</w:t>
      </w:r>
    </w:p>
    <w:p>
      <w:pPr>
        <w:spacing w:after="0" w:line="1" w:lineRule="exact"/>
        <w:rPr>
          <w:sz w:val="20"/>
          <w:szCs w:val="20"/>
          <w:color w:val="auto"/>
        </w:rPr>
      </w:pPr>
    </w:p>
    <w:p>
      <w:pPr>
        <w:jc w:val="both"/>
        <w:ind w:firstLine="3"/>
        <w:spacing w:after="0" w:line="237" w:lineRule="auto"/>
        <w:tabs>
          <w:tab w:leader="none" w:pos="303" w:val="left"/>
        </w:tabs>
        <w:numPr>
          <w:ilvl w:val="0"/>
          <w:numId w:val="65"/>
        </w:numPr>
        <w:rPr>
          <w:rFonts w:ascii="Arial" w:cs="Arial" w:eastAsia="Arial" w:hAnsi="Arial"/>
          <w:sz w:val="19"/>
          <w:szCs w:val="19"/>
          <w:color w:val="auto"/>
        </w:rPr>
      </w:pPr>
      <w:r>
        <w:rPr>
          <w:rFonts w:ascii="Arial" w:cs="Arial" w:eastAsia="Arial" w:hAnsi="Arial"/>
          <w:sz w:val="19"/>
          <w:szCs w:val="19"/>
          <w:color w:val="auto"/>
        </w:rPr>
        <w:t>withholding from proceeds of the sale of the shares of Common Stock purchased under the Plan either through a voluntary sale or through a mandatory sale arranged by the Company (on my behalf pursuant to this authorization). Depending on the withholding method, the Company may withhold or account for Tax-Related Items by considering applicable maximum withholding rates, in which case I will receive a refund of any over-withheld amount in cash and will have no entitlement to the Common Stock equivalent.</w:t>
      </w:r>
    </w:p>
    <w:p>
      <w:pPr>
        <w:spacing w:after="0" w:line="150" w:lineRule="exact"/>
        <w:rPr>
          <w:sz w:val="20"/>
          <w:szCs w:val="20"/>
          <w:color w:val="auto"/>
        </w:rPr>
      </w:pPr>
    </w:p>
    <w:p>
      <w:pPr>
        <w:jc w:val="both"/>
        <w:ind w:firstLine="619"/>
        <w:spacing w:after="0" w:line="216" w:lineRule="auto"/>
        <w:rPr>
          <w:sz w:val="20"/>
          <w:szCs w:val="20"/>
          <w:color w:val="auto"/>
        </w:rPr>
      </w:pPr>
      <w:r>
        <w:rPr>
          <w:rFonts w:ascii="Arial" w:cs="Arial" w:eastAsia="Arial" w:hAnsi="Arial"/>
          <w:sz w:val="21"/>
          <w:szCs w:val="21"/>
          <w:color w:val="auto"/>
        </w:rPr>
        <w:t>Finally, I agree to pay to the Company or the applicable Designated Company any amount of Tax-Related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Tax-Related Items.</w:t>
      </w:r>
    </w:p>
    <w:p>
      <w:pPr>
        <w:spacing w:after="0" w:line="151" w:lineRule="exact"/>
        <w:rPr>
          <w:sz w:val="20"/>
          <w:szCs w:val="20"/>
          <w:color w:val="auto"/>
        </w:rPr>
      </w:pPr>
    </w:p>
    <w:p>
      <w:pPr>
        <w:ind w:left="1240" w:hanging="618"/>
        <w:spacing w:after="0"/>
        <w:tabs>
          <w:tab w:leader="none" w:pos="1240" w:val="left"/>
        </w:tabs>
        <w:numPr>
          <w:ilvl w:val="0"/>
          <w:numId w:val="66"/>
        </w:numPr>
        <w:rPr>
          <w:rFonts w:ascii="Arial" w:cs="Arial" w:eastAsia="Arial" w:hAnsi="Arial"/>
          <w:sz w:val="21"/>
          <w:szCs w:val="21"/>
          <w:color w:val="auto"/>
        </w:rPr>
      </w:pPr>
      <w:r>
        <w:rPr>
          <w:rFonts w:ascii="Arial" w:cs="Arial" w:eastAsia="Arial" w:hAnsi="Arial"/>
          <w:sz w:val="21"/>
          <w:szCs w:val="21"/>
          <w:color w:val="auto"/>
        </w:rPr>
        <w:t>By electing to participate in the Plan, I acknowledge, understand and agree that: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96" w:lineRule="exact"/>
        <w:rPr>
          <w:rFonts w:ascii="Arial" w:cs="Arial" w:eastAsia="Arial" w:hAnsi="Arial"/>
          <w:sz w:val="21"/>
          <w:szCs w:val="21"/>
          <w:color w:val="auto"/>
        </w:rPr>
      </w:pPr>
    </w:p>
    <w:p>
      <w:pPr>
        <w:ind w:left="5500"/>
        <w:spacing w:after="0"/>
        <w:rPr>
          <w:rFonts w:ascii="Arial" w:cs="Arial" w:eastAsia="Arial" w:hAnsi="Arial"/>
          <w:sz w:val="21"/>
          <w:szCs w:val="21"/>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firstLine="1161"/>
        <w:spacing w:after="0" w:line="233" w:lineRule="auto"/>
        <w:tabs>
          <w:tab w:leader="none" w:pos="1776"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Plan is established voluntarily by the Company, it is discretionary in nature and it may be modified, amended, suspended or terminated by the Company at any time, to the extent provided for in the Plan;</w:t>
      </w:r>
    </w:p>
    <w:p>
      <w:pPr>
        <w:spacing w:after="0" w:line="144" w:lineRule="exact"/>
        <w:rPr>
          <w:rFonts w:ascii="Arial" w:cs="Arial" w:eastAsia="Arial" w:hAnsi="Arial"/>
          <w:sz w:val="21"/>
          <w:szCs w:val="21"/>
          <w:color w:val="auto"/>
        </w:rPr>
      </w:pPr>
    </w:p>
    <w:p>
      <w:pPr>
        <w:ind w:left="1780" w:hanging="619"/>
        <w:spacing w:after="0"/>
        <w:tabs>
          <w:tab w:leader="none" w:pos="17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all decisions with respect to future grants under the Plan, if applicable, will be at the sole discretion of the</w:t>
      </w:r>
    </w:p>
    <w:p>
      <w:pPr>
        <w:spacing w:after="0"/>
        <w:rPr>
          <w:rFonts w:ascii="Arial" w:cs="Arial" w:eastAsia="Arial" w:hAnsi="Arial"/>
          <w:sz w:val="20"/>
          <w:szCs w:val="20"/>
          <w:color w:val="auto"/>
        </w:rPr>
      </w:pPr>
      <w:r>
        <w:rPr>
          <w:rFonts w:ascii="Arial" w:cs="Arial" w:eastAsia="Arial" w:hAnsi="Arial"/>
          <w:sz w:val="21"/>
          <w:szCs w:val="21"/>
          <w:color w:val="auto"/>
        </w:rPr>
        <w:t>Company;</w:t>
      </w:r>
    </w:p>
    <w:p>
      <w:pPr>
        <w:spacing w:after="0" w:line="153" w:lineRule="exact"/>
        <w:rPr>
          <w:rFonts w:ascii="Arial" w:cs="Arial" w:eastAsia="Arial" w:hAnsi="Arial"/>
          <w:sz w:val="20"/>
          <w:szCs w:val="20"/>
          <w:color w:val="auto"/>
        </w:rPr>
      </w:pPr>
    </w:p>
    <w:p>
      <w:pPr>
        <w:jc w:val="both"/>
        <w:ind w:firstLine="1161"/>
        <w:spacing w:after="0" w:line="224" w:lineRule="auto"/>
        <w:tabs>
          <w:tab w:leader="none" w:pos="1776"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spacing w:after="0" w:line="148" w:lineRule="exact"/>
        <w:rPr>
          <w:rFonts w:ascii="Arial" w:cs="Arial" w:eastAsia="Arial" w:hAnsi="Arial"/>
          <w:sz w:val="21"/>
          <w:szCs w:val="21"/>
          <w:color w:val="auto"/>
        </w:rPr>
      </w:pPr>
    </w:p>
    <w:p>
      <w:pPr>
        <w:ind w:left="1780" w:hanging="619"/>
        <w:spacing w:after="0"/>
        <w:tabs>
          <w:tab w:leader="none" w:pos="1780" w:val="left"/>
        </w:tabs>
        <w:numPr>
          <w:ilvl w:val="0"/>
          <w:numId w:val="67"/>
        </w:numPr>
        <w:rPr>
          <w:rFonts w:ascii="Arial" w:cs="Arial" w:eastAsia="Arial" w:hAnsi="Arial"/>
          <w:sz w:val="21"/>
          <w:szCs w:val="21"/>
          <w:color w:val="auto"/>
        </w:rPr>
      </w:pPr>
      <w:r>
        <w:rPr>
          <w:rFonts w:ascii="Arial" w:cs="Arial" w:eastAsia="Arial" w:hAnsi="Arial"/>
          <w:sz w:val="21"/>
          <w:szCs w:val="21"/>
          <w:color w:val="auto"/>
        </w:rPr>
        <w:t>I am voluntarily participating in the Plan;</w:t>
      </w:r>
    </w:p>
    <w:p>
      <w:pPr>
        <w:spacing w:after="0" w:line="171" w:lineRule="exact"/>
        <w:rPr>
          <w:rFonts w:ascii="Arial" w:cs="Arial" w:eastAsia="Arial" w:hAnsi="Arial"/>
          <w:sz w:val="21"/>
          <w:szCs w:val="21"/>
          <w:color w:val="auto"/>
        </w:rPr>
      </w:pPr>
    </w:p>
    <w:p>
      <w:pPr>
        <w:ind w:firstLine="1161"/>
        <w:spacing w:after="0" w:line="233" w:lineRule="auto"/>
        <w:tabs>
          <w:tab w:leader="none" w:pos="1776"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options granted under the Plan and the shares of Common Stock underlying such options, and the income and value of same, are not intended to replace any pension rights or compensation;</w:t>
      </w:r>
    </w:p>
    <w:p>
      <w:pPr>
        <w:spacing w:after="0" w:line="149" w:lineRule="exact"/>
        <w:rPr>
          <w:rFonts w:ascii="Arial" w:cs="Arial" w:eastAsia="Arial" w:hAnsi="Arial"/>
          <w:sz w:val="21"/>
          <w:szCs w:val="21"/>
          <w:color w:val="auto"/>
        </w:rPr>
      </w:pPr>
    </w:p>
    <w:p>
      <w:pPr>
        <w:jc w:val="both"/>
        <w:ind w:firstLine="1161"/>
        <w:spacing w:after="0" w:line="219" w:lineRule="auto"/>
        <w:tabs>
          <w:tab w:leader="none" w:pos="1779"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options granted under the Plan and the shares of Common Stock underlying such options, and the income and value of same, are not part of my normal or expected compensation for any purpose, including, but not limited to, calculating any severance, resignation, termination, redundancy, dismissal, end-of-service payments, bonuses, long-service awards, pension or retirement benefits or similar payments;</w:t>
      </w:r>
    </w:p>
    <w:p>
      <w:pPr>
        <w:spacing w:after="0" w:line="149" w:lineRule="exact"/>
        <w:rPr>
          <w:rFonts w:ascii="Arial" w:cs="Arial" w:eastAsia="Arial" w:hAnsi="Arial"/>
          <w:sz w:val="21"/>
          <w:szCs w:val="21"/>
          <w:color w:val="auto"/>
        </w:rPr>
      </w:pPr>
    </w:p>
    <w:p>
      <w:pPr>
        <w:ind w:firstLine="1161"/>
        <w:spacing w:after="0" w:line="233" w:lineRule="auto"/>
        <w:tabs>
          <w:tab w:leader="none" w:pos="1775"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future value of the shares of Common Stock offered under the Plan is unknown, indeterminable and cannot be predicted with certainty;</w:t>
      </w:r>
    </w:p>
    <w:p>
      <w:pPr>
        <w:spacing w:after="0" w:line="149" w:lineRule="exact"/>
        <w:rPr>
          <w:rFonts w:ascii="Arial" w:cs="Arial" w:eastAsia="Arial" w:hAnsi="Arial"/>
          <w:sz w:val="21"/>
          <w:szCs w:val="21"/>
          <w:color w:val="auto"/>
        </w:rPr>
      </w:pPr>
    </w:p>
    <w:p>
      <w:pPr>
        <w:ind w:left="1780" w:hanging="619"/>
        <w:spacing w:after="0"/>
        <w:tabs>
          <w:tab w:leader="none" w:pos="17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shares of Common Stock that I acquire under the Plan may increase or decrease in value, even below the</w:t>
      </w:r>
    </w:p>
    <w:p>
      <w:pPr>
        <w:spacing w:after="0" w:line="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Purchase Price;</w:t>
      </w:r>
    </w:p>
    <w:p>
      <w:pPr>
        <w:spacing w:after="0" w:line="153" w:lineRule="exact"/>
        <w:rPr>
          <w:rFonts w:ascii="Arial" w:cs="Arial" w:eastAsia="Arial" w:hAnsi="Arial"/>
          <w:sz w:val="19"/>
          <w:szCs w:val="19"/>
          <w:color w:val="auto"/>
        </w:rPr>
      </w:pPr>
    </w:p>
    <w:p>
      <w:pPr>
        <w:jc w:val="both"/>
        <w:ind w:firstLine="1161"/>
        <w:spacing w:after="0" w:line="234" w:lineRule="auto"/>
        <w:tabs>
          <w:tab w:leader="none" w:pos="1767" w:val="left"/>
        </w:tabs>
        <w:numPr>
          <w:ilvl w:val="0"/>
          <w:numId w:val="67"/>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will arise from the forfeiture of options granted to me under the Plan as a result of the termination of my status as an Eligible Employee (for any reason whatsoever, and whether or not later found to be invalid or in 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w:t>
      </w:r>
    </w:p>
    <w:p>
      <w:pPr>
        <w:spacing w:after="0" w:line="152" w:lineRule="exact"/>
        <w:rPr>
          <w:rFonts w:ascii="Arial" w:cs="Arial" w:eastAsia="Arial" w:hAnsi="Arial"/>
          <w:sz w:val="19"/>
          <w:szCs w:val="19"/>
          <w:color w:val="auto"/>
        </w:rPr>
      </w:pPr>
    </w:p>
    <w:p>
      <w:pPr>
        <w:jc w:val="both"/>
        <w:ind w:firstLine="1161"/>
        <w:spacing w:after="0" w:line="223" w:lineRule="auto"/>
        <w:tabs>
          <w:tab w:leader="none" w:pos="1767"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w:t>
      </w:r>
      <w:r>
        <w:rPr>
          <w:rFonts w:ascii="Arial" w:cs="Arial" w:eastAsia="Arial" w:hAnsi="Arial"/>
          <w:sz w:val="20"/>
          <w:szCs w:val="20"/>
          <w:i w:val="1"/>
          <w:iCs w:val="1"/>
          <w:color w:val="auto"/>
        </w:rPr>
        <w:t>e.g.</w:t>
      </w:r>
      <w:r>
        <w:rPr>
          <w:rFonts w:ascii="Arial" w:cs="Arial" w:eastAsia="Arial" w:hAnsi="Arial"/>
          <w:sz w:val="20"/>
          <w:szCs w:val="20"/>
          <w:color w:val="auto"/>
        </w:rPr>
        <w:t>, active employment would not include a period of “</w:t>
      </w:r>
      <w:r>
        <w:rPr>
          <w:rFonts w:ascii="Arial" w:cs="Arial" w:eastAsia="Arial" w:hAnsi="Arial"/>
          <w:sz w:val="20"/>
          <w:szCs w:val="20"/>
          <w:b w:val="1"/>
          <w:bCs w:val="1"/>
          <w:color w:val="auto"/>
        </w:rPr>
        <w:t>garden leave</w:t>
      </w:r>
      <w:r>
        <w:rPr>
          <w:rFonts w:ascii="Arial" w:cs="Arial" w:eastAsia="Arial" w:hAnsi="Arial"/>
          <w:sz w:val="20"/>
          <w:szCs w:val="20"/>
          <w:color w:val="auto"/>
        </w:rPr>
        <w:t>” or similar period pursuant to the employment laws in the jurisdiction in which I am employed or the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160"/>
          </w:cols>
          <w:pgMar w:left="400" w:top="1440" w:right="339"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80"/>
        <w:spacing w:after="0" w:line="224" w:lineRule="auto"/>
        <w:rPr>
          <w:sz w:val="20"/>
          <w:szCs w:val="20"/>
          <w:color w:val="auto"/>
        </w:rPr>
      </w:pPr>
      <w:r>
        <w:rPr>
          <w:rFonts w:ascii="Arial" w:cs="Arial" w:eastAsia="Arial" w:hAnsi="Arial"/>
          <w:sz w:val="21"/>
          <w:szCs w:val="21"/>
          <w:color w:val="auto"/>
        </w:rPr>
        <w:t>my employment agreement, if any); the Company will have the exclusive discretion to determine when I am no longer actively employed for purposes of my participation in the Plan (including whether I may still be considered to be actively employed while on a leave of absence).</w:t>
      </w:r>
    </w:p>
    <w:p>
      <w:pPr>
        <w:spacing w:after="0" w:line="149" w:lineRule="exact"/>
        <w:rPr>
          <w:sz w:val="20"/>
          <w:szCs w:val="20"/>
          <w:color w:val="auto"/>
        </w:rPr>
      </w:pPr>
    </w:p>
    <w:p>
      <w:pPr>
        <w:jc w:val="both"/>
        <w:ind w:firstLine="622"/>
        <w:spacing w:after="0" w:line="242" w:lineRule="auto"/>
        <w:tabs>
          <w:tab w:leader="none" w:pos="1238"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w:t>
      </w:r>
      <w:r>
        <w:rPr>
          <w:rFonts w:ascii="Arial" w:cs="Arial" w:eastAsia="Arial" w:hAnsi="Arial"/>
          <w:sz w:val="18"/>
          <w:szCs w:val="18"/>
          <w:b w:val="1"/>
          <w:bCs w:val="1"/>
          <w:i w:val="1"/>
          <w:iCs w:val="1"/>
          <w:color w:val="auto"/>
        </w:rPr>
        <w:t>Data</w:t>
      </w:r>
      <w:r>
        <w:rPr>
          <w:rFonts w:ascii="Arial" w:cs="Arial" w:eastAsia="Arial" w:hAnsi="Arial"/>
          <w:sz w:val="18"/>
          <w:szCs w:val="18"/>
          <w:i w:val="1"/>
          <w:iCs w:val="1"/>
          <w:color w:val="auto"/>
        </w:rPr>
        <w:t>”),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 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spacing w:after="0" w:line="148"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1"/>
          <w:szCs w:val="21"/>
          <w:i w:val="1"/>
          <w:iCs w:val="1"/>
          <w:color w:val="auto"/>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spacing w:after="0" w:line="150" w:lineRule="exact"/>
        <w:rPr>
          <w:sz w:val="20"/>
          <w:szCs w:val="20"/>
          <w:color w:val="auto"/>
        </w:rPr>
      </w:pPr>
    </w:p>
    <w:p>
      <w:pPr>
        <w:jc w:val="both"/>
        <w:ind w:firstLine="619"/>
        <w:spacing w:after="0" w:line="216" w:lineRule="auto"/>
        <w:rPr>
          <w:sz w:val="20"/>
          <w:szCs w:val="20"/>
          <w:color w:val="auto"/>
        </w:rPr>
      </w:pPr>
      <w:r>
        <w:rPr>
          <w:rFonts w:ascii="Arial" w:cs="Arial" w:eastAsia="Arial" w:hAnsi="Arial"/>
          <w:sz w:val="21"/>
          <w:szCs w:val="21"/>
          <w:i w:val="1"/>
          <w:iCs w:val="1"/>
          <w:color w:val="auto"/>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622"/>
        <w:spacing w:after="0" w:line="224" w:lineRule="auto"/>
        <w:tabs>
          <w:tab w:leader="none" w:pos="1238" w:val="left"/>
        </w:tabs>
        <w:numPr>
          <w:ilvl w:val="0"/>
          <w:numId w:val="69"/>
        </w:numPr>
        <w:rPr>
          <w:rFonts w:ascii="Arial" w:cs="Arial" w:eastAsia="Arial" w:hAnsi="Arial"/>
          <w:sz w:val="21"/>
          <w:szCs w:val="21"/>
          <w:color w:val="auto"/>
        </w:rPr>
      </w:pPr>
      <w:r>
        <w:rPr>
          <w:rFonts w:ascii="Arial" w:cs="Arial" w:eastAsia="Arial" w:hAnsi="Arial"/>
          <w:sz w:val="21"/>
          <w:szCs w:val="21"/>
          <w:color w:val="auto"/>
        </w:rPr>
        <w:t>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spacing w:after="0" w:line="148" w:lineRule="exact"/>
        <w:rPr>
          <w:rFonts w:ascii="Arial" w:cs="Arial" w:eastAsia="Arial" w:hAnsi="Arial"/>
          <w:sz w:val="21"/>
          <w:szCs w:val="21"/>
          <w:color w:val="auto"/>
        </w:rPr>
      </w:pPr>
    </w:p>
    <w:p>
      <w:pPr>
        <w:jc w:val="both"/>
        <w:ind w:firstLine="622"/>
        <w:spacing w:after="0" w:line="224" w:lineRule="auto"/>
        <w:tabs>
          <w:tab w:leader="none" w:pos="1230"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provisions of the Subscription Agreement and these appendices are severable and if any one or more provisions are determined to be illegal or otherwise unenforceable, in whole or in part, the remaining provisions nevertheless will be binding and enforceable.</w:t>
      </w:r>
    </w:p>
    <w:p>
      <w:pPr>
        <w:spacing w:after="0" w:line="148" w:lineRule="exact"/>
        <w:rPr>
          <w:rFonts w:ascii="Arial" w:cs="Arial" w:eastAsia="Arial" w:hAnsi="Arial"/>
          <w:sz w:val="21"/>
          <w:szCs w:val="21"/>
          <w:color w:val="auto"/>
        </w:rPr>
      </w:pPr>
    </w:p>
    <w:p>
      <w:pPr>
        <w:jc w:val="both"/>
        <w:ind w:firstLine="622"/>
        <w:spacing w:after="0" w:line="235" w:lineRule="auto"/>
        <w:tabs>
          <w:tab w:leader="none" w:pos="1238" w:val="left"/>
        </w:tabs>
        <w:numPr>
          <w:ilvl w:val="0"/>
          <w:numId w:val="69"/>
        </w:numPr>
        <w:rPr>
          <w:rFonts w:ascii="Arial" w:cs="Arial" w:eastAsia="Arial" w:hAnsi="Arial"/>
          <w:sz w:val="19"/>
          <w:szCs w:val="19"/>
          <w:color w:val="auto"/>
        </w:rPr>
      </w:pPr>
      <w:r>
        <w:rPr>
          <w:rFonts w:ascii="Arial" w:cs="Arial" w:eastAsia="Arial" w:hAnsi="Arial"/>
          <w:sz w:val="19"/>
          <w:szCs w:val="19"/>
          <w:color w:val="auto"/>
        </w:rPr>
        <w:t>Notwithstanding any provisions in this Subscription Agreement, I understand that if I am working or resident in a country other than the United States, my participation in the Plan also will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 extent the Company determines that the application of such terms and conditions is necessary or advisable for legal or administrative reasons. Appendix A constitutes part of this Subscription Agreement and the provisions of this Subscription Agreement govern each Appendix (to the extent not superseded or supplemented by the terms and conditions set forth in the applicable Appendix).</w:t>
      </w:r>
    </w:p>
    <w:p>
      <w:pPr>
        <w:spacing w:after="0" w:line="152" w:lineRule="exact"/>
        <w:rPr>
          <w:rFonts w:ascii="Arial" w:cs="Arial" w:eastAsia="Arial" w:hAnsi="Arial"/>
          <w:sz w:val="19"/>
          <w:szCs w:val="19"/>
          <w:color w:val="auto"/>
        </w:rPr>
      </w:pPr>
    </w:p>
    <w:p>
      <w:pPr>
        <w:ind w:firstLine="622"/>
        <w:spacing w:after="0" w:line="233" w:lineRule="auto"/>
        <w:tabs>
          <w:tab w:leader="none" w:pos="1238" w:val="left"/>
        </w:tabs>
        <w:numPr>
          <w:ilvl w:val="0"/>
          <w:numId w:val="69"/>
        </w:numPr>
        <w:rPr>
          <w:rFonts w:ascii="Arial" w:cs="Arial" w:eastAsia="Arial" w:hAnsi="Arial"/>
          <w:sz w:val="21"/>
          <w:szCs w:val="21"/>
          <w:color w:val="auto"/>
        </w:rPr>
      </w:pPr>
      <w:r>
        <w:rPr>
          <w:rFonts w:ascii="Arial" w:cs="Arial" w:eastAsia="Arial" w:hAnsi="Arial"/>
          <w:sz w:val="21"/>
          <w:szCs w:val="21"/>
          <w:color w:val="auto"/>
        </w:rPr>
        <w:t>I hereby agree to be bound by the terms of the Plan. The effectiveness of this Subscription Agreement is dependent upon my eligibility to participate in the Plan.</w:t>
      </w: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21"/>
          <w:szCs w:val="21"/>
          <w:color w:val="auto"/>
        </w:rPr>
        <w:t>Employee’s Social</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21"/>
          <w:szCs w:val="21"/>
          <w:color w:val="auto"/>
        </w:rPr>
        <w:t>Security Number</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21"/>
          <w:szCs w:val="21"/>
          <w:color w:val="auto"/>
        </w:rPr>
        <w:t>(for U.S.-based employees):</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21"/>
          <w:szCs w:val="21"/>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568325</wp:posOffset>
            </wp:positionV>
            <wp:extent cx="36595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659505" cy="825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281940</wp:posOffset>
            </wp:positionV>
            <wp:extent cx="36595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659505" cy="825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12065</wp:posOffset>
            </wp:positionV>
            <wp:extent cx="36595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659505" cy="825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-151130</wp:posOffset>
            </wp:positionV>
            <wp:extent cx="36595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3659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firstLine="619"/>
        <w:spacing w:after="0" w:line="233" w:lineRule="auto"/>
        <w:rPr>
          <w:sz w:val="20"/>
          <w:szCs w:val="20"/>
          <w:color w:val="auto"/>
        </w:rPr>
      </w:pPr>
      <w:r>
        <w:rPr>
          <w:rFonts w:ascii="Arial" w:cs="Arial" w:eastAsia="Arial" w:hAnsi="Arial"/>
          <w:sz w:val="21"/>
          <w:szCs w:val="21"/>
          <w:color w:val="auto"/>
        </w:rPr>
        <w:t>I UNDERSTAND THAT THIS SUBSCRIPTION AGREEMENT WILL REMAIN IN EFFECT THROUGHOUT SUCCESSIVE OFFERING PERIODS UNLESS TERMINATED BY ME.</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-5715</wp:posOffset>
            </wp:positionV>
            <wp:extent cx="1308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130810"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-5715</wp:posOffset>
            </wp:positionV>
            <wp:extent cx="1308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ind w:left="820"/>
        <w:spacing w:after="0"/>
        <w:rPr>
          <w:sz w:val="20"/>
          <w:szCs w:val="20"/>
          <w:color w:val="auto"/>
        </w:rPr>
      </w:pPr>
      <w:r>
        <w:rPr>
          <w:rFonts w:ascii="Arial" w:cs="Arial" w:eastAsia="Arial" w:hAnsi="Arial"/>
          <w:sz w:val="21"/>
          <w:szCs w:val="21"/>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SEER,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2020 EMPLOYEE STOCK PURCHASE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NOTICE OF WITHDRAWAL</w:t>
      </w:r>
    </w:p>
    <w:p>
      <w:pPr>
        <w:spacing w:after="0" w:line="171"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8"/>
          <w:szCs w:val="18"/>
          <w:color w:val="auto"/>
        </w:rPr>
        <w:t>The undersigned Participant in the Offering Period of the Seer, Inc. 2020 Employee Stock Purchase Plan (the “</w:t>
      </w:r>
      <w:r>
        <w:rPr>
          <w:rFonts w:ascii="Arial" w:cs="Arial" w:eastAsia="Arial" w:hAnsi="Arial"/>
          <w:sz w:val="18"/>
          <w:szCs w:val="18"/>
          <w:b w:val="1"/>
          <w:bCs w:val="1"/>
          <w:color w:val="auto"/>
        </w:rPr>
        <w:t>Plan</w:t>
      </w:r>
      <w:r>
        <w:rPr>
          <w:rFonts w:ascii="Arial" w:cs="Arial" w:eastAsia="Arial" w:hAnsi="Arial"/>
          <w:sz w:val="18"/>
          <w:szCs w:val="18"/>
          <w:color w:val="auto"/>
        </w:rPr>
        <w:t>”) that began on ____________, ______ (the “</w:t>
      </w:r>
      <w:r>
        <w:rPr>
          <w:rFonts w:ascii="Arial" w:cs="Arial" w:eastAsia="Arial" w:hAnsi="Arial"/>
          <w:sz w:val="18"/>
          <w:szCs w:val="18"/>
          <w:b w:val="1"/>
          <w:bCs w:val="1"/>
          <w:color w:val="auto"/>
        </w:rPr>
        <w:t>Offering Date</w:t>
      </w:r>
      <w:r>
        <w:rPr>
          <w:rFonts w:ascii="Arial" w:cs="Arial" w:eastAsia="Arial" w:hAnsi="Arial"/>
          <w:sz w:val="18"/>
          <w:szCs w:val="18"/>
          <w:color w:val="auto"/>
        </w:rPr>
        <w:t>”) hereby notifies the Company that he or she hereby withdraws from the Offering</w:t>
      </w:r>
    </w:p>
    <w:p>
      <w:pPr>
        <w:jc w:val="both"/>
        <w:spacing w:after="0" w:line="211" w:lineRule="auto"/>
        <w:rPr>
          <w:sz w:val="20"/>
          <w:szCs w:val="20"/>
          <w:color w:val="auto"/>
        </w:rPr>
      </w:pPr>
      <w:r>
        <w:rPr>
          <w:rFonts w:ascii="Arial" w:cs="Arial" w:eastAsia="Arial" w:hAnsi="Arial"/>
          <w:sz w:val="21"/>
          <w:szCs w:val="21"/>
          <w:color w:val="auto"/>
        </w:rPr>
        <w:t>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2752725</wp:posOffset>
            </wp:positionH>
            <wp:positionV relativeFrom="paragraph">
              <wp:posOffset>245110</wp:posOffset>
            </wp:positionV>
            <wp:extent cx="262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262255" cy="8255"/>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506730</wp:posOffset>
            </wp:positionV>
            <wp:extent cx="262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262255" cy="8255"/>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768985</wp:posOffset>
            </wp:positionV>
            <wp:extent cx="262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262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2752725</wp:posOffset>
            </wp:positionH>
            <wp:positionV relativeFrom="paragraph">
              <wp:posOffset>245110</wp:posOffset>
            </wp:positionV>
            <wp:extent cx="262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262255"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-16510</wp:posOffset>
            </wp:positionV>
            <wp:extent cx="1308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color w:val="auto"/>
        </w:rPr>
        <w:t>Ex. 31.1</w:t>
      </w:r>
    </w:p>
    <w:p>
      <w:pPr>
        <w:spacing w:after="0" w:line="200" w:lineRule="exact"/>
        <w:rPr>
          <w:sz w:val="20"/>
          <w:szCs w:val="20"/>
          <w:color w:val="auto"/>
        </w:rPr>
      </w:pPr>
    </w:p>
    <w:p>
      <w:pPr>
        <w:spacing w:after="0" w:line="378" w:lineRule="exact"/>
        <w:rPr>
          <w:sz w:val="20"/>
          <w:szCs w:val="20"/>
          <w:color w:val="auto"/>
        </w:rPr>
      </w:pPr>
    </w:p>
    <w:p>
      <w:pPr>
        <w:jc w:val="center"/>
        <w:ind w:left="360" w:right="280"/>
        <w:spacing w:after="0" w:line="287"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OF 1934, AS ADOPTED PURSUANT TO SECTION 302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I, Omid Farokhzad, certify that:</w:t>
      </w:r>
    </w:p>
    <w:p>
      <w:pPr>
        <w:spacing w:after="0" w:line="243" w:lineRule="exact"/>
        <w:rPr>
          <w:sz w:val="20"/>
          <w:szCs w:val="20"/>
          <w:color w:val="auto"/>
        </w:rPr>
      </w:pPr>
    </w:p>
    <w:p>
      <w:pPr>
        <w:ind w:left="620" w:hanging="307"/>
        <w:spacing w:after="0"/>
        <w:tabs>
          <w:tab w:leader="none" w:pos="6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Seer, Inc.;</w:t>
      </w:r>
    </w:p>
    <w:p>
      <w:pPr>
        <w:spacing w:after="0" w:line="242" w:lineRule="exact"/>
        <w:rPr>
          <w:rFonts w:ascii="Arial" w:cs="Arial" w:eastAsia="Arial" w:hAnsi="Arial"/>
          <w:sz w:val="17"/>
          <w:szCs w:val="17"/>
          <w:color w:val="auto"/>
        </w:rPr>
      </w:pPr>
    </w:p>
    <w:p>
      <w:pPr>
        <w:ind w:left="620" w:right="100" w:hanging="307"/>
        <w:spacing w:after="0" w:line="349" w:lineRule="auto"/>
        <w:tabs>
          <w:tab w:leader="none" w:pos="6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620" w:right="540" w:hanging="307"/>
        <w:spacing w:after="0" w:line="312" w:lineRule="auto"/>
        <w:tabs>
          <w:tab w:leader="none" w:pos="6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620" w:right="40" w:hanging="307"/>
        <w:spacing w:after="0" w:line="266" w:lineRule="auto"/>
        <w:tabs>
          <w:tab w:leader="none" w:pos="6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ind w:left="940" w:right="40" w:hanging="318"/>
        <w:spacing w:after="0" w:line="266" w:lineRule="auto"/>
        <w:tabs>
          <w:tab w:leader="none" w:pos="937" w:val="left"/>
        </w:tabs>
        <w:numPr>
          <w:ilvl w:val="1"/>
          <w:numId w:val="7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940" w:right="20" w:hanging="318"/>
        <w:spacing w:after="0" w:line="266" w:lineRule="auto"/>
        <w:tabs>
          <w:tab w:leader="none" w:pos="934" w:val="left"/>
        </w:tabs>
        <w:numPr>
          <w:ilvl w:val="1"/>
          <w:numId w:val="7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940" w:right="80" w:hanging="318"/>
        <w:spacing w:after="0" w:line="312" w:lineRule="auto"/>
        <w:tabs>
          <w:tab w:leader="none" w:pos="937"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940" w:right="100" w:hanging="318"/>
        <w:spacing w:after="0" w:line="266" w:lineRule="auto"/>
        <w:tabs>
          <w:tab w:leader="none" w:pos="934" w:val="left"/>
        </w:tabs>
        <w:numPr>
          <w:ilvl w:val="1"/>
          <w:numId w:val="7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20" w:right="480" w:hanging="307"/>
        <w:spacing w:after="0" w:line="312" w:lineRule="auto"/>
        <w:tabs>
          <w:tab w:leader="none" w:pos="6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940" w:hanging="318"/>
        <w:spacing w:after="0" w:line="279" w:lineRule="auto"/>
        <w:tabs>
          <w:tab w:leader="none" w:pos="937"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940" w:right="40" w:hanging="318"/>
        <w:spacing w:after="0" w:line="279" w:lineRule="auto"/>
        <w:tabs>
          <w:tab w:leader="none" w:pos="934" w:val="left"/>
        </w:tabs>
        <w:numPr>
          <w:ilvl w:val="1"/>
          <w:numId w:val="7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00"/>
          </w:cols>
          <w:pgMar w:left="320" w:top="585" w:right="379" w:bottom="1440" w:gutter="0" w:footer="0" w:header="0"/>
        </w:sectPr>
      </w:pPr>
    </w:p>
    <w:bookmarkStart w:id="96" w:name="page97"/>
    <w:bookmarkEnd w:id="96"/>
    <w:p>
      <w:pPr>
        <w:spacing w:after="0"/>
        <w:rPr>
          <w:sz w:val="20"/>
          <w:szCs w:val="20"/>
          <w:color w:val="auto"/>
        </w:rPr>
      </w:pPr>
      <w:r>
        <w:rPr>
          <w:rFonts w:ascii="Arial" w:cs="Arial" w:eastAsia="Arial" w:hAnsi="Arial"/>
          <w:sz w:val="17"/>
          <w:szCs w:val="17"/>
          <w:b w:val="1"/>
          <w:bCs w:val="1"/>
          <w:color w:val="auto"/>
        </w:rPr>
        <w:t>Ex. 31.1</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rPr>
        <w:t>Date: May 6, 2022</w:t>
      </w:r>
    </w:p>
    <w:p>
      <w:pPr>
        <w:spacing w:after="0" w:line="22"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By: /s/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-15875</wp:posOffset>
            </wp:positionV>
            <wp:extent cx="14878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1487805" cy="825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7"/>
          <w:szCs w:val="17"/>
          <w:color w:val="auto"/>
        </w:rPr>
        <w:t>Omid Farokhzad</w:t>
      </w:r>
    </w:p>
    <w:p>
      <w:pPr>
        <w:spacing w:after="0" w:line="11"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Chief Executive Officer and Chair of the Board of Directors</w:t>
      </w:r>
    </w:p>
    <w:p>
      <w:pPr>
        <w:spacing w:after="0" w:line="34"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0139"/>
          </w:cols>
          <w:pgMar w:left="320" w:top="585" w:right="1440" w:bottom="1440" w:gutter="0" w:footer="0" w:header="0"/>
        </w:sectPr>
      </w:pPr>
    </w:p>
    <w:bookmarkStart w:id="97" w:name="page98"/>
    <w:bookmarkEnd w:id="97"/>
    <w:p>
      <w:pPr>
        <w:spacing w:after="0"/>
        <w:rPr>
          <w:sz w:val="20"/>
          <w:szCs w:val="20"/>
          <w:color w:val="auto"/>
        </w:rPr>
      </w:pPr>
      <w:r>
        <w:rPr>
          <w:rFonts w:ascii="Arial" w:cs="Arial" w:eastAsia="Arial" w:hAnsi="Arial"/>
          <w:sz w:val="17"/>
          <w:szCs w:val="17"/>
          <w:b w:val="1"/>
          <w:bCs w:val="1"/>
          <w:color w:val="auto"/>
        </w:rPr>
        <w:t>Ex. 31.2</w:t>
      </w:r>
    </w:p>
    <w:p>
      <w:pPr>
        <w:spacing w:after="0" w:line="200" w:lineRule="exact"/>
        <w:rPr>
          <w:sz w:val="20"/>
          <w:szCs w:val="20"/>
          <w:color w:val="auto"/>
        </w:rPr>
      </w:pPr>
    </w:p>
    <w:p>
      <w:pPr>
        <w:spacing w:after="0" w:line="378" w:lineRule="exact"/>
        <w:rPr>
          <w:sz w:val="20"/>
          <w:szCs w:val="20"/>
          <w:color w:val="auto"/>
        </w:rPr>
      </w:pPr>
    </w:p>
    <w:p>
      <w:pPr>
        <w:jc w:val="center"/>
        <w:ind w:left="360" w:right="280"/>
        <w:spacing w:after="0" w:line="287"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OF 1934, AS ADOPTED PURSUANT TO SECTION 302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I, David Horn, certify that:</w:t>
      </w:r>
    </w:p>
    <w:p>
      <w:pPr>
        <w:spacing w:after="0" w:line="243" w:lineRule="exact"/>
        <w:rPr>
          <w:sz w:val="20"/>
          <w:szCs w:val="20"/>
          <w:color w:val="auto"/>
        </w:rPr>
      </w:pPr>
    </w:p>
    <w:p>
      <w:pPr>
        <w:ind w:left="620" w:hanging="307"/>
        <w:spacing w:after="0"/>
        <w:tabs>
          <w:tab w:leader="none" w:pos="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Seer, Inc.;</w:t>
      </w:r>
    </w:p>
    <w:p>
      <w:pPr>
        <w:spacing w:after="0" w:line="242" w:lineRule="exact"/>
        <w:rPr>
          <w:rFonts w:ascii="Arial" w:cs="Arial" w:eastAsia="Arial" w:hAnsi="Arial"/>
          <w:sz w:val="17"/>
          <w:szCs w:val="17"/>
          <w:color w:val="auto"/>
        </w:rPr>
      </w:pPr>
    </w:p>
    <w:p>
      <w:pPr>
        <w:ind w:left="620" w:right="100" w:hanging="307"/>
        <w:spacing w:after="0" w:line="349" w:lineRule="auto"/>
        <w:tabs>
          <w:tab w:leader="none" w:pos="6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620" w:right="540" w:hanging="307"/>
        <w:spacing w:after="0" w:line="312" w:lineRule="auto"/>
        <w:tabs>
          <w:tab w:leader="none" w:pos="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620" w:right="40" w:hanging="307"/>
        <w:spacing w:after="0" w:line="266" w:lineRule="auto"/>
        <w:tabs>
          <w:tab w:leader="none" w:pos="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ind w:left="940" w:right="40" w:hanging="318"/>
        <w:spacing w:after="0" w:line="266" w:lineRule="auto"/>
        <w:tabs>
          <w:tab w:leader="none" w:pos="937" w:val="left"/>
        </w:tabs>
        <w:numPr>
          <w:ilvl w:val="1"/>
          <w:numId w:val="7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940" w:right="20" w:hanging="318"/>
        <w:spacing w:after="0" w:line="266" w:lineRule="auto"/>
        <w:tabs>
          <w:tab w:leader="none" w:pos="934" w:val="left"/>
        </w:tabs>
        <w:numPr>
          <w:ilvl w:val="1"/>
          <w:numId w:val="7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940" w:right="80" w:hanging="318"/>
        <w:spacing w:after="0" w:line="312" w:lineRule="auto"/>
        <w:tabs>
          <w:tab w:leader="none" w:pos="937"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940" w:right="100" w:hanging="318"/>
        <w:spacing w:after="0" w:line="266" w:lineRule="auto"/>
        <w:tabs>
          <w:tab w:leader="none" w:pos="934" w:val="left"/>
        </w:tabs>
        <w:numPr>
          <w:ilvl w:val="1"/>
          <w:numId w:val="7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20" w:right="480" w:hanging="307"/>
        <w:spacing w:after="0" w:line="276" w:lineRule="auto"/>
        <w:tabs>
          <w:tab w:leader="none" w:pos="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40" w:hanging="318"/>
        <w:spacing w:after="0" w:line="266" w:lineRule="auto"/>
        <w:tabs>
          <w:tab w:leader="none" w:pos="937"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7"/>
          <w:szCs w:val="17"/>
          <w:color w:val="auto"/>
        </w:rPr>
      </w:pPr>
    </w:p>
    <w:p>
      <w:pPr>
        <w:ind w:left="940" w:right="40" w:hanging="318"/>
        <w:spacing w:after="0" w:line="279" w:lineRule="auto"/>
        <w:tabs>
          <w:tab w:leader="none" w:pos="934" w:val="left"/>
        </w:tabs>
        <w:numPr>
          <w:ilvl w:val="1"/>
          <w:numId w:val="7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00"/>
          </w:cols>
          <w:pgMar w:left="320" w:top="585" w:right="37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color w:val="auto"/>
        </w:rPr>
        <w:t>Ex. 31.2</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rPr>
        <w:t>Date: May 6, 2022</w:t>
      </w:r>
    </w:p>
    <w:p>
      <w:pPr>
        <w:spacing w:after="0" w:line="22"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By: /s/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-15875</wp:posOffset>
            </wp:positionV>
            <wp:extent cx="12700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7"/>
          <w:szCs w:val="17"/>
          <w:color w:val="auto"/>
        </w:rPr>
        <w:t>David Horn</w:t>
      </w:r>
    </w:p>
    <w:p>
      <w:pPr>
        <w:spacing w:after="0" w:line="11"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Chief Financial Officer</w:t>
      </w:r>
    </w:p>
    <w:p>
      <w:pPr>
        <w:spacing w:after="0" w:line="11"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0139"/>
          </w:cols>
          <w:pgMar w:left="320" w:top="585" w:right="1440" w:bottom="1440" w:gutter="0" w:footer="0" w:header="0"/>
        </w:sectPr>
      </w:pPr>
    </w:p>
    <w:bookmarkStart w:id="99" w:name="page100"/>
    <w:bookmarkEnd w:id="99"/>
    <w:p>
      <w:pPr>
        <w:spacing w:after="0"/>
        <w:rPr>
          <w:sz w:val="20"/>
          <w:szCs w:val="20"/>
          <w:color w:val="auto"/>
        </w:rPr>
      </w:pPr>
      <w:r>
        <w:rPr>
          <w:rFonts w:ascii="Arial" w:cs="Arial" w:eastAsia="Arial" w:hAnsi="Arial"/>
          <w:sz w:val="17"/>
          <w:szCs w:val="17"/>
          <w:b w:val="1"/>
          <w:bCs w:val="1"/>
          <w:color w:val="auto"/>
        </w:rPr>
        <w:t>Ex.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CERTIFICATION OF PRINCIPAL EXECUTIVE OFFICER PURSUANT TO 18 U.S.C. SECTION 1350, AS ADOPTED PURSUANT TO SECTION 906 OF THE SARBANES-OXLEY ACT OF 2002</w:t>
      </w:r>
    </w:p>
    <w:p>
      <w:pPr>
        <w:spacing w:after="0" w:line="183"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In connection with the Quarterly Report of Seer, Inc. (the “Company”) on Form 10-Q for the period ended March 31, 2022 as filed with the Securities and Exchange Commission on the date hereof (the “Report”), I, Omid Farokhzad, hereby certify, pursuant to 18 U.S.C. § 1350, as adopted pursuant to § 906 of the Sarbanes-Oxley Act of 2002, that:</w:t>
      </w:r>
    </w:p>
    <w:p>
      <w:pPr>
        <w:spacing w:after="0" w:line="201" w:lineRule="exact"/>
        <w:rPr>
          <w:sz w:val="20"/>
          <w:szCs w:val="20"/>
          <w:color w:val="auto"/>
        </w:rPr>
      </w:pPr>
    </w:p>
    <w:p>
      <w:pPr>
        <w:ind w:left="620" w:hanging="307"/>
        <w:spacing w:after="0"/>
        <w:tabs>
          <w:tab w:leader="none" w:pos="6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Date: May 6, 2022</w:t>
      </w:r>
    </w:p>
    <w:p>
      <w:pPr>
        <w:spacing w:after="0" w:line="22"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By: /s/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-15875</wp:posOffset>
            </wp:positionV>
            <wp:extent cx="14878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1487805" cy="825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7"/>
          <w:szCs w:val="17"/>
          <w:color w:val="auto"/>
        </w:rPr>
        <w:t>Omid Farokhzad</w:t>
      </w:r>
    </w:p>
    <w:p>
      <w:pPr>
        <w:spacing w:after="0" w:line="11"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Chief Executive Officer and Chair of the Board of Directors</w:t>
      </w:r>
    </w:p>
    <w:p>
      <w:pPr>
        <w:spacing w:after="0" w:line="11"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000"/>
          </w:cols>
          <w:pgMar w:left="320" w:top="353" w:right="57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color w:val="auto"/>
        </w:rPr>
        <w:t>Ex.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CERTIFICATION OF PRINCIPAL FINANCIAL OFFICER PURSUANT TO 18 U.S.C. SECTION 1350, AS ADOPTED PURSUANT TO SECTION 906 OF THE SARBANES-OXLEY ACT OF 2002</w:t>
      </w:r>
    </w:p>
    <w:p>
      <w:pPr>
        <w:spacing w:after="0" w:line="183" w:lineRule="exact"/>
        <w:rPr>
          <w:sz w:val="20"/>
          <w:szCs w:val="20"/>
          <w:color w:val="auto"/>
        </w:rPr>
      </w:pPr>
    </w:p>
    <w:p>
      <w:pPr>
        <w:jc w:val="both"/>
        <w:ind w:right="340"/>
        <w:spacing w:after="0" w:line="266" w:lineRule="auto"/>
        <w:rPr>
          <w:sz w:val="20"/>
          <w:szCs w:val="20"/>
          <w:color w:val="auto"/>
        </w:rPr>
      </w:pPr>
      <w:r>
        <w:rPr>
          <w:rFonts w:ascii="Arial" w:cs="Arial" w:eastAsia="Arial" w:hAnsi="Arial"/>
          <w:sz w:val="17"/>
          <w:szCs w:val="17"/>
          <w:color w:val="auto"/>
        </w:rPr>
        <w:t>In connection with the Quarterly Report of Seer, Inc. (the “Company”) on Form 10-Q for the period ended March 31, 2022 as filed with the Securities and Exchange Commission on the date hereof (the “Report”), I, David Horn, hereby certify, pursuant to 18 U.S.C. § 1350, as adopted pursuant to § 906 of the Sarbanes-Oxley Act of 2002, that:</w:t>
      </w:r>
    </w:p>
    <w:p>
      <w:pPr>
        <w:spacing w:after="0" w:line="201" w:lineRule="exact"/>
        <w:rPr>
          <w:sz w:val="20"/>
          <w:szCs w:val="20"/>
          <w:color w:val="auto"/>
        </w:rPr>
      </w:pPr>
    </w:p>
    <w:p>
      <w:pPr>
        <w:ind w:left="620" w:hanging="307"/>
        <w:spacing w:after="0"/>
        <w:tabs>
          <w:tab w:leader="none" w:pos="6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Date: May 6, 2022</w:t>
      </w:r>
    </w:p>
    <w:p>
      <w:pPr>
        <w:spacing w:after="0" w:line="22"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By: /s/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-15875</wp:posOffset>
            </wp:positionV>
            <wp:extent cx="12700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7"/>
          <w:szCs w:val="17"/>
          <w:color w:val="auto"/>
        </w:rPr>
        <w:t>David Horn</w:t>
      </w:r>
    </w:p>
    <w:p>
      <w:pPr>
        <w:spacing w:after="0" w:line="11"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Chief Financial Officer</w:t>
      </w:r>
    </w:p>
    <w:p>
      <w:pPr>
        <w:spacing w:after="0" w:line="11"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(Principal Financial Officer and Accounting Officer)</w:t>
      </w:r>
    </w:p>
    <w:sectPr>
      <w:pgSz w:w="11900" w:h="16838" w:orient="portrait"/>
      <w:cols w:equalWidth="0" w:num="1">
        <w:col w:w="10960"/>
      </w:cols>
      <w:pgMar w:left="320" w:top="353"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1."/>
      <w:numFmt w:val="decimal"/>
      <w:start w:val="1"/>
    </w:lvl>
  </w:abstractNum>
  <w:abstractNum w:abstractNumId="2">
    <w:nsid w:val="5C482A97"/>
    <w:multiLevelType w:val="hybridMultilevel"/>
    <w:lvl w:ilvl="0">
      <w:lvlJc w:val="left"/>
      <w:lvlText w:val="%1."/>
      <w:numFmt w:val="decimal"/>
      <w:start w:val="2"/>
    </w:lvl>
  </w:abstractNum>
  <w:abstractNum w:abstractNumId="3">
    <w:nsid w:val="2463B9EA"/>
    <w:multiLevelType w:val="hybridMultilevel"/>
    <w:lvl w:ilvl="0">
      <w:lvlJc w:val="left"/>
      <w:lvlText w:val="%1."/>
      <w:numFmt w:val="decimal"/>
      <w:start w:val="3"/>
    </w:lvl>
  </w:abstractNum>
  <w:abstractNum w:abstractNumId="4">
    <w:nsid w:val="5E884ADC"/>
    <w:multiLevelType w:val="hybridMultilevel"/>
    <w:lvl w:ilvl="0">
      <w:lvlJc w:val="left"/>
      <w:lvlText w:val="%1."/>
      <w:numFmt w:val="decimal"/>
      <w:start w:val="5"/>
    </w:lvl>
  </w:abstractNum>
  <w:abstractNum w:abstractNumId="5">
    <w:nsid w:val="51EAD36B"/>
    <w:multiLevelType w:val="hybridMultilevel"/>
    <w:lvl w:ilvl="0">
      <w:lvlJc w:val="left"/>
      <w:lvlText w:val="%1."/>
      <w:numFmt w:val="decimal"/>
      <w:start w:val="6"/>
    </w:lvl>
  </w:abstractNum>
  <w:abstractNum w:abstractNumId="6">
    <w:nsid w:val="2D517796"/>
    <w:multiLevelType w:val="hybridMultilevel"/>
    <w:lvl w:ilvl="0">
      <w:lvlJc w:val="left"/>
      <w:lvlText w:val="%1."/>
      <w:numFmt w:val="decimal"/>
      <w:start w:val="7"/>
    </w:lvl>
  </w:abstractNum>
  <w:abstractNum w:abstractNumId="7">
    <w:nsid w:val="580BD78F"/>
    <w:multiLevelType w:val="hybridMultilevel"/>
    <w:lvl w:ilvl="0">
      <w:lvlJc w:val="left"/>
      <w:lvlText w:val="%1."/>
      <w:numFmt w:val="decimal"/>
      <w:start w:val="8"/>
    </w:lvl>
  </w:abstractNum>
  <w:abstractNum w:abstractNumId="8">
    <w:nsid w:val="153EA438"/>
    <w:multiLevelType w:val="hybridMultilevel"/>
    <w:lvl w:ilvl="0">
      <w:lvlJc w:val="left"/>
      <w:lvlText w:val="%1."/>
      <w:numFmt w:val="decimal"/>
      <w:start w:val="9"/>
    </w:lvl>
  </w:abstractNum>
  <w:abstractNum w:abstractNumId="9">
    <w:nsid w:val="3855585C"/>
    <w:multiLevelType w:val="hybridMultilevel"/>
    <w:lvl w:ilvl="0">
      <w:lvlJc w:val="left"/>
      <w:lvlText w:val="%1."/>
      <w:numFmt w:val="decimal"/>
      <w:start w:val="10"/>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lvl w:ilvl="1">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1)"/>
      <w:numFmt w:val="lowerLetter"/>
      <w:start w:val="1"/>
    </w:lvl>
  </w:abstractNum>
  <w:abstractNum w:abstractNumId="40">
    <w:nsid w:val="1CF10FD8"/>
    <w:multiLevelType w:val="hybridMultilevel"/>
    <w:lvl w:ilvl="0">
      <w:lvlJc w:val="left"/>
      <w:lvlText w:val="(%1)"/>
      <w:numFmt w:val="lowerLetter"/>
      <w:start w:val="2"/>
    </w:lvl>
  </w:abstractNum>
  <w:abstractNum w:abstractNumId="41">
    <w:nsid w:val="180115BE"/>
    <w:multiLevelType w:val="hybridMultilevel"/>
    <w:lvl w:ilvl="0">
      <w:lvlJc w:val="left"/>
      <w:lvlText w:val="(%1)"/>
      <w:numFmt w:val="lowerLetter"/>
      <w:start w:val="2"/>
    </w:lvl>
  </w:abstractNum>
  <w:abstractNum w:abstractNumId="42">
    <w:nsid w:val="235BA861"/>
    <w:multiLevelType w:val="hybridMultilevel"/>
    <w:lvl w:ilvl="0">
      <w:lvlJc w:val="left"/>
      <w:lvlText w:val="(%1)"/>
      <w:numFmt w:val="lowerLetter"/>
      <w:start w:val="1"/>
    </w:lvl>
  </w:abstractNum>
  <w:abstractNum w:abstractNumId="43">
    <w:nsid w:val="47398C89"/>
    <w:multiLevelType w:val="hybridMultilevel"/>
    <w:lvl w:ilvl="0">
      <w:lvlJc w:val="left"/>
      <w:lvlText w:val="%1."/>
      <w:numFmt w:val="decimal"/>
      <w:start w:val="3"/>
    </w:lvl>
  </w:abstractNum>
  <w:abstractNum w:abstractNumId="44">
    <w:nsid w:val="354FE9F9"/>
    <w:multiLevelType w:val="hybridMultilevel"/>
    <w:lvl w:ilvl="0">
      <w:lvlJc w:val="left"/>
      <w:lvlText w:val="%1."/>
      <w:numFmt w:val="decimal"/>
      <w:start w:val="4"/>
    </w:lvl>
    <w:lvl w:ilvl="1">
      <w:lvlJc w:val="left"/>
      <w:lvlText w:val="(%2)"/>
      <w:numFmt w:val="lowerLetter"/>
      <w:start w:val="1"/>
    </w:lvl>
  </w:abstractNum>
  <w:abstractNum w:abstractNumId="45">
    <w:nsid w:val="15B5AF5C"/>
    <w:multiLevelType w:val="hybridMultilevel"/>
    <w:lvl w:ilvl="0">
      <w:lvlJc w:val="left"/>
      <w:lvlText w:val="%1."/>
      <w:numFmt w:val="decimal"/>
      <w:start w:val="5"/>
    </w:lvl>
  </w:abstractNum>
  <w:abstractNum w:abstractNumId="46">
    <w:nsid w:val="741226BB"/>
    <w:multiLevelType w:val="hybridMultilevel"/>
    <w:lvl w:ilvl="0">
      <w:lvlJc w:val="left"/>
      <w:lvlText w:val="(%1)"/>
      <w:numFmt w:val="lowerLetter"/>
      <w:start w:val="2"/>
    </w:lvl>
    <w:lvl w:ilvl="1">
      <w:lvlJc w:val="left"/>
      <w:lvlText w:val="%2."/>
      <w:numFmt w:val="decimal"/>
      <w:start w:val="6"/>
    </w:lvl>
  </w:abstractNum>
  <w:abstractNum w:abstractNumId="47">
    <w:nsid w:val="D34B6A8"/>
    <w:multiLevelType w:val="hybridMultilevel"/>
    <w:lvl w:ilvl="0">
      <w:lvlJc w:val="left"/>
      <w:lvlText w:val="%1."/>
      <w:numFmt w:val="decimal"/>
      <w:start w:val="7"/>
    </w:lvl>
  </w:abstractNum>
  <w:abstractNum w:abstractNumId="48">
    <w:nsid w:val="10233C99"/>
    <w:multiLevelType w:val="hybridMultilevel"/>
    <w:lvl w:ilvl="0">
      <w:lvlJc w:val="left"/>
      <w:lvlText w:val="(%1)"/>
      <w:numFmt w:val="lowerLetter"/>
      <w:start w:val="1"/>
    </w:lvl>
  </w:abstractNum>
  <w:abstractNum w:abstractNumId="49">
    <w:nsid w:val="3F6AB60F"/>
    <w:multiLevelType w:val="hybridMultilevel"/>
    <w:lvl w:ilvl="0">
      <w:lvlJc w:val="left"/>
      <w:lvlText w:val="(%1)"/>
      <w:numFmt w:val="lowerLetter"/>
      <w:start w:val="1"/>
    </w:lvl>
  </w:abstractNum>
  <w:abstractNum w:abstractNumId="50">
    <w:nsid w:val="61574095"/>
    <w:multiLevelType w:val="hybridMultilevel"/>
    <w:lvl w:ilvl="0">
      <w:lvlJc w:val="left"/>
      <w:lvlText w:val="(%1)"/>
      <w:numFmt w:val="lowerLetter"/>
      <w:start w:val="2"/>
    </w:lvl>
  </w:abstractNum>
  <w:abstractNum w:abstractNumId="51">
    <w:nsid w:val="7E0C57B1"/>
    <w:multiLevelType w:val="hybridMultilevel"/>
    <w:lvl w:ilvl="0">
      <w:lvlJc w:val="left"/>
      <w:lvlText w:val="%1."/>
      <w:numFmt w:val="decimal"/>
      <w:start w:val="9"/>
    </w:lvl>
  </w:abstractNum>
  <w:abstractNum w:abstractNumId="52">
    <w:nsid w:val="77AE35EB"/>
    <w:multiLevelType w:val="hybridMultilevel"/>
    <w:lvl w:ilvl="0">
      <w:lvlJc w:val="left"/>
      <w:lvlText w:val="%1."/>
      <w:numFmt w:val="decimal"/>
      <w:start w:val="10"/>
    </w:lvl>
  </w:abstractNum>
  <w:abstractNum w:abstractNumId="53">
    <w:nsid w:val="579BE4F1"/>
    <w:multiLevelType w:val="hybridMultilevel"/>
    <w:lvl w:ilvl="0">
      <w:lvlJc w:val="left"/>
      <w:lvlText w:val="%1."/>
      <w:numFmt w:val="decimal"/>
      <w:start w:val="11"/>
    </w:lvl>
  </w:abstractNum>
  <w:abstractNum w:abstractNumId="54">
    <w:nsid w:val="310C50B3"/>
    <w:multiLevelType w:val="hybridMultilevel"/>
    <w:lvl w:ilvl="0">
      <w:lvlJc w:val="left"/>
      <w:lvlText w:val="%1."/>
      <w:numFmt w:val="decimal"/>
      <w:start w:val="13"/>
    </w:lvl>
  </w:abstractNum>
  <w:abstractNum w:abstractNumId="55">
    <w:nsid w:val="5FF87E05"/>
    <w:multiLevelType w:val="hybridMultilevel"/>
    <w:lvl w:ilvl="0">
      <w:lvlJc w:val="left"/>
      <w:lvlText w:val="%1."/>
      <w:numFmt w:val="decimal"/>
      <w:start w:val="14"/>
    </w:lvl>
  </w:abstractNum>
  <w:abstractNum w:abstractNumId="56">
    <w:nsid w:val="2F305DEF"/>
    <w:multiLevelType w:val="hybridMultilevel"/>
    <w:lvl w:ilvl="0">
      <w:lvlJc w:val="left"/>
      <w:lvlText w:val="%1."/>
      <w:numFmt w:val="decimal"/>
      <w:start w:val="18"/>
    </w:lvl>
  </w:abstractNum>
  <w:abstractNum w:abstractNumId="57">
    <w:nsid w:val="25A70BF7"/>
    <w:multiLevelType w:val="hybridMultilevel"/>
    <w:lvl w:ilvl="0">
      <w:lvlJc w:val="left"/>
      <w:lvlText w:val="(%1)"/>
      <w:numFmt w:val="lowerLetter"/>
      <w:start w:val="1"/>
    </w:lvl>
  </w:abstractNum>
  <w:abstractNum w:abstractNumId="58">
    <w:nsid w:val="1DBABF00"/>
    <w:multiLevelType w:val="hybridMultilevel"/>
    <w:lvl w:ilvl="0">
      <w:lvlJc w:val="left"/>
      <w:lvlText w:val="%1."/>
      <w:numFmt w:val="decimal"/>
      <w:start w:val="19"/>
    </w:lvl>
  </w:abstractNum>
  <w:abstractNum w:abstractNumId="59">
    <w:nsid w:val="4AD084E9"/>
    <w:multiLevelType w:val="hybridMultilevel"/>
    <w:lvl w:ilvl="0">
      <w:lvlJc w:val="left"/>
      <w:lvlText w:val="%1."/>
      <w:numFmt w:val="decimal"/>
      <w:start w:val="20"/>
    </w:lvl>
  </w:abstractNum>
  <w:abstractNum w:abstractNumId="60">
    <w:nsid w:val="1F48EAA1"/>
    <w:multiLevelType w:val="hybridMultilevel"/>
    <w:lvl w:ilvl="0">
      <w:lvlJc w:val="left"/>
      <w:lvlText w:val="%1."/>
      <w:numFmt w:val="decimal"/>
      <w:start w:val="23"/>
    </w:lvl>
  </w:abstractNum>
  <w:abstractNum w:abstractNumId="61">
    <w:nsid w:val="1381823A"/>
    <w:multiLevelType w:val="hybridMultilevel"/>
    <w:lvl w:ilvl="0">
      <w:lvlJc w:val="left"/>
      <w:lvlText w:val="%1."/>
      <w:numFmt w:val="decimal"/>
      <w:start w:val="27"/>
    </w:lvl>
    <w:lvl w:ilvl="1">
      <w:lvlJc w:val="left"/>
      <w:lvlText w:val="*"/>
      <w:numFmt w:val="bullet"/>
      <w:start w:val="1"/>
    </w:lvl>
  </w:abstractNum>
  <w:abstractNum w:abstractNumId="62">
    <w:nsid w:val="5DB70AE5"/>
    <w:multiLevelType w:val="hybridMultilevel"/>
    <w:lvl w:ilvl="0">
      <w:lvlJc w:val="left"/>
      <w:lvlText w:val="%1."/>
      <w:numFmt w:val="decimal"/>
      <w:start w:val="1"/>
    </w:lvl>
  </w:abstractNum>
  <w:abstractNum w:abstractNumId="63">
    <w:nsid w:val="100F8FCA"/>
    <w:multiLevelType w:val="hybridMultilevel"/>
    <w:lvl w:ilvl="0">
      <w:lvlJc w:val="left"/>
      <w:lvlText w:val="(%1)"/>
      <w:numFmt w:val="lowerLetter"/>
      <w:start w:val="2"/>
    </w:lvl>
    <w:lvl w:ilvl="1">
      <w:lvlJc w:val="left"/>
      <w:lvlText w:val="%2."/>
      <w:numFmt w:val="decimal"/>
      <w:start w:val="7"/>
    </w:lvl>
  </w:abstractNum>
  <w:abstractNum w:abstractNumId="64">
    <w:nsid w:val="6590700B"/>
    <w:multiLevelType w:val="hybridMultilevel"/>
    <w:lvl w:ilvl="0">
      <w:lvlJc w:val="left"/>
      <w:lvlText w:val="(%1)"/>
      <w:numFmt w:val="lowerLetter"/>
      <w:start w:val="2"/>
    </w:lvl>
  </w:abstractNum>
  <w:abstractNum w:abstractNumId="65">
    <w:nsid w:val="15014ACB"/>
    <w:multiLevelType w:val="hybridMultilevel"/>
    <w:lvl w:ilvl="0">
      <w:lvlJc w:val="left"/>
      <w:lvlText w:val="%1."/>
      <w:numFmt w:val="decimal"/>
      <w:start w:val="8"/>
    </w:lvl>
  </w:abstractNum>
  <w:abstractNum w:abstractNumId="66">
    <w:nsid w:val="5F5E7FD0"/>
    <w:multiLevelType w:val="hybridMultilevel"/>
    <w:lvl w:ilvl="0">
      <w:lvlJc w:val="left"/>
      <w:lvlText w:val="(%1)"/>
      <w:numFmt w:val="lowerLetter"/>
      <w:start w:val="1"/>
    </w:lvl>
  </w:abstractNum>
  <w:abstractNum w:abstractNumId="67">
    <w:nsid w:val="98A3148"/>
    <w:multiLevelType w:val="hybridMultilevel"/>
    <w:lvl w:ilvl="0">
      <w:lvlJc w:val="left"/>
      <w:lvlText w:val="%1."/>
      <w:numFmt w:val="decimal"/>
      <w:start w:val="9"/>
    </w:lvl>
  </w:abstractNum>
  <w:abstractNum w:abstractNumId="68">
    <w:nsid w:val="799D0247"/>
    <w:multiLevelType w:val="hybridMultilevel"/>
    <w:lvl w:ilvl="0">
      <w:lvlJc w:val="left"/>
      <w:lvlText w:val="%1."/>
      <w:numFmt w:val="decimal"/>
      <w:start w:val="10"/>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92" Type="http://schemas.openxmlformats.org/officeDocument/2006/relationships/hyperlink" Target="https://www.sec.gov/Archives/edgar/data/0001726445/000162828022003179/seer-ccoemploymentletteram.htm" TargetMode="External"/><Relationship Id="rId93" Type="http://schemas.openxmlformats.org/officeDocument/2006/relationships/hyperlink" Target="https://www.sec.gov/Archives/edgar/data/0001726445/000162828022006720/confirmatoryemploymentle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2022-05-07T15:00:31Z</dcterms:created>
  <dcterms:modified xsi:type="dcterms:W3CDTF">2022-05-07T15:00:31Z</dcterms:modified>
</cp:coreProperties>
</file>