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340ddefa14a.htm"/>
      <w:bookmarkStart w:id="1" w:name="ksd14534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762875" cy="474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62875" cy="4743450"/>
                    </a:xfrm>
                    <a:prstGeom prst="rect">
                      <a:avLst/>
                    </a:prstGeom>
                  </pic:spPr>
                </pic:pic>
              </a:graphicData>
            </a:graphic>
          </wp:inline>
        </w:drawing>
      </w:r>
      <w:r>
        <w:rPr/>
        <w:t xml:space="preserve"> </w:t>
      </w:r>
    </w:p>
    <w:p>
      <w:pPr>
        <w:pStyle w:val="TextBody"/>
        <w:bidi w:val="0"/>
        <w:spacing w:before="360" w:after="0"/>
        <w:jc w:val="left"/>
        <w:rPr>
          <w:rFonts w:ascii="Calibri" w:hAnsi="Calibri"/>
          <w:color w:val="0032A0"/>
          <w:sz w:val="38"/>
        </w:rPr>
      </w:pPr>
      <w:r>
        <w:rPr>
          <w:rFonts w:ascii="Calibri" w:hAnsi="Calibri"/>
          <w:color w:val="0032A0"/>
          <w:sz w:val="38"/>
        </w:rPr>
        <w:t xml:space="preserve">Dear Fellow Seer Stockholder, </w:t>
      </w:r>
    </w:p>
    <w:p>
      <w:pPr>
        <w:pStyle w:val="TextBody"/>
        <w:bidi w:val="0"/>
        <w:spacing w:before="240" w:after="0"/>
        <w:jc w:val="left"/>
        <w:rPr>
          <w:rFonts w:ascii="Calibri" w:hAnsi="Calibri"/>
          <w:sz w:val="28"/>
        </w:rPr>
      </w:pPr>
      <w:r>
        <w:rPr>
          <w:rFonts w:ascii="Calibri" w:hAnsi="Calibri"/>
          <w:sz w:val="28"/>
        </w:rPr>
        <w:t xml:space="preserve">At our upcoming Annual Meeting of Stockholders on July 28, 2026, your vote is critical to the continued success of Seer. </w:t>
      </w:r>
    </w:p>
    <w:p>
      <w:pPr>
        <w:pStyle w:val="TextBody"/>
        <w:bidi w:val="0"/>
        <w:spacing w:before="240" w:after="0"/>
        <w:jc w:val="left"/>
        <w:rPr>
          <w:rFonts w:ascii="Calibri" w:hAnsi="Calibri"/>
          <w:sz w:val="28"/>
        </w:rPr>
      </w:pPr>
      <w:r>
        <w:rPr>
          <w:rFonts w:ascii="Calibri" w:hAnsi="Calibri"/>
          <w:sz w:val="28"/>
        </w:rPr>
        <w:t xml:space="preserve">Seer has a purpose-built Board of Directors with the expertise needed to guide a category-creating life sciences tools company. This Board is committed to overseeing our strategy to pioneer the nascent space of proteomics using the Board’s decades of industry knowledge and insight. </w:t>
      </w:r>
    </w:p>
    <w:p>
      <w:pPr>
        <w:pStyle w:val="TextBody"/>
        <w:bidi w:val="0"/>
        <w:spacing w:before="240" w:after="0"/>
        <w:jc w:val="left"/>
        <w:rPr>
          <w:rFonts w:ascii="Calibri" w:hAnsi="Calibri"/>
          <w:sz w:val="28"/>
        </w:rPr>
      </w:pPr>
      <w:r>
        <w:rPr>
          <w:rFonts w:ascii="Calibri" w:hAnsi="Calibri"/>
          <w:sz w:val="28"/>
        </w:rPr>
        <w:t xml:space="preserve">At the Annual Meeting, Bradley Radoff and Michael Torok are attempting to replace three of your Board’s sitting directors — Seer’s Co-Founder, CEO and Chair Omid Farokhzad, M.D., Terrance McGuire and Dipchand (Deep) Nishar — with candidates who bring </w:t>
      </w:r>
      <w:r>
        <w:rPr>
          <w:rFonts w:ascii="Calibri" w:hAnsi="Calibri"/>
          <w:b/>
          <w:sz w:val="28"/>
        </w:rPr>
        <w:t>no</w:t>
      </w:r>
      <w:r>
        <w:rPr>
          <w:rFonts w:ascii="Calibri" w:hAnsi="Calibri"/>
          <w:sz w:val="28"/>
        </w:rPr>
        <w:t xml:space="preserve"> proteomics experience, </w:t>
      </w:r>
      <w:r>
        <w:rPr>
          <w:rFonts w:ascii="Calibri" w:hAnsi="Calibri"/>
          <w:b/>
          <w:sz w:val="28"/>
        </w:rPr>
        <w:t>no</w:t>
      </w:r>
      <w:r>
        <w:rPr>
          <w:rFonts w:ascii="Calibri" w:hAnsi="Calibri"/>
          <w:sz w:val="28"/>
        </w:rPr>
        <w:t xml:space="preserve"> life sciences tools experience and </w:t>
      </w:r>
      <w:r>
        <w:rPr>
          <w:rFonts w:ascii="Calibri" w:hAnsi="Calibri"/>
          <w:b/>
          <w:sz w:val="28"/>
        </w:rPr>
        <w:t>no</w:t>
      </w:r>
      <w:r>
        <w:rPr>
          <w:rFonts w:ascii="Calibri" w:hAnsi="Calibri"/>
          <w:sz w:val="28"/>
        </w:rPr>
        <w:t xml:space="preserve"> platform operating experience. Radoff and Torok have offered no plan to build Seer. Their only desire is to strip Seer of its cash. Additionally, their nominees raise serious concerns regarding independence and their ability to act in the best interests of all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color w:val="0032A0"/>
          <w:sz w:val="38"/>
        </w:rPr>
      </w:pPr>
      <w:r>
        <w:rPr>
          <w:rFonts w:ascii="Calibri" w:hAnsi="Calibri"/>
          <w:color w:val="0032A0"/>
          <w:sz w:val="38"/>
        </w:rPr>
        <w:t xml:space="preserve">The Three Directors that Radoff and Torok Are Trying to Remove Are Critical to Seer’s Future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7"/>
        <w:gridCol w:w="105"/>
        <w:gridCol w:w="2606"/>
        <w:gridCol w:w="120"/>
        <w:gridCol w:w="238"/>
        <w:gridCol w:w="120"/>
        <w:gridCol w:w="5589"/>
      </w:tblGrid>
      <w:tr>
        <w:trPr/>
        <w:tc>
          <w:tcPr>
            <w:tcW w:w="142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89" w:type="dxa"/>
            <w:tcBorders/>
            <w:vAlign w:val="center"/>
          </w:tcPr>
          <w:p>
            <w:pPr>
              <w:pStyle w:val="TableContents"/>
              <w:bidi w:val="0"/>
              <w:spacing w:before="0" w:after="283"/>
              <w:jc w:val="left"/>
              <w:rPr>
                <w:sz w:val="4"/>
                <w:szCs w:val="4"/>
              </w:rPr>
            </w:pPr>
            <w:r>
              <w:rPr>
                <w:sz w:val="4"/>
                <w:szCs w:val="4"/>
              </w:rPr>
            </w:r>
          </w:p>
        </w:tc>
      </w:tr>
      <w:tr>
        <w:trPr/>
        <w:tc>
          <w:tcPr>
            <w:tcW w:w="1427" w:type="dxa"/>
            <w:vMerge w:val="restart"/>
            <w:tcBorders/>
          </w:tcPr>
          <w:p>
            <w:pPr>
              <w:pStyle w:val="TableContents"/>
              <w:bidi w:val="0"/>
              <w:spacing w:before="0" w:after="283"/>
              <w:jc w:val="left"/>
              <w:rPr/>
            </w:pPr>
            <w:r>
              <w:rPr/>
              <w:drawing>
                <wp:inline distT="0" distB="0" distL="0" distR="0">
                  <wp:extent cx="847725" cy="847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847725"/>
                          </a:xfrm>
                          <a:prstGeom prst="rect">
                            <a:avLst/>
                          </a:prstGeom>
                        </pic:spPr>
                      </pic:pic>
                    </a:graphicData>
                  </a:graphic>
                </wp:inline>
              </w:drawing>
            </w:r>
            <w:r>
              <w:rPr/>
              <w:t xml:space="preserve"> </w:t>
            </w:r>
          </w:p>
        </w:tc>
        <w:tc>
          <w:tcPr>
            <w:tcW w:w="105" w:type="dxa"/>
            <w:vMerge w:val="restart"/>
            <w:tcBorders/>
            <w:vAlign w:val="bottom"/>
          </w:tcPr>
          <w:p>
            <w:pPr>
              <w:pStyle w:val="TableContents"/>
              <w:bidi w:val="0"/>
              <w:spacing w:before="0" w:after="283"/>
              <w:jc w:val="left"/>
              <w:rPr/>
            </w:pPr>
            <w:r>
              <w:rPr/>
              <w:t> </w:t>
            </w:r>
          </w:p>
        </w:tc>
        <w:tc>
          <w:tcPr>
            <w:tcW w:w="2606" w:type="dxa"/>
            <w:vMerge w:val="restart"/>
            <w:tcBorders/>
          </w:tcPr>
          <w:p>
            <w:pPr>
              <w:pStyle w:val="TableContents"/>
              <w:bidi w:val="0"/>
              <w:spacing w:before="0" w:after="0"/>
              <w:jc w:val="left"/>
              <w:rPr/>
            </w:pPr>
            <w:r>
              <w:rPr/>
              <w:t> </w:t>
            </w:r>
          </w:p>
          <w:p>
            <w:pPr>
              <w:pStyle w:val="TableContents"/>
              <w:bidi w:val="0"/>
              <w:spacing w:before="0" w:after="0"/>
              <w:jc w:val="left"/>
              <w:rPr>
                <w:rFonts w:ascii="Calibri" w:hAnsi="Calibri"/>
                <w:b/>
                <w:color w:val="0032A0"/>
                <w:sz w:val="18"/>
              </w:rPr>
            </w:pPr>
            <w:r>
              <w:rPr>
                <w:rFonts w:ascii="Calibri" w:hAnsi="Calibri"/>
                <w:b/>
                <w:color w:val="0032A0"/>
                <w:sz w:val="18"/>
              </w:rPr>
              <w:t>OMID FAROKHZAD, M.D</w:t>
            </w:r>
          </w:p>
          <w:p>
            <w:pPr>
              <w:pStyle w:val="TableContents"/>
              <w:bidi w:val="0"/>
              <w:spacing w:before="0" w:after="0"/>
              <w:jc w:val="left"/>
              <w:rPr>
                <w:rFonts w:ascii="Calibri" w:hAnsi="Calibri"/>
                <w:sz w:val="18"/>
              </w:rPr>
            </w:pPr>
            <w:r>
              <w:rPr>
                <w:rFonts w:ascii="Calibri" w:hAnsi="Calibri"/>
                <w:sz w:val="18"/>
              </w:rPr>
              <w:t>Co-Founder, CEO and Chair;</w:t>
            </w:r>
          </w:p>
          <w:p>
            <w:pPr>
              <w:pStyle w:val="TableContents"/>
              <w:bidi w:val="0"/>
              <w:spacing w:before="0" w:after="20"/>
              <w:jc w:val="left"/>
              <w:rPr>
                <w:rFonts w:ascii="Calibri" w:hAnsi="Calibri"/>
                <w:sz w:val="18"/>
              </w:rPr>
            </w:pPr>
            <w:r>
              <w:rPr>
                <w:rFonts w:ascii="Calibri" w:hAnsi="Calibri"/>
                <w:sz w:val="18"/>
              </w:rPr>
              <w:t>Director since 2017</w:t>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283"/>
              <w:jc w:val="left"/>
              <w:rPr/>
            </w:pPr>
            <w:r>
              <w:rPr/>
              <w:t>Scientific architect of the Proteograph® Product Suite</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Founder of multiple life sciences platform companies</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Author of 200+ scientific papers and inventor on 250+ patents</w:t>
            </w:r>
          </w:p>
        </w:tc>
      </w:tr>
      <w:tr>
        <w:trPr/>
        <w:tc>
          <w:tcPr>
            <w:tcW w:w="142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Seer’s largest long-term stockholder, together with family entities</w:t>
            </w:r>
          </w:p>
        </w:tc>
      </w:tr>
      <w:tr>
        <w:trPr/>
        <w:tc>
          <w:tcPr>
            <w:tcW w:w="1427" w:type="dxa"/>
            <w:tcBorders>
              <w:bottom w:val="single" w:sz="2" w:space="0" w:color="D0D5DC"/>
            </w:tcBorders>
            <w:tcMar>
              <w:bottom w:w="28" w:type="dxa"/>
            </w:tcMar>
          </w:tcPr>
          <w:p>
            <w:pPr>
              <w:pStyle w:val="TableContents"/>
              <w:bidi w:val="0"/>
              <w:spacing w:before="0" w:after="283"/>
              <w:jc w:val="left"/>
              <w:rPr/>
            </w:pPr>
            <w:r>
              <w:rPr/>
              <w:t> </w:t>
            </w:r>
          </w:p>
        </w:tc>
        <w:tc>
          <w:tcPr>
            <w:tcW w:w="105" w:type="dxa"/>
            <w:tcBorders>
              <w:bottom w:val="single" w:sz="2" w:space="0" w:color="D0D5DC"/>
            </w:tcBorders>
            <w:tcMar>
              <w:bottom w:w="28" w:type="dxa"/>
            </w:tcMar>
            <w:vAlign w:val="bottom"/>
          </w:tcPr>
          <w:p>
            <w:pPr>
              <w:pStyle w:val="TableContents"/>
              <w:bidi w:val="0"/>
              <w:spacing w:before="0" w:after="283"/>
              <w:jc w:val="left"/>
              <w:rPr/>
            </w:pPr>
            <w:r>
              <w:rPr/>
              <w:t> </w:t>
            </w:r>
          </w:p>
        </w:tc>
        <w:tc>
          <w:tcPr>
            <w:tcW w:w="2606" w:type="dxa"/>
            <w:tcBorders>
              <w:bottom w:val="single" w:sz="2" w:space="0" w:color="D0D5DC"/>
            </w:tcBorders>
            <w:tcMar>
              <w:bottom w:w="28" w:type="dxa"/>
            </w:tcMar>
          </w:tcPr>
          <w:p>
            <w:pPr>
              <w:pStyle w:val="TableContents"/>
              <w:bidi w:val="0"/>
              <w:spacing w:before="0" w:after="283"/>
              <w:jc w:val="left"/>
              <w:rPr/>
            </w:pPr>
            <w:r>
              <w:rPr/>
              <w:t> </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238" w:type="dxa"/>
            <w:tcBorders>
              <w:bottom w:val="single" w:sz="2" w:space="0" w:color="D0D5DC"/>
            </w:tcBorders>
            <w:tcMar>
              <w:bottom w:w="28" w:type="dxa"/>
            </w:tcMar>
          </w:tcPr>
          <w:p>
            <w:pPr>
              <w:pStyle w:val="TableContents"/>
              <w:bidi w:val="0"/>
              <w:spacing w:before="0" w:after="283"/>
              <w:jc w:val="left"/>
              <w:rPr/>
            </w:pPr>
            <w:r>
              <w:rPr/>
              <w:t> </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5589" w:type="dxa"/>
            <w:tcBorders>
              <w:bottom w:val="single" w:sz="2" w:space="0" w:color="D0D5DC"/>
            </w:tcBorders>
            <w:tcMar>
              <w:bottom w:w="28" w:type="dxa"/>
            </w:tcMar>
          </w:tcPr>
          <w:p>
            <w:pPr>
              <w:pStyle w:val="TableContents"/>
              <w:bidi w:val="0"/>
              <w:spacing w:before="0" w:after="283"/>
              <w:jc w:val="left"/>
              <w:rPr/>
            </w:pPr>
            <w:r>
              <w:rPr/>
              <w:t> </w:t>
            </w:r>
          </w:p>
        </w:tc>
      </w:tr>
      <w:tr>
        <w:trPr/>
        <w:tc>
          <w:tcPr>
            <w:tcW w:w="142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283"/>
              <w:jc w:val="left"/>
              <w:rPr>
                <w:sz w:val="4"/>
                <w:szCs w:val="4"/>
              </w:rPr>
            </w:pPr>
            <w:r>
              <w:rPr>
                <w:sz w:val="4"/>
                <w:szCs w:val="4"/>
              </w:rPr>
            </w:r>
          </w:p>
        </w:tc>
      </w:tr>
      <w:tr>
        <w:trPr/>
        <w:tc>
          <w:tcPr>
            <w:tcW w:w="1427" w:type="dxa"/>
            <w:vMerge w:val="restart"/>
            <w:tcBorders/>
          </w:tcPr>
          <w:p>
            <w:pPr>
              <w:pStyle w:val="TableContents"/>
              <w:bidi w:val="0"/>
              <w:spacing w:before="0" w:after="283"/>
              <w:jc w:val="left"/>
              <w:rPr/>
            </w:pPr>
            <w:r>
              <w:rPr/>
              <w:drawing>
                <wp:inline distT="0" distB="0" distL="0" distR="0">
                  <wp:extent cx="847725" cy="847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47725" cy="847725"/>
                          </a:xfrm>
                          <a:prstGeom prst="rect">
                            <a:avLst/>
                          </a:prstGeom>
                        </pic:spPr>
                      </pic:pic>
                    </a:graphicData>
                  </a:graphic>
                </wp:inline>
              </w:drawing>
            </w:r>
            <w:r>
              <w:rPr/>
              <w:t xml:space="preserve"> </w:t>
            </w:r>
          </w:p>
        </w:tc>
        <w:tc>
          <w:tcPr>
            <w:tcW w:w="105" w:type="dxa"/>
            <w:vMerge w:val="restart"/>
            <w:tcBorders/>
            <w:vAlign w:val="bottom"/>
          </w:tcPr>
          <w:p>
            <w:pPr>
              <w:pStyle w:val="TableContents"/>
              <w:bidi w:val="0"/>
              <w:spacing w:before="0" w:after="283"/>
              <w:jc w:val="left"/>
              <w:rPr/>
            </w:pPr>
            <w:r>
              <w:rPr/>
              <w:t> </w:t>
            </w:r>
          </w:p>
        </w:tc>
        <w:tc>
          <w:tcPr>
            <w:tcW w:w="2606" w:type="dxa"/>
            <w:vMerge w:val="restart"/>
            <w:tcBorders/>
          </w:tcPr>
          <w:p>
            <w:pPr>
              <w:pStyle w:val="TableContents"/>
              <w:bidi w:val="0"/>
              <w:spacing w:before="0" w:after="0"/>
              <w:jc w:val="left"/>
              <w:rPr/>
            </w:pPr>
            <w:r>
              <w:rPr/>
              <w:t> </w:t>
            </w:r>
          </w:p>
          <w:p>
            <w:pPr>
              <w:pStyle w:val="TableContents"/>
              <w:bidi w:val="0"/>
              <w:spacing w:before="0" w:after="0"/>
              <w:jc w:val="left"/>
              <w:rPr>
                <w:rFonts w:ascii="Calibri" w:hAnsi="Calibri"/>
                <w:b/>
                <w:color w:val="0032A0"/>
                <w:sz w:val="18"/>
              </w:rPr>
            </w:pPr>
            <w:r>
              <w:rPr>
                <w:rFonts w:ascii="Calibri" w:hAnsi="Calibri"/>
                <w:b/>
                <w:color w:val="0032A0"/>
                <w:sz w:val="18"/>
              </w:rPr>
              <w:t>TERRANCE MCGUIRE</w:t>
            </w:r>
          </w:p>
          <w:p>
            <w:pPr>
              <w:pStyle w:val="TableContents"/>
              <w:bidi w:val="0"/>
              <w:spacing w:before="0" w:after="0"/>
              <w:jc w:val="left"/>
              <w:rPr>
                <w:rFonts w:ascii="Calibri" w:hAnsi="Calibri"/>
                <w:sz w:val="18"/>
              </w:rPr>
            </w:pPr>
            <w:r>
              <w:rPr>
                <w:rFonts w:ascii="Calibri" w:hAnsi="Calibri"/>
                <w:sz w:val="18"/>
              </w:rPr>
              <w:t>Founding Partner of Polaris</w:t>
            </w:r>
          </w:p>
          <w:p>
            <w:pPr>
              <w:pStyle w:val="TableContents"/>
              <w:bidi w:val="0"/>
              <w:spacing w:before="0" w:after="20"/>
              <w:jc w:val="left"/>
              <w:rPr>
                <w:rFonts w:ascii="Calibri" w:hAnsi="Calibri"/>
                <w:sz w:val="18"/>
              </w:rPr>
            </w:pPr>
            <w:r>
              <w:rPr>
                <w:rFonts w:ascii="Calibri" w:hAnsi="Calibri"/>
                <w:sz w:val="18"/>
              </w:rPr>
              <w:t>Partners; Director since 2017</w:t>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283"/>
              <w:jc w:val="left"/>
              <w:rPr/>
            </w:pPr>
            <w:r>
              <w:rPr/>
              <w:t>Decades of healthcare investing and company-building experience</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Proven capital allocation and governance judgment</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Investor in Seer at inception and again at Seer’s IPO</w:t>
            </w:r>
          </w:p>
        </w:tc>
      </w:tr>
      <w:tr>
        <w:trPr/>
        <w:tc>
          <w:tcPr>
            <w:tcW w:w="1427" w:type="dxa"/>
            <w:tcBorders/>
          </w:tcPr>
          <w:p>
            <w:pPr>
              <w:pStyle w:val="TableContents"/>
              <w:bidi w:val="0"/>
              <w:spacing w:before="0" w:after="283"/>
              <w:jc w:val="left"/>
              <w:rPr>
                <w:sz w:val="4"/>
                <w:szCs w:val="4"/>
              </w:rPr>
            </w:pPr>
            <w:r>
              <w:rPr>
                <w:sz w:val="4"/>
                <w:szCs w:val="4"/>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One of Seer’s longest-term stockholders</w:t>
            </w:r>
          </w:p>
        </w:tc>
      </w:tr>
      <w:tr>
        <w:trPr/>
        <w:tc>
          <w:tcPr>
            <w:tcW w:w="1427" w:type="dxa"/>
            <w:tcBorders>
              <w:bottom w:val="single" w:sz="2" w:space="0" w:color="D0D5DC"/>
            </w:tcBorders>
            <w:tcMar>
              <w:bottom w:w="28" w:type="dxa"/>
            </w:tcMar>
          </w:tcPr>
          <w:p>
            <w:pPr>
              <w:pStyle w:val="TableContents"/>
              <w:bidi w:val="0"/>
              <w:spacing w:before="0" w:after="283"/>
              <w:jc w:val="left"/>
              <w:rPr/>
            </w:pPr>
            <w:r>
              <w:rPr/>
              <w:t> </w:t>
            </w:r>
          </w:p>
        </w:tc>
        <w:tc>
          <w:tcPr>
            <w:tcW w:w="105" w:type="dxa"/>
            <w:tcBorders>
              <w:bottom w:val="single" w:sz="2" w:space="0" w:color="D0D5DC"/>
            </w:tcBorders>
            <w:tcMar>
              <w:bottom w:w="28" w:type="dxa"/>
            </w:tcMar>
            <w:vAlign w:val="bottom"/>
          </w:tcPr>
          <w:p>
            <w:pPr>
              <w:pStyle w:val="TableContents"/>
              <w:bidi w:val="0"/>
              <w:spacing w:before="0" w:after="283"/>
              <w:jc w:val="left"/>
              <w:rPr/>
            </w:pPr>
            <w:r>
              <w:rPr/>
              <w:t> </w:t>
            </w:r>
          </w:p>
        </w:tc>
        <w:tc>
          <w:tcPr>
            <w:tcW w:w="2606" w:type="dxa"/>
            <w:tcBorders>
              <w:bottom w:val="single" w:sz="2" w:space="0" w:color="D0D5DC"/>
            </w:tcBorders>
            <w:tcMar>
              <w:bottom w:w="28" w:type="dxa"/>
            </w:tcMar>
          </w:tcPr>
          <w:p>
            <w:pPr>
              <w:pStyle w:val="TableContents"/>
              <w:bidi w:val="0"/>
              <w:spacing w:before="0" w:after="283"/>
              <w:jc w:val="left"/>
              <w:rPr/>
            </w:pPr>
            <w:r>
              <w:rPr/>
              <w:t> </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238" w:type="dxa"/>
            <w:tcBorders>
              <w:bottom w:val="single" w:sz="2" w:space="0" w:color="D0D5DC"/>
            </w:tcBorders>
            <w:tcMar>
              <w:bottom w:w="28" w:type="dxa"/>
            </w:tcMar>
          </w:tcPr>
          <w:p>
            <w:pPr>
              <w:pStyle w:val="TableContents"/>
              <w:bidi w:val="0"/>
              <w:spacing w:before="0" w:after="283"/>
              <w:jc w:val="left"/>
              <w:rPr/>
            </w:pPr>
            <w:r>
              <w:rPr/>
              <w:t> </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5589" w:type="dxa"/>
            <w:tcBorders>
              <w:bottom w:val="single" w:sz="2" w:space="0" w:color="D0D5DC"/>
            </w:tcBorders>
            <w:tcMar>
              <w:bottom w:w="28" w:type="dxa"/>
            </w:tcMar>
          </w:tcPr>
          <w:p>
            <w:pPr>
              <w:pStyle w:val="TableContents"/>
              <w:bidi w:val="0"/>
              <w:spacing w:before="0" w:after="283"/>
              <w:jc w:val="left"/>
              <w:rPr/>
            </w:pPr>
            <w:r>
              <w:rPr/>
              <w:t> </w:t>
            </w:r>
          </w:p>
        </w:tc>
      </w:tr>
      <w:tr>
        <w:trPr/>
        <w:tc>
          <w:tcPr>
            <w:tcW w:w="1427"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283"/>
              <w:jc w:val="left"/>
              <w:rPr>
                <w:sz w:val="4"/>
                <w:szCs w:val="4"/>
              </w:rPr>
            </w:pPr>
            <w:r>
              <w:rPr>
                <w:sz w:val="4"/>
                <w:szCs w:val="4"/>
              </w:rPr>
            </w:r>
          </w:p>
        </w:tc>
      </w:tr>
      <w:tr>
        <w:trPr/>
        <w:tc>
          <w:tcPr>
            <w:tcW w:w="1427" w:type="dxa"/>
            <w:vMerge w:val="restart"/>
            <w:tcBorders/>
          </w:tcPr>
          <w:p>
            <w:pPr>
              <w:pStyle w:val="TableContents"/>
              <w:bidi w:val="0"/>
              <w:spacing w:before="0" w:after="283"/>
              <w:jc w:val="left"/>
              <w:rPr/>
            </w:pPr>
            <w:r>
              <w:rPr/>
              <w:drawing>
                <wp:inline distT="0" distB="0" distL="0" distR="0">
                  <wp:extent cx="847725" cy="847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47725" cy="847725"/>
                          </a:xfrm>
                          <a:prstGeom prst="rect">
                            <a:avLst/>
                          </a:prstGeom>
                        </pic:spPr>
                      </pic:pic>
                    </a:graphicData>
                  </a:graphic>
                </wp:inline>
              </w:drawing>
            </w:r>
            <w:r>
              <w:rPr/>
              <w:t xml:space="preserve"> </w:t>
            </w:r>
          </w:p>
        </w:tc>
        <w:tc>
          <w:tcPr>
            <w:tcW w:w="105" w:type="dxa"/>
            <w:vMerge w:val="restart"/>
            <w:tcBorders/>
            <w:vAlign w:val="bottom"/>
          </w:tcPr>
          <w:p>
            <w:pPr>
              <w:pStyle w:val="TableContents"/>
              <w:bidi w:val="0"/>
              <w:spacing w:before="0" w:after="283"/>
              <w:jc w:val="left"/>
              <w:rPr/>
            </w:pPr>
            <w:r>
              <w:rPr/>
              <w:t> </w:t>
            </w:r>
          </w:p>
        </w:tc>
        <w:tc>
          <w:tcPr>
            <w:tcW w:w="2606" w:type="dxa"/>
            <w:vMerge w:val="restart"/>
            <w:tcBorders/>
          </w:tcPr>
          <w:p>
            <w:pPr>
              <w:pStyle w:val="TableContents"/>
              <w:bidi w:val="0"/>
              <w:spacing w:before="0" w:after="0"/>
              <w:jc w:val="left"/>
              <w:rPr/>
            </w:pPr>
            <w:r>
              <w:rPr/>
              <w:t> </w:t>
            </w:r>
          </w:p>
          <w:p>
            <w:pPr>
              <w:pStyle w:val="TableContents"/>
              <w:bidi w:val="0"/>
              <w:spacing w:before="0" w:after="0"/>
              <w:jc w:val="left"/>
              <w:rPr>
                <w:rFonts w:ascii="Calibri" w:hAnsi="Calibri"/>
                <w:b/>
                <w:color w:val="0032A0"/>
                <w:sz w:val="18"/>
              </w:rPr>
            </w:pPr>
            <w:r>
              <w:rPr>
                <w:rFonts w:ascii="Calibri" w:hAnsi="Calibri"/>
                <w:b/>
                <w:color w:val="0032A0"/>
                <w:sz w:val="18"/>
              </w:rPr>
              <w:t>DIPCHAND (DEEP) NISHAR</w:t>
            </w:r>
          </w:p>
          <w:p>
            <w:pPr>
              <w:pStyle w:val="TableContents"/>
              <w:bidi w:val="0"/>
              <w:spacing w:before="0" w:after="0"/>
              <w:jc w:val="left"/>
              <w:rPr>
                <w:rFonts w:ascii="Calibri" w:hAnsi="Calibri"/>
                <w:sz w:val="18"/>
              </w:rPr>
            </w:pPr>
            <w:r>
              <w:rPr>
                <w:rFonts w:ascii="Calibri" w:hAnsi="Calibri"/>
                <w:sz w:val="18"/>
              </w:rPr>
              <w:t>Technology and Growth</w:t>
            </w:r>
          </w:p>
          <w:p>
            <w:pPr>
              <w:pStyle w:val="TableContents"/>
              <w:bidi w:val="0"/>
              <w:spacing w:before="0" w:after="20"/>
              <w:jc w:val="left"/>
              <w:rPr>
                <w:rFonts w:ascii="Calibri" w:hAnsi="Calibri"/>
                <w:sz w:val="18"/>
              </w:rPr>
            </w:pPr>
            <w:r>
              <w:rPr>
                <w:rFonts w:ascii="Calibri" w:hAnsi="Calibri"/>
                <w:sz w:val="18"/>
              </w:rPr>
              <w:t>Leader; Director since 2021</w:t>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283"/>
              <w:jc w:val="left"/>
              <w:rPr/>
            </w:pPr>
            <w:r>
              <w:rPr/>
              <w:t>Former Senior Managing Partner at SoftBank Vision Fund</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Former Managing Director at General Catalyst</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Former senior executive at LinkedIn and Google</w:t>
            </w:r>
          </w:p>
        </w:tc>
      </w:tr>
      <w:tr>
        <w:trPr/>
        <w:tc>
          <w:tcPr>
            <w:tcW w:w="1427" w:type="dxa"/>
            <w:vMerge w:val="continue"/>
            <w:tcBorders/>
            <w:vAlign w:val="bottom"/>
          </w:tcPr>
          <w:p>
            <w:pPr>
              <w:pStyle w:val="Normal"/>
              <w:bidi w:val="0"/>
              <w:jc w:val="left"/>
              <w:rPr/>
            </w:pPr>
            <w:r>
              <w:rPr/>
            </w:r>
          </w:p>
        </w:tc>
        <w:tc>
          <w:tcPr>
            <w:tcW w:w="105" w:type="dxa"/>
            <w:vMerge w:val="continue"/>
            <w:tcBorders/>
            <w:vAlign w:val="bottom"/>
          </w:tcPr>
          <w:p>
            <w:pPr>
              <w:pStyle w:val="Normal"/>
              <w:bidi w:val="0"/>
              <w:jc w:val="left"/>
              <w:rPr/>
            </w:pPr>
            <w:r>
              <w:rPr/>
            </w:r>
          </w:p>
        </w:tc>
        <w:tc>
          <w:tcPr>
            <w:tcW w:w="2606"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38"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589" w:type="dxa"/>
            <w:tcBorders/>
          </w:tcPr>
          <w:p>
            <w:pPr>
              <w:pStyle w:val="TableContents"/>
              <w:bidi w:val="0"/>
              <w:spacing w:before="0" w:after="0"/>
              <w:jc w:val="left"/>
              <w:rPr/>
            </w:pPr>
            <w:r>
              <w:rPr/>
              <w:t> </w:t>
            </w:r>
          </w:p>
          <w:p>
            <w:pPr>
              <w:pStyle w:val="TableContents"/>
              <w:bidi w:val="0"/>
              <w:spacing w:before="0" w:after="20"/>
              <w:jc w:val="left"/>
              <w:rPr>
                <w:rFonts w:ascii="Calibri" w:hAnsi="Calibri"/>
                <w:sz w:val="22"/>
              </w:rPr>
            </w:pPr>
            <w:r>
              <w:rPr>
                <w:rFonts w:ascii="Calibri" w:hAnsi="Calibri"/>
                <w:sz w:val="22"/>
              </w:rPr>
              <w:t>Deep capital markets, growth investing and corporate strategy expertise</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781925" cy="1971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81925" cy="1971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color w:val="0032A0"/>
          <w:sz w:val="38"/>
        </w:rPr>
      </w:pPr>
      <w:r>
        <w:rPr>
          <w:rFonts w:ascii="Calibri" w:hAnsi="Calibri"/>
          <w:color w:val="0032A0"/>
          <w:sz w:val="38"/>
        </w:rPr>
        <w:t xml:space="preserve">Seer’s Nominees Have the Right Experience, Radoff and Torok’s Nominees Do Not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
        <w:gridCol w:w="106"/>
        <w:gridCol w:w="4635"/>
        <w:gridCol w:w="120"/>
        <w:gridCol w:w="2251"/>
        <w:gridCol w:w="120"/>
        <w:gridCol w:w="2256"/>
      </w:tblGrid>
      <w:tr>
        <w:trPr/>
        <w:tc>
          <w:tcPr>
            <w:tcW w:w="71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bottom w:val="single" w:sz="2" w:space="0" w:color="D0D5DC"/>
            </w:tcBorders>
            <w:tcMar>
              <w:bottom w:w="28" w:type="dxa"/>
            </w:tcMar>
          </w:tcPr>
          <w:p>
            <w:pPr>
              <w:pStyle w:val="TableContents"/>
              <w:bidi w:val="0"/>
              <w:spacing w:before="0" w:after="283"/>
              <w:jc w:val="left"/>
              <w:rPr>
                <w:b/>
                <w:color w:val="142378"/>
              </w:rPr>
            </w:pPr>
            <w:r>
              <w:rPr>
                <w:b/>
                <w:color w:val="142378"/>
              </w:rPr>
              <w:t>Critical Experience Needed at Seer</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2251" w:type="dxa"/>
            <w:tcBorders>
              <w:bottom w:val="single" w:sz="2" w:space="0" w:color="D0D5DC"/>
            </w:tcBorders>
            <w:tcMar>
              <w:bottom w:w="28" w:type="dxa"/>
            </w:tcMar>
            <w:vAlign w:val="bottom"/>
          </w:tcPr>
          <w:p>
            <w:pPr>
              <w:pStyle w:val="TableContents"/>
              <w:bidi w:val="0"/>
              <w:spacing w:before="0" w:after="0"/>
              <w:jc w:val="center"/>
              <w:rPr>
                <w:rFonts w:ascii="Calibri" w:hAnsi="Calibri"/>
                <w:b/>
                <w:color w:val="142378"/>
                <w:sz w:val="21"/>
              </w:rPr>
            </w:pPr>
            <w:r>
              <w:rPr>
                <w:rFonts w:ascii="Calibri" w:hAnsi="Calibri"/>
                <w:b/>
                <w:color w:val="142378"/>
                <w:sz w:val="21"/>
              </w:rPr>
              <w:t>Seer’s</w:t>
            </w:r>
          </w:p>
          <w:p>
            <w:pPr>
              <w:pStyle w:val="TableContents"/>
              <w:bidi w:val="0"/>
              <w:spacing w:before="0" w:after="20"/>
              <w:jc w:val="center"/>
              <w:rPr>
                <w:rFonts w:ascii="Calibri" w:hAnsi="Calibri"/>
                <w:b/>
                <w:color w:val="142378"/>
                <w:sz w:val="21"/>
              </w:rPr>
            </w:pPr>
            <w:r>
              <w:rPr>
                <w:rFonts w:ascii="Calibri" w:hAnsi="Calibri"/>
                <w:b/>
                <w:color w:val="142378"/>
                <w:sz w:val="21"/>
              </w:rPr>
              <w:t>Director Nominees</w:t>
            </w:r>
          </w:p>
        </w:tc>
        <w:tc>
          <w:tcPr>
            <w:tcW w:w="120" w:type="dxa"/>
            <w:tcBorders>
              <w:bottom w:val="single" w:sz="2" w:space="0" w:color="D0D5DC"/>
            </w:tcBorders>
            <w:tcMar>
              <w:bottom w:w="28" w:type="dxa"/>
            </w:tcMar>
            <w:vAlign w:val="bottom"/>
          </w:tcPr>
          <w:p>
            <w:pPr>
              <w:pStyle w:val="TableContents"/>
              <w:bidi w:val="0"/>
              <w:spacing w:before="0" w:after="283"/>
              <w:jc w:val="left"/>
              <w:rPr/>
            </w:pPr>
            <w:r>
              <w:rPr/>
              <w:t>  </w:t>
            </w:r>
          </w:p>
        </w:tc>
        <w:tc>
          <w:tcPr>
            <w:tcW w:w="2256" w:type="dxa"/>
            <w:tcBorders>
              <w:bottom w:val="single" w:sz="2" w:space="0" w:color="D0D5DC"/>
            </w:tcBorders>
            <w:tcMar>
              <w:bottom w:w="28" w:type="dxa"/>
            </w:tcMar>
            <w:vAlign w:val="bottom"/>
          </w:tcPr>
          <w:p>
            <w:pPr>
              <w:pStyle w:val="TableContents"/>
              <w:bidi w:val="0"/>
              <w:spacing w:before="0" w:after="0"/>
              <w:jc w:val="center"/>
              <w:rPr>
                <w:rFonts w:ascii="Calibri" w:hAnsi="Calibri"/>
                <w:b/>
                <w:color w:val="142378"/>
                <w:sz w:val="21"/>
              </w:rPr>
            </w:pPr>
            <w:r>
              <w:rPr>
                <w:rFonts w:ascii="Calibri" w:hAnsi="Calibri"/>
                <w:b/>
                <w:color w:val="142378"/>
                <w:sz w:val="21"/>
              </w:rPr>
              <w:t>Radoff and</w:t>
            </w:r>
          </w:p>
          <w:p>
            <w:pPr>
              <w:pStyle w:val="TableContents"/>
              <w:bidi w:val="0"/>
              <w:spacing w:before="0" w:after="20"/>
              <w:jc w:val="center"/>
              <w:rPr>
                <w:rFonts w:ascii="Calibri" w:hAnsi="Calibri"/>
                <w:b/>
                <w:color w:val="142378"/>
                <w:sz w:val="21"/>
              </w:rPr>
            </w:pPr>
            <w:r>
              <w:rPr>
                <w:rFonts w:ascii="Calibri" w:hAnsi="Calibri"/>
                <w:b/>
                <w:color w:val="142378"/>
                <w:sz w:val="21"/>
              </w:rPr>
              <w:t>Torok’s Nominees</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4741" w:type="dxa"/>
            <w:gridSpan w:val="2"/>
            <w:tcBorders/>
            <w:vAlign w:val="center"/>
          </w:tcPr>
          <w:p>
            <w:pPr>
              <w:pStyle w:val="TableContents"/>
              <w:bidi w:val="0"/>
              <w:spacing w:before="0" w:after="283"/>
              <w:jc w:val="left"/>
              <w:rPr>
                <w:sz w:val="4"/>
                <w:szCs w:val="4"/>
              </w:rPr>
            </w:pPr>
            <w:r>
              <w:rPr>
                <w:sz w:val="4"/>
                <w:szCs w:val="4"/>
              </w:rPr>
            </w:r>
          </w:p>
        </w:tc>
        <w:tc>
          <w:tcPr>
            <w:tcW w:w="2371" w:type="dxa"/>
            <w:gridSpan w:val="2"/>
            <w:tcBorders/>
            <w:vAlign w:val="center"/>
          </w:tcPr>
          <w:p>
            <w:pPr>
              <w:pStyle w:val="TableContents"/>
              <w:bidi w:val="0"/>
              <w:spacing w:before="0" w:after="283"/>
              <w:jc w:val="left"/>
              <w:rPr>
                <w:sz w:val="4"/>
                <w:szCs w:val="4"/>
              </w:rPr>
            </w:pPr>
            <w:r>
              <w:rPr>
                <w:sz w:val="4"/>
                <w:szCs w:val="4"/>
              </w:rPr>
            </w:r>
          </w:p>
        </w:tc>
        <w:tc>
          <w:tcPr>
            <w:tcW w:w="2376" w:type="dxa"/>
            <w:gridSpan w:val="2"/>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283"/>
              <w:jc w:val="left"/>
              <w:rPr/>
            </w:pPr>
            <w:r>
              <w:rPr/>
              <w:drawing>
                <wp:inline distT="0" distB="0" distL="0" distR="0">
                  <wp:extent cx="419100" cy="42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19100" cy="428625"/>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Proteomics or adjacent scientific platform expertise</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left"/>
              <w:rPr/>
            </w:pPr>
            <w:r>
              <w:rPr/>
              <w:drawing>
                <wp:inline distT="0" distB="0" distL="0" distR="0">
                  <wp:extent cx="276225" cy="428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76225" cy="428625"/>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Life sciences tools operating experience</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left"/>
              <w:rPr/>
            </w:pPr>
            <w:r>
              <w:rPr/>
              <w:drawing>
                <wp:inline distT="0" distB="0" distL="0" distR="0">
                  <wp:extent cx="438150" cy="41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38150" cy="41910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Experience scaling innovative technology platforms</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left"/>
              <w:rPr/>
            </w:pPr>
            <w:r>
              <w:rPr/>
              <w:drawing>
                <wp:inline distT="0" distB="0" distL="0" distR="0">
                  <wp:extent cx="390525" cy="4095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90525" cy="409575"/>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Public company governance experience relevant to Seer</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left"/>
              <w:rPr/>
            </w:pPr>
            <w:r>
              <w:rPr/>
              <w:drawing>
                <wp:inline distT="0" distB="0" distL="0" distR="0">
                  <wp:extent cx="409575" cy="4000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09575" cy="400050"/>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Capital allocation discipline</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left"/>
              <w:rPr/>
            </w:pPr>
            <w:r>
              <w:rPr/>
              <w:drawing>
                <wp:inline distT="0" distB="0" distL="0" distR="0">
                  <wp:extent cx="438150" cy="3143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38150" cy="314325"/>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Long-term alignment with Seer stockholders</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38125" cy="238125"/>
                          </a:xfrm>
                          <a:prstGeom prst="rect">
                            <a:avLst/>
                          </a:prstGeom>
                        </pic:spPr>
                      </pic:pic>
                    </a:graphicData>
                  </a:graphic>
                </wp:inline>
              </w:drawing>
            </w:r>
            <w:r>
              <w:rPr/>
              <w:t xml:space="preserve"> </w:t>
            </w:r>
          </w:p>
        </w:tc>
      </w:tr>
      <w:tr>
        <w:trPr>
          <w:trHeight w:val="120" w:hRule="atLeast"/>
        </w:trPr>
        <w:tc>
          <w:tcPr>
            <w:tcW w:w="717" w:type="dxa"/>
            <w:tcBorders>
              <w:top w:val="single" w:sz="2" w:space="0" w:color="D0D5DC"/>
            </w:tcBorders>
            <w:tcMar>
              <w:top w:w="28" w:type="dxa"/>
            </w:tcMar>
            <w:vAlign w:val="center"/>
          </w:tcPr>
          <w:p>
            <w:pPr>
              <w:pStyle w:val="TableContents"/>
              <w:bidi w:val="0"/>
              <w:spacing w:before="0" w:after="283"/>
              <w:jc w:val="left"/>
              <w:rPr/>
            </w:pPr>
            <w:r>
              <w:rPr/>
              <w:t> </w:t>
            </w:r>
          </w:p>
        </w:tc>
        <w:tc>
          <w:tcPr>
            <w:tcW w:w="474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1" w:type="dxa"/>
            <w:gridSpan w:val="2"/>
            <w:tcBorders>
              <w:top w:val="single" w:sz="2" w:space="0" w:color="D0D5DC"/>
            </w:tcBorders>
            <w:tcMar>
              <w:top w:w="28" w:type="dxa"/>
            </w:tcMar>
            <w:vAlign w:val="center"/>
          </w:tcPr>
          <w:p>
            <w:pPr>
              <w:pStyle w:val="TableContents"/>
              <w:bidi w:val="0"/>
              <w:spacing w:before="0" w:after="283"/>
              <w:jc w:val="left"/>
              <w:rPr/>
            </w:pPr>
            <w:r>
              <w:rPr/>
              <w:t> </w:t>
            </w:r>
          </w:p>
        </w:tc>
        <w:tc>
          <w:tcPr>
            <w:tcW w:w="2376" w:type="dxa"/>
            <w:gridSpan w:val="2"/>
            <w:tcBorders>
              <w:top w:val="single" w:sz="2" w:space="0" w:color="D0D5DC"/>
            </w:tcBorders>
            <w:tcMar>
              <w:top w:w="28" w:type="dxa"/>
            </w:tcMar>
            <w:vAlign w:val="center"/>
          </w:tcPr>
          <w:p>
            <w:pPr>
              <w:pStyle w:val="TableContents"/>
              <w:bidi w:val="0"/>
              <w:spacing w:before="0" w:after="283"/>
              <w:jc w:val="left"/>
              <w:rPr/>
            </w:pPr>
            <w:r>
              <w:rPr/>
              <w:t> </w:t>
            </w:r>
          </w:p>
        </w:tc>
      </w:tr>
      <w:tr>
        <w:trPr/>
        <w:tc>
          <w:tcPr>
            <w:tcW w:w="717" w:type="dxa"/>
            <w:tcBorders/>
          </w:tcPr>
          <w:p>
            <w:pPr>
              <w:pStyle w:val="TableContents"/>
              <w:bidi w:val="0"/>
              <w:spacing w:before="0" w:after="283"/>
              <w:jc w:val="center"/>
              <w:rPr/>
            </w:pPr>
            <w:r>
              <w:rPr/>
              <w:drawing>
                <wp:inline distT="0" distB="0" distL="0" distR="0">
                  <wp:extent cx="333375" cy="409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33375" cy="409575"/>
                          </a:xfrm>
                          <a:prstGeom prst="rect">
                            <a:avLst/>
                          </a:prstGeom>
                        </pic:spPr>
                      </pic:pic>
                    </a:graphicData>
                  </a:graphic>
                </wp:inline>
              </w:drawing>
            </w:r>
            <w:r>
              <w:rPr/>
              <w:t xml:space="preserve"> </w:t>
            </w:r>
          </w:p>
        </w:tc>
        <w:tc>
          <w:tcPr>
            <w:tcW w:w="106" w:type="dxa"/>
            <w:tcBorders/>
            <w:vAlign w:val="bottom"/>
          </w:tcPr>
          <w:p>
            <w:pPr>
              <w:pStyle w:val="TableContents"/>
              <w:bidi w:val="0"/>
              <w:spacing w:before="0" w:after="283"/>
              <w:jc w:val="left"/>
              <w:rPr/>
            </w:pPr>
            <w:r>
              <w:rPr/>
              <w:t> </w:t>
            </w:r>
          </w:p>
        </w:tc>
        <w:tc>
          <w:tcPr>
            <w:tcW w:w="4635" w:type="dxa"/>
            <w:tcBorders/>
            <w:vAlign w:val="center"/>
          </w:tcPr>
          <w:p>
            <w:pPr>
              <w:pStyle w:val="TableContents"/>
              <w:bidi w:val="0"/>
              <w:spacing w:before="0" w:after="283"/>
              <w:jc w:val="left"/>
              <w:rPr/>
            </w:pPr>
            <w:r>
              <w:rPr/>
              <w:t>Direct role in building Seer’s strategy</w:t>
            </w:r>
          </w:p>
        </w:tc>
        <w:tc>
          <w:tcPr>
            <w:tcW w:w="120" w:type="dxa"/>
            <w:tcBorders/>
            <w:vAlign w:val="bottom"/>
          </w:tcPr>
          <w:p>
            <w:pPr>
              <w:pStyle w:val="TableContents"/>
              <w:bidi w:val="0"/>
              <w:spacing w:before="0" w:after="283"/>
              <w:jc w:val="left"/>
              <w:rPr/>
            </w:pPr>
            <w:r>
              <w:rPr/>
              <w:t>  </w:t>
            </w:r>
          </w:p>
        </w:tc>
        <w:tc>
          <w:tcPr>
            <w:tcW w:w="2251" w:type="dxa"/>
            <w:tcBorders/>
            <w:vAlign w:val="center"/>
          </w:tcPr>
          <w:p>
            <w:pPr>
              <w:pStyle w:val="TableContents"/>
              <w:bidi w:val="0"/>
              <w:spacing w:before="0" w:after="283"/>
              <w:jc w:val="center"/>
              <w:rPr/>
            </w:pPr>
            <w:r>
              <w:rPr/>
              <w:drawing>
                <wp:inline distT="0" distB="0" distL="0" distR="0">
                  <wp:extent cx="219075" cy="2286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19075" cy="228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56" w:type="dxa"/>
            <w:tcBorders/>
            <w:vAlign w:val="center"/>
          </w:tcPr>
          <w:p>
            <w:pPr>
              <w:pStyle w:val="TableContents"/>
              <w:bidi w:val="0"/>
              <w:spacing w:before="0" w:after="283"/>
              <w:jc w:val="center"/>
              <w:rPr/>
            </w:pPr>
            <w:r>
              <w:rPr/>
              <w:drawing>
                <wp:inline distT="0" distB="0" distL="0" distR="0">
                  <wp:extent cx="238125" cy="2381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38125" cy="238125"/>
                          </a:xfrm>
                          <a:prstGeom prst="rect">
                            <a:avLst/>
                          </a:prstGeom>
                        </pic:spPr>
                      </pic:pic>
                    </a:graphicData>
                  </a:graphic>
                </wp:inline>
              </w:drawing>
            </w:r>
            <w:r>
              <w:rPr/>
              <w:t xml:space="preserve"> </w:t>
            </w:r>
          </w:p>
        </w:tc>
      </w:tr>
    </w:tbl>
    <w:p>
      <w:pPr>
        <w:pStyle w:val="TextBody"/>
        <w:bidi w:val="0"/>
        <w:spacing w:before="240" w:after="0"/>
        <w:jc w:val="left"/>
        <w:rPr>
          <w:rFonts w:ascii="Calibri" w:hAnsi="Calibri"/>
          <w:sz w:val="20"/>
        </w:rPr>
      </w:pPr>
      <w:r>
        <w:rPr>
          <w:rFonts w:ascii="Calibri" w:hAnsi="Calibri"/>
          <w:sz w:val="20"/>
        </w:rPr>
        <w:t xml:space="preserve">The Board thoughtfully evaluated the three director candidates identified by Radoff and Torok and unanimously determined that they lack the relevant skillsets, experience and independence required to oversee a complex proteomics company at a critical stage of its evolution in a nascent market. The Board also offered, in good faith, to interview these candidates. Radoff and Torok declined to make them available for customary interviews. Radoff and Torok’s actions demonstrate an unwillingness to work constructively with the Board, and we believe that their nominees would diminish the overall quality of our purpose-built Board. </w:t>
      </w:r>
    </w:p>
    <w:p>
      <w:pPr>
        <w:pStyle w:val="TextBody"/>
        <w:bidi w:val="0"/>
        <w:spacing w:before="240" w:after="0"/>
        <w:jc w:val="left"/>
        <w:rPr>
          <w:rFonts w:ascii="Calibri" w:hAnsi="Calibri"/>
          <w:sz w:val="20"/>
        </w:rPr>
      </w:pPr>
      <w:r>
        <w:rPr>
          <w:rFonts w:ascii="Calibri" w:hAnsi="Calibri"/>
          <w:sz w:val="20"/>
        </w:rPr>
        <w:t xml:space="preserve">The issue is not whether Radoff and Torok’s nominees have experience in other fields. The issue is whether they have the right experience for Seer. </w:t>
      </w:r>
      <w:r>
        <w:rPr>
          <w:rFonts w:ascii="Calibri" w:hAnsi="Calibri"/>
          <w:b/>
          <w:sz w:val="20"/>
        </w:rPr>
        <w:t xml:space="preserve">They do not. </w:t>
      </w:r>
    </w:p>
    <w:p>
      <w:pPr>
        <w:pStyle w:val="TextBody"/>
        <w:bidi w:val="0"/>
        <w:spacing w:before="240" w:after="0"/>
        <w:jc w:val="left"/>
        <w:rPr>
          <w:rFonts w:ascii="Calibri" w:hAnsi="Calibri"/>
          <w:sz w:val="20"/>
        </w:rPr>
      </w:pPr>
      <w:r>
        <w:rPr>
          <w:rFonts w:ascii="Calibri" w:hAnsi="Calibri"/>
          <w:sz w:val="20"/>
        </w:rPr>
        <w:t xml:space="preserve">Radoff and Torok are not merely proposing alternative directors. They are trying to install nominees who, in our view, appear selected to advance their short-term agenda. </w:t>
      </w:r>
    </w:p>
    <w:p>
      <w:pPr>
        <w:pStyle w:val="TextBody"/>
        <w:bidi w:val="0"/>
        <w:spacing w:before="0" w:after="0"/>
        <w:jc w:val="left"/>
        <w:rPr/>
      </w:pPr>
      <w:r>
        <w:rPr/>
        <w:t> </w:t>
      </w:r>
    </w:p>
    <w:p>
      <w:pPr>
        <w:pStyle w:val="TextBody"/>
        <w:bidi w:val="0"/>
        <w:spacing w:before="0" w:after="0"/>
        <w:jc w:val="center"/>
        <w:rPr/>
      </w:pPr>
      <w:r>
        <w:rPr/>
        <w:drawing>
          <wp:inline distT="0" distB="0" distL="0" distR="0">
            <wp:extent cx="7762875" cy="1971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762875" cy="19716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762875" cy="3705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762875" cy="37052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b/>
                <w:sz w:val="24"/>
              </w:rPr>
            </w:pPr>
            <w:r>
              <w:rPr>
                <w:b/>
                <w:sz w:val="24"/>
              </w:rPr>
              <w:t>If you have any questions or</w:t>
            </w:r>
          </w:p>
        </w:tc>
        <w:tc>
          <w:tcPr>
            <w:tcW w:w="203" w:type="dxa"/>
            <w:vMerge w:val="restart"/>
            <w:tcBorders/>
            <w:vAlign w:val="bottom"/>
          </w:tcPr>
          <w:p>
            <w:pPr>
              <w:pStyle w:val="TableContents"/>
              <w:bidi w:val="0"/>
              <w:spacing w:before="0" w:after="283"/>
              <w:jc w:val="left"/>
              <w:rPr/>
            </w:pPr>
            <w:r>
              <w:rPr/>
              <w:t>  </w:t>
            </w:r>
          </w:p>
        </w:tc>
        <w:tc>
          <w:tcPr>
            <w:tcW w:w="6839" w:type="dxa"/>
            <w:vMerge w:val="restart"/>
            <w:tcBorders/>
          </w:tcPr>
          <w:p>
            <w:pPr>
              <w:pStyle w:val="TableContents"/>
              <w:bidi w:val="0"/>
              <w:spacing w:before="0" w:after="283"/>
              <w:jc w:val="left"/>
              <w:rPr/>
            </w:pPr>
            <w:r>
              <w:rPr/>
              <w:drawing>
                <wp:inline distT="0" distB="0" distL="0" distR="0">
                  <wp:extent cx="1047750" cy="2667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47750" cy="266700"/>
                          </a:xfrm>
                          <a:prstGeom prst="rect">
                            <a:avLst/>
                          </a:prstGeom>
                        </pic:spPr>
                      </pic:pic>
                    </a:graphicData>
                  </a:graphic>
                </wp:inline>
              </w:drawing>
            </w:r>
            <w:r>
              <w:rPr/>
              <w:t xml:space="preserve"> </w:t>
            </w:r>
          </w:p>
        </w:tc>
      </w:tr>
      <w:tr>
        <w:trPr/>
        <w:tc>
          <w:tcPr>
            <w:tcW w:w="3163" w:type="dxa"/>
            <w:tcBorders/>
          </w:tcPr>
          <w:p>
            <w:pPr>
              <w:pStyle w:val="TableContents"/>
              <w:bidi w:val="0"/>
              <w:spacing w:before="0" w:after="283"/>
              <w:jc w:val="left"/>
              <w:rPr>
                <w:b/>
                <w:sz w:val="24"/>
              </w:rPr>
            </w:pPr>
            <w:r>
              <w:rPr>
                <w:b/>
                <w:sz w:val="24"/>
              </w:rPr>
              <w:t>require any assistance with</w:t>
            </w:r>
          </w:p>
        </w:tc>
        <w:tc>
          <w:tcPr>
            <w:tcW w:w="203" w:type="dxa"/>
            <w:vMerge w:val="continue"/>
            <w:tcBorders/>
            <w:vAlign w:val="bottom"/>
          </w:tcPr>
          <w:p>
            <w:pPr>
              <w:pStyle w:val="Normal"/>
              <w:bidi w:val="0"/>
              <w:jc w:val="left"/>
              <w:rPr/>
            </w:pPr>
            <w:r>
              <w:rPr/>
            </w:r>
          </w:p>
        </w:tc>
        <w:tc>
          <w:tcPr>
            <w:tcW w:w="6839" w:type="dxa"/>
            <w:vMerge w:val="continue"/>
            <w:tcBorders/>
          </w:tcPr>
          <w:p>
            <w:pPr>
              <w:pStyle w:val="Normal"/>
              <w:bidi w:val="0"/>
              <w:jc w:val="left"/>
              <w:rPr/>
            </w:pPr>
            <w:r>
              <w:rPr/>
            </w:r>
          </w:p>
        </w:tc>
      </w:tr>
      <w:tr>
        <w:trPr/>
        <w:tc>
          <w:tcPr>
            <w:tcW w:w="3163" w:type="dxa"/>
            <w:tcBorders/>
          </w:tcPr>
          <w:p>
            <w:pPr>
              <w:pStyle w:val="TableContents"/>
              <w:bidi w:val="0"/>
              <w:spacing w:before="0" w:after="283"/>
              <w:jc w:val="left"/>
              <w:rPr>
                <w:b/>
                <w:sz w:val="24"/>
              </w:rPr>
            </w:pPr>
            <w:r>
              <w:rPr>
                <w:b/>
                <w:sz w:val="24"/>
              </w:rPr>
              <w:t>voting your shares, please call:</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 xml:space="preserve">Stockholders may call toll free: </w:t>
            </w:r>
            <w:r>
              <w:rPr>
                <w:b/>
                <w:sz w:val="28"/>
              </w:rPr>
              <w:t>(877) 456-3524</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D5DC"/>
        </w:rPr>
      </w:pPr>
      <w:r>
        <w:rPr>
          <w:bdr w:val="single" w:sz="2" w:space="1" w:color="D0D5DC"/>
        </w:rPr>
        <w:t> </w:t>
      </w:r>
    </w:p>
    <w:p>
      <w:pPr>
        <w:pStyle w:val="TextBody"/>
        <w:bidi w:val="0"/>
        <w:spacing w:before="720" w:after="0"/>
        <w:jc w:val="left"/>
        <w:rPr>
          <w:rFonts w:ascii="Calibri" w:hAnsi="Calibri"/>
          <w:b/>
          <w:sz w:val="20"/>
        </w:rPr>
      </w:pPr>
      <w:r>
        <w:rPr>
          <w:rFonts w:ascii="Calibri" w:hAnsi="Calibri"/>
          <w:b/>
          <w:sz w:val="20"/>
        </w:rPr>
        <w:t xml:space="preserve">Forward-Looking Statements </w:t>
      </w:r>
    </w:p>
    <w:p>
      <w:pPr>
        <w:pStyle w:val="TextBody"/>
        <w:bidi w:val="0"/>
        <w:spacing w:lineRule="atLeast" w:line="260" w:before="120" w:after="0"/>
        <w:jc w:val="left"/>
        <w:rPr>
          <w:rFonts w:ascii="Calibri" w:hAnsi="Calibri"/>
          <w:sz w:val="18"/>
        </w:rPr>
      </w:pPr>
      <w:r>
        <w:rPr>
          <w:rFonts w:ascii="Calibri" w:hAnsi="Calibri"/>
          <w:sz w:val="18"/>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business objectives, research and development initiatives,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0" w:after="0"/>
        <w:jc w:val="left"/>
        <w:rPr/>
      </w:pPr>
      <w:r>
        <w:rPr/>
        <w:t> </w:t>
      </w:r>
    </w:p>
    <w:p>
      <w:pPr>
        <w:pStyle w:val="TextBody"/>
        <w:bidi w:val="0"/>
        <w:spacing w:before="0" w:after="0"/>
        <w:jc w:val="right"/>
        <w:rPr/>
      </w:pPr>
      <w:r>
        <w:rPr/>
        <w:drawing>
          <wp:inline distT="0" distB="0" distL="0" distR="0">
            <wp:extent cx="1104900" cy="4095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04900" cy="40957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5.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1.jpeg"/><Relationship Id="rId26" Type="http://schemas.openxmlformats.org/officeDocument/2006/relationships/image" Target="media/image8.jpeg"/><Relationship Id="rId27" Type="http://schemas.openxmlformats.org/officeDocument/2006/relationships/image" Target="media/image9.jpeg"/><Relationship Id="rId28" Type="http://schemas.openxmlformats.org/officeDocument/2006/relationships/image" Target="media/image12.jpeg"/><Relationship Id="rId29" Type="http://schemas.openxmlformats.org/officeDocument/2006/relationships/image" Target="media/image8.jpeg"/><Relationship Id="rId30" Type="http://schemas.openxmlformats.org/officeDocument/2006/relationships/image" Target="media/image9.jpeg"/><Relationship Id="rId31" Type="http://schemas.openxmlformats.org/officeDocument/2006/relationships/image" Target="media/image13.jpeg"/><Relationship Id="rId32" Type="http://schemas.openxmlformats.org/officeDocument/2006/relationships/image" Target="media/image8.jpeg"/><Relationship Id="rId33" Type="http://schemas.openxmlformats.org/officeDocument/2006/relationships/image" Target="media/image9.jpeg"/><Relationship Id="rId34" Type="http://schemas.openxmlformats.org/officeDocument/2006/relationships/image" Target="media/image14.jpeg"/><Relationship Id="rId35" Type="http://schemas.openxmlformats.org/officeDocument/2006/relationships/image" Target="media/image8.jpeg"/><Relationship Id="rId36" Type="http://schemas.openxmlformats.org/officeDocument/2006/relationships/image" Target="media/image9.jpeg"/><Relationship Id="rId37" Type="http://schemas.openxmlformats.org/officeDocument/2006/relationships/image" Target="media/image15.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6.jpeg"/><Relationship Id="rId41" Type="http://schemas.openxmlformats.org/officeDocument/2006/relationships/image" Target="media/image17.jpeg"/><Relationship Id="rId42" Type="http://schemas.openxmlformats.org/officeDocument/2006/relationships/image" Target="media/image18.jpeg"/><Relationship Id="rId43" Type="http://schemas.openxmlformats.org/officeDocument/2006/relationships/image" Target="media/image19.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825</Words>
  <Characters>4804</Characters>
  <CharactersWithSpaces>5823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