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400685</wp:posOffset>
            </wp:positionH>
            <wp:positionV relativeFrom="page">
              <wp:posOffset>594995</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page">
              <wp:posOffset>400685</wp:posOffset>
            </wp:positionH>
            <wp:positionV relativeFrom="page">
              <wp:posOffset>561975</wp:posOffset>
            </wp:positionV>
            <wp:extent cx="7003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825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Washington, D.C. 20549</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185" w:lineRule="exact"/>
        <w:rPr>
          <w:sz w:val="24"/>
          <w:szCs w:val="24"/>
          <w:color w:val="auto"/>
        </w:rPr>
      </w:pPr>
    </w:p>
    <w:p>
      <w:pPr>
        <w:ind w:left="320"/>
        <w:spacing w:after="0"/>
        <w:rPr>
          <w:sz w:val="20"/>
          <w:szCs w:val="20"/>
          <w:color w:val="auto"/>
        </w:rPr>
      </w:pPr>
      <w:r>
        <w:rPr>
          <w:rFonts w:ascii="Arial" w:cs="Arial" w:eastAsia="Arial" w:hAnsi="Arial"/>
          <w:sz w:val="17"/>
          <w:szCs w:val="17"/>
          <w:color w:val="auto"/>
        </w:rPr>
        <w:t>(Mark one)</w:t>
      </w:r>
    </w:p>
    <w:p>
      <w:pPr>
        <w:spacing w:after="0" w:line="164" w:lineRule="exact"/>
        <w:rPr>
          <w:sz w:val="24"/>
          <w:szCs w:val="24"/>
          <w:color w:val="auto"/>
        </w:rPr>
      </w:pPr>
    </w:p>
    <w:p>
      <w:pPr>
        <w:ind w:left="320"/>
        <w:spacing w:after="0"/>
        <w:rPr>
          <w:sz w:val="20"/>
          <w:szCs w:val="20"/>
          <w:color w:val="auto"/>
        </w:rPr>
      </w:pPr>
      <w:r>
        <w:rPr>
          <w:rFonts w:ascii="Arial" w:cs="Arial" w:eastAsia="Arial" w:hAnsi="Arial"/>
          <w:sz w:val="16"/>
          <w:szCs w:val="16"/>
          <w:color w:val="auto"/>
        </w:rPr>
        <w:t>[X] QUARTERLY REPORT PURSUANT TO SECTION 13 OR 15(d) OF THE SECURITIES EXCHANGE ACT OF 1934</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For the quarterly period ended March 31, 2021</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w:t>
      </w:r>
    </w:p>
    <w:p>
      <w:pPr>
        <w:spacing w:after="0" w:line="145" w:lineRule="exact"/>
        <w:rPr>
          <w:sz w:val="24"/>
          <w:szCs w:val="24"/>
          <w:color w:val="auto"/>
        </w:rPr>
      </w:pPr>
    </w:p>
    <w:p>
      <w:pPr>
        <w:ind w:left="320"/>
        <w:spacing w:after="0"/>
        <w:rPr>
          <w:sz w:val="20"/>
          <w:szCs w:val="20"/>
          <w:color w:val="auto"/>
        </w:rPr>
      </w:pPr>
      <w:r>
        <w:rPr>
          <w:rFonts w:ascii="Arial" w:cs="Arial" w:eastAsia="Arial" w:hAnsi="Arial"/>
          <w:sz w:val="16"/>
          <w:szCs w:val="16"/>
          <w:color w:val="auto"/>
        </w:rPr>
        <w:t>[ ] TRANSITION REPORT PURSUANT TO SECTION 13 OR 15(d) OF THE SECURITIES EXCHANGE ACT OF 1934</w:t>
      </w:r>
    </w:p>
    <w:p>
      <w:pPr>
        <w:spacing w:after="0" w:line="180" w:lineRule="exact"/>
        <w:rPr>
          <w:sz w:val="24"/>
          <w:szCs w:val="24"/>
          <w:color w:val="auto"/>
        </w:rPr>
      </w:pPr>
    </w:p>
    <w:p>
      <w:pPr>
        <w:ind w:left="3440"/>
        <w:spacing w:after="0"/>
        <w:rPr>
          <w:sz w:val="20"/>
          <w:szCs w:val="20"/>
          <w:color w:val="auto"/>
        </w:rPr>
      </w:pPr>
      <w:r>
        <w:rPr>
          <w:rFonts w:ascii="Arial" w:cs="Arial" w:eastAsia="Arial" w:hAnsi="Arial"/>
          <w:sz w:val="15"/>
          <w:szCs w:val="15"/>
          <w:color w:val="auto"/>
        </w:rPr>
        <w:t>For the transition period from _______________ to _______________</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Commission file number 001-39747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149225</wp:posOffset>
            </wp:positionV>
            <wp:extent cx="1917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17065"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SEER, INC.</w:t>
      </w:r>
    </w:p>
    <w:p>
      <w:pPr>
        <w:sectPr>
          <w:pgSz w:w="11900" w:h="16838" w:orient="portrait"/>
          <w:cols w:equalWidth="0" w:num="1">
            <w:col w:w="11240"/>
          </w:cols>
          <w:pgMar w:left="320" w:top="1170" w:right="339" w:bottom="1440" w:gutter="0" w:footer="0" w:header="0"/>
        </w:sectPr>
      </w:pPr>
    </w:p>
    <w:p>
      <w:pPr>
        <w:spacing w:after="0" w:line="39" w:lineRule="exact"/>
        <w:rPr>
          <w:sz w:val="24"/>
          <w:szCs w:val="24"/>
          <w:color w:val="auto"/>
        </w:rPr>
      </w:pPr>
    </w:p>
    <w:p>
      <w:pPr>
        <w:jc w:val="right"/>
        <w:ind w:right="76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48895</wp:posOffset>
            </wp:positionV>
            <wp:extent cx="19170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17065" cy="8255"/>
                    </a:xfrm>
                    <a:prstGeom prst="rect">
                      <a:avLst/>
                    </a:prstGeom>
                    <a:noFill/>
                  </pic:spPr>
                </pic:pic>
              </a:graphicData>
            </a:graphic>
          </wp:anchor>
        </w:drawing>
      </w:r>
    </w:p>
    <w:p>
      <w:pPr>
        <w:spacing w:after="0" w:line="330" w:lineRule="exact"/>
        <w:rPr>
          <w:sz w:val="24"/>
          <w:szCs w:val="24"/>
          <w:color w:val="auto"/>
        </w:rPr>
      </w:pPr>
    </w:p>
    <w:p>
      <w:pPr>
        <w:jc w:val="center"/>
        <w:ind w:right="3240"/>
        <w:spacing w:after="0"/>
        <w:rPr>
          <w:sz w:val="20"/>
          <w:szCs w:val="20"/>
          <w:color w:val="auto"/>
        </w:rPr>
      </w:pPr>
      <w:r>
        <w:rPr>
          <w:rFonts w:ascii="Arial" w:cs="Arial" w:eastAsia="Arial" w:hAnsi="Arial"/>
          <w:sz w:val="14"/>
          <w:szCs w:val="14"/>
          <w:b w:val="1"/>
          <w:bCs w:val="1"/>
          <w:color w:val="auto"/>
        </w:rPr>
        <w:t>Delaware</w:t>
      </w:r>
    </w:p>
    <w:p>
      <w:pPr>
        <w:spacing w:after="0" w:line="32" w:lineRule="exact"/>
        <w:rPr>
          <w:sz w:val="24"/>
          <w:szCs w:val="24"/>
          <w:color w:val="auto"/>
        </w:rPr>
      </w:pPr>
    </w:p>
    <w:p>
      <w:pPr>
        <w:ind w:left="980"/>
        <w:spacing w:after="0"/>
        <w:rPr>
          <w:sz w:val="20"/>
          <w:szCs w:val="20"/>
          <w:color w:val="auto"/>
        </w:rPr>
      </w:pPr>
      <w:r>
        <w:rPr>
          <w:rFonts w:ascii="Arial" w:cs="Arial" w:eastAsia="Arial" w:hAnsi="Arial"/>
          <w:sz w:val="14"/>
          <w:szCs w:val="14"/>
          <w:b w:val="1"/>
          <w:bCs w:val="1"/>
          <w:color w:val="auto"/>
        </w:rPr>
        <w:t>(State or other jurisdiction of incorporation or</w:t>
      </w:r>
    </w:p>
    <w:p>
      <w:pPr>
        <w:spacing w:after="0" w:line="9" w:lineRule="exact"/>
        <w:rPr>
          <w:sz w:val="24"/>
          <w:szCs w:val="24"/>
          <w:color w:val="auto"/>
        </w:rPr>
      </w:pPr>
    </w:p>
    <w:p>
      <w:pPr>
        <w:ind w:left="1780"/>
        <w:spacing w:after="0"/>
        <w:rPr>
          <w:sz w:val="20"/>
          <w:szCs w:val="20"/>
          <w:color w:val="auto"/>
        </w:rPr>
      </w:pPr>
      <w:r>
        <w:rPr>
          <w:rFonts w:ascii="Arial" w:cs="Arial" w:eastAsia="Arial" w:hAnsi="Arial"/>
          <w:sz w:val="14"/>
          <w:szCs w:val="14"/>
          <w:b w:val="1"/>
          <w:bCs w:val="1"/>
          <w:color w:val="auto"/>
        </w:rPr>
        <w:t>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0" w:lineRule="exact"/>
        <w:rPr>
          <w:sz w:val="24"/>
          <w:szCs w:val="24"/>
          <w:color w:val="auto"/>
        </w:rPr>
      </w:pPr>
    </w:p>
    <w:p>
      <w:pPr>
        <w:jc w:val="center"/>
        <w:ind w:right="220"/>
        <w:spacing w:after="0"/>
        <w:rPr>
          <w:sz w:val="20"/>
          <w:szCs w:val="20"/>
          <w:color w:val="auto"/>
        </w:rPr>
      </w:pPr>
      <w:r>
        <w:rPr>
          <w:rFonts w:ascii="Arial" w:cs="Arial" w:eastAsia="Arial" w:hAnsi="Arial"/>
          <w:sz w:val="14"/>
          <w:szCs w:val="14"/>
          <w:b w:val="1"/>
          <w:bCs w:val="1"/>
          <w:color w:val="auto"/>
        </w:rPr>
        <w:t>82-1153150</w:t>
      </w:r>
    </w:p>
    <w:p>
      <w:pPr>
        <w:spacing w:after="0" w:line="19" w:lineRule="exact"/>
        <w:rPr>
          <w:sz w:val="24"/>
          <w:szCs w:val="24"/>
          <w:color w:val="auto"/>
        </w:rPr>
      </w:pPr>
    </w:p>
    <w:p>
      <w:pPr>
        <w:jc w:val="center"/>
        <w:ind w:right="220"/>
        <w:spacing w:after="0"/>
        <w:rPr>
          <w:sz w:val="20"/>
          <w:szCs w:val="20"/>
          <w:color w:val="auto"/>
        </w:rPr>
      </w:pPr>
      <w:r>
        <w:rPr>
          <w:rFonts w:ascii="Arial" w:cs="Arial" w:eastAsia="Arial" w:hAnsi="Arial"/>
          <w:sz w:val="11"/>
          <w:szCs w:val="11"/>
          <w:b w:val="1"/>
          <w:bCs w:val="1"/>
          <w:color w:val="auto"/>
        </w:rPr>
        <w:t>(I.R.S. Employer Identification Number)</w:t>
      </w:r>
    </w:p>
    <w:p>
      <w:pPr>
        <w:spacing w:after="0" w:line="417" w:lineRule="exact"/>
        <w:rPr>
          <w:sz w:val="24"/>
          <w:szCs w:val="24"/>
          <w:color w:val="auto"/>
        </w:rPr>
      </w:pPr>
    </w:p>
    <w:p>
      <w:pPr>
        <w:sectPr>
          <w:pgSz w:w="11900" w:h="16838" w:orient="portrait"/>
          <w:cols w:equalWidth="0" w:num="2">
            <w:col w:w="7920" w:space="720"/>
            <w:col w:w="2600"/>
          </w:cols>
          <w:pgMar w:left="320" w:top="1170" w:right="339" w:bottom="1440" w:gutter="0" w:footer="0" w:header="0"/>
          <w:type w:val="continuous"/>
        </w:sectPr>
      </w:pPr>
    </w:p>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3800 Bridge Parkway, Suite 102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Redwood City, California 94065</w:t>
      </w:r>
    </w:p>
    <w:p>
      <w:pPr>
        <w:jc w:val="center"/>
        <w:spacing w:after="0" w:line="229" w:lineRule="auto"/>
        <w:rPr>
          <w:sz w:val="20"/>
          <w:szCs w:val="20"/>
          <w:color w:val="auto"/>
        </w:rPr>
      </w:pPr>
      <w:r>
        <w:rPr>
          <w:rFonts w:ascii="Arial" w:cs="Arial" w:eastAsia="Arial" w:hAnsi="Arial"/>
          <w:sz w:val="14"/>
          <w:szCs w:val="14"/>
          <w:b w:val="1"/>
          <w:bCs w:val="1"/>
          <w:color w:val="auto"/>
        </w:rPr>
        <w:t>650-453-0000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48895</wp:posOffset>
            </wp:positionV>
            <wp:extent cx="19170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17065"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80" w:type="dxa"/>
            <w:vAlign w:val="bottom"/>
            <w:gridSpan w:val="4"/>
          </w:tcPr>
          <w:p>
            <w:pPr>
              <w:jc w:val="center"/>
              <w:ind w:right="40"/>
              <w:spacing w:after="0"/>
              <w:rPr>
                <w:sz w:val="20"/>
                <w:szCs w:val="20"/>
                <w:color w:val="auto"/>
              </w:rPr>
            </w:pPr>
            <w:r>
              <w:rPr>
                <w:rFonts w:ascii="Arial" w:cs="Arial" w:eastAsia="Arial" w:hAnsi="Arial"/>
                <w:sz w:val="14"/>
                <w:szCs w:val="14"/>
                <w:color w:val="auto"/>
                <w:w w:val="88"/>
              </w:rPr>
              <w:t>Securities registered pursuant to section 12(b) of the Act:</w:t>
            </w:r>
          </w:p>
        </w:tc>
        <w:tc>
          <w:tcPr>
            <w:tcW w:w="4000" w:type="dxa"/>
            <w:vAlign w:val="bottom"/>
          </w:tcPr>
          <w:p>
            <w:pPr>
              <w:spacing w:after="0"/>
              <w:rPr>
                <w:sz w:val="15"/>
                <w:szCs w:val="15"/>
                <w:color w:val="auto"/>
              </w:rPr>
            </w:pPr>
          </w:p>
        </w:tc>
      </w:tr>
      <w:tr>
        <w:trPr>
          <w:trHeight w:val="76"/>
        </w:trPr>
        <w:tc>
          <w:tcPr>
            <w:tcW w:w="39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0" w:type="dxa"/>
            <w:vAlign w:val="bottom"/>
          </w:tcPr>
          <w:p>
            <w:pPr>
              <w:spacing w:after="0"/>
              <w:rPr>
                <w:sz w:val="6"/>
                <w:szCs w:val="6"/>
                <w:color w:val="auto"/>
              </w:rPr>
            </w:pPr>
          </w:p>
        </w:tc>
      </w:tr>
      <w:tr>
        <w:trPr>
          <w:trHeight w:val="424"/>
        </w:trPr>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20" w:type="dxa"/>
            <w:vAlign w:val="bottom"/>
            <w:gridSpan w:val="3"/>
          </w:tcPr>
          <w:p>
            <w:pPr>
              <w:jc w:val="center"/>
              <w:ind w:right="120"/>
              <w:spacing w:after="0"/>
              <w:rPr>
                <w:sz w:val="20"/>
                <w:szCs w:val="20"/>
                <w:color w:val="auto"/>
              </w:rPr>
            </w:pPr>
            <w:r>
              <w:rPr>
                <w:rFonts w:ascii="Arial" w:cs="Arial" w:eastAsia="Arial" w:hAnsi="Arial"/>
                <w:sz w:val="15"/>
                <w:szCs w:val="15"/>
                <w:i w:val="1"/>
                <w:iCs w:val="1"/>
                <w:color w:val="auto"/>
                <w:w w:val="94"/>
              </w:rPr>
              <w:t>Copies to:</w:t>
            </w:r>
          </w:p>
        </w:tc>
        <w:tc>
          <w:tcPr>
            <w:tcW w:w="4000" w:type="dxa"/>
            <w:vAlign w:val="bottom"/>
          </w:tcPr>
          <w:p>
            <w:pPr>
              <w:spacing w:after="0"/>
              <w:rPr>
                <w:sz w:val="24"/>
                <w:szCs w:val="24"/>
                <w:color w:val="auto"/>
              </w:rPr>
            </w:pPr>
          </w:p>
        </w:tc>
      </w:tr>
      <w:tr>
        <w:trPr>
          <w:trHeight w:val="242"/>
        </w:trPr>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Title of each class</w:t>
            </w:r>
          </w:p>
        </w:tc>
        <w:tc>
          <w:tcPr>
            <w:tcW w:w="8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5"/>
                <w:szCs w:val="15"/>
                <w:b w:val="1"/>
                <w:bCs w:val="1"/>
                <w:color w:val="auto"/>
                <w:w w:val="92"/>
              </w:rPr>
              <w:t>Trading Symbol(s)</w:t>
            </w:r>
          </w:p>
        </w:tc>
        <w:tc>
          <w:tcPr>
            <w:tcW w:w="60" w:type="dxa"/>
            <w:vAlign w:val="bottom"/>
          </w:tcPr>
          <w:p>
            <w:pPr>
              <w:spacing w:after="0"/>
              <w:rPr>
                <w:sz w:val="21"/>
                <w:szCs w:val="21"/>
                <w:color w:val="auto"/>
              </w:rPr>
            </w:pP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Name of Exchange on which registered</w:t>
            </w:r>
          </w:p>
        </w:tc>
      </w:tr>
      <w:tr>
        <w:trPr>
          <w:trHeight w:val="213"/>
        </w:trPr>
        <w:tc>
          <w:tcPr>
            <w:tcW w:w="4060" w:type="dxa"/>
            <w:vAlign w:val="bottom"/>
            <w:gridSpan w:val="2"/>
          </w:tcPr>
          <w:p>
            <w:pPr>
              <w:jc w:val="center"/>
              <w:ind w:right="80"/>
              <w:spacing w:after="0"/>
              <w:rPr>
                <w:sz w:val="20"/>
                <w:szCs w:val="20"/>
                <w:color w:val="auto"/>
              </w:rPr>
            </w:pPr>
            <w:r>
              <w:rPr>
                <w:rFonts w:ascii="Arial" w:cs="Arial" w:eastAsia="Arial" w:hAnsi="Arial"/>
                <w:sz w:val="15"/>
                <w:szCs w:val="15"/>
                <w:color w:val="auto"/>
                <w:w w:val="92"/>
              </w:rPr>
              <w:t>Common Stock, par value $0.00001</w:t>
            </w:r>
          </w:p>
        </w:tc>
        <w:tc>
          <w:tcPr>
            <w:tcW w:w="60" w:type="dxa"/>
            <w:vAlign w:val="bottom"/>
          </w:tcPr>
          <w:p>
            <w:pPr>
              <w:spacing w:after="0"/>
              <w:rPr>
                <w:sz w:val="18"/>
                <w:szCs w:val="18"/>
                <w:color w:val="auto"/>
              </w:rPr>
            </w:pPr>
          </w:p>
        </w:tc>
        <w:tc>
          <w:tcPr>
            <w:tcW w:w="3120" w:type="dxa"/>
            <w:vAlign w:val="bottom"/>
            <w:gridSpan w:val="3"/>
          </w:tcPr>
          <w:p>
            <w:pPr>
              <w:jc w:val="center"/>
              <w:ind w:right="140"/>
              <w:spacing w:after="0"/>
              <w:rPr>
                <w:sz w:val="20"/>
                <w:szCs w:val="20"/>
                <w:color w:val="auto"/>
              </w:rPr>
            </w:pPr>
            <w:r>
              <w:rPr>
                <w:rFonts w:ascii="Arial" w:cs="Arial" w:eastAsia="Arial" w:hAnsi="Arial"/>
                <w:sz w:val="15"/>
                <w:szCs w:val="15"/>
                <w:color w:val="auto"/>
                <w:w w:val="92"/>
              </w:rPr>
              <w:t>SEER</w:t>
            </w:r>
          </w:p>
        </w:tc>
        <w:tc>
          <w:tcPr>
            <w:tcW w:w="4000" w:type="dxa"/>
            <w:vAlign w:val="bottom"/>
          </w:tcPr>
          <w:p>
            <w:pPr>
              <w:jc w:val="center"/>
              <w:spacing w:after="0"/>
              <w:rPr>
                <w:sz w:val="20"/>
                <w:szCs w:val="20"/>
                <w:color w:val="auto"/>
              </w:rPr>
            </w:pPr>
            <w:r>
              <w:rPr>
                <w:rFonts w:ascii="Arial" w:cs="Arial" w:eastAsia="Arial" w:hAnsi="Arial"/>
                <w:sz w:val="15"/>
                <w:szCs w:val="15"/>
                <w:color w:val="auto"/>
                <w:w w:val="96"/>
              </w:rPr>
              <w:t>NASDAQ Global Select Market</w:t>
            </w:r>
          </w:p>
        </w:tc>
      </w:tr>
    </w:tbl>
    <w:p>
      <w:pPr>
        <w:spacing w:after="0" w:line="200" w:lineRule="exact"/>
        <w:rPr>
          <w:sz w:val="24"/>
          <w:szCs w:val="24"/>
          <w:color w:val="auto"/>
        </w:rPr>
      </w:pPr>
    </w:p>
    <w:p>
      <w:pPr>
        <w:spacing w:after="0" w:line="209" w:lineRule="exact"/>
        <w:rPr>
          <w:sz w:val="24"/>
          <w:szCs w:val="24"/>
          <w:color w:val="auto"/>
        </w:rPr>
      </w:pPr>
    </w:p>
    <w:p>
      <w:pPr>
        <w:ind w:right="360"/>
        <w:spacing w:after="0" w:line="19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4" w:lineRule="exact"/>
        <w:rPr>
          <w:sz w:val="24"/>
          <w:szCs w:val="24"/>
          <w:color w:val="auto"/>
        </w:rPr>
      </w:pPr>
    </w:p>
    <w:p>
      <w:pPr>
        <w:ind w:right="60"/>
        <w:spacing w:after="0" w:line="196"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31"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company,”and "emerging growth company" in Rule 12b-2 of the Exchange Act.</w:t>
      </w:r>
    </w:p>
    <w:p>
      <w:pPr>
        <w:spacing w:after="0" w:line="68" w:lineRule="exact"/>
        <w:rPr>
          <w:sz w:val="24"/>
          <w:szCs w:val="24"/>
          <w:color w:val="auto"/>
        </w:rPr>
      </w:pPr>
    </w:p>
    <w:tbl>
      <w:tblPr>
        <w:tblLayout w:type="fixed"/>
        <w:tblInd w:w="480" w:type="dxa"/>
        <w:tblCellMar>
          <w:top w:w="0" w:type="dxa"/>
          <w:left w:w="0" w:type="dxa"/>
          <w:bottom w:w="0" w:type="dxa"/>
          <w:right w:w="0" w:type="dxa"/>
        </w:tblCellMar>
      </w:tblPr>
      <w:tr>
        <w:trPr>
          <w:trHeight w:val="231"/>
        </w:trPr>
        <w:tc>
          <w:tcPr>
            <w:tcW w:w="17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0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4480" w:type="dxa"/>
            <w:vAlign w:val="bottom"/>
          </w:tcPr>
          <w:p>
            <w:pPr>
              <w:ind w:left="2600"/>
              <w:spacing w:after="0"/>
              <w:rPr>
                <w:sz w:val="20"/>
                <w:szCs w:val="20"/>
                <w:color w:val="auto"/>
              </w:rPr>
            </w:pPr>
            <w:r>
              <w:rPr>
                <w:rFonts w:ascii="Arial" w:cs="Arial" w:eastAsia="Arial" w:hAnsi="Arial"/>
                <w:sz w:val="15"/>
                <w:szCs w:val="15"/>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1"/>
        </w:trPr>
        <w:tc>
          <w:tcPr>
            <w:tcW w:w="17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480" w:type="dxa"/>
            <w:vAlign w:val="bottom"/>
          </w:tcPr>
          <w:p>
            <w:pPr>
              <w:ind w:left="2600"/>
              <w:spacing w:after="0"/>
              <w:rPr>
                <w:sz w:val="20"/>
                <w:szCs w:val="20"/>
                <w:color w:val="auto"/>
              </w:rPr>
            </w:pPr>
            <w:r>
              <w:rPr>
                <w:rFonts w:ascii="Arial" w:cs="Arial" w:eastAsia="Arial" w:hAnsi="Arial"/>
                <w:sz w:val="15"/>
                <w:szCs w:val="15"/>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1"/>
        </w:trPr>
        <w:tc>
          <w:tcPr>
            <w:tcW w:w="1720" w:type="dxa"/>
            <w:vAlign w:val="bottom"/>
          </w:tcPr>
          <w:p>
            <w:pPr>
              <w:spacing w:after="0"/>
              <w:rPr>
                <w:sz w:val="20"/>
                <w:szCs w:val="20"/>
                <w:color w:val="auto"/>
              </w:rPr>
            </w:pPr>
            <w:r>
              <w:rPr>
                <w:rFonts w:ascii="Arial" w:cs="Arial" w:eastAsia="Arial" w:hAnsi="Arial"/>
                <w:sz w:val="15"/>
                <w:szCs w:val="15"/>
                <w:color w:val="auto"/>
              </w:rPr>
              <w:t>Non-accelerated filer</w:t>
            </w:r>
          </w:p>
        </w:tc>
        <w:tc>
          <w:tcPr>
            <w:tcW w:w="30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rPr>
              <w:t>☒</w:t>
            </w:r>
          </w:p>
        </w:tc>
        <w:tc>
          <w:tcPr>
            <w:tcW w:w="4480" w:type="dxa"/>
            <w:vAlign w:val="bottom"/>
          </w:tcPr>
          <w:p>
            <w:pPr>
              <w:ind w:left="2600"/>
              <w:spacing w:after="0"/>
              <w:rPr>
                <w:sz w:val="20"/>
                <w:szCs w:val="20"/>
                <w:color w:val="auto"/>
              </w:rPr>
            </w:pPr>
            <w:r>
              <w:rPr>
                <w:rFonts w:ascii="Arial" w:cs="Arial" w:eastAsia="Arial" w:hAnsi="Arial"/>
                <w:sz w:val="15"/>
                <w:szCs w:val="15"/>
                <w:color w:val="auto"/>
              </w:rPr>
              <w:t>Emerging growth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38" w:lineRule="exact"/>
        <w:rPr>
          <w:sz w:val="24"/>
          <w:szCs w:val="24"/>
          <w:color w:val="auto"/>
        </w:rPr>
      </w:pPr>
    </w:p>
    <w:p>
      <w:pPr>
        <w:ind w:right="520"/>
        <w:spacing w:after="0" w:line="196"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9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1" w:lineRule="exact"/>
        <w:rPr>
          <w:sz w:val="24"/>
          <w:szCs w:val="24"/>
          <w:color w:val="auto"/>
        </w:rPr>
      </w:pPr>
    </w:p>
    <w:p>
      <w:pPr>
        <w:ind w:right="20"/>
        <w:spacing w:after="0" w:line="282" w:lineRule="auto"/>
        <w:rPr>
          <w:sz w:val="20"/>
          <w:szCs w:val="20"/>
          <w:color w:val="auto"/>
        </w:rPr>
      </w:pPr>
      <w:r>
        <w:rPr>
          <w:rFonts w:ascii="Arial" w:cs="Arial" w:eastAsia="Arial" w:hAnsi="Arial"/>
          <w:sz w:val="15"/>
          <w:szCs w:val="15"/>
          <w:color w:val="auto"/>
        </w:rPr>
        <w:t>As of May 5, 2021, the registrant had 56,630,310 shares of Class A common stock, $0.00001 par value per share, and 4,702,381 shares of Class B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273685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1" w:name="page2"/>
    <w:bookmarkEnd w:id="1"/>
    <w:p>
      <w:pPr>
        <w:spacing w:after="0" w:line="6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 w:type="dxa"/>
            <w:vAlign w:val="bottom"/>
          </w:tcPr>
          <w:p>
            <w:pPr>
              <w:spacing w:after="0"/>
              <w:rPr>
                <w:sz w:val="16"/>
                <w:szCs w:val="16"/>
                <w:color w:val="auto"/>
              </w:rPr>
            </w:pPr>
          </w:p>
        </w:tc>
        <w:tc>
          <w:tcPr>
            <w:tcW w:w="560" w:type="dxa"/>
            <w:vAlign w:val="bottom"/>
            <w:gridSpan w:val="2"/>
          </w:tcPr>
          <w:p>
            <w:pPr>
              <w:spacing w:after="0"/>
              <w:rPr>
                <w:rFonts w:ascii="Arial" w:cs="Arial" w:eastAsia="Arial" w:hAnsi="Arial"/>
                <w:sz w:val="17"/>
                <w:szCs w:val="17"/>
                <w:color w:val="0000FF"/>
                <w:w w:val="90"/>
              </w:rPr>
            </w:pPr>
            <w:hyperlink w:anchor="page4">
              <w:r>
                <w:rPr>
                  <w:rFonts w:ascii="Arial" w:cs="Arial" w:eastAsia="Arial" w:hAnsi="Arial"/>
                  <w:sz w:val="17"/>
                  <w:szCs w:val="17"/>
                  <w:color w:val="0000FF"/>
                  <w:w w:val="90"/>
                </w:rPr>
                <w:t>PART I.</w:t>
              </w:r>
            </w:hyperlink>
          </w:p>
        </w:tc>
        <w:tc>
          <w:tcPr>
            <w:tcW w:w="500" w:type="dxa"/>
            <w:vAlign w:val="bottom"/>
            <w:gridSpan w:val="2"/>
          </w:tcPr>
          <w:p>
            <w:pPr>
              <w:spacing w:after="0"/>
              <w:rPr>
                <w:sz w:val="16"/>
                <w:szCs w:val="16"/>
                <w:color w:val="auto"/>
              </w:rPr>
            </w:pPr>
          </w:p>
        </w:tc>
        <w:tc>
          <w:tcPr>
            <w:tcW w:w="7820" w:type="dxa"/>
            <w:vAlign w:val="bottom"/>
            <w:gridSpan w:val="18"/>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FINANCIAL INFORMATION</w:t>
              </w:r>
            </w:hyperlink>
          </w:p>
        </w:tc>
        <w:tc>
          <w:tcPr>
            <w:tcW w:w="1820" w:type="dxa"/>
            <w:vAlign w:val="bottom"/>
            <w:gridSpan w:val="2"/>
          </w:tcPr>
          <w:p>
            <w:pPr>
              <w:jc w:val="right"/>
              <w:spacing w:after="0"/>
              <w:rPr>
                <w:rFonts w:ascii="Arial" w:cs="Arial" w:eastAsia="Arial" w:hAnsi="Arial"/>
                <w:sz w:val="17"/>
                <w:szCs w:val="17"/>
                <w:color w:val="0000FF"/>
              </w:rPr>
            </w:pPr>
            <w:hyperlink w:anchor="page4">
              <w:r>
                <w:rPr>
                  <w:rFonts w:ascii="Arial" w:cs="Arial" w:eastAsia="Arial" w:hAnsi="Arial"/>
                  <w:sz w:val="17"/>
                  <w:szCs w:val="17"/>
                  <w:color w:val="0000FF"/>
                </w:rPr>
                <w:t>1</w:t>
              </w:r>
            </w:hyperlink>
          </w:p>
        </w:tc>
      </w:tr>
      <w:tr>
        <w:trPr>
          <w:trHeight w:val="20"/>
        </w:trPr>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8"/>
        </w:trPr>
        <w:tc>
          <w:tcPr>
            <w:tcW w:w="640" w:type="dxa"/>
            <w:vAlign w:val="bottom"/>
          </w:tcPr>
          <w:p>
            <w:pPr>
              <w:spacing w:after="0"/>
              <w:rPr>
                <w:sz w:val="17"/>
                <w:szCs w:val="17"/>
                <w:color w:val="auto"/>
              </w:rPr>
            </w:pPr>
          </w:p>
        </w:tc>
        <w:tc>
          <w:tcPr>
            <w:tcW w:w="480" w:type="dxa"/>
            <w:vAlign w:val="bottom"/>
          </w:tcPr>
          <w:p>
            <w:pPr>
              <w:spacing w:after="0"/>
              <w:rPr>
                <w:rFonts w:ascii="Arial" w:cs="Arial" w:eastAsia="Arial" w:hAnsi="Arial"/>
                <w:sz w:val="17"/>
                <w:szCs w:val="17"/>
                <w:color w:val="0000FF"/>
                <w:w w:val="84"/>
              </w:rPr>
            </w:pPr>
            <w:hyperlink w:anchor="page5">
              <w:r>
                <w:rPr>
                  <w:rFonts w:ascii="Arial" w:cs="Arial" w:eastAsia="Arial" w:hAnsi="Arial"/>
                  <w:sz w:val="17"/>
                  <w:szCs w:val="17"/>
                  <w:color w:val="0000FF"/>
                  <w:w w:val="84"/>
                </w:rPr>
                <w:t>Item 1.</w:t>
              </w:r>
            </w:hyperlink>
          </w:p>
        </w:tc>
        <w:tc>
          <w:tcPr>
            <w:tcW w:w="8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7820" w:type="dxa"/>
            <w:vAlign w:val="bottom"/>
            <w:gridSpan w:val="18"/>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Financial Statements (Unaudited)</w:t>
              </w:r>
            </w:hyperlink>
          </w:p>
        </w:tc>
        <w:tc>
          <w:tcPr>
            <w:tcW w:w="1820" w:type="dxa"/>
            <w:vAlign w:val="bottom"/>
            <w:gridSpan w:val="2"/>
          </w:tcPr>
          <w:p>
            <w:pPr>
              <w:jc w:val="right"/>
              <w:spacing w:after="0"/>
              <w:rPr>
                <w:rFonts w:ascii="Arial" w:cs="Arial" w:eastAsia="Arial" w:hAnsi="Arial"/>
                <w:sz w:val="17"/>
                <w:szCs w:val="17"/>
                <w:color w:val="0000FF"/>
              </w:rPr>
            </w:pPr>
            <w:hyperlink w:anchor="page5">
              <w:r>
                <w:rPr>
                  <w:rFonts w:ascii="Arial" w:cs="Arial" w:eastAsia="Arial" w:hAnsi="Arial"/>
                  <w:sz w:val="17"/>
                  <w:szCs w:val="17"/>
                  <w:color w:val="0000FF"/>
                </w:rPr>
                <w:t>1</w:t>
              </w:r>
            </w:hyperlink>
          </w:p>
        </w:tc>
      </w:tr>
      <w:tr>
        <w:trPr>
          <w:trHeight w:val="20"/>
        </w:trPr>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8"/>
        </w:trPr>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0" w:type="dxa"/>
            <w:vAlign w:val="bottom"/>
            <w:gridSpan w:val="9"/>
          </w:tcPr>
          <w:p>
            <w:pPr>
              <w:spacing w:after="0"/>
              <w:rPr>
                <w:rFonts w:ascii="Arial" w:cs="Arial" w:eastAsia="Arial" w:hAnsi="Arial"/>
                <w:sz w:val="17"/>
                <w:szCs w:val="17"/>
                <w:color w:val="0000FF"/>
                <w:w w:val="88"/>
              </w:rPr>
            </w:pPr>
            <w:hyperlink w:anchor="page5">
              <w:r>
                <w:rPr>
                  <w:rFonts w:ascii="Arial" w:cs="Arial" w:eastAsia="Arial" w:hAnsi="Arial"/>
                  <w:sz w:val="17"/>
                  <w:szCs w:val="17"/>
                  <w:color w:val="0000FF"/>
                  <w:w w:val="88"/>
                </w:rPr>
                <w:t>Condensed Consolidated Balance Sheets</w:t>
              </w:r>
            </w:hyperlink>
          </w:p>
        </w:tc>
        <w:tc>
          <w:tcPr>
            <w:tcW w:w="5020" w:type="dxa"/>
            <w:vAlign w:val="bottom"/>
            <w:gridSpan w:val="9"/>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jc w:val="right"/>
              <w:spacing w:after="0"/>
              <w:rPr>
                <w:rFonts w:ascii="Arial" w:cs="Arial" w:eastAsia="Arial" w:hAnsi="Arial"/>
                <w:sz w:val="10"/>
                <w:szCs w:val="10"/>
                <w:color w:val="0000FF"/>
                <w:w w:val="71"/>
              </w:rPr>
            </w:pPr>
            <w:hyperlink w:anchor="page5">
              <w:r>
                <w:rPr>
                  <w:rFonts w:ascii="Arial" w:cs="Arial" w:eastAsia="Arial" w:hAnsi="Arial"/>
                  <w:sz w:val="10"/>
                  <w:szCs w:val="10"/>
                  <w:color w:val="0000FF"/>
                  <w:w w:val="71"/>
                </w:rPr>
                <w:t>1</w:t>
              </w:r>
            </w:hyperlink>
          </w:p>
        </w:tc>
      </w:tr>
      <w:tr>
        <w:trPr>
          <w:trHeight w:val="20"/>
        </w:trPr>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8"/>
        </w:trPr>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140" w:type="dxa"/>
            <w:vAlign w:val="bottom"/>
            <w:gridSpan w:val="17"/>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Condensed Consolidated Statements of Operations and Comprehensive Loss</w:t>
              </w:r>
            </w:hyperlink>
          </w:p>
        </w:tc>
        <w:tc>
          <w:tcPr>
            <w:tcW w:w="16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jc w:val="right"/>
              <w:spacing w:after="0"/>
              <w:rPr>
                <w:rFonts w:ascii="Arial" w:cs="Arial" w:eastAsia="Arial" w:hAnsi="Arial"/>
                <w:sz w:val="10"/>
                <w:szCs w:val="10"/>
                <w:color w:val="0000FF"/>
                <w:w w:val="71"/>
              </w:rPr>
            </w:pPr>
            <w:hyperlink w:anchor="page5">
              <w:r>
                <w:rPr>
                  <w:rFonts w:ascii="Arial" w:cs="Arial" w:eastAsia="Arial" w:hAnsi="Arial"/>
                  <w:sz w:val="10"/>
                  <w:szCs w:val="10"/>
                  <w:color w:val="0000FF"/>
                  <w:w w:val="71"/>
                </w:rPr>
                <w:t>2</w:t>
              </w:r>
            </w:hyperlink>
          </w:p>
        </w:tc>
      </w:tr>
      <w:tr>
        <w:trPr>
          <w:trHeight w:val="20"/>
        </w:trPr>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8"/>
        </w:trPr>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0" w:type="dxa"/>
            <w:vAlign w:val="bottom"/>
            <w:gridSpan w:val="15"/>
          </w:tcPr>
          <w:p>
            <w:pPr>
              <w:spacing w:after="0"/>
              <w:rPr>
                <w:rFonts w:ascii="Arial" w:cs="Arial" w:eastAsia="Arial" w:hAnsi="Arial"/>
                <w:sz w:val="17"/>
                <w:szCs w:val="17"/>
                <w:color w:val="0000FF"/>
                <w:w w:val="90"/>
              </w:rPr>
            </w:pPr>
            <w:hyperlink w:anchor="page6">
              <w:r>
                <w:rPr>
                  <w:rFonts w:ascii="Arial" w:cs="Arial" w:eastAsia="Arial" w:hAnsi="Arial"/>
                  <w:sz w:val="17"/>
                  <w:szCs w:val="17"/>
                  <w:color w:val="0000FF"/>
                  <w:w w:val="90"/>
                </w:rPr>
                <w:t>Condensed Consolidated Statements of Changes in Stockholders’ Equity</w:t>
              </w:r>
            </w:hyperlink>
          </w:p>
        </w:tc>
        <w:tc>
          <w:tcPr>
            <w:tcW w:w="1140" w:type="dxa"/>
            <w:vAlign w:val="bottom"/>
            <w:gridSpan w:val="2"/>
          </w:tcPr>
          <w:p>
            <w:pPr>
              <w:spacing w:after="0"/>
              <w:rPr>
                <w:sz w:val="17"/>
                <w:szCs w:val="17"/>
                <w:color w:val="auto"/>
              </w:rPr>
            </w:pPr>
          </w:p>
        </w:tc>
        <w:tc>
          <w:tcPr>
            <w:tcW w:w="16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jc w:val="right"/>
              <w:spacing w:after="0"/>
              <w:rPr>
                <w:rFonts w:ascii="Arial" w:cs="Arial" w:eastAsia="Arial" w:hAnsi="Arial"/>
                <w:sz w:val="10"/>
                <w:szCs w:val="10"/>
                <w:color w:val="0000FF"/>
                <w:w w:val="71"/>
              </w:rPr>
            </w:pPr>
            <w:hyperlink w:anchor="page6">
              <w:r>
                <w:rPr>
                  <w:rFonts w:ascii="Arial" w:cs="Arial" w:eastAsia="Arial" w:hAnsi="Arial"/>
                  <w:sz w:val="10"/>
                  <w:szCs w:val="10"/>
                  <w:color w:val="0000FF"/>
                  <w:w w:val="71"/>
                </w:rPr>
                <w:t>3</w:t>
              </w:r>
            </w:hyperlink>
          </w:p>
        </w:tc>
      </w:tr>
      <w:tr>
        <w:trPr>
          <w:trHeight w:val="20"/>
        </w:trPr>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8"/>
        </w:trPr>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40" w:type="dxa"/>
            <w:vAlign w:val="bottom"/>
            <w:gridSpan w:val="10"/>
          </w:tcPr>
          <w:p>
            <w:pPr>
              <w:spacing w:after="0"/>
              <w:rPr>
                <w:rFonts w:ascii="Arial" w:cs="Arial" w:eastAsia="Arial" w:hAnsi="Arial"/>
                <w:sz w:val="17"/>
                <w:szCs w:val="17"/>
                <w:color w:val="0000FF"/>
                <w:w w:val="89"/>
              </w:rPr>
            </w:pPr>
            <w:hyperlink w:anchor="page8">
              <w:r>
                <w:rPr>
                  <w:rFonts w:ascii="Arial" w:cs="Arial" w:eastAsia="Arial" w:hAnsi="Arial"/>
                  <w:sz w:val="17"/>
                  <w:szCs w:val="17"/>
                  <w:color w:val="0000FF"/>
                  <w:w w:val="89"/>
                </w:rPr>
                <w:t>Condensed Consolidated Statements of Cash Flows</w:t>
              </w:r>
            </w:hyperlink>
          </w:p>
        </w:tc>
        <w:tc>
          <w:tcPr>
            <w:tcW w:w="1460" w:type="dxa"/>
            <w:vAlign w:val="bottom"/>
            <w:gridSpan w:val="5"/>
          </w:tcPr>
          <w:p>
            <w:pPr>
              <w:spacing w:after="0"/>
              <w:rPr>
                <w:sz w:val="17"/>
                <w:szCs w:val="17"/>
                <w:color w:val="auto"/>
              </w:rPr>
            </w:pPr>
          </w:p>
        </w:tc>
        <w:tc>
          <w:tcPr>
            <w:tcW w:w="2820" w:type="dxa"/>
            <w:vAlign w:val="bottom"/>
            <w:gridSpan w:val="3"/>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jc w:val="right"/>
              <w:spacing w:after="0"/>
              <w:rPr>
                <w:rFonts w:ascii="Arial" w:cs="Arial" w:eastAsia="Arial" w:hAnsi="Arial"/>
                <w:sz w:val="10"/>
                <w:szCs w:val="10"/>
                <w:color w:val="0000FF"/>
                <w:w w:val="71"/>
              </w:rPr>
            </w:pPr>
            <w:hyperlink w:anchor="page8">
              <w:r>
                <w:rPr>
                  <w:rFonts w:ascii="Arial" w:cs="Arial" w:eastAsia="Arial" w:hAnsi="Arial"/>
                  <w:sz w:val="10"/>
                  <w:szCs w:val="10"/>
                  <w:color w:val="0000FF"/>
                  <w:w w:val="71"/>
                </w:rPr>
                <w:t>5</w:t>
              </w:r>
            </w:hyperlink>
          </w:p>
        </w:tc>
      </w:tr>
      <w:tr>
        <w:trPr>
          <w:trHeight w:val="20"/>
        </w:trPr>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8"/>
        </w:trPr>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560" w:type="dxa"/>
            <w:vAlign w:val="bottom"/>
            <w:gridSpan w:val="13"/>
          </w:tcPr>
          <w:p>
            <w:pPr>
              <w:spacing w:after="0"/>
              <w:rPr>
                <w:rFonts w:ascii="Arial" w:cs="Arial" w:eastAsia="Arial" w:hAnsi="Arial"/>
                <w:sz w:val="17"/>
                <w:szCs w:val="17"/>
                <w:color w:val="0000FF"/>
                <w:w w:val="89"/>
              </w:rPr>
            </w:pPr>
            <w:hyperlink w:anchor="page9">
              <w:r>
                <w:rPr>
                  <w:rFonts w:ascii="Arial" w:cs="Arial" w:eastAsia="Arial" w:hAnsi="Arial"/>
                  <w:sz w:val="17"/>
                  <w:szCs w:val="17"/>
                  <w:color w:val="0000FF"/>
                  <w:w w:val="89"/>
                </w:rPr>
                <w:t>Notes to Unaudited Condensed Consolidated Financial Statements</w:t>
              </w:r>
            </w:hyperlink>
          </w:p>
        </w:tc>
        <w:tc>
          <w:tcPr>
            <w:tcW w:w="3260" w:type="dxa"/>
            <w:vAlign w:val="bottom"/>
            <w:gridSpan w:val="5"/>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jc w:val="right"/>
              <w:spacing w:after="0"/>
              <w:rPr>
                <w:rFonts w:ascii="Arial" w:cs="Arial" w:eastAsia="Arial" w:hAnsi="Arial"/>
                <w:sz w:val="10"/>
                <w:szCs w:val="10"/>
                <w:color w:val="0000FF"/>
                <w:w w:val="71"/>
              </w:rPr>
            </w:pPr>
            <w:hyperlink w:anchor="page9">
              <w:r>
                <w:rPr>
                  <w:rFonts w:ascii="Arial" w:cs="Arial" w:eastAsia="Arial" w:hAnsi="Arial"/>
                  <w:sz w:val="10"/>
                  <w:szCs w:val="10"/>
                  <w:color w:val="0000FF"/>
                  <w:w w:val="71"/>
                </w:rPr>
                <w:t>6</w:t>
              </w:r>
            </w:hyperlink>
          </w:p>
        </w:tc>
      </w:tr>
      <w:tr>
        <w:trPr>
          <w:trHeight w:val="20"/>
        </w:trPr>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8"/>
        </w:trPr>
        <w:tc>
          <w:tcPr>
            <w:tcW w:w="640" w:type="dxa"/>
            <w:vAlign w:val="bottom"/>
          </w:tcPr>
          <w:p>
            <w:pPr>
              <w:spacing w:after="0"/>
              <w:rPr>
                <w:sz w:val="17"/>
                <w:szCs w:val="17"/>
                <w:color w:val="auto"/>
              </w:rPr>
            </w:pPr>
          </w:p>
        </w:tc>
        <w:tc>
          <w:tcPr>
            <w:tcW w:w="480" w:type="dxa"/>
            <w:vAlign w:val="bottom"/>
          </w:tcPr>
          <w:p>
            <w:pPr>
              <w:spacing w:after="0"/>
              <w:rPr>
                <w:rFonts w:ascii="Arial" w:cs="Arial" w:eastAsia="Arial" w:hAnsi="Arial"/>
                <w:sz w:val="17"/>
                <w:szCs w:val="17"/>
                <w:color w:val="0000FF"/>
                <w:w w:val="84"/>
              </w:rPr>
            </w:pPr>
            <w:hyperlink w:anchor="page22">
              <w:r>
                <w:rPr>
                  <w:rFonts w:ascii="Arial" w:cs="Arial" w:eastAsia="Arial" w:hAnsi="Arial"/>
                  <w:sz w:val="17"/>
                  <w:szCs w:val="17"/>
                  <w:color w:val="0000FF"/>
                  <w:w w:val="84"/>
                </w:rPr>
                <w:t>Item 2.</w:t>
              </w:r>
            </w:hyperlink>
          </w:p>
        </w:tc>
        <w:tc>
          <w:tcPr>
            <w:tcW w:w="580" w:type="dxa"/>
            <w:vAlign w:val="bottom"/>
            <w:gridSpan w:val="3"/>
          </w:tcPr>
          <w:p>
            <w:pPr>
              <w:spacing w:after="0"/>
              <w:rPr>
                <w:sz w:val="17"/>
                <w:szCs w:val="17"/>
                <w:color w:val="auto"/>
              </w:rPr>
            </w:pPr>
          </w:p>
        </w:tc>
        <w:tc>
          <w:tcPr>
            <w:tcW w:w="7820" w:type="dxa"/>
            <w:vAlign w:val="bottom"/>
            <w:gridSpan w:val="18"/>
          </w:tcPr>
          <w:p>
            <w:pPr>
              <w:spacing w:after="0"/>
              <w:rPr>
                <w:rFonts w:ascii="Arial" w:cs="Arial" w:eastAsia="Arial" w:hAnsi="Arial"/>
                <w:sz w:val="17"/>
                <w:szCs w:val="17"/>
                <w:color w:val="0000FF"/>
              </w:rPr>
            </w:pPr>
            <w:hyperlink w:anchor="page22">
              <w:r>
                <w:rPr>
                  <w:rFonts w:ascii="Arial" w:cs="Arial" w:eastAsia="Arial" w:hAnsi="Arial"/>
                  <w:sz w:val="17"/>
                  <w:szCs w:val="17"/>
                  <w:color w:val="0000FF"/>
                </w:rPr>
                <w:t>Management’s Discussion and Analysis of Financial Condition and Results of Operations</w:t>
              </w:r>
            </w:hyperlink>
          </w:p>
        </w:tc>
        <w:tc>
          <w:tcPr>
            <w:tcW w:w="1820" w:type="dxa"/>
            <w:vAlign w:val="bottom"/>
            <w:gridSpan w:val="2"/>
          </w:tcPr>
          <w:p>
            <w:pPr>
              <w:jc w:val="right"/>
              <w:spacing w:after="0"/>
              <w:rPr>
                <w:rFonts w:ascii="Arial" w:cs="Arial" w:eastAsia="Arial" w:hAnsi="Arial"/>
                <w:sz w:val="17"/>
                <w:szCs w:val="17"/>
                <w:color w:val="0000FF"/>
              </w:rPr>
            </w:pPr>
            <w:hyperlink w:anchor="page22">
              <w:r>
                <w:rPr>
                  <w:rFonts w:ascii="Arial" w:cs="Arial" w:eastAsia="Arial" w:hAnsi="Arial"/>
                  <w:sz w:val="17"/>
                  <w:szCs w:val="17"/>
                  <w:color w:val="0000FF"/>
                </w:rPr>
                <w:t>19</w:t>
              </w:r>
            </w:hyperlink>
          </w:p>
        </w:tc>
      </w:tr>
      <w:tr>
        <w:trPr>
          <w:trHeight w:val="20"/>
        </w:trPr>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8"/>
        </w:trPr>
        <w:tc>
          <w:tcPr>
            <w:tcW w:w="640" w:type="dxa"/>
            <w:vAlign w:val="bottom"/>
          </w:tcPr>
          <w:p>
            <w:pPr>
              <w:spacing w:after="0"/>
              <w:rPr>
                <w:sz w:val="17"/>
                <w:szCs w:val="17"/>
                <w:color w:val="auto"/>
              </w:rPr>
            </w:pPr>
          </w:p>
        </w:tc>
        <w:tc>
          <w:tcPr>
            <w:tcW w:w="480" w:type="dxa"/>
            <w:vAlign w:val="bottom"/>
          </w:tcPr>
          <w:p>
            <w:pPr>
              <w:spacing w:after="0"/>
              <w:rPr>
                <w:rFonts w:ascii="Arial" w:cs="Arial" w:eastAsia="Arial" w:hAnsi="Arial"/>
                <w:sz w:val="17"/>
                <w:szCs w:val="17"/>
                <w:color w:val="0000FF"/>
                <w:w w:val="84"/>
              </w:rPr>
            </w:pPr>
            <w:hyperlink w:anchor="page31">
              <w:r>
                <w:rPr>
                  <w:rFonts w:ascii="Arial" w:cs="Arial" w:eastAsia="Arial" w:hAnsi="Arial"/>
                  <w:sz w:val="17"/>
                  <w:szCs w:val="17"/>
                  <w:color w:val="0000FF"/>
                  <w:w w:val="84"/>
                </w:rPr>
                <w:t>Item 3.</w:t>
              </w:r>
            </w:hyperlink>
          </w:p>
        </w:tc>
        <w:tc>
          <w:tcPr>
            <w:tcW w:w="580" w:type="dxa"/>
            <w:vAlign w:val="bottom"/>
            <w:gridSpan w:val="3"/>
          </w:tcPr>
          <w:p>
            <w:pPr>
              <w:spacing w:after="0"/>
              <w:rPr>
                <w:sz w:val="17"/>
                <w:szCs w:val="17"/>
                <w:color w:val="auto"/>
              </w:rPr>
            </w:pPr>
          </w:p>
        </w:tc>
        <w:tc>
          <w:tcPr>
            <w:tcW w:w="4140" w:type="dxa"/>
            <w:vAlign w:val="bottom"/>
            <w:gridSpan w:val="12"/>
          </w:tcPr>
          <w:p>
            <w:pPr>
              <w:spacing w:after="0"/>
              <w:rPr>
                <w:rFonts w:ascii="Arial" w:cs="Arial" w:eastAsia="Arial" w:hAnsi="Arial"/>
                <w:sz w:val="17"/>
                <w:szCs w:val="17"/>
                <w:color w:val="0000FF"/>
                <w:w w:val="92"/>
              </w:rPr>
            </w:pPr>
            <w:hyperlink w:anchor="page31">
              <w:r>
                <w:rPr>
                  <w:rFonts w:ascii="Arial" w:cs="Arial" w:eastAsia="Arial" w:hAnsi="Arial"/>
                  <w:sz w:val="17"/>
                  <w:szCs w:val="17"/>
                  <w:color w:val="0000FF"/>
                  <w:w w:val="92"/>
                </w:rPr>
                <w:t>Quantitative and Qualitative Disclosures About Market Risk</w:t>
              </w:r>
            </w:hyperlink>
          </w:p>
        </w:tc>
        <w:tc>
          <w:tcPr>
            <w:tcW w:w="2000" w:type="dxa"/>
            <w:vAlign w:val="bottom"/>
            <w:gridSpan w:val="5"/>
          </w:tcPr>
          <w:p>
            <w:pPr>
              <w:spacing w:after="0"/>
              <w:rPr>
                <w:sz w:val="17"/>
                <w:szCs w:val="17"/>
                <w:color w:val="auto"/>
              </w:rPr>
            </w:pPr>
          </w:p>
        </w:tc>
        <w:tc>
          <w:tcPr>
            <w:tcW w:w="1680" w:type="dxa"/>
            <w:vAlign w:val="bottom"/>
          </w:tcPr>
          <w:p>
            <w:pPr>
              <w:spacing w:after="0"/>
              <w:rPr>
                <w:sz w:val="17"/>
                <w:szCs w:val="17"/>
                <w:color w:val="auto"/>
              </w:rPr>
            </w:pPr>
          </w:p>
        </w:tc>
        <w:tc>
          <w:tcPr>
            <w:tcW w:w="1820" w:type="dxa"/>
            <w:vAlign w:val="bottom"/>
            <w:gridSpan w:val="2"/>
          </w:tcPr>
          <w:p>
            <w:pPr>
              <w:jc w:val="right"/>
              <w:spacing w:after="0"/>
              <w:rPr>
                <w:rFonts w:ascii="Arial" w:cs="Arial" w:eastAsia="Arial" w:hAnsi="Arial"/>
                <w:sz w:val="17"/>
                <w:szCs w:val="17"/>
                <w:color w:val="0000FF"/>
              </w:rPr>
            </w:pPr>
            <w:hyperlink w:anchor="page31">
              <w:r>
                <w:rPr>
                  <w:rFonts w:ascii="Arial" w:cs="Arial" w:eastAsia="Arial" w:hAnsi="Arial"/>
                  <w:sz w:val="17"/>
                  <w:szCs w:val="17"/>
                  <w:color w:val="0000FF"/>
                </w:rPr>
                <w:t>27</w:t>
              </w:r>
            </w:hyperlink>
          </w:p>
        </w:tc>
      </w:tr>
      <w:tr>
        <w:trPr>
          <w:trHeight w:val="20"/>
        </w:trPr>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8"/>
        </w:trPr>
        <w:tc>
          <w:tcPr>
            <w:tcW w:w="640" w:type="dxa"/>
            <w:vAlign w:val="bottom"/>
          </w:tcPr>
          <w:p>
            <w:pPr>
              <w:spacing w:after="0"/>
              <w:rPr>
                <w:sz w:val="17"/>
                <w:szCs w:val="17"/>
                <w:color w:val="auto"/>
              </w:rPr>
            </w:pPr>
          </w:p>
        </w:tc>
        <w:tc>
          <w:tcPr>
            <w:tcW w:w="480" w:type="dxa"/>
            <w:vAlign w:val="bottom"/>
          </w:tcPr>
          <w:p>
            <w:pPr>
              <w:spacing w:after="0"/>
              <w:rPr>
                <w:rFonts w:ascii="Arial" w:cs="Arial" w:eastAsia="Arial" w:hAnsi="Arial"/>
                <w:sz w:val="17"/>
                <w:szCs w:val="17"/>
                <w:color w:val="0000FF"/>
                <w:w w:val="84"/>
              </w:rPr>
            </w:pPr>
            <w:hyperlink w:anchor="page31">
              <w:r>
                <w:rPr>
                  <w:rFonts w:ascii="Arial" w:cs="Arial" w:eastAsia="Arial" w:hAnsi="Arial"/>
                  <w:sz w:val="17"/>
                  <w:szCs w:val="17"/>
                  <w:color w:val="0000FF"/>
                  <w:w w:val="84"/>
                </w:rPr>
                <w:t>Item 4.</w:t>
              </w:r>
            </w:hyperlink>
          </w:p>
        </w:tc>
        <w:tc>
          <w:tcPr>
            <w:tcW w:w="580" w:type="dxa"/>
            <w:vAlign w:val="bottom"/>
            <w:gridSpan w:val="3"/>
          </w:tcPr>
          <w:p>
            <w:pPr>
              <w:spacing w:after="0"/>
              <w:rPr>
                <w:sz w:val="17"/>
                <w:szCs w:val="17"/>
                <w:color w:val="auto"/>
              </w:rPr>
            </w:pPr>
          </w:p>
        </w:tc>
        <w:tc>
          <w:tcPr>
            <w:tcW w:w="4140" w:type="dxa"/>
            <w:vAlign w:val="bottom"/>
            <w:gridSpan w:val="12"/>
          </w:tcPr>
          <w:p>
            <w:pPr>
              <w:spacing w:after="0"/>
              <w:rPr>
                <w:rFonts w:ascii="Arial" w:cs="Arial" w:eastAsia="Arial" w:hAnsi="Arial"/>
                <w:sz w:val="17"/>
                <w:szCs w:val="17"/>
                <w:color w:val="0000FF"/>
              </w:rPr>
            </w:pPr>
            <w:hyperlink w:anchor="page31">
              <w:r>
                <w:rPr>
                  <w:rFonts w:ascii="Arial" w:cs="Arial" w:eastAsia="Arial" w:hAnsi="Arial"/>
                  <w:sz w:val="17"/>
                  <w:szCs w:val="17"/>
                  <w:color w:val="0000FF"/>
                </w:rPr>
                <w:t>Controls and Procedures</w:t>
              </w:r>
            </w:hyperlink>
          </w:p>
        </w:tc>
        <w:tc>
          <w:tcPr>
            <w:tcW w:w="3680" w:type="dxa"/>
            <w:vAlign w:val="bottom"/>
            <w:gridSpan w:val="6"/>
          </w:tcPr>
          <w:p>
            <w:pPr>
              <w:spacing w:after="0"/>
              <w:rPr>
                <w:sz w:val="17"/>
                <w:szCs w:val="17"/>
                <w:color w:val="auto"/>
              </w:rPr>
            </w:pPr>
          </w:p>
        </w:tc>
        <w:tc>
          <w:tcPr>
            <w:tcW w:w="1820" w:type="dxa"/>
            <w:vAlign w:val="bottom"/>
            <w:gridSpan w:val="2"/>
          </w:tcPr>
          <w:p>
            <w:pPr>
              <w:jc w:val="right"/>
              <w:spacing w:after="0"/>
              <w:rPr>
                <w:rFonts w:ascii="Arial" w:cs="Arial" w:eastAsia="Arial" w:hAnsi="Arial"/>
                <w:sz w:val="17"/>
                <w:szCs w:val="17"/>
                <w:color w:val="0000FF"/>
              </w:rPr>
            </w:pPr>
            <w:hyperlink w:anchor="page31">
              <w:r>
                <w:rPr>
                  <w:rFonts w:ascii="Arial" w:cs="Arial" w:eastAsia="Arial" w:hAnsi="Arial"/>
                  <w:sz w:val="17"/>
                  <w:szCs w:val="17"/>
                  <w:color w:val="0000FF"/>
                </w:rPr>
                <w:t>27</w:t>
              </w:r>
            </w:hyperlink>
          </w:p>
        </w:tc>
      </w:tr>
      <w:tr>
        <w:trPr>
          <w:trHeight w:val="20"/>
        </w:trPr>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17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8"/>
        </w:trPr>
        <w:tc>
          <w:tcPr>
            <w:tcW w:w="640" w:type="dxa"/>
            <w:vAlign w:val="bottom"/>
          </w:tcPr>
          <w:p>
            <w:pPr>
              <w:spacing w:after="0"/>
              <w:rPr>
                <w:sz w:val="17"/>
                <w:szCs w:val="17"/>
                <w:color w:val="auto"/>
              </w:rPr>
            </w:pPr>
          </w:p>
        </w:tc>
        <w:tc>
          <w:tcPr>
            <w:tcW w:w="600" w:type="dxa"/>
            <w:vAlign w:val="bottom"/>
            <w:gridSpan w:val="3"/>
          </w:tcPr>
          <w:p>
            <w:pPr>
              <w:spacing w:after="0"/>
              <w:rPr>
                <w:rFonts w:ascii="Arial" w:cs="Arial" w:eastAsia="Arial" w:hAnsi="Arial"/>
                <w:sz w:val="17"/>
                <w:szCs w:val="17"/>
                <w:color w:val="0000FF"/>
                <w:w w:val="87"/>
              </w:rPr>
            </w:pPr>
            <w:hyperlink w:anchor="page33">
              <w:r>
                <w:rPr>
                  <w:rFonts w:ascii="Arial" w:cs="Arial" w:eastAsia="Arial" w:hAnsi="Arial"/>
                  <w:sz w:val="17"/>
                  <w:szCs w:val="17"/>
                  <w:color w:val="0000FF"/>
                  <w:w w:val="87"/>
                </w:rPr>
                <w:t>PART II.</w:t>
              </w:r>
            </w:hyperlink>
          </w:p>
        </w:tc>
        <w:tc>
          <w:tcPr>
            <w:tcW w:w="460" w:type="dxa"/>
            <w:vAlign w:val="bottom"/>
          </w:tcPr>
          <w:p>
            <w:pPr>
              <w:spacing w:after="0"/>
              <w:rPr>
                <w:sz w:val="17"/>
                <w:szCs w:val="17"/>
                <w:color w:val="auto"/>
              </w:rPr>
            </w:pPr>
          </w:p>
        </w:tc>
        <w:tc>
          <w:tcPr>
            <w:tcW w:w="1800" w:type="dxa"/>
            <w:vAlign w:val="bottom"/>
            <w:gridSpan w:val="5"/>
          </w:tcPr>
          <w:p>
            <w:pPr>
              <w:spacing w:after="0"/>
              <w:rPr>
                <w:rFonts w:ascii="Arial" w:cs="Arial" w:eastAsia="Arial" w:hAnsi="Arial"/>
                <w:sz w:val="17"/>
                <w:szCs w:val="17"/>
                <w:color w:val="0000FF"/>
                <w:w w:val="97"/>
              </w:rPr>
            </w:pPr>
            <w:hyperlink w:anchor="page33">
              <w:r>
                <w:rPr>
                  <w:rFonts w:ascii="Arial" w:cs="Arial" w:eastAsia="Arial" w:hAnsi="Arial"/>
                  <w:sz w:val="17"/>
                  <w:szCs w:val="17"/>
                  <w:color w:val="0000FF"/>
                  <w:w w:val="97"/>
                </w:rPr>
                <w:t>OTHER INFORMATION</w:t>
              </w:r>
            </w:hyperlink>
          </w:p>
        </w:tc>
        <w:tc>
          <w:tcPr>
            <w:tcW w:w="6020" w:type="dxa"/>
            <w:vAlign w:val="bottom"/>
            <w:gridSpan w:val="13"/>
          </w:tcPr>
          <w:p>
            <w:pPr>
              <w:spacing w:after="0"/>
              <w:rPr>
                <w:sz w:val="17"/>
                <w:szCs w:val="17"/>
                <w:color w:val="auto"/>
              </w:rPr>
            </w:pPr>
          </w:p>
        </w:tc>
        <w:tc>
          <w:tcPr>
            <w:tcW w:w="1820" w:type="dxa"/>
            <w:vAlign w:val="bottom"/>
            <w:gridSpan w:val="2"/>
          </w:tcPr>
          <w:p>
            <w:pPr>
              <w:jc w:val="right"/>
              <w:spacing w:after="0"/>
              <w:rPr>
                <w:rFonts w:ascii="Arial" w:cs="Arial" w:eastAsia="Arial" w:hAnsi="Arial"/>
                <w:sz w:val="17"/>
                <w:szCs w:val="17"/>
                <w:color w:val="0000FF"/>
              </w:rPr>
            </w:pPr>
            <w:hyperlink w:anchor="page33">
              <w:r>
                <w:rPr>
                  <w:rFonts w:ascii="Arial" w:cs="Arial" w:eastAsia="Arial" w:hAnsi="Arial"/>
                  <w:sz w:val="17"/>
                  <w:szCs w:val="17"/>
                  <w:color w:val="0000FF"/>
                </w:rPr>
                <w:t>30</w:t>
              </w:r>
            </w:hyperlink>
          </w:p>
        </w:tc>
      </w:tr>
      <w:tr>
        <w:trPr>
          <w:trHeight w:val="20"/>
        </w:trPr>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17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8"/>
        </w:trPr>
        <w:tc>
          <w:tcPr>
            <w:tcW w:w="640" w:type="dxa"/>
            <w:vAlign w:val="bottom"/>
          </w:tcPr>
          <w:p>
            <w:pPr>
              <w:spacing w:after="0"/>
              <w:rPr>
                <w:sz w:val="17"/>
                <w:szCs w:val="17"/>
                <w:color w:val="auto"/>
              </w:rPr>
            </w:pPr>
          </w:p>
        </w:tc>
        <w:tc>
          <w:tcPr>
            <w:tcW w:w="480" w:type="dxa"/>
            <w:vAlign w:val="bottom"/>
          </w:tcPr>
          <w:p>
            <w:pPr>
              <w:spacing w:after="0"/>
              <w:rPr>
                <w:rFonts w:ascii="Arial" w:cs="Arial" w:eastAsia="Arial" w:hAnsi="Arial"/>
                <w:sz w:val="17"/>
                <w:szCs w:val="17"/>
                <w:color w:val="0000FF"/>
                <w:w w:val="84"/>
              </w:rPr>
            </w:pPr>
            <w:hyperlink w:anchor="page34">
              <w:r>
                <w:rPr>
                  <w:rFonts w:ascii="Arial" w:cs="Arial" w:eastAsia="Arial" w:hAnsi="Arial"/>
                  <w:sz w:val="17"/>
                  <w:szCs w:val="17"/>
                  <w:color w:val="0000FF"/>
                  <w:w w:val="84"/>
                </w:rPr>
                <w:t>Item 1.</w:t>
              </w:r>
            </w:hyperlink>
          </w:p>
        </w:tc>
        <w:tc>
          <w:tcPr>
            <w:tcW w:w="12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gridSpan w:val="3"/>
          </w:tcPr>
          <w:p>
            <w:pPr>
              <w:spacing w:after="0"/>
              <w:rPr>
                <w:rFonts w:ascii="Arial" w:cs="Arial" w:eastAsia="Arial" w:hAnsi="Arial"/>
                <w:sz w:val="17"/>
                <w:szCs w:val="17"/>
                <w:color w:val="0000FF"/>
                <w:w w:val="86"/>
              </w:rPr>
            </w:pPr>
            <w:hyperlink w:anchor="page34">
              <w:r>
                <w:rPr>
                  <w:rFonts w:ascii="Arial" w:cs="Arial" w:eastAsia="Arial" w:hAnsi="Arial"/>
                  <w:sz w:val="17"/>
                  <w:szCs w:val="17"/>
                  <w:color w:val="0000FF"/>
                  <w:w w:val="86"/>
                </w:rPr>
                <w:t>Legal Proceedings</w:t>
              </w:r>
            </w:hyperlink>
          </w:p>
        </w:tc>
        <w:tc>
          <w:tcPr>
            <w:tcW w:w="540" w:type="dxa"/>
            <w:vAlign w:val="bottom"/>
            <w:gridSpan w:val="2"/>
          </w:tcPr>
          <w:p>
            <w:pPr>
              <w:spacing w:after="0"/>
              <w:rPr>
                <w:sz w:val="17"/>
                <w:szCs w:val="17"/>
                <w:color w:val="auto"/>
              </w:rPr>
            </w:pPr>
          </w:p>
        </w:tc>
        <w:tc>
          <w:tcPr>
            <w:tcW w:w="6020" w:type="dxa"/>
            <w:vAlign w:val="bottom"/>
            <w:gridSpan w:val="13"/>
          </w:tcPr>
          <w:p>
            <w:pPr>
              <w:spacing w:after="0"/>
              <w:rPr>
                <w:sz w:val="17"/>
                <w:szCs w:val="17"/>
                <w:color w:val="auto"/>
              </w:rPr>
            </w:pPr>
          </w:p>
        </w:tc>
        <w:tc>
          <w:tcPr>
            <w:tcW w:w="1820" w:type="dxa"/>
            <w:vAlign w:val="bottom"/>
            <w:gridSpan w:val="2"/>
          </w:tcPr>
          <w:p>
            <w:pPr>
              <w:jc w:val="right"/>
              <w:spacing w:after="0"/>
              <w:rPr>
                <w:rFonts w:ascii="Arial" w:cs="Arial" w:eastAsia="Arial" w:hAnsi="Arial"/>
                <w:sz w:val="17"/>
                <w:szCs w:val="17"/>
                <w:color w:val="0000FF"/>
              </w:rPr>
            </w:pPr>
            <w:hyperlink w:anchor="page34">
              <w:r>
                <w:rPr>
                  <w:rFonts w:ascii="Arial" w:cs="Arial" w:eastAsia="Arial" w:hAnsi="Arial"/>
                  <w:sz w:val="17"/>
                  <w:szCs w:val="17"/>
                  <w:color w:val="0000FF"/>
                </w:rPr>
                <w:t>30</w:t>
              </w:r>
            </w:hyperlink>
          </w:p>
        </w:tc>
      </w:tr>
      <w:tr>
        <w:trPr>
          <w:trHeight w:val="20"/>
        </w:trPr>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8"/>
        </w:trPr>
        <w:tc>
          <w:tcPr>
            <w:tcW w:w="640" w:type="dxa"/>
            <w:vAlign w:val="bottom"/>
          </w:tcPr>
          <w:p>
            <w:pPr>
              <w:spacing w:after="0"/>
              <w:rPr>
                <w:sz w:val="17"/>
                <w:szCs w:val="17"/>
                <w:color w:val="auto"/>
              </w:rPr>
            </w:pPr>
          </w:p>
        </w:tc>
        <w:tc>
          <w:tcPr>
            <w:tcW w:w="1060" w:type="dxa"/>
            <w:vAlign w:val="bottom"/>
            <w:gridSpan w:val="4"/>
          </w:tcPr>
          <w:p>
            <w:pPr>
              <w:spacing w:after="0"/>
              <w:rPr>
                <w:rFonts w:ascii="Arial" w:cs="Arial" w:eastAsia="Arial" w:hAnsi="Arial"/>
                <w:sz w:val="17"/>
                <w:szCs w:val="17"/>
                <w:color w:val="0000FF"/>
              </w:rPr>
            </w:pPr>
            <w:hyperlink w:anchor="page34">
              <w:r>
                <w:rPr>
                  <w:rFonts w:ascii="Arial" w:cs="Arial" w:eastAsia="Arial" w:hAnsi="Arial"/>
                  <w:sz w:val="17"/>
                  <w:szCs w:val="17"/>
                  <w:color w:val="0000FF"/>
                </w:rPr>
                <w:t>Item 1A.</w:t>
              </w:r>
            </w:hyperlink>
          </w:p>
        </w:tc>
        <w:tc>
          <w:tcPr>
            <w:tcW w:w="7820" w:type="dxa"/>
            <w:vAlign w:val="bottom"/>
            <w:gridSpan w:val="18"/>
          </w:tcPr>
          <w:p>
            <w:pPr>
              <w:spacing w:after="0"/>
              <w:rPr>
                <w:rFonts w:ascii="Arial" w:cs="Arial" w:eastAsia="Arial" w:hAnsi="Arial"/>
                <w:sz w:val="17"/>
                <w:szCs w:val="17"/>
                <w:color w:val="0000FF"/>
              </w:rPr>
            </w:pPr>
            <w:hyperlink w:anchor="page34">
              <w:r>
                <w:rPr>
                  <w:rFonts w:ascii="Arial" w:cs="Arial" w:eastAsia="Arial" w:hAnsi="Arial"/>
                  <w:sz w:val="17"/>
                  <w:szCs w:val="17"/>
                  <w:color w:val="0000FF"/>
                </w:rPr>
                <w:t>Risk Factors</w:t>
              </w:r>
            </w:hyperlink>
          </w:p>
        </w:tc>
        <w:tc>
          <w:tcPr>
            <w:tcW w:w="1820" w:type="dxa"/>
            <w:vAlign w:val="bottom"/>
            <w:gridSpan w:val="2"/>
          </w:tcPr>
          <w:p>
            <w:pPr>
              <w:jc w:val="right"/>
              <w:spacing w:after="0"/>
              <w:rPr>
                <w:rFonts w:ascii="Arial" w:cs="Arial" w:eastAsia="Arial" w:hAnsi="Arial"/>
                <w:sz w:val="17"/>
                <w:szCs w:val="17"/>
                <w:color w:val="0000FF"/>
              </w:rPr>
            </w:pPr>
            <w:hyperlink w:anchor="page34">
              <w:r>
                <w:rPr>
                  <w:rFonts w:ascii="Arial" w:cs="Arial" w:eastAsia="Arial" w:hAnsi="Arial"/>
                  <w:sz w:val="17"/>
                  <w:szCs w:val="17"/>
                  <w:color w:val="0000FF"/>
                </w:rPr>
                <w:t>30</w:t>
              </w:r>
            </w:hyperlink>
          </w:p>
        </w:tc>
      </w:tr>
      <w:tr>
        <w:trPr>
          <w:trHeight w:val="20"/>
        </w:trPr>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17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8"/>
        </w:trPr>
        <w:tc>
          <w:tcPr>
            <w:tcW w:w="640" w:type="dxa"/>
            <w:vAlign w:val="bottom"/>
          </w:tcPr>
          <w:p>
            <w:pPr>
              <w:spacing w:after="0"/>
              <w:rPr>
                <w:sz w:val="17"/>
                <w:szCs w:val="17"/>
                <w:color w:val="auto"/>
              </w:rPr>
            </w:pPr>
          </w:p>
        </w:tc>
        <w:tc>
          <w:tcPr>
            <w:tcW w:w="600" w:type="dxa"/>
            <w:vAlign w:val="bottom"/>
            <w:gridSpan w:val="3"/>
          </w:tcPr>
          <w:p>
            <w:pPr>
              <w:spacing w:after="0"/>
              <w:rPr>
                <w:rFonts w:ascii="Arial" w:cs="Arial" w:eastAsia="Arial" w:hAnsi="Arial"/>
                <w:sz w:val="17"/>
                <w:szCs w:val="17"/>
                <w:color w:val="0000FF"/>
              </w:rPr>
            </w:pPr>
            <w:hyperlink w:anchor="page75">
              <w:r>
                <w:rPr>
                  <w:rFonts w:ascii="Arial" w:cs="Arial" w:eastAsia="Arial" w:hAnsi="Arial"/>
                  <w:sz w:val="17"/>
                  <w:szCs w:val="17"/>
                  <w:color w:val="0000FF"/>
                </w:rPr>
                <w:t>Item 2.</w:t>
              </w:r>
            </w:hyperlink>
          </w:p>
        </w:tc>
        <w:tc>
          <w:tcPr>
            <w:tcW w:w="460" w:type="dxa"/>
            <w:vAlign w:val="bottom"/>
          </w:tcPr>
          <w:p>
            <w:pPr>
              <w:spacing w:after="0"/>
              <w:rPr>
                <w:sz w:val="17"/>
                <w:szCs w:val="17"/>
                <w:color w:val="auto"/>
              </w:rPr>
            </w:pPr>
          </w:p>
        </w:tc>
        <w:tc>
          <w:tcPr>
            <w:tcW w:w="7820" w:type="dxa"/>
            <w:vAlign w:val="bottom"/>
            <w:gridSpan w:val="18"/>
          </w:tcPr>
          <w:p>
            <w:pPr>
              <w:spacing w:after="0"/>
              <w:rPr>
                <w:rFonts w:ascii="Arial" w:cs="Arial" w:eastAsia="Arial" w:hAnsi="Arial"/>
                <w:sz w:val="17"/>
                <w:szCs w:val="17"/>
                <w:color w:val="0000FF"/>
              </w:rPr>
            </w:pPr>
            <w:hyperlink w:anchor="page75">
              <w:r>
                <w:rPr>
                  <w:rFonts w:ascii="Arial" w:cs="Arial" w:eastAsia="Arial" w:hAnsi="Arial"/>
                  <w:sz w:val="17"/>
                  <w:szCs w:val="17"/>
                  <w:color w:val="0000FF"/>
                </w:rPr>
                <w:t>Unregistered Sales of Equity Securities and Use of Proceeds</w:t>
              </w:r>
            </w:hyperlink>
          </w:p>
        </w:tc>
        <w:tc>
          <w:tcPr>
            <w:tcW w:w="1820" w:type="dxa"/>
            <w:vAlign w:val="bottom"/>
            <w:gridSpan w:val="2"/>
          </w:tcPr>
          <w:p>
            <w:pPr>
              <w:jc w:val="right"/>
              <w:spacing w:after="0"/>
              <w:rPr>
                <w:rFonts w:ascii="Arial" w:cs="Arial" w:eastAsia="Arial" w:hAnsi="Arial"/>
                <w:sz w:val="17"/>
                <w:szCs w:val="17"/>
                <w:color w:val="0000FF"/>
              </w:rPr>
            </w:pPr>
            <w:hyperlink w:anchor="page75">
              <w:r>
                <w:rPr>
                  <w:rFonts w:ascii="Arial" w:cs="Arial" w:eastAsia="Arial" w:hAnsi="Arial"/>
                  <w:sz w:val="17"/>
                  <w:szCs w:val="17"/>
                  <w:color w:val="0000FF"/>
                </w:rPr>
                <w:t>71</w:t>
              </w:r>
            </w:hyperlink>
          </w:p>
        </w:tc>
      </w:tr>
      <w:tr>
        <w:trPr>
          <w:trHeight w:val="20"/>
        </w:trPr>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17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8"/>
        </w:trPr>
        <w:tc>
          <w:tcPr>
            <w:tcW w:w="640" w:type="dxa"/>
            <w:vAlign w:val="bottom"/>
          </w:tcPr>
          <w:p>
            <w:pPr>
              <w:spacing w:after="0"/>
              <w:rPr>
                <w:sz w:val="17"/>
                <w:szCs w:val="17"/>
                <w:color w:val="auto"/>
              </w:rPr>
            </w:pPr>
          </w:p>
        </w:tc>
        <w:tc>
          <w:tcPr>
            <w:tcW w:w="1060" w:type="dxa"/>
            <w:vAlign w:val="bottom"/>
            <w:gridSpan w:val="4"/>
          </w:tcPr>
          <w:p>
            <w:pPr>
              <w:spacing w:after="0"/>
              <w:rPr>
                <w:rFonts w:ascii="Arial" w:cs="Arial" w:eastAsia="Arial" w:hAnsi="Arial"/>
                <w:sz w:val="17"/>
                <w:szCs w:val="17"/>
                <w:color w:val="0000FF"/>
              </w:rPr>
            </w:pPr>
            <w:hyperlink w:anchor="page75">
              <w:r>
                <w:rPr>
                  <w:rFonts w:ascii="Arial" w:cs="Arial" w:eastAsia="Arial" w:hAnsi="Arial"/>
                  <w:sz w:val="17"/>
                  <w:szCs w:val="17"/>
                  <w:color w:val="0000FF"/>
                </w:rPr>
                <w:t>Item 3.</w:t>
              </w:r>
            </w:hyperlink>
          </w:p>
        </w:tc>
        <w:tc>
          <w:tcPr>
            <w:tcW w:w="7820" w:type="dxa"/>
            <w:vAlign w:val="bottom"/>
            <w:gridSpan w:val="18"/>
          </w:tcPr>
          <w:p>
            <w:pPr>
              <w:spacing w:after="0"/>
              <w:rPr>
                <w:rFonts w:ascii="Arial" w:cs="Arial" w:eastAsia="Arial" w:hAnsi="Arial"/>
                <w:sz w:val="17"/>
                <w:szCs w:val="17"/>
                <w:color w:val="0000FF"/>
              </w:rPr>
            </w:pPr>
            <w:hyperlink w:anchor="page75">
              <w:r>
                <w:rPr>
                  <w:rFonts w:ascii="Arial" w:cs="Arial" w:eastAsia="Arial" w:hAnsi="Arial"/>
                  <w:sz w:val="17"/>
                  <w:szCs w:val="17"/>
                  <w:color w:val="0000FF"/>
                </w:rPr>
                <w:t>Defaults Upon Senior Securities</w:t>
              </w:r>
            </w:hyperlink>
          </w:p>
        </w:tc>
        <w:tc>
          <w:tcPr>
            <w:tcW w:w="1820" w:type="dxa"/>
            <w:vAlign w:val="bottom"/>
            <w:gridSpan w:val="2"/>
          </w:tcPr>
          <w:p>
            <w:pPr>
              <w:jc w:val="right"/>
              <w:spacing w:after="0"/>
              <w:rPr>
                <w:rFonts w:ascii="Arial" w:cs="Arial" w:eastAsia="Arial" w:hAnsi="Arial"/>
                <w:sz w:val="17"/>
                <w:szCs w:val="17"/>
                <w:color w:val="0000FF"/>
              </w:rPr>
            </w:pPr>
            <w:hyperlink w:anchor="page75">
              <w:r>
                <w:rPr>
                  <w:rFonts w:ascii="Arial" w:cs="Arial" w:eastAsia="Arial" w:hAnsi="Arial"/>
                  <w:sz w:val="17"/>
                  <w:szCs w:val="17"/>
                  <w:color w:val="0000FF"/>
                </w:rPr>
                <w:t>71</w:t>
              </w:r>
            </w:hyperlink>
          </w:p>
        </w:tc>
      </w:tr>
      <w:tr>
        <w:trPr>
          <w:trHeight w:val="20"/>
        </w:trPr>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17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8"/>
        </w:trPr>
        <w:tc>
          <w:tcPr>
            <w:tcW w:w="640" w:type="dxa"/>
            <w:vAlign w:val="bottom"/>
          </w:tcPr>
          <w:p>
            <w:pPr>
              <w:spacing w:after="0"/>
              <w:rPr>
                <w:sz w:val="17"/>
                <w:szCs w:val="17"/>
                <w:color w:val="auto"/>
              </w:rPr>
            </w:pPr>
          </w:p>
        </w:tc>
        <w:tc>
          <w:tcPr>
            <w:tcW w:w="480" w:type="dxa"/>
            <w:vAlign w:val="bottom"/>
          </w:tcPr>
          <w:p>
            <w:pPr>
              <w:spacing w:after="0"/>
              <w:rPr>
                <w:rFonts w:ascii="Arial" w:cs="Arial" w:eastAsia="Arial" w:hAnsi="Arial"/>
                <w:sz w:val="17"/>
                <w:szCs w:val="17"/>
                <w:color w:val="0000FF"/>
                <w:w w:val="84"/>
              </w:rPr>
            </w:pPr>
            <w:hyperlink w:anchor="page75">
              <w:r>
                <w:rPr>
                  <w:rFonts w:ascii="Arial" w:cs="Arial" w:eastAsia="Arial" w:hAnsi="Arial"/>
                  <w:sz w:val="17"/>
                  <w:szCs w:val="17"/>
                  <w:color w:val="0000FF"/>
                  <w:w w:val="84"/>
                </w:rPr>
                <w:t>Item 4.</w:t>
              </w:r>
            </w:hyperlink>
          </w:p>
        </w:tc>
        <w:tc>
          <w:tcPr>
            <w:tcW w:w="580" w:type="dxa"/>
            <w:vAlign w:val="bottom"/>
            <w:gridSpan w:val="3"/>
          </w:tcPr>
          <w:p>
            <w:pPr>
              <w:spacing w:after="0"/>
              <w:rPr>
                <w:sz w:val="17"/>
                <w:szCs w:val="17"/>
                <w:color w:val="auto"/>
              </w:rPr>
            </w:pPr>
          </w:p>
        </w:tc>
        <w:tc>
          <w:tcPr>
            <w:tcW w:w="7820" w:type="dxa"/>
            <w:vAlign w:val="bottom"/>
            <w:gridSpan w:val="18"/>
          </w:tcPr>
          <w:p>
            <w:pPr>
              <w:spacing w:after="0"/>
              <w:rPr>
                <w:rFonts w:ascii="Arial" w:cs="Arial" w:eastAsia="Arial" w:hAnsi="Arial"/>
                <w:sz w:val="17"/>
                <w:szCs w:val="17"/>
                <w:color w:val="0000FF"/>
              </w:rPr>
            </w:pPr>
            <w:hyperlink w:anchor="page75">
              <w:r>
                <w:rPr>
                  <w:rFonts w:ascii="Arial" w:cs="Arial" w:eastAsia="Arial" w:hAnsi="Arial"/>
                  <w:sz w:val="17"/>
                  <w:szCs w:val="17"/>
                  <w:color w:val="0000FF"/>
                </w:rPr>
                <w:t>Mine Safety Disclosures</w:t>
              </w:r>
            </w:hyperlink>
          </w:p>
        </w:tc>
        <w:tc>
          <w:tcPr>
            <w:tcW w:w="1820" w:type="dxa"/>
            <w:vAlign w:val="bottom"/>
            <w:gridSpan w:val="2"/>
          </w:tcPr>
          <w:p>
            <w:pPr>
              <w:jc w:val="right"/>
              <w:spacing w:after="0"/>
              <w:rPr>
                <w:rFonts w:ascii="Arial" w:cs="Arial" w:eastAsia="Arial" w:hAnsi="Arial"/>
                <w:sz w:val="17"/>
                <w:szCs w:val="17"/>
                <w:color w:val="0000FF"/>
              </w:rPr>
            </w:pPr>
            <w:hyperlink w:anchor="page75">
              <w:r>
                <w:rPr>
                  <w:rFonts w:ascii="Arial" w:cs="Arial" w:eastAsia="Arial" w:hAnsi="Arial"/>
                  <w:sz w:val="17"/>
                  <w:szCs w:val="17"/>
                  <w:color w:val="0000FF"/>
                </w:rPr>
                <w:t>71</w:t>
              </w:r>
            </w:hyperlink>
          </w:p>
        </w:tc>
      </w:tr>
      <w:tr>
        <w:trPr>
          <w:trHeight w:val="20"/>
        </w:trPr>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340" w:type="dxa"/>
            <w:vAlign w:val="bottom"/>
            <w:gridSpan w:val="7"/>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17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8"/>
        </w:trPr>
        <w:tc>
          <w:tcPr>
            <w:tcW w:w="640" w:type="dxa"/>
            <w:vAlign w:val="bottom"/>
          </w:tcPr>
          <w:p>
            <w:pPr>
              <w:spacing w:after="0"/>
              <w:rPr>
                <w:sz w:val="17"/>
                <w:szCs w:val="17"/>
                <w:color w:val="auto"/>
              </w:rPr>
            </w:pPr>
          </w:p>
        </w:tc>
        <w:tc>
          <w:tcPr>
            <w:tcW w:w="480" w:type="dxa"/>
            <w:vAlign w:val="bottom"/>
          </w:tcPr>
          <w:p>
            <w:pPr>
              <w:spacing w:after="0"/>
              <w:rPr>
                <w:rFonts w:ascii="Arial" w:cs="Arial" w:eastAsia="Arial" w:hAnsi="Arial"/>
                <w:sz w:val="17"/>
                <w:szCs w:val="17"/>
                <w:color w:val="0000FF"/>
                <w:w w:val="84"/>
              </w:rPr>
            </w:pPr>
            <w:hyperlink w:anchor="page75">
              <w:r>
                <w:rPr>
                  <w:rFonts w:ascii="Arial" w:cs="Arial" w:eastAsia="Arial" w:hAnsi="Arial"/>
                  <w:sz w:val="17"/>
                  <w:szCs w:val="17"/>
                  <w:color w:val="0000FF"/>
                  <w:w w:val="84"/>
                </w:rPr>
                <w:t>Item 5.</w:t>
              </w:r>
            </w:hyperlink>
          </w:p>
        </w:tc>
        <w:tc>
          <w:tcPr>
            <w:tcW w:w="580" w:type="dxa"/>
            <w:vAlign w:val="bottom"/>
            <w:gridSpan w:val="3"/>
          </w:tcPr>
          <w:p>
            <w:pPr>
              <w:spacing w:after="0"/>
              <w:rPr>
                <w:sz w:val="17"/>
                <w:szCs w:val="17"/>
                <w:color w:val="auto"/>
              </w:rPr>
            </w:pPr>
          </w:p>
        </w:tc>
        <w:tc>
          <w:tcPr>
            <w:tcW w:w="1260" w:type="dxa"/>
            <w:vAlign w:val="bottom"/>
            <w:gridSpan w:val="3"/>
          </w:tcPr>
          <w:p>
            <w:pPr>
              <w:spacing w:after="0"/>
              <w:rPr>
                <w:rFonts w:ascii="Arial" w:cs="Arial" w:eastAsia="Arial" w:hAnsi="Arial"/>
                <w:sz w:val="17"/>
                <w:szCs w:val="17"/>
                <w:color w:val="0000FF"/>
                <w:w w:val="92"/>
              </w:rPr>
            </w:pPr>
            <w:hyperlink w:anchor="page75">
              <w:r>
                <w:rPr>
                  <w:rFonts w:ascii="Arial" w:cs="Arial" w:eastAsia="Arial" w:hAnsi="Arial"/>
                  <w:sz w:val="17"/>
                  <w:szCs w:val="17"/>
                  <w:color w:val="0000FF"/>
                  <w:w w:val="92"/>
                </w:rPr>
                <w:t>Other Information</w:t>
              </w:r>
            </w:hyperlink>
          </w:p>
        </w:tc>
        <w:tc>
          <w:tcPr>
            <w:tcW w:w="420" w:type="dxa"/>
            <w:vAlign w:val="bottom"/>
          </w:tcPr>
          <w:p>
            <w:pPr>
              <w:spacing w:after="0"/>
              <w:rPr>
                <w:sz w:val="17"/>
                <w:szCs w:val="17"/>
                <w:color w:val="auto"/>
              </w:rPr>
            </w:pPr>
          </w:p>
        </w:tc>
        <w:tc>
          <w:tcPr>
            <w:tcW w:w="6140" w:type="dxa"/>
            <w:vAlign w:val="bottom"/>
            <w:gridSpan w:val="14"/>
          </w:tcPr>
          <w:p>
            <w:pPr>
              <w:spacing w:after="0"/>
              <w:rPr>
                <w:sz w:val="17"/>
                <w:szCs w:val="17"/>
                <w:color w:val="auto"/>
              </w:rPr>
            </w:pPr>
          </w:p>
        </w:tc>
        <w:tc>
          <w:tcPr>
            <w:tcW w:w="1820" w:type="dxa"/>
            <w:vAlign w:val="bottom"/>
            <w:gridSpan w:val="2"/>
          </w:tcPr>
          <w:p>
            <w:pPr>
              <w:jc w:val="right"/>
              <w:spacing w:after="0"/>
              <w:rPr>
                <w:rFonts w:ascii="Arial" w:cs="Arial" w:eastAsia="Arial" w:hAnsi="Arial"/>
                <w:sz w:val="17"/>
                <w:szCs w:val="17"/>
                <w:color w:val="0000FF"/>
              </w:rPr>
            </w:pPr>
            <w:hyperlink w:anchor="page75">
              <w:r>
                <w:rPr>
                  <w:rFonts w:ascii="Arial" w:cs="Arial" w:eastAsia="Arial" w:hAnsi="Arial"/>
                  <w:sz w:val="17"/>
                  <w:szCs w:val="17"/>
                  <w:color w:val="0000FF"/>
                </w:rPr>
                <w:t>72</w:t>
              </w:r>
            </w:hyperlink>
          </w:p>
        </w:tc>
      </w:tr>
      <w:tr>
        <w:trPr>
          <w:trHeight w:val="20"/>
        </w:trPr>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760" w:type="dxa"/>
            <w:vAlign w:val="bottom"/>
            <w:gridSpan w:val="8"/>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174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8"/>
        </w:trPr>
        <w:tc>
          <w:tcPr>
            <w:tcW w:w="640" w:type="dxa"/>
            <w:vAlign w:val="bottom"/>
          </w:tcPr>
          <w:p>
            <w:pPr>
              <w:spacing w:after="0"/>
              <w:rPr>
                <w:sz w:val="17"/>
                <w:szCs w:val="17"/>
                <w:color w:val="auto"/>
              </w:rPr>
            </w:pPr>
          </w:p>
        </w:tc>
        <w:tc>
          <w:tcPr>
            <w:tcW w:w="480" w:type="dxa"/>
            <w:vAlign w:val="bottom"/>
          </w:tcPr>
          <w:p>
            <w:pPr>
              <w:spacing w:after="0"/>
              <w:rPr>
                <w:rFonts w:ascii="Arial" w:cs="Arial" w:eastAsia="Arial" w:hAnsi="Arial"/>
                <w:sz w:val="17"/>
                <w:szCs w:val="17"/>
                <w:color w:val="0000FF"/>
                <w:w w:val="84"/>
              </w:rPr>
            </w:pPr>
            <w:hyperlink w:anchor="page75">
              <w:r>
                <w:rPr>
                  <w:rFonts w:ascii="Arial" w:cs="Arial" w:eastAsia="Arial" w:hAnsi="Arial"/>
                  <w:sz w:val="17"/>
                  <w:szCs w:val="17"/>
                  <w:color w:val="0000FF"/>
                  <w:w w:val="84"/>
                </w:rPr>
                <w:t>Item 6.</w:t>
              </w:r>
            </w:hyperlink>
          </w:p>
        </w:tc>
        <w:tc>
          <w:tcPr>
            <w:tcW w:w="580" w:type="dxa"/>
            <w:vAlign w:val="bottom"/>
            <w:gridSpan w:val="3"/>
          </w:tcPr>
          <w:p>
            <w:pPr>
              <w:spacing w:after="0"/>
              <w:rPr>
                <w:sz w:val="17"/>
                <w:szCs w:val="17"/>
                <w:color w:val="auto"/>
              </w:rPr>
            </w:pPr>
          </w:p>
        </w:tc>
        <w:tc>
          <w:tcPr>
            <w:tcW w:w="1260" w:type="dxa"/>
            <w:vAlign w:val="bottom"/>
            <w:gridSpan w:val="3"/>
          </w:tcPr>
          <w:p>
            <w:pPr>
              <w:spacing w:after="0"/>
              <w:rPr>
                <w:rFonts w:ascii="Arial" w:cs="Arial" w:eastAsia="Arial" w:hAnsi="Arial"/>
                <w:sz w:val="17"/>
                <w:szCs w:val="17"/>
                <w:color w:val="0000FF"/>
              </w:rPr>
            </w:pPr>
            <w:hyperlink w:anchor="page75">
              <w:r>
                <w:rPr>
                  <w:rFonts w:ascii="Arial" w:cs="Arial" w:eastAsia="Arial" w:hAnsi="Arial"/>
                  <w:sz w:val="17"/>
                  <w:szCs w:val="17"/>
                  <w:color w:val="0000FF"/>
                </w:rPr>
                <w:t>Exhibits</w:t>
              </w:r>
            </w:hyperlink>
          </w:p>
        </w:tc>
        <w:tc>
          <w:tcPr>
            <w:tcW w:w="6560" w:type="dxa"/>
            <w:vAlign w:val="bottom"/>
            <w:gridSpan w:val="15"/>
          </w:tcPr>
          <w:p>
            <w:pPr>
              <w:spacing w:after="0"/>
              <w:rPr>
                <w:sz w:val="17"/>
                <w:szCs w:val="17"/>
                <w:color w:val="auto"/>
              </w:rPr>
            </w:pPr>
          </w:p>
        </w:tc>
        <w:tc>
          <w:tcPr>
            <w:tcW w:w="1820" w:type="dxa"/>
            <w:vAlign w:val="bottom"/>
            <w:gridSpan w:val="2"/>
          </w:tcPr>
          <w:p>
            <w:pPr>
              <w:jc w:val="right"/>
              <w:spacing w:after="0"/>
              <w:rPr>
                <w:rFonts w:ascii="Arial" w:cs="Arial" w:eastAsia="Arial" w:hAnsi="Arial"/>
                <w:sz w:val="17"/>
                <w:szCs w:val="17"/>
                <w:color w:val="0000FF"/>
              </w:rPr>
            </w:pPr>
            <w:hyperlink w:anchor="page75">
              <w:r>
                <w:rPr>
                  <w:rFonts w:ascii="Arial" w:cs="Arial" w:eastAsia="Arial" w:hAnsi="Arial"/>
                  <w:sz w:val="17"/>
                  <w:szCs w:val="17"/>
                  <w:color w:val="0000FF"/>
                </w:rPr>
                <w:t>72</w:t>
              </w:r>
            </w:hyperlink>
          </w:p>
        </w:tc>
      </w:tr>
      <w:tr>
        <w:trPr>
          <w:trHeight w:val="198"/>
        </w:trPr>
        <w:tc>
          <w:tcPr>
            <w:tcW w:w="64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0" w:type="dxa"/>
            <w:vAlign w:val="bottom"/>
            <w:gridSpan w:val="7"/>
          </w:tcPr>
          <w:p>
            <w:pPr>
              <w:spacing w:after="0"/>
              <w:rPr>
                <w:rFonts w:ascii="Arial" w:cs="Arial" w:eastAsia="Arial" w:hAnsi="Arial"/>
                <w:sz w:val="17"/>
                <w:szCs w:val="17"/>
                <w:color w:val="0000FF"/>
              </w:rPr>
            </w:pPr>
            <w:hyperlink w:anchor="page76">
              <w:r>
                <w:rPr>
                  <w:rFonts w:ascii="Arial" w:cs="Arial" w:eastAsia="Arial" w:hAnsi="Arial"/>
                  <w:sz w:val="17"/>
                  <w:szCs w:val="17"/>
                  <w:color w:val="0000FF"/>
                </w:rPr>
                <w:t>Signatures</w:t>
              </w:r>
            </w:hyperlink>
          </w:p>
        </w:tc>
        <w:tc>
          <w:tcPr>
            <w:tcW w:w="174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r>
      <w:tr>
        <w:trPr>
          <w:trHeight w:val="1990"/>
        </w:trPr>
        <w:tc>
          <w:tcPr>
            <w:tcW w:w="6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 w:name="page3"/>
    <w:bookmarkEnd w:id="2"/>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70" w:lineRule="exact"/>
        <w:rPr>
          <w:sz w:val="20"/>
          <w:szCs w:val="20"/>
          <w:color w:val="auto"/>
        </w:rPr>
      </w:pPr>
    </w:p>
    <w:p>
      <w:pPr>
        <w:ind w:right="60" w:firstLine="308"/>
        <w:spacing w:after="0" w:line="257" w:lineRule="auto"/>
        <w:rPr>
          <w:sz w:val="20"/>
          <w:szCs w:val="20"/>
          <w:color w:val="auto"/>
        </w:rPr>
      </w:pPr>
      <w:r>
        <w:rPr>
          <w:rFonts w:ascii="Arial" w:cs="Arial" w:eastAsia="Arial" w:hAnsi="Arial"/>
          <w:sz w:val="17"/>
          <w:szCs w:val="17"/>
          <w:color w:val="auto"/>
        </w:rPr>
        <w:t>This Quarterly Report on Form 10-Q (“Quarterly Report”) contains forward-looking statements. All statements other than statements of historical facts contained in this Quarterly Report, including statements regarding our future results of operations and financial position, business strategy,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32" w:lineRule="exact"/>
        <w:rPr>
          <w:sz w:val="20"/>
          <w:szCs w:val="20"/>
          <w:color w:val="auto"/>
        </w:rPr>
      </w:pPr>
    </w:p>
    <w:p>
      <w:pPr>
        <w:jc w:val="both"/>
        <w:ind w:right="480" w:firstLine="308"/>
        <w:spacing w:after="0" w:line="265" w:lineRule="auto"/>
        <w:rPr>
          <w:sz w:val="20"/>
          <w:szCs w:val="20"/>
          <w:color w:val="auto"/>
        </w:rPr>
      </w:pPr>
      <w:r>
        <w:rPr>
          <w:rFonts w:ascii="Arial" w:cs="Arial" w:eastAsia="Arial" w:hAnsi="Arial"/>
          <w:sz w:val="17"/>
          <w:szCs w:val="17"/>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w:t>
      </w:r>
    </w:p>
    <w:p>
      <w:pPr>
        <w:spacing w:after="0" w:line="123" w:lineRule="exact"/>
        <w:rPr>
          <w:sz w:val="20"/>
          <w:szCs w:val="20"/>
          <w:color w:val="auto"/>
        </w:rPr>
      </w:pPr>
    </w:p>
    <w:p>
      <w:pPr>
        <w:ind w:left="620" w:right="620" w:hanging="309"/>
        <w:spacing w:after="0" w:line="278" w:lineRule="auto"/>
        <w:tabs>
          <w:tab w:leader="none" w:pos="615"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estimates of our addressable market, market growth, future revenue, key performance indicators, expenses, capital requirements and our needs for additional financing;</w:t>
      </w:r>
    </w:p>
    <w:p>
      <w:pPr>
        <w:spacing w:after="0" w:line="112" w:lineRule="exact"/>
        <w:rPr>
          <w:rFonts w:ascii="Arial" w:cs="Arial" w:eastAsia="Arial" w:hAnsi="Arial"/>
          <w:sz w:val="17"/>
          <w:szCs w:val="17"/>
          <w:color w:val="auto"/>
        </w:rPr>
      </w:pPr>
    </w:p>
    <w:p>
      <w:pPr>
        <w:ind w:left="620" w:hanging="309"/>
        <w:spacing w:after="0" w:line="278" w:lineRule="auto"/>
        <w:tabs>
          <w:tab w:leader="none" w:pos="615"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successfully implement our three phase commercial launch plan, including our ability to add additional collaborators during the collaboration phase and expand to additional key opinion leaders during the limited release phase;</w:t>
      </w:r>
    </w:p>
    <w:p>
      <w:pPr>
        <w:spacing w:after="0" w:line="112" w:lineRule="exact"/>
        <w:rPr>
          <w:rFonts w:ascii="Arial" w:cs="Arial" w:eastAsia="Arial" w:hAnsi="Arial"/>
          <w:sz w:val="17"/>
          <w:szCs w:val="17"/>
          <w:color w:val="auto"/>
        </w:rPr>
      </w:pPr>
    </w:p>
    <w:p>
      <w:pPr>
        <w:ind w:left="620" w:right="140" w:hanging="309"/>
        <w:spacing w:after="0" w:line="278" w:lineRule="auto"/>
        <w:tabs>
          <w:tab w:leader="none" w:pos="615"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implementation of our business model and strategic plans for our Proteograph Product Suite, including the expected pricing of our SP100 automation instrument and associated consumables;</w:t>
      </w:r>
    </w:p>
    <w:p>
      <w:pPr>
        <w:spacing w:after="0" w:line="112" w:lineRule="exact"/>
        <w:rPr>
          <w:rFonts w:ascii="Arial" w:cs="Arial" w:eastAsia="Arial" w:hAnsi="Arial"/>
          <w:sz w:val="17"/>
          <w:szCs w:val="17"/>
          <w:color w:val="auto"/>
        </w:rPr>
      </w:pPr>
    </w:p>
    <w:p>
      <w:pPr>
        <w:ind w:left="620" w:hanging="309"/>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expectations regarding the rate and degree of market acceptance of our Proteograph Product Suite;</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our Proteograph Product Suite on the field of proteomics and the size and growth of the addressable proteomics market;</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competitive companies and technologies and our industry;</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manage and grow our business and commercialize our Proteograph Product Suite;</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develop and commercialize new products;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establish and maintain intellectual property protection for our products or avoid or defend claims of infringement;</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performance of third-party manufacturers and suppliers;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potential effects of government regulation;</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hire and retain key personnel and to manage our future growth effectively;</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volatility of the trading price of our Class A common stock;</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benefits of the PrognomIQ, Inc. transaction;</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local, regional, and national and international economic conditions and events;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COVID-19 on our business; and</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expectations about market trends.</w:t>
      </w:r>
    </w:p>
    <w:p>
      <w:pPr>
        <w:spacing w:after="0" w:line="164" w:lineRule="exact"/>
        <w:rPr>
          <w:sz w:val="20"/>
          <w:szCs w:val="20"/>
          <w:color w:val="auto"/>
        </w:rPr>
      </w:pPr>
    </w:p>
    <w:p>
      <w:pPr>
        <w:ind w:right="120" w:firstLine="308"/>
        <w:spacing w:after="0" w:line="289" w:lineRule="auto"/>
        <w:rPr>
          <w:sz w:val="20"/>
          <w:szCs w:val="20"/>
          <w:color w:val="auto"/>
        </w:rPr>
      </w:pPr>
      <w:r>
        <w:rPr>
          <w:rFonts w:ascii="Arial" w:cs="Arial" w:eastAsia="Arial" w:hAnsi="Arial"/>
          <w:sz w:val="16"/>
          <w:szCs w:val="16"/>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911225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7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Quarterly Report, whether as a result of any new information, future events or otherwise.</w:t>
      </w:r>
    </w:p>
    <w:p>
      <w:pPr>
        <w:spacing w:after="0" w:line="132" w:lineRule="exact"/>
        <w:rPr>
          <w:sz w:val="20"/>
          <w:szCs w:val="20"/>
          <w:color w:val="auto"/>
        </w:rPr>
      </w:pPr>
    </w:p>
    <w:p>
      <w:pPr>
        <w:ind w:right="260" w:firstLine="308"/>
        <w:spacing w:after="0" w:line="306" w:lineRule="auto"/>
        <w:rPr>
          <w:sz w:val="20"/>
          <w:szCs w:val="20"/>
          <w:color w:val="auto"/>
        </w:rPr>
      </w:pPr>
      <w:r>
        <w:rPr>
          <w:rFonts w:ascii="Arial" w:cs="Arial" w:eastAsia="Arial" w:hAnsi="Arial"/>
          <w:sz w:val="15"/>
          <w:szCs w:val="15"/>
          <w:color w:val="auto"/>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904875</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PART I—FINANCIAL INFORMATION</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26" w:lineRule="exact"/>
        <w:rPr>
          <w:sz w:val="20"/>
          <w:szCs w:val="20"/>
          <w:color w:val="auto"/>
        </w:rPr>
      </w:pPr>
    </w:p>
    <w:p>
      <w:pPr>
        <w:ind w:left="5180"/>
        <w:spacing w:after="0"/>
        <w:rPr>
          <w:sz w:val="20"/>
          <w:szCs w:val="20"/>
          <w:color w:val="auto"/>
        </w:rPr>
      </w:pPr>
      <w:r>
        <w:rPr>
          <w:rFonts w:ascii="Arial" w:cs="Arial" w:eastAsia="Arial" w:hAnsi="Arial"/>
          <w:sz w:val="17"/>
          <w:szCs w:val="17"/>
          <w:b w:val="1"/>
          <w:bCs w:val="1"/>
          <w:color w:val="auto"/>
        </w:rPr>
        <w:t>SEER,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 thousands, except share and per share amounts)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5"/>
                <w:szCs w:val="15"/>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794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445,763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333,585</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20"/>
              <w:spacing w:after="0"/>
              <w:rPr>
                <w:sz w:val="20"/>
                <w:szCs w:val="20"/>
                <w:color w:val="auto"/>
              </w:rPr>
            </w:pPr>
            <w:r>
              <w:rPr>
                <w:rFonts w:ascii="Arial" w:cs="Arial" w:eastAsia="Arial" w:hAnsi="Arial"/>
                <w:sz w:val="17"/>
                <w:szCs w:val="17"/>
                <w:color w:val="auto"/>
              </w:rPr>
              <w:t>Investments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85,379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98,278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Inventory</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1,541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551</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20"/>
              <w:spacing w:after="0"/>
              <w:rPr>
                <w:sz w:val="20"/>
                <w:szCs w:val="20"/>
                <w:color w:val="auto"/>
              </w:rPr>
            </w:pPr>
            <w:r>
              <w:rPr>
                <w:rFonts w:ascii="Arial" w:cs="Arial" w:eastAsia="Arial" w:hAnsi="Arial"/>
                <w:sz w:val="17"/>
                <w:szCs w:val="17"/>
                <w:color w:val="auto"/>
              </w:rPr>
              <w:t>Other receivables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receivables, related parties</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3,041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current assets</w:t>
            </w:r>
          </w:p>
        </w:tc>
        <w:tc>
          <w:tcPr>
            <w:tcW w:w="2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536,237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433,128</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8,682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8,441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377</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407</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545,639</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442,319</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9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1,933</w:t>
            </w:r>
          </w:p>
        </w:tc>
        <w:tc>
          <w:tcPr>
            <w:tcW w:w="8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2,115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Accrued expenses</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4,201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5,147</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20"/>
              <w:spacing w:after="0"/>
              <w:rPr>
                <w:sz w:val="20"/>
                <w:szCs w:val="20"/>
                <w:color w:val="auto"/>
              </w:rPr>
            </w:pPr>
            <w:r>
              <w:rPr>
                <w:rFonts w:ascii="Arial" w:cs="Arial" w:eastAsia="Arial" w:hAnsi="Arial"/>
                <w:sz w:val="17"/>
                <w:szCs w:val="17"/>
                <w:color w:val="auto"/>
              </w:rPr>
              <w:t>Accrued research and development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820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Deferred revenue</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20"/>
              <w:spacing w:after="0"/>
              <w:rPr>
                <w:sz w:val="20"/>
                <w:szCs w:val="20"/>
                <w:color w:val="auto"/>
              </w:rPr>
            </w:pPr>
            <w:r>
              <w:rPr>
                <w:rFonts w:ascii="Arial" w:cs="Arial" w:eastAsia="Arial" w:hAnsi="Arial"/>
                <w:sz w:val="17"/>
                <w:szCs w:val="17"/>
                <w:color w:val="auto"/>
              </w:rPr>
              <w:t>Deferred rent, current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186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current liabilities</w:t>
            </w:r>
          </w:p>
        </w:tc>
        <w:tc>
          <w:tcPr>
            <w:tcW w:w="2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7,396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8,094</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7"/>
                <w:szCs w:val="17"/>
                <w:color w:val="auto"/>
              </w:rPr>
              <w:t>Deferred rent, net of current portion</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1,884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1,899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noncurrent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589</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717</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940" w:type="dxa"/>
            <w:vAlign w:val="bottom"/>
          </w:tcPr>
          <w:p>
            <w:pPr>
              <w:ind w:left="440"/>
              <w:spacing w:after="0"/>
              <w:rPr>
                <w:sz w:val="20"/>
                <w:szCs w:val="20"/>
                <w:color w:val="auto"/>
              </w:rPr>
            </w:pPr>
            <w:r>
              <w:rPr>
                <w:rFonts w:ascii="Arial" w:cs="Arial" w:eastAsia="Arial" w:hAnsi="Arial"/>
                <w:sz w:val="17"/>
                <w:szCs w:val="17"/>
                <w:color w:val="auto"/>
              </w:rPr>
              <w:t>Total liabilities</w:t>
            </w: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9,869</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10,710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Commitments</w:t>
            </w: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7940" w:type="dxa"/>
            <w:vAlign w:val="bottom"/>
            <w:shd w:val="clear" w:color="auto" w:fill="CCEEFF"/>
          </w:tcPr>
          <w:p>
            <w:pPr>
              <w:ind w:left="220"/>
              <w:spacing w:after="0" w:line="167" w:lineRule="exact"/>
              <w:rPr>
                <w:sz w:val="20"/>
                <w:szCs w:val="20"/>
                <w:color w:val="auto"/>
              </w:rPr>
            </w:pPr>
            <w:r>
              <w:rPr>
                <w:rFonts w:ascii="Arial" w:cs="Arial" w:eastAsia="Arial" w:hAnsi="Arial"/>
                <w:sz w:val="17"/>
                <w:szCs w:val="17"/>
                <w:color w:val="auto"/>
                <w:w w:val="90"/>
              </w:rPr>
              <w:t>Preferred stock, $0.00001 par value; 5,000,000 shares authorized as of March 31, 2021 and December 31, 2020;</w:t>
            </w: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9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zero shares issued and outstanding as of March 31, 2021 and December 31, 2020</w:t>
            </w:r>
          </w:p>
        </w:tc>
        <w:tc>
          <w:tcPr>
            <w:tcW w:w="280" w:type="dxa"/>
            <w:vAlign w:val="bottom"/>
            <w:shd w:val="clear" w:color="auto" w:fill="CCEEFF"/>
          </w:tcPr>
          <w:p>
            <w:pPr>
              <w:spacing w:after="0"/>
              <w:rPr>
                <w:sz w:val="18"/>
                <w:szCs w:val="18"/>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36"/>
        </w:trPr>
        <w:tc>
          <w:tcPr>
            <w:tcW w:w="794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360" w:type="dxa"/>
            <w:vAlign w:val="bottom"/>
            <w:tcBorders>
              <w:bottom w:val="single" w:sz="8" w:color="CCEEFF"/>
            </w:tcBorders>
            <w:gridSpan w:val="2"/>
            <w:vMerge w:val="continue"/>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940" w:type="dxa"/>
            <w:vAlign w:val="bottom"/>
          </w:tcPr>
          <w:p>
            <w:pPr>
              <w:ind w:left="220"/>
              <w:spacing w:after="0" w:line="167" w:lineRule="exact"/>
              <w:rPr>
                <w:sz w:val="20"/>
                <w:szCs w:val="20"/>
                <w:color w:val="auto"/>
              </w:rPr>
            </w:pPr>
            <w:r>
              <w:rPr>
                <w:rFonts w:ascii="Arial" w:cs="Arial" w:eastAsia="Arial" w:hAnsi="Arial"/>
                <w:sz w:val="17"/>
                <w:szCs w:val="17"/>
                <w:color w:val="auto"/>
                <w:w w:val="91"/>
              </w:rPr>
              <w:t>Class A common stock, $0.00001 par value; 94,000,000 shares authorized as of March 31, 2021 and December</w:t>
            </w: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940" w:type="dxa"/>
            <w:vAlign w:val="bottom"/>
          </w:tcPr>
          <w:p>
            <w:pPr>
              <w:ind w:left="380"/>
              <w:spacing w:after="0" w:line="167" w:lineRule="exact"/>
              <w:rPr>
                <w:sz w:val="20"/>
                <w:szCs w:val="20"/>
                <w:color w:val="auto"/>
              </w:rPr>
            </w:pPr>
            <w:r>
              <w:rPr>
                <w:rFonts w:ascii="Arial" w:cs="Arial" w:eastAsia="Arial" w:hAnsi="Arial"/>
                <w:sz w:val="17"/>
                <w:szCs w:val="17"/>
                <w:color w:val="auto"/>
                <w:w w:val="91"/>
              </w:rPr>
              <w:t>31, 2020; 56,606,968 and 53,395,319 shares issued and outstanding as of March 31, 2021 and December 31,</w:t>
            </w:r>
          </w:p>
        </w:tc>
        <w:tc>
          <w:tcPr>
            <w:tcW w:w="2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940" w:type="dxa"/>
            <w:vAlign w:val="bottom"/>
          </w:tcPr>
          <w:p>
            <w:pPr>
              <w:ind w:left="380"/>
              <w:spacing w:after="0"/>
              <w:rPr>
                <w:sz w:val="20"/>
                <w:szCs w:val="20"/>
                <w:color w:val="auto"/>
              </w:rPr>
            </w:pPr>
            <w:r>
              <w:rPr>
                <w:rFonts w:ascii="Arial" w:cs="Arial" w:eastAsia="Arial" w:hAnsi="Arial"/>
                <w:sz w:val="17"/>
                <w:szCs w:val="17"/>
                <w:color w:val="auto"/>
              </w:rPr>
              <w:t>2020, respectively;</w:t>
            </w:r>
          </w:p>
        </w:tc>
        <w:tc>
          <w:tcPr>
            <w:tcW w:w="2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940" w:type="dxa"/>
            <w:vAlign w:val="bottom"/>
            <w:shd w:val="clear" w:color="auto" w:fill="CCEEFF"/>
          </w:tcPr>
          <w:p>
            <w:pPr>
              <w:ind w:left="220"/>
              <w:spacing w:after="0" w:line="168" w:lineRule="exact"/>
              <w:rPr>
                <w:sz w:val="20"/>
                <w:szCs w:val="20"/>
                <w:color w:val="auto"/>
              </w:rPr>
            </w:pPr>
            <w:r>
              <w:rPr>
                <w:rFonts w:ascii="Arial" w:cs="Arial" w:eastAsia="Arial" w:hAnsi="Arial"/>
                <w:sz w:val="17"/>
                <w:szCs w:val="17"/>
                <w:color w:val="auto"/>
                <w:w w:val="92"/>
              </w:rPr>
              <w:t>Class B common stock, $0.00001 par value; 6,000,000 shares authorized as of March 31, 2021 and December</w:t>
            </w: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940" w:type="dxa"/>
            <w:vAlign w:val="bottom"/>
            <w:shd w:val="clear" w:color="auto" w:fill="CCEEFF"/>
          </w:tcPr>
          <w:p>
            <w:pPr>
              <w:ind w:left="380"/>
              <w:spacing w:after="0" w:line="167" w:lineRule="exact"/>
              <w:rPr>
                <w:sz w:val="20"/>
                <w:szCs w:val="20"/>
                <w:color w:val="auto"/>
              </w:rPr>
            </w:pPr>
            <w:r>
              <w:rPr>
                <w:rFonts w:ascii="Arial" w:cs="Arial" w:eastAsia="Arial" w:hAnsi="Arial"/>
                <w:sz w:val="17"/>
                <w:szCs w:val="17"/>
                <w:color w:val="auto"/>
                <w:w w:val="93"/>
              </w:rPr>
              <w:t>31, 2020; 4,702,381 and 5,865,732 shares issued and outstanding as of March 31, 2021 and December 31,</w:t>
            </w: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9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2020, respectively;</w:t>
            </w:r>
          </w:p>
        </w:tc>
        <w:tc>
          <w:tcPr>
            <w:tcW w:w="280" w:type="dxa"/>
            <w:vAlign w:val="bottom"/>
            <w:shd w:val="clear" w:color="auto" w:fill="CCEEFF"/>
          </w:tcPr>
          <w:p>
            <w:pPr>
              <w:spacing w:after="0"/>
              <w:rPr>
                <w:sz w:val="18"/>
                <w:szCs w:val="18"/>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36"/>
        </w:trPr>
        <w:tc>
          <w:tcPr>
            <w:tcW w:w="794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360" w:type="dxa"/>
            <w:vAlign w:val="bottom"/>
            <w:tcBorders>
              <w:bottom w:val="single" w:sz="8" w:color="CCEEFF"/>
            </w:tcBorders>
            <w:gridSpan w:val="2"/>
            <w:vMerge w:val="continue"/>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20"/>
              <w:spacing w:after="0"/>
              <w:rPr>
                <w:sz w:val="20"/>
                <w:szCs w:val="20"/>
                <w:color w:val="auto"/>
              </w:rPr>
            </w:pPr>
            <w:r>
              <w:rPr>
                <w:rFonts w:ascii="Arial" w:cs="Arial" w:eastAsia="Arial" w:hAnsi="Arial"/>
                <w:sz w:val="17"/>
                <w:szCs w:val="17"/>
                <w:color w:val="auto"/>
              </w:rPr>
              <w:t>Additional paid-in capital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607,531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486,915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Accumulated other comprehensive income</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20"/>
              <w:spacing w:after="0"/>
              <w:rPr>
                <w:sz w:val="20"/>
                <w:szCs w:val="20"/>
                <w:color w:val="auto"/>
              </w:rPr>
            </w:pPr>
            <w:r>
              <w:rPr>
                <w:rFonts w:ascii="Arial" w:cs="Arial" w:eastAsia="Arial" w:hAnsi="Arial"/>
                <w:sz w:val="17"/>
                <w:szCs w:val="17"/>
                <w:color w:val="auto"/>
              </w:rPr>
              <w:t>Accumulated deficit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(71,790)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(55,361)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535,770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431,609</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940" w:type="dxa"/>
            <w:vAlign w:val="bottom"/>
          </w:tcPr>
          <w:p>
            <w:pPr>
              <w:ind w:left="440"/>
              <w:spacing w:after="0"/>
              <w:rPr>
                <w:sz w:val="20"/>
                <w:szCs w:val="20"/>
                <w:color w:val="auto"/>
              </w:rPr>
            </w:pPr>
            <w:r>
              <w:rPr>
                <w:rFonts w:ascii="Arial" w:cs="Arial" w:eastAsia="Arial" w:hAnsi="Arial"/>
                <w:sz w:val="17"/>
                <w:szCs w:val="17"/>
                <w:color w:val="auto"/>
              </w:rPr>
              <w:t>Total liabilities and stockholders’ equity</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545,639</w:t>
            </w: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442,319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ectPr>
          <w:pgSz w:w="11900" w:h="16838" w:orient="portrait"/>
          <w:cols w:equalWidth="0" w:num="1">
            <w:col w:w="11240"/>
          </w:cols>
          <w:pgMar w:left="320" w:top="5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186690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07"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 and Comprehensive Loss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8"/>
        </w:trPr>
        <w:tc>
          <w:tcPr>
            <w:tcW w:w="794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20"/>
              <w:spacing w:after="0"/>
              <w:rPr>
                <w:sz w:val="20"/>
                <w:szCs w:val="20"/>
                <w:color w:val="auto"/>
              </w:rPr>
            </w:pPr>
            <w:r>
              <w:rPr>
                <w:rFonts w:ascii="Arial" w:cs="Arial" w:eastAsia="Arial" w:hAnsi="Arial"/>
                <w:sz w:val="17"/>
                <w:szCs w:val="17"/>
                <w:color w:val="auto"/>
              </w:rPr>
              <w:t>Grant revenue</w:t>
            </w:r>
          </w:p>
        </w:tc>
        <w:tc>
          <w:tcPr>
            <w:tcW w:w="360" w:type="dxa"/>
            <w:vAlign w:val="bottom"/>
            <w:vMerge w:val="restart"/>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62</w:t>
            </w:r>
          </w:p>
        </w:tc>
        <w:tc>
          <w:tcPr>
            <w:tcW w:w="80" w:type="dxa"/>
            <w:vAlign w:val="bottom"/>
          </w:tcPr>
          <w:p>
            <w:pPr>
              <w:spacing w:after="0"/>
              <w:rPr>
                <w:sz w:val="19"/>
                <w:szCs w:val="19"/>
                <w:color w:val="auto"/>
              </w:rPr>
            </w:pPr>
          </w:p>
        </w:tc>
        <w:tc>
          <w:tcPr>
            <w:tcW w:w="380" w:type="dxa"/>
            <w:vAlign w:val="bottom"/>
            <w:vMerge w:val="restart"/>
          </w:tcPr>
          <w:p>
            <w:pPr>
              <w:jc w:val="right"/>
              <w:ind w:right="174"/>
              <w:spacing w:after="0"/>
              <w:rPr>
                <w:sz w:val="20"/>
                <w:szCs w:val="20"/>
                <w:color w:val="auto"/>
              </w:rPr>
            </w:pPr>
            <w:r>
              <w:rPr>
                <w:rFonts w:ascii="Arial" w:cs="Arial" w:eastAsia="Arial" w:hAnsi="Arial"/>
                <w:sz w:val="17"/>
                <w:szCs w:val="17"/>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177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79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9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revenue</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Research and development</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6,227</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Selling, general and administrative</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10,333</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1,780</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79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operating expenses</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16,560</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6,002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94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(16,498)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(5,825)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income (expense):</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Interest income</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332</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79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other income (expense)</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loss</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(16,429)</w:t>
            </w: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(5,493)</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loss:</w:t>
            </w: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9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Unrealized gain (loss) on available-for-sale securities</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533</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(16,455)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940" w:type="dxa"/>
            <w:vAlign w:val="bottom"/>
          </w:tcPr>
          <w:p>
            <w:pPr>
              <w:ind w:left="20"/>
              <w:spacing w:after="0"/>
              <w:rPr>
                <w:sz w:val="20"/>
                <w:szCs w:val="20"/>
                <w:color w:val="auto"/>
              </w:rPr>
            </w:pPr>
            <w:r>
              <w:rPr>
                <w:rFonts w:ascii="Arial" w:cs="Arial" w:eastAsia="Arial" w:hAnsi="Arial"/>
                <w:sz w:val="17"/>
                <w:szCs w:val="17"/>
                <w:color w:val="auto"/>
              </w:rPr>
              <w:t>Net loss per share attributable to common stockholders, basic and diluted</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(0.27)</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Weighted-average common shares outstanding, basic and diluted</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59,887,842</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8,944,284</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Changes in Stockholders’ Equity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3"/>
            <w:vMerge w:val="restart"/>
          </w:tcPr>
          <w:p>
            <w:pPr>
              <w:jc w:val="right"/>
              <w:ind w:right="86"/>
              <w:spacing w:after="0"/>
              <w:rPr>
                <w:sz w:val="20"/>
                <w:szCs w:val="20"/>
                <w:color w:val="auto"/>
              </w:rPr>
            </w:pPr>
            <w:r>
              <w:rPr>
                <w:rFonts w:ascii="Arial" w:cs="Arial" w:eastAsia="Arial" w:hAnsi="Arial"/>
                <w:sz w:val="14"/>
                <w:szCs w:val="14"/>
                <w:b w:val="1"/>
                <w:bCs w:val="1"/>
                <w:color w:val="auto"/>
              </w:rPr>
              <w:t>Class A and Class B</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Accumulated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80"/>
              <w:spacing w:after="0" w:line="138" w:lineRule="exact"/>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080" w:type="dxa"/>
            <w:vAlign w:val="bottom"/>
          </w:tcPr>
          <w:p>
            <w:pPr>
              <w:spacing w:after="0"/>
              <w:rPr>
                <w:sz w:val="13"/>
                <w:szCs w:val="13"/>
                <w:color w:val="auto"/>
              </w:rPr>
            </w:pPr>
          </w:p>
        </w:tc>
        <w:tc>
          <w:tcPr>
            <w:tcW w:w="1940" w:type="dxa"/>
            <w:vAlign w:val="bottom"/>
            <w:tcBorders>
              <w:bottom w:val="single" w:sz="8" w:color="auto"/>
            </w:tcBorders>
            <w:gridSpan w:val="5"/>
          </w:tcPr>
          <w:p>
            <w:pPr>
              <w:ind w:left="160"/>
              <w:spacing w:after="0" w:line="135" w:lineRule="exact"/>
              <w:rPr>
                <w:sz w:val="20"/>
                <w:szCs w:val="20"/>
                <w:color w:val="auto"/>
              </w:rPr>
            </w:pPr>
            <w:r>
              <w:rPr>
                <w:rFonts w:ascii="Arial" w:cs="Arial" w:eastAsia="Arial" w:hAnsi="Arial"/>
                <w:sz w:val="14"/>
                <w:szCs w:val="14"/>
                <w:b w:val="1"/>
                <w:bCs w:val="1"/>
                <w:color w:val="auto"/>
                <w:w w:val="95"/>
              </w:rPr>
              <w:t>Convertible Preferred Stock</w:t>
            </w:r>
          </w:p>
        </w:tc>
        <w:tc>
          <w:tcPr>
            <w:tcW w:w="80" w:type="dxa"/>
            <w:vAlign w:val="bottom"/>
          </w:tcPr>
          <w:p>
            <w:pPr>
              <w:spacing w:after="0"/>
              <w:rPr>
                <w:sz w:val="13"/>
                <w:szCs w:val="13"/>
                <w:color w:val="auto"/>
              </w:rPr>
            </w:pPr>
          </w:p>
        </w:tc>
        <w:tc>
          <w:tcPr>
            <w:tcW w:w="1740" w:type="dxa"/>
            <w:vAlign w:val="bottom"/>
            <w:tcBorders>
              <w:bottom w:val="single" w:sz="8" w:color="auto"/>
            </w:tcBorders>
            <w:gridSpan w:val="3"/>
          </w:tcPr>
          <w:p>
            <w:pPr>
              <w:jc w:val="right"/>
              <w:ind w:right="226"/>
              <w:spacing w:after="0" w:line="135" w:lineRule="exact"/>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Additional</w:t>
            </w:r>
          </w:p>
        </w:tc>
        <w:tc>
          <w:tcPr>
            <w:tcW w:w="102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Accumulated</w:t>
            </w:r>
          </w:p>
        </w:tc>
        <w:tc>
          <w:tcPr>
            <w:tcW w:w="1120" w:type="dxa"/>
            <w:vAlign w:val="bottom"/>
            <w:gridSpan w:val="3"/>
          </w:tcPr>
          <w:p>
            <w:pPr>
              <w:jc w:val="right"/>
              <w:ind w:right="1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080" w:type="dxa"/>
            <w:vAlign w:val="bottom"/>
          </w:tcPr>
          <w:p>
            <w:pPr>
              <w:spacing w:after="0"/>
              <w:rPr>
                <w:sz w:val="15"/>
                <w:szCs w:val="15"/>
                <w:color w:val="auto"/>
              </w:rPr>
            </w:pPr>
          </w:p>
        </w:tc>
        <w:tc>
          <w:tcPr>
            <w:tcW w:w="680" w:type="dxa"/>
            <w:vAlign w:val="bottom"/>
          </w:tcPr>
          <w:p>
            <w:pPr>
              <w:ind w:left="280"/>
              <w:spacing w:after="0"/>
              <w:rPr>
                <w:sz w:val="20"/>
                <w:szCs w:val="20"/>
                <w:color w:val="auto"/>
              </w:rPr>
            </w:pPr>
            <w:r>
              <w:rPr>
                <w:rFonts w:ascii="Arial" w:cs="Arial" w:eastAsia="Arial" w:hAnsi="Arial"/>
                <w:sz w:val="14"/>
                <w:szCs w:val="14"/>
                <w:b w:val="1"/>
                <w:bCs w:val="1"/>
                <w:color w:val="auto"/>
                <w:w w:val="81"/>
              </w:rPr>
              <w:t>Shares</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Paid in Capital</w:t>
            </w:r>
          </w:p>
        </w:tc>
        <w:tc>
          <w:tcPr>
            <w:tcW w:w="180" w:type="dxa"/>
            <w:vAlign w:val="bottom"/>
          </w:tcPr>
          <w:p>
            <w:pPr>
              <w:spacing w:after="0"/>
              <w:rPr>
                <w:sz w:val="15"/>
                <w:szCs w:val="15"/>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Income</w:t>
            </w:r>
          </w:p>
        </w:tc>
        <w:tc>
          <w:tcPr>
            <w:tcW w:w="220" w:type="dxa"/>
            <w:vAlign w:val="bottom"/>
          </w:tcPr>
          <w:p>
            <w:pPr>
              <w:spacing w:after="0"/>
              <w:rPr>
                <w:sz w:val="15"/>
                <w:szCs w:val="15"/>
                <w:color w:val="auto"/>
              </w:rPr>
            </w:pPr>
          </w:p>
        </w:tc>
        <w:tc>
          <w:tcPr>
            <w:tcW w:w="720" w:type="dxa"/>
            <w:vAlign w:val="bottom"/>
          </w:tcPr>
          <w:p>
            <w:pPr>
              <w:jc w:val="right"/>
              <w:ind w:right="24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
        </w:trPr>
        <w:tc>
          <w:tcPr>
            <w:tcW w:w="30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Balance at December 31, 2020</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59,261,051</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46"/>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486,915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ind w:left="220"/>
              <w:spacing w:after="0"/>
              <w:rPr>
                <w:sz w:val="20"/>
                <w:szCs w:val="20"/>
                <w:color w:val="auto"/>
              </w:rPr>
            </w:pPr>
            <w:r>
              <w:rPr>
                <w:rFonts w:ascii="Arial" w:cs="Arial" w:eastAsia="Arial" w:hAnsi="Arial"/>
                <w:sz w:val="15"/>
                <w:szCs w:val="15"/>
                <w:color w:val="auto"/>
                <w:w w:val="96"/>
              </w:rPr>
              <w:t>(55,361)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54</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431,609</w:t>
            </w:r>
          </w:p>
        </w:tc>
        <w:tc>
          <w:tcPr>
            <w:tcW w:w="0" w:type="dxa"/>
            <w:vAlign w:val="bottom"/>
          </w:tcPr>
          <w:p>
            <w:pPr>
              <w:spacing w:after="0"/>
              <w:rPr>
                <w:sz w:val="1"/>
                <w:szCs w:val="1"/>
                <w:color w:val="auto"/>
              </w:rPr>
            </w:pPr>
          </w:p>
        </w:tc>
      </w:tr>
      <w:tr>
        <w:trPr>
          <w:trHeight w:val="159"/>
        </w:trPr>
        <w:tc>
          <w:tcPr>
            <w:tcW w:w="3760" w:type="dxa"/>
            <w:vAlign w:val="bottom"/>
            <w:gridSpan w:val="2"/>
          </w:tcPr>
          <w:p>
            <w:pPr>
              <w:ind w:left="120"/>
              <w:spacing w:after="0" w:line="159" w:lineRule="exact"/>
              <w:rPr>
                <w:sz w:val="20"/>
                <w:szCs w:val="20"/>
                <w:color w:val="auto"/>
              </w:rPr>
            </w:pPr>
            <w:r>
              <w:rPr>
                <w:rFonts w:ascii="Arial" w:cs="Arial" w:eastAsia="Arial" w:hAnsi="Arial"/>
                <w:sz w:val="15"/>
                <w:szCs w:val="15"/>
                <w:color w:val="auto"/>
              </w:rPr>
              <w:t>Issuance of Class A common stock from</w:t>
            </w:r>
          </w:p>
        </w:tc>
        <w:tc>
          <w:tcPr>
            <w:tcW w:w="320" w:type="dxa"/>
            <w:vAlign w:val="bottom"/>
            <w:gridSpan w:val="2"/>
            <w:vMerge w:val="restart"/>
          </w:tcPr>
          <w:p>
            <w:pPr>
              <w:ind w:left="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399,174</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w w:val="93"/>
              </w:rPr>
              <w:t>—</w:t>
            </w:r>
          </w:p>
        </w:tc>
        <w:tc>
          <w:tcPr>
            <w:tcW w:w="1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171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restart"/>
          </w:tcPr>
          <w:p>
            <w:pPr>
              <w:ind w:left="5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171</w:t>
            </w:r>
          </w:p>
        </w:tc>
        <w:tc>
          <w:tcPr>
            <w:tcW w:w="0" w:type="dxa"/>
            <w:vAlign w:val="bottom"/>
          </w:tcPr>
          <w:p>
            <w:pPr>
              <w:spacing w:after="0"/>
              <w:rPr>
                <w:sz w:val="1"/>
                <w:szCs w:val="1"/>
                <w:color w:val="auto"/>
              </w:rPr>
            </w:pPr>
          </w:p>
        </w:tc>
      </w:tr>
      <w:tr>
        <w:trPr>
          <w:trHeight w:val="198"/>
        </w:trPr>
        <w:tc>
          <w:tcPr>
            <w:tcW w:w="3760" w:type="dxa"/>
            <w:vAlign w:val="bottom"/>
            <w:gridSpan w:val="2"/>
          </w:tcPr>
          <w:p>
            <w:pPr>
              <w:ind w:left="280"/>
              <w:spacing w:after="0"/>
              <w:rPr>
                <w:sz w:val="20"/>
                <w:szCs w:val="20"/>
                <w:color w:val="auto"/>
              </w:rPr>
            </w:pPr>
            <w:r>
              <w:rPr>
                <w:rFonts w:ascii="Arial" w:cs="Arial" w:eastAsia="Arial" w:hAnsi="Arial"/>
                <w:sz w:val="15"/>
                <w:szCs w:val="15"/>
                <w:color w:val="auto"/>
              </w:rPr>
              <w:t>exercise of options</w:t>
            </w:r>
          </w:p>
        </w:tc>
        <w:tc>
          <w:tcPr>
            <w:tcW w:w="3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Repurchase of Class A common stock</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(876)</w:t>
            </w: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9"/>
        </w:trPr>
        <w:tc>
          <w:tcPr>
            <w:tcW w:w="3760" w:type="dxa"/>
            <w:vAlign w:val="bottom"/>
            <w:gridSpan w:val="2"/>
          </w:tcPr>
          <w:p>
            <w:pPr>
              <w:ind w:left="120"/>
              <w:spacing w:after="0" w:line="159" w:lineRule="exact"/>
              <w:rPr>
                <w:sz w:val="20"/>
                <w:szCs w:val="20"/>
                <w:color w:val="auto"/>
              </w:rPr>
            </w:pPr>
            <w:r>
              <w:rPr>
                <w:rFonts w:ascii="Arial" w:cs="Arial" w:eastAsia="Arial" w:hAnsi="Arial"/>
                <w:sz w:val="15"/>
                <w:szCs w:val="15"/>
                <w:color w:val="auto"/>
              </w:rPr>
              <w:t>Vesting of early exercised stock options and</w:t>
            </w:r>
          </w:p>
        </w:tc>
        <w:tc>
          <w:tcPr>
            <w:tcW w:w="320" w:type="dxa"/>
            <w:vAlign w:val="bottom"/>
            <w:gridSpan w:val="2"/>
            <w:vMerge w:val="restart"/>
          </w:tcPr>
          <w:p>
            <w:pPr>
              <w:ind w:left="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Arial" w:cs="Arial" w:eastAsia="Arial" w:hAnsi="Arial"/>
                <w:sz w:val="15"/>
                <w:szCs w:val="15"/>
                <w:color w:val="auto"/>
              </w:rPr>
              <w: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tcPr>
          <w:p>
            <w:pPr>
              <w:spacing w:after="0"/>
              <w:rPr>
                <w:sz w:val="13"/>
                <w:szCs w:val="13"/>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w w:val="93"/>
              </w:rPr>
              <w:t>—</w:t>
            </w:r>
          </w:p>
        </w:tc>
        <w:tc>
          <w:tcPr>
            <w:tcW w:w="1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44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restart"/>
          </w:tcPr>
          <w:p>
            <w:pPr>
              <w:ind w:left="5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98"/>
        </w:trPr>
        <w:tc>
          <w:tcPr>
            <w:tcW w:w="3760" w:type="dxa"/>
            <w:vAlign w:val="bottom"/>
            <w:gridSpan w:val="2"/>
          </w:tcPr>
          <w:p>
            <w:pPr>
              <w:ind w:left="280"/>
              <w:spacing w:after="0"/>
              <w:rPr>
                <w:sz w:val="20"/>
                <w:szCs w:val="20"/>
                <w:color w:val="auto"/>
              </w:rPr>
            </w:pPr>
            <w:r>
              <w:rPr>
                <w:rFonts w:ascii="Arial" w:cs="Arial" w:eastAsia="Arial" w:hAnsi="Arial"/>
                <w:sz w:val="15"/>
                <w:szCs w:val="15"/>
                <w:color w:val="auto"/>
              </w:rPr>
              <w:t>restricted common stock</w:t>
            </w:r>
          </w:p>
        </w:tc>
        <w:tc>
          <w:tcPr>
            <w:tcW w:w="3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760" w:type="dxa"/>
            <w:vAlign w:val="bottom"/>
            <w:gridSpan w:val="2"/>
            <w:shd w:val="clear" w:color="auto" w:fill="CCEEFF"/>
          </w:tcPr>
          <w:p>
            <w:pPr>
              <w:ind w:left="120"/>
              <w:spacing w:after="0" w:line="161" w:lineRule="exact"/>
              <w:rPr>
                <w:sz w:val="20"/>
                <w:szCs w:val="20"/>
                <w:color w:val="auto"/>
              </w:rPr>
            </w:pPr>
            <w:r>
              <w:rPr>
                <w:rFonts w:ascii="Arial" w:cs="Arial" w:eastAsia="Arial" w:hAnsi="Arial"/>
                <w:sz w:val="15"/>
                <w:szCs w:val="15"/>
                <w:color w:val="auto"/>
              </w:rPr>
              <w:t>Issuance of Class A common stock upon</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760" w:type="dxa"/>
            <w:vAlign w:val="bottom"/>
            <w:gridSpan w:val="2"/>
            <w:shd w:val="clear" w:color="auto" w:fill="CCEEFF"/>
          </w:tcPr>
          <w:p>
            <w:pPr>
              <w:ind w:left="280"/>
              <w:spacing w:after="0" w:line="154" w:lineRule="exact"/>
              <w:rPr>
                <w:sz w:val="20"/>
                <w:szCs w:val="20"/>
                <w:color w:val="auto"/>
              </w:rPr>
            </w:pPr>
            <w:r>
              <w:rPr>
                <w:rFonts w:ascii="Arial" w:cs="Arial" w:eastAsia="Arial" w:hAnsi="Arial"/>
                <w:sz w:val="15"/>
                <w:szCs w:val="15"/>
                <w:color w:val="auto"/>
              </w:rPr>
              <w:t>follow-on offering, net of issuance costs of</w:t>
            </w:r>
          </w:p>
        </w:tc>
        <w:tc>
          <w:tcPr>
            <w:tcW w:w="320" w:type="dxa"/>
            <w:vAlign w:val="bottom"/>
            <w:gridSpan w:val="2"/>
            <w:vMerge w:val="restart"/>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1,650,000</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102,959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102,959</w:t>
            </w:r>
          </w:p>
        </w:tc>
        <w:tc>
          <w:tcPr>
            <w:tcW w:w="0" w:type="dxa"/>
            <w:vAlign w:val="bottom"/>
          </w:tcPr>
          <w:p>
            <w:pPr>
              <w:spacing w:after="0"/>
              <w:rPr>
                <w:sz w:val="1"/>
                <w:szCs w:val="1"/>
                <w:color w:val="auto"/>
              </w:rPr>
            </w:pPr>
          </w:p>
        </w:tc>
      </w:tr>
      <w:tr>
        <w:trPr>
          <w:trHeight w:val="201"/>
        </w:trPr>
        <w:tc>
          <w:tcPr>
            <w:tcW w:w="30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$7,591</w:t>
            </w:r>
          </w:p>
        </w:tc>
        <w:tc>
          <w:tcPr>
            <w:tcW w:w="680" w:type="dxa"/>
            <w:vAlign w:val="bottom"/>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60" w:type="dxa"/>
            <w:vAlign w:val="bottom"/>
            <w:gridSpan w:val="2"/>
          </w:tcPr>
          <w:p>
            <w:pPr>
              <w:ind w:left="120"/>
              <w:spacing w:after="0"/>
              <w:rPr>
                <w:sz w:val="20"/>
                <w:szCs w:val="20"/>
                <w:color w:val="auto"/>
              </w:rPr>
            </w:pPr>
            <w:r>
              <w:rPr>
                <w:rFonts w:ascii="Arial" w:cs="Arial" w:eastAsia="Arial" w:hAnsi="Arial"/>
                <w:sz w:val="15"/>
                <w:szCs w:val="15"/>
                <w:color w:val="auto"/>
              </w:rPr>
              <w:t>Return of profit</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11,403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11,403</w:t>
            </w:r>
          </w:p>
        </w:tc>
        <w:tc>
          <w:tcPr>
            <w:tcW w:w="0" w:type="dxa"/>
            <w:vAlign w:val="bottom"/>
          </w:tcPr>
          <w:p>
            <w:pPr>
              <w:spacing w:after="0"/>
              <w:rPr>
                <w:sz w:val="1"/>
                <w:szCs w:val="1"/>
                <w:color w:val="auto"/>
              </w:rPr>
            </w:pPr>
          </w:p>
        </w:tc>
      </w:tr>
      <w:tr>
        <w:trPr>
          <w:trHeight w:val="234"/>
        </w:trPr>
        <w:tc>
          <w:tcPr>
            <w:tcW w:w="37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Stock-based compensation</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3"/>
              </w:rPr>
              <w: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6,039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6,039</w:t>
            </w:r>
          </w:p>
        </w:tc>
        <w:tc>
          <w:tcPr>
            <w:tcW w:w="0" w:type="dxa"/>
            <w:vAlign w:val="bottom"/>
          </w:tcPr>
          <w:p>
            <w:pPr>
              <w:spacing w:after="0"/>
              <w:rPr>
                <w:sz w:val="1"/>
                <w:szCs w:val="1"/>
                <w:color w:val="auto"/>
              </w:rPr>
            </w:pPr>
          </w:p>
        </w:tc>
      </w:tr>
      <w:tr>
        <w:trPr>
          <w:trHeight w:val="229"/>
        </w:trPr>
        <w:tc>
          <w:tcPr>
            <w:tcW w:w="3760" w:type="dxa"/>
            <w:vAlign w:val="bottom"/>
            <w:gridSpan w:val="2"/>
          </w:tcPr>
          <w:p>
            <w:pPr>
              <w:ind w:left="120"/>
              <w:spacing w:after="0"/>
              <w:rPr>
                <w:sz w:val="20"/>
                <w:szCs w:val="20"/>
                <w:color w:val="auto"/>
              </w:rPr>
            </w:pPr>
            <w:r>
              <w:rPr>
                <w:rFonts w:ascii="Arial" w:cs="Arial" w:eastAsia="Arial" w:hAnsi="Arial"/>
                <w:sz w:val="15"/>
                <w:szCs w:val="15"/>
                <w:color w:val="auto"/>
              </w:rPr>
              <w:t>Other comprehensive income</w:t>
            </w:r>
          </w:p>
        </w:tc>
        <w:tc>
          <w:tcPr>
            <w:tcW w:w="32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8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w w:val="93"/>
              </w:rPr>
              <w:t>—</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8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31"/>
        </w:trPr>
        <w:tc>
          <w:tcPr>
            <w:tcW w:w="3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loss</w:t>
            </w:r>
          </w:p>
        </w:tc>
        <w:tc>
          <w:tcPr>
            <w:tcW w:w="68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3"/>
              </w:rPr>
              <w:t>—</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w w:val="96"/>
              </w:rPr>
              <w:t>(16,429)</w:t>
            </w:r>
          </w:p>
        </w:tc>
        <w:tc>
          <w:tcPr>
            <w:tcW w:w="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(16,429)</w:t>
            </w:r>
          </w:p>
        </w:tc>
        <w:tc>
          <w:tcPr>
            <w:tcW w:w="0" w:type="dxa"/>
            <w:vAlign w:val="bottom"/>
          </w:tcPr>
          <w:p>
            <w:pPr>
              <w:spacing w:after="0"/>
              <w:rPr>
                <w:sz w:val="1"/>
                <w:szCs w:val="1"/>
                <w:color w:val="auto"/>
              </w:rPr>
            </w:pPr>
          </w:p>
        </w:tc>
      </w:tr>
      <w:tr>
        <w:trPr>
          <w:trHeight w:val="227"/>
        </w:trPr>
        <w:tc>
          <w:tcPr>
            <w:tcW w:w="3760" w:type="dxa"/>
            <w:vAlign w:val="bottom"/>
            <w:gridSpan w:val="2"/>
          </w:tcPr>
          <w:p>
            <w:pPr>
              <w:ind w:left="20"/>
              <w:spacing w:after="0"/>
              <w:rPr>
                <w:sz w:val="20"/>
                <w:szCs w:val="20"/>
                <w:color w:val="auto"/>
              </w:rPr>
            </w:pPr>
            <w:r>
              <w:rPr>
                <w:rFonts w:ascii="Arial" w:cs="Arial" w:eastAsia="Arial" w:hAnsi="Arial"/>
                <w:sz w:val="15"/>
                <w:szCs w:val="15"/>
                <w:color w:val="auto"/>
              </w:rPr>
              <w:t>Balance at March 31, 2021</w:t>
            </w:r>
          </w:p>
        </w:tc>
        <w:tc>
          <w:tcPr>
            <w:tcW w:w="32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84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61,309,349</w:t>
            </w:r>
          </w:p>
        </w:tc>
        <w:tc>
          <w:tcPr>
            <w:tcW w:w="80" w:type="dxa"/>
            <w:vAlign w:val="bottom"/>
          </w:tcPr>
          <w:p>
            <w:pPr>
              <w:spacing w:after="0"/>
              <w:rPr>
                <w:sz w:val="19"/>
                <w:szCs w:val="19"/>
                <w:color w:val="auto"/>
              </w:rPr>
            </w:pPr>
          </w:p>
        </w:tc>
        <w:tc>
          <w:tcPr>
            <w:tcW w:w="700" w:type="dxa"/>
            <w:vAlign w:val="bottom"/>
          </w:tcPr>
          <w:p>
            <w:pPr>
              <w:jc w:val="right"/>
              <w:ind w:right="546"/>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607,531</w:t>
            </w:r>
          </w:p>
        </w:tc>
        <w:tc>
          <w:tcPr>
            <w:tcW w:w="80" w:type="dxa"/>
            <w:vAlign w:val="bottom"/>
          </w:tcPr>
          <w:p>
            <w:pPr>
              <w:spacing w:after="0"/>
              <w:rPr>
                <w:sz w:val="19"/>
                <w:szCs w:val="19"/>
                <w:color w:val="auto"/>
              </w:rPr>
            </w:pP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780" w:type="dxa"/>
            <w:vAlign w:val="bottom"/>
          </w:tcPr>
          <w:p>
            <w:pPr>
              <w:ind w:left="220"/>
              <w:spacing w:after="0"/>
              <w:rPr>
                <w:sz w:val="20"/>
                <w:szCs w:val="20"/>
                <w:color w:val="auto"/>
              </w:rPr>
            </w:pPr>
            <w:r>
              <w:rPr>
                <w:rFonts w:ascii="Arial" w:cs="Arial" w:eastAsia="Arial" w:hAnsi="Arial"/>
                <w:sz w:val="15"/>
                <w:szCs w:val="15"/>
                <w:color w:val="auto"/>
                <w:w w:val="96"/>
              </w:rPr>
              <w:t>(71,790)</w:t>
            </w: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28</w:t>
            </w:r>
          </w:p>
        </w:tc>
        <w:tc>
          <w:tcPr>
            <w:tcW w:w="60" w:type="dxa"/>
            <w:vAlign w:val="bottom"/>
          </w:tcPr>
          <w:p>
            <w:pPr>
              <w:spacing w:after="0"/>
              <w:rPr>
                <w:sz w:val="19"/>
                <w:szCs w:val="19"/>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535,770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ind w:right="420"/>
        <w:spacing w:after="0"/>
        <w:rPr>
          <w:sz w:val="20"/>
          <w:szCs w:val="20"/>
          <w:color w:val="auto"/>
        </w:rPr>
      </w:pPr>
      <w:r>
        <w:rPr>
          <w:rFonts w:ascii="Arial" w:cs="Arial" w:eastAsia="Arial" w:hAnsi="Arial"/>
          <w:sz w:val="17"/>
          <w:szCs w:val="17"/>
          <w:b w:val="1"/>
          <w:bCs w:val="1"/>
          <w:color w:val="auto"/>
        </w:rPr>
        <w:t>SEER, INC.</w:t>
      </w:r>
    </w:p>
    <w:p>
      <w:pPr>
        <w:spacing w:after="0" w:line="27"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auto"/>
        </w:rPr>
        <w:t>Condensed Consolidated Statements of Changes in Stockholders’ Equity</w:t>
      </w:r>
    </w:p>
    <w:p>
      <w:pPr>
        <w:spacing w:after="0" w:line="10"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auto"/>
        </w:rPr>
        <w:t>(Unaudited)</w:t>
      </w:r>
    </w:p>
    <w:p>
      <w:pPr>
        <w:spacing w:after="0" w:line="153"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Class A and Class B</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2440" w:type="dxa"/>
            <w:vAlign w:val="bottom"/>
            <w:tcBorders>
              <w:bottom w:val="single" w:sz="8" w:color="auto"/>
            </w:tcBorders>
            <w:gridSpan w:val="4"/>
          </w:tcPr>
          <w:p>
            <w:pPr>
              <w:jc w:val="right"/>
              <w:ind w:right="164"/>
              <w:spacing w:after="0" w:line="135" w:lineRule="exact"/>
              <w:rPr>
                <w:sz w:val="20"/>
                <w:szCs w:val="20"/>
                <w:color w:val="auto"/>
              </w:rPr>
            </w:pPr>
            <w:r>
              <w:rPr>
                <w:rFonts w:ascii="Arial" w:cs="Arial" w:eastAsia="Arial" w:hAnsi="Arial"/>
                <w:sz w:val="14"/>
                <w:szCs w:val="14"/>
                <w:b w:val="1"/>
                <w:bCs w:val="1"/>
                <w:color w:val="auto"/>
              </w:rPr>
              <w:t>Convertible Preferred Stock</w:t>
            </w:r>
          </w:p>
        </w:tc>
        <w:tc>
          <w:tcPr>
            <w:tcW w:w="80" w:type="dxa"/>
            <w:vAlign w:val="bottom"/>
          </w:tcPr>
          <w:p>
            <w:pPr>
              <w:spacing w:after="0"/>
              <w:rPr>
                <w:sz w:val="13"/>
                <w:szCs w:val="13"/>
                <w:color w:val="auto"/>
              </w:rPr>
            </w:pPr>
          </w:p>
        </w:tc>
        <w:tc>
          <w:tcPr>
            <w:tcW w:w="1860" w:type="dxa"/>
            <w:vAlign w:val="bottom"/>
            <w:tcBorders>
              <w:bottom w:val="single" w:sz="8" w:color="auto"/>
            </w:tcBorders>
            <w:gridSpan w:val="3"/>
          </w:tcPr>
          <w:p>
            <w:pPr>
              <w:jc w:val="right"/>
              <w:ind w:right="126"/>
              <w:spacing w:after="0" w:line="135" w:lineRule="exact"/>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Additional</w:t>
            </w:r>
          </w:p>
        </w:tc>
        <w:tc>
          <w:tcPr>
            <w:tcW w:w="400" w:type="dxa"/>
            <w:vAlign w:val="bottom"/>
          </w:tcPr>
          <w:p>
            <w:pPr>
              <w:spacing w:after="0"/>
              <w:rPr>
                <w:sz w:val="13"/>
                <w:szCs w:val="13"/>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Accumulated</w:t>
            </w:r>
          </w:p>
        </w:tc>
        <w:tc>
          <w:tcPr>
            <w:tcW w:w="152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w w:val="97"/>
              </w:rPr>
              <w:t>Other Comprehensive</w:t>
            </w: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220" w:type="dxa"/>
            <w:vAlign w:val="bottom"/>
          </w:tcPr>
          <w:p>
            <w:pPr>
              <w:spacing w:after="0"/>
              <w:rPr>
                <w:sz w:val="15"/>
                <w:szCs w:val="15"/>
                <w:color w:val="auto"/>
              </w:rPr>
            </w:pPr>
          </w:p>
        </w:tc>
        <w:tc>
          <w:tcPr>
            <w:tcW w:w="1160" w:type="dxa"/>
            <w:vAlign w:val="bottom"/>
            <w:gridSpan w:val="2"/>
          </w:tcPr>
          <w:p>
            <w:pPr>
              <w:ind w:left="500"/>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15"/>
                <w:szCs w:val="15"/>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2"/>
          </w:tcPr>
          <w:p>
            <w:pPr>
              <w:ind w:left="500"/>
              <w:spacing w:after="0"/>
              <w:rPr>
                <w:sz w:val="20"/>
                <w:szCs w:val="20"/>
                <w:color w:val="auto"/>
              </w:rPr>
            </w:pPr>
            <w:r>
              <w:rPr>
                <w:rFonts w:ascii="Arial" w:cs="Arial" w:eastAsia="Arial" w:hAnsi="Arial"/>
                <w:sz w:val="14"/>
                <w:szCs w:val="14"/>
                <w:b w:val="1"/>
                <w:bCs w:val="1"/>
                <w:color w:val="auto"/>
              </w:rPr>
              <w:t>Shares</w:t>
            </w:r>
          </w:p>
        </w:tc>
        <w:tc>
          <w:tcPr>
            <w:tcW w:w="1040" w:type="dxa"/>
            <w:vAlign w:val="bottom"/>
            <w:gridSpan w:val="3"/>
          </w:tcPr>
          <w:p>
            <w:pPr>
              <w:ind w:left="40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3"/>
          </w:tcPr>
          <w:p>
            <w:pPr>
              <w:ind w:left="140"/>
              <w:spacing w:after="0"/>
              <w:rPr>
                <w:sz w:val="20"/>
                <w:szCs w:val="20"/>
                <w:color w:val="auto"/>
              </w:rPr>
            </w:pPr>
            <w:r>
              <w:rPr>
                <w:rFonts w:ascii="Arial" w:cs="Arial" w:eastAsia="Arial" w:hAnsi="Arial"/>
                <w:sz w:val="14"/>
                <w:szCs w:val="14"/>
                <w:b w:val="1"/>
                <w:bCs w:val="1"/>
                <w:color w:val="auto"/>
              </w:rPr>
              <w:t>Paid in Capital</w:t>
            </w:r>
          </w:p>
        </w:tc>
        <w:tc>
          <w:tcPr>
            <w:tcW w:w="40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Deficit</w:t>
            </w:r>
          </w:p>
        </w:tc>
        <w:tc>
          <w:tcPr>
            <w:tcW w:w="46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Income</w:t>
            </w:r>
          </w:p>
        </w:tc>
        <w:tc>
          <w:tcPr>
            <w:tcW w:w="500" w:type="dxa"/>
            <w:vAlign w:val="bottom"/>
          </w:tcPr>
          <w:p>
            <w:pPr>
              <w:spacing w:after="0"/>
              <w:rPr>
                <w:sz w:val="15"/>
                <w:szCs w:val="15"/>
                <w:color w:val="auto"/>
              </w:rPr>
            </w:pPr>
          </w:p>
        </w:tc>
        <w:tc>
          <w:tcPr>
            <w:tcW w:w="500" w:type="dxa"/>
            <w:vAlign w:val="bottom"/>
          </w:tcPr>
          <w:p>
            <w:pPr>
              <w:jc w:val="right"/>
              <w:ind w:right="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
        </w:trPr>
        <w:tc>
          <w:tcPr>
            <w:tcW w:w="1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1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Balance at</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20" w:type="dxa"/>
            <w:vAlign w:val="bottom"/>
            <w:shd w:val="clear" w:color="auto" w:fill="CCEEFF"/>
          </w:tcPr>
          <w:p>
            <w:pPr>
              <w:spacing w:after="0"/>
              <w:rPr>
                <w:sz w:val="20"/>
                <w:szCs w:val="20"/>
                <w:color w:val="auto"/>
              </w:rPr>
            </w:pPr>
            <w:r>
              <w:rPr>
                <w:rFonts w:ascii="Arial" w:cs="Arial" w:eastAsia="Arial" w:hAnsi="Arial"/>
                <w:sz w:val="15"/>
                <w:szCs w:val="15"/>
                <w:color w:val="auto"/>
              </w:rPr>
              <w:t>December 31,</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220" w:type="dxa"/>
            <w:vAlign w:val="bottom"/>
            <w:shd w:val="clear" w:color="auto" w:fill="CCEEFF"/>
          </w:tcPr>
          <w:p>
            <w:pPr>
              <w:spacing w:after="0"/>
              <w:rPr>
                <w:sz w:val="20"/>
                <w:szCs w:val="20"/>
                <w:color w:val="auto"/>
              </w:rPr>
            </w:pPr>
            <w:r>
              <w:rPr>
                <w:rFonts w:ascii="Arial" w:cs="Arial" w:eastAsia="Arial" w:hAnsi="Arial"/>
                <w:sz w:val="15"/>
                <w:szCs w:val="15"/>
                <w:color w:val="auto"/>
              </w:rPr>
              <w:t>2019</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22,173,216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107,953</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12,193,677</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rPr>
              <w:t>$</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(22,586)</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87,6</w:t>
            </w:r>
          </w:p>
        </w:tc>
        <w:tc>
          <w:tcPr>
            <w:tcW w:w="0" w:type="dxa"/>
            <w:vAlign w:val="bottom"/>
          </w:tcPr>
          <w:p>
            <w:pPr>
              <w:spacing w:after="0"/>
              <w:rPr>
                <w:sz w:val="1"/>
                <w:szCs w:val="1"/>
                <w:color w:val="auto"/>
              </w:rPr>
            </w:pPr>
          </w:p>
        </w:tc>
      </w:tr>
      <w:tr>
        <w:trPr>
          <w:trHeight w:val="159"/>
        </w:trPr>
        <w:tc>
          <w:tcPr>
            <w:tcW w:w="1220" w:type="dxa"/>
            <w:vAlign w:val="bottom"/>
          </w:tcPr>
          <w:p>
            <w:pPr>
              <w:ind w:left="120"/>
              <w:spacing w:after="0" w:line="159" w:lineRule="exact"/>
              <w:rPr>
                <w:sz w:val="20"/>
                <w:szCs w:val="20"/>
                <w:color w:val="auto"/>
              </w:rPr>
            </w:pPr>
            <w:r>
              <w:rPr>
                <w:rFonts w:ascii="Arial" w:cs="Arial" w:eastAsia="Arial" w:hAnsi="Arial"/>
                <w:sz w:val="15"/>
                <w:szCs w:val="15"/>
                <w:color w:val="auto"/>
                <w:w w:val="91"/>
              </w:rPr>
              <w:t>Issuance of Class</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20" w:type="dxa"/>
            <w:vAlign w:val="bottom"/>
          </w:tcPr>
          <w:p>
            <w:pPr>
              <w:ind w:left="260"/>
              <w:spacing w:after="0" w:line="154" w:lineRule="exact"/>
              <w:rPr>
                <w:sz w:val="20"/>
                <w:szCs w:val="20"/>
                <w:color w:val="auto"/>
              </w:rPr>
            </w:pPr>
            <w:r>
              <w:rPr>
                <w:rFonts w:ascii="Arial" w:cs="Arial" w:eastAsia="Arial" w:hAnsi="Arial"/>
                <w:sz w:val="15"/>
                <w:szCs w:val="15"/>
                <w:color w:val="auto"/>
              </w:rPr>
              <w:t>A common</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20" w:type="dxa"/>
            <w:vAlign w:val="bottom"/>
          </w:tcPr>
          <w:p>
            <w:pPr>
              <w:ind w:left="260"/>
              <w:spacing w:after="0" w:line="154" w:lineRule="exact"/>
              <w:rPr>
                <w:sz w:val="20"/>
                <w:szCs w:val="20"/>
                <w:color w:val="auto"/>
              </w:rPr>
            </w:pPr>
            <w:r>
              <w:rPr>
                <w:rFonts w:ascii="Arial" w:cs="Arial" w:eastAsia="Arial" w:hAnsi="Arial"/>
                <w:sz w:val="15"/>
                <w:szCs w:val="15"/>
                <w:color w:val="auto"/>
              </w:rPr>
              <w:t>stock from</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20" w:type="dxa"/>
            <w:vAlign w:val="bottom"/>
          </w:tcPr>
          <w:p>
            <w:pPr>
              <w:ind w:left="260"/>
              <w:spacing w:after="0" w:line="154" w:lineRule="exact"/>
              <w:rPr>
                <w:sz w:val="20"/>
                <w:szCs w:val="20"/>
                <w:color w:val="auto"/>
              </w:rPr>
            </w:pPr>
            <w:r>
              <w:rPr>
                <w:rFonts w:ascii="Arial" w:cs="Arial" w:eastAsia="Arial" w:hAnsi="Arial"/>
                <w:sz w:val="15"/>
                <w:szCs w:val="15"/>
                <w:color w:val="auto"/>
              </w:rPr>
              <w:t>exercise of</w:t>
            </w: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40,207</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24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vMerge w:val="restart"/>
          </w:tcPr>
          <w:p>
            <w:pPr>
              <w:ind w:left="66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3"/>
                <w:szCs w:val="13"/>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220" w:type="dxa"/>
            <w:vAlign w:val="bottom"/>
          </w:tcPr>
          <w:p>
            <w:pPr>
              <w:ind w:left="260"/>
              <w:spacing w:after="0"/>
              <w:rPr>
                <w:sz w:val="20"/>
                <w:szCs w:val="20"/>
                <w:color w:val="auto"/>
              </w:rPr>
            </w:pPr>
            <w:r>
              <w:rPr>
                <w:rFonts w:ascii="Arial" w:cs="Arial" w:eastAsia="Arial" w:hAnsi="Arial"/>
                <w:sz w:val="15"/>
                <w:szCs w:val="15"/>
                <w:color w:val="auto"/>
              </w:rPr>
              <w:t>options</w:t>
            </w:r>
          </w:p>
        </w:tc>
        <w:tc>
          <w:tcPr>
            <w:tcW w:w="116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ind w:left="60"/>
              <w:spacing w:after="0" w:line="161" w:lineRule="exact"/>
              <w:rPr>
                <w:sz w:val="20"/>
                <w:szCs w:val="20"/>
                <w:color w:val="auto"/>
              </w:rPr>
            </w:pPr>
            <w:r>
              <w:rPr>
                <w:rFonts w:ascii="Arial" w:cs="Arial" w:eastAsia="Arial" w:hAnsi="Arial"/>
                <w:sz w:val="15"/>
                <w:szCs w:val="15"/>
                <w:color w:val="auto"/>
              </w:rPr>
              <w:t>Vesting of early</w:t>
            </w: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220" w:type="dxa"/>
            <w:vAlign w:val="bottom"/>
            <w:shd w:val="clear" w:color="auto" w:fill="CCEEFF"/>
          </w:tcPr>
          <w:p>
            <w:pPr>
              <w:ind w:left="220"/>
              <w:spacing w:after="0" w:line="154" w:lineRule="exact"/>
              <w:rPr>
                <w:sz w:val="20"/>
                <w:szCs w:val="20"/>
                <w:color w:val="auto"/>
              </w:rPr>
            </w:pPr>
            <w:r>
              <w:rPr>
                <w:rFonts w:ascii="Arial" w:cs="Arial" w:eastAsia="Arial" w:hAnsi="Arial"/>
                <w:sz w:val="15"/>
                <w:szCs w:val="15"/>
                <w:color w:val="auto"/>
                <w:w w:val="94"/>
              </w:rPr>
              <w:t>exercised stock</w:t>
            </w: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20" w:type="dxa"/>
            <w:vAlign w:val="bottom"/>
            <w:shd w:val="clear" w:color="auto" w:fill="CCEEFF"/>
          </w:tcPr>
          <w:p>
            <w:pPr>
              <w:ind w:left="220"/>
              <w:spacing w:after="0" w:line="154" w:lineRule="exact"/>
              <w:rPr>
                <w:sz w:val="20"/>
                <w:szCs w:val="20"/>
                <w:color w:val="auto"/>
              </w:rPr>
            </w:pPr>
            <w:r>
              <w:rPr>
                <w:rFonts w:ascii="Arial" w:cs="Arial" w:eastAsia="Arial" w:hAnsi="Arial"/>
                <w:sz w:val="15"/>
                <w:szCs w:val="15"/>
                <w:color w:val="auto"/>
              </w:rPr>
              <w:t>options and</w:t>
            </w: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20" w:type="dxa"/>
            <w:vAlign w:val="bottom"/>
            <w:shd w:val="clear" w:color="auto" w:fill="CCEEFF"/>
          </w:tcPr>
          <w:p>
            <w:pPr>
              <w:ind w:left="220"/>
              <w:spacing w:after="0" w:line="154" w:lineRule="exact"/>
              <w:rPr>
                <w:sz w:val="20"/>
                <w:szCs w:val="20"/>
                <w:color w:val="auto"/>
              </w:rPr>
            </w:pPr>
            <w:r>
              <w:rPr>
                <w:rFonts w:ascii="Arial" w:cs="Arial" w:eastAsia="Arial" w:hAnsi="Arial"/>
                <w:sz w:val="15"/>
                <w:szCs w:val="15"/>
                <w:color w:val="auto"/>
              </w:rPr>
              <w:t>restricted</w:t>
            </w: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6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common stock</w:t>
            </w:r>
          </w:p>
        </w:tc>
        <w:tc>
          <w:tcPr>
            <w:tcW w:w="1160" w:type="dxa"/>
            <w:vAlign w:val="bottom"/>
            <w:gridSpan w:val="2"/>
            <w:vMerge w:val="continue"/>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1220" w:type="dxa"/>
            <w:vAlign w:val="bottom"/>
          </w:tcPr>
          <w:p>
            <w:pPr>
              <w:ind w:left="420"/>
              <w:spacing w:after="0" w:line="159" w:lineRule="exact"/>
              <w:rPr>
                <w:sz w:val="20"/>
                <w:szCs w:val="20"/>
                <w:color w:val="auto"/>
              </w:rPr>
            </w:pPr>
            <w:r>
              <w:rPr>
                <w:rFonts w:ascii="Arial" w:cs="Arial" w:eastAsia="Arial" w:hAnsi="Arial"/>
                <w:sz w:val="15"/>
                <w:szCs w:val="15"/>
                <w:color w:val="auto"/>
                <w:w w:val="93"/>
              </w:rPr>
              <w:t>Stock-based</w:t>
            </w: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tcPr>
          <w:p>
            <w:pPr>
              <w:spacing w:after="0"/>
              <w:rPr>
                <w:sz w:val="13"/>
                <w:szCs w:val="13"/>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579</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vMerge w:val="restart"/>
          </w:tcPr>
          <w:p>
            <w:pPr>
              <w:ind w:left="66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3"/>
                <w:szCs w:val="13"/>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0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98"/>
        </w:trPr>
        <w:tc>
          <w:tcPr>
            <w:tcW w:w="1220" w:type="dxa"/>
            <w:vAlign w:val="bottom"/>
          </w:tcPr>
          <w:p>
            <w:pPr>
              <w:ind w:left="120"/>
              <w:spacing w:after="0"/>
              <w:rPr>
                <w:sz w:val="20"/>
                <w:szCs w:val="20"/>
                <w:color w:val="auto"/>
              </w:rPr>
            </w:pPr>
            <w:r>
              <w:rPr>
                <w:rFonts w:ascii="Arial" w:cs="Arial" w:eastAsia="Arial" w:hAnsi="Arial"/>
                <w:sz w:val="15"/>
                <w:szCs w:val="15"/>
                <w:color w:val="auto"/>
              </w:rPr>
              <w:t>compensation</w:t>
            </w:r>
          </w:p>
        </w:tc>
        <w:tc>
          <w:tcPr>
            <w:tcW w:w="116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20" w:type="dxa"/>
            <w:vAlign w:val="bottom"/>
            <w:shd w:val="clear" w:color="auto" w:fill="CCEEFF"/>
          </w:tcPr>
          <w:p>
            <w:pPr>
              <w:ind w:left="420"/>
              <w:spacing w:after="0" w:line="161" w:lineRule="exact"/>
              <w:rPr>
                <w:sz w:val="20"/>
                <w:szCs w:val="20"/>
                <w:color w:val="auto"/>
              </w:rPr>
            </w:pPr>
            <w:r>
              <w:rPr>
                <w:rFonts w:ascii="Arial" w:cs="Arial" w:eastAsia="Arial" w:hAnsi="Arial"/>
                <w:sz w:val="15"/>
                <w:szCs w:val="15"/>
                <w:color w:val="auto"/>
              </w:rPr>
              <w:t>Other</w:t>
            </w: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220" w:type="dxa"/>
            <w:vAlign w:val="bottom"/>
            <w:shd w:val="clear" w:color="auto" w:fill="CCEEFF"/>
          </w:tcPr>
          <w:p>
            <w:pPr>
              <w:ind w:left="120"/>
              <w:spacing w:after="0" w:line="154" w:lineRule="exact"/>
              <w:rPr>
                <w:sz w:val="20"/>
                <w:szCs w:val="20"/>
                <w:color w:val="auto"/>
              </w:rPr>
            </w:pPr>
            <w:r>
              <w:rPr>
                <w:rFonts w:ascii="Arial" w:cs="Arial" w:eastAsia="Arial" w:hAnsi="Arial"/>
                <w:sz w:val="15"/>
                <w:szCs w:val="15"/>
                <w:color w:val="auto"/>
              </w:rPr>
              <w:t>comprehensive</w:t>
            </w: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6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533</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1"/>
        </w:trPr>
        <w:tc>
          <w:tcPr>
            <w:tcW w:w="1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income</w:t>
            </w:r>
          </w:p>
        </w:tc>
        <w:tc>
          <w:tcPr>
            <w:tcW w:w="1160" w:type="dxa"/>
            <w:vAlign w:val="bottom"/>
            <w:gridSpan w:val="2"/>
            <w:vMerge w:val="continue"/>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220" w:type="dxa"/>
            <w:vAlign w:val="bottom"/>
            <w:tcBorders>
              <w:bottom w:val="single" w:sz="8" w:color="CCEEFF"/>
            </w:tcBorders>
          </w:tcPr>
          <w:p>
            <w:pPr>
              <w:ind w:left="420"/>
              <w:spacing w:after="0"/>
              <w:rPr>
                <w:sz w:val="20"/>
                <w:szCs w:val="20"/>
                <w:color w:val="auto"/>
              </w:rPr>
            </w:pPr>
            <w:r>
              <w:rPr>
                <w:rFonts w:ascii="Arial" w:cs="Arial" w:eastAsia="Arial" w:hAnsi="Arial"/>
                <w:sz w:val="15"/>
                <w:szCs w:val="15"/>
                <w:color w:val="auto"/>
              </w:rPr>
              <w:t>Net loss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(5,493)</w:t>
            </w:r>
          </w:p>
        </w:tc>
        <w:tc>
          <w:tcPr>
            <w:tcW w:w="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80"/>
        </w:trPr>
        <w:tc>
          <w:tcPr>
            <w:tcW w:w="1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Balance at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22,173,216</w:t>
            </w:r>
          </w:p>
        </w:tc>
        <w:tc>
          <w:tcPr>
            <w:tcW w:w="8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107,953</w:t>
            </w:r>
          </w:p>
        </w:tc>
        <w:tc>
          <w:tcPr>
            <w:tcW w:w="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12,233,884</w:t>
            </w:r>
          </w:p>
        </w:tc>
        <w:tc>
          <w:tcPr>
            <w:tcW w:w="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226"/>
              <w:spacing w:after="0"/>
              <w:rPr>
                <w:sz w:val="20"/>
                <w:szCs w:val="20"/>
                <w:color w:val="auto"/>
              </w:rPr>
            </w:pPr>
            <w:r>
              <w:rPr>
                <w:rFonts w:ascii="Arial" w:cs="Arial" w:eastAsia="Arial" w:hAnsi="Arial"/>
                <w:sz w:val="15"/>
                <w:szCs w:val="15"/>
                <w:color w:val="auto"/>
              </w:rPr>
              <w:t>$</w:t>
            </w: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5"/>
                <w:szCs w:val="15"/>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2,895</w:t>
            </w:r>
          </w:p>
        </w:tc>
        <w:tc>
          <w:tcPr>
            <w:tcW w:w="8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(28,079)</w:t>
            </w:r>
          </w:p>
        </w:tc>
        <w:tc>
          <w:tcPr>
            <w:tcW w:w="6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557</w:t>
            </w:r>
          </w:p>
        </w:tc>
        <w:tc>
          <w:tcPr>
            <w:tcW w:w="8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83,3</w:t>
            </w:r>
          </w:p>
        </w:tc>
        <w:tc>
          <w:tcPr>
            <w:tcW w:w="0" w:type="dxa"/>
            <w:vAlign w:val="bottom"/>
          </w:tcPr>
          <w:p>
            <w:pPr>
              <w:spacing w:after="0"/>
              <w:rPr>
                <w:sz w:val="1"/>
                <w:szCs w:val="1"/>
                <w:color w:val="auto"/>
              </w:rPr>
            </w:pPr>
          </w:p>
        </w:tc>
      </w:tr>
      <w:tr>
        <w:trPr>
          <w:trHeight w:val="208"/>
        </w:trPr>
        <w:tc>
          <w:tcPr>
            <w:tcW w:w="1220" w:type="dxa"/>
            <w:vAlign w:val="bottom"/>
            <w:shd w:val="clear" w:color="auto" w:fill="CCEEFF"/>
          </w:tcPr>
          <w:p>
            <w:pPr>
              <w:spacing w:after="0"/>
              <w:rPr>
                <w:sz w:val="20"/>
                <w:szCs w:val="20"/>
                <w:color w:val="auto"/>
              </w:rPr>
            </w:pPr>
            <w:r>
              <w:rPr>
                <w:rFonts w:ascii="Arial" w:cs="Arial" w:eastAsia="Arial" w:hAnsi="Arial"/>
                <w:sz w:val="15"/>
                <w:szCs w:val="15"/>
                <w:color w:val="auto"/>
              </w:rPr>
              <w:t>March 31, 2020</w:t>
            </w: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1540"/>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164465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640" w:top="121"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7"/>
          <w:szCs w:val="17"/>
          <w:b w:val="1"/>
          <w:bCs w:val="1"/>
          <w:color w:val="auto"/>
        </w:rPr>
        <w:t>SEER,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840" w:type="dxa"/>
            <w:vAlign w:val="bottom"/>
          </w:tcPr>
          <w:p>
            <w:pPr>
              <w:spacing w:after="0"/>
              <w:rPr>
                <w:sz w:val="15"/>
                <w:szCs w:val="15"/>
                <w:color w:val="auto"/>
              </w:rPr>
            </w:pPr>
          </w:p>
        </w:tc>
        <w:tc>
          <w:tcPr>
            <w:tcW w:w="266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
        </w:trPr>
        <w:tc>
          <w:tcPr>
            <w:tcW w:w="7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4"/>
        </w:trPr>
        <w:tc>
          <w:tcPr>
            <w:tcW w:w="78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
        </w:trPr>
        <w:tc>
          <w:tcPr>
            <w:tcW w:w="7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86"/>
        </w:trPr>
        <w:tc>
          <w:tcPr>
            <w:tcW w:w="7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9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181"/>
        </w:trPr>
        <w:tc>
          <w:tcPr>
            <w:tcW w:w="7840" w:type="dxa"/>
            <w:vAlign w:val="bottom"/>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tcPr>
          <w:p>
            <w:pPr>
              <w:jc w:val="right"/>
              <w:ind w:right="832"/>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9"/>
              </w:rPr>
              <w:t>(16,429)</w:t>
            </w:r>
          </w:p>
        </w:tc>
        <w:tc>
          <w:tcPr>
            <w:tcW w:w="80" w:type="dxa"/>
            <w:vAlign w:val="bottom"/>
          </w:tcPr>
          <w:p>
            <w:pPr>
              <w:spacing w:after="0"/>
              <w:rPr>
                <w:sz w:val="15"/>
                <w:szCs w:val="15"/>
                <w:color w:val="auto"/>
              </w:rPr>
            </w:pPr>
          </w:p>
        </w:tc>
        <w:tc>
          <w:tcPr>
            <w:tcW w:w="1020" w:type="dxa"/>
            <w:vAlign w:val="bottom"/>
          </w:tcPr>
          <w:p>
            <w:pPr>
              <w:jc w:val="right"/>
              <w:ind w:right="872"/>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(5,493)</w:t>
            </w:r>
          </w:p>
        </w:tc>
        <w:tc>
          <w:tcPr>
            <w:tcW w:w="100" w:type="dxa"/>
            <w:vAlign w:val="bottom"/>
          </w:tcPr>
          <w:p>
            <w:pPr>
              <w:spacing w:after="0"/>
              <w:rPr>
                <w:sz w:val="15"/>
                <w:szCs w:val="15"/>
                <w:color w:val="auto"/>
              </w:rPr>
            </w:pPr>
          </w:p>
        </w:tc>
      </w:tr>
      <w:tr>
        <w:trPr>
          <w:trHeight w:val="24"/>
        </w:trPr>
        <w:tc>
          <w:tcPr>
            <w:tcW w:w="7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181"/>
        </w:trPr>
        <w:tc>
          <w:tcPr>
            <w:tcW w:w="784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6,039</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579</w:t>
            </w:r>
          </w:p>
        </w:tc>
        <w:tc>
          <w:tcPr>
            <w:tcW w:w="100" w:type="dxa"/>
            <w:vAlign w:val="bottom"/>
          </w:tcPr>
          <w:p>
            <w:pPr>
              <w:spacing w:after="0"/>
              <w:rPr>
                <w:sz w:val="15"/>
                <w:szCs w:val="15"/>
                <w:color w:val="auto"/>
              </w:rPr>
            </w:pPr>
          </w:p>
        </w:tc>
      </w:tr>
      <w:tr>
        <w:trPr>
          <w:trHeight w:val="24"/>
        </w:trPr>
        <w:tc>
          <w:tcPr>
            <w:tcW w:w="7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6"/>
        </w:trPr>
        <w:tc>
          <w:tcPr>
            <w:tcW w:w="7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9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1"/>
        </w:trPr>
        <w:tc>
          <w:tcPr>
            <w:tcW w:w="7840" w:type="dxa"/>
            <w:vAlign w:val="bottom"/>
          </w:tcPr>
          <w:p>
            <w:pPr>
              <w:ind w:left="220"/>
              <w:spacing w:after="0"/>
              <w:rPr>
                <w:sz w:val="20"/>
                <w:szCs w:val="20"/>
                <w:color w:val="auto"/>
              </w:rPr>
            </w:pPr>
            <w:r>
              <w:rPr>
                <w:rFonts w:ascii="Arial" w:cs="Arial" w:eastAsia="Arial" w:hAnsi="Arial"/>
                <w:sz w:val="14"/>
                <w:szCs w:val="14"/>
                <w:color w:val="auto"/>
              </w:rPr>
              <w:t>Net amortization of premium on available-for-sale securities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152</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5"/>
                <w:szCs w:val="15"/>
                <w:color w:val="auto"/>
              </w:rPr>
            </w:pPr>
          </w:p>
        </w:tc>
      </w:tr>
      <w:tr>
        <w:trPr>
          <w:trHeight w:val="24"/>
        </w:trPr>
        <w:tc>
          <w:tcPr>
            <w:tcW w:w="7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6"/>
        </w:trPr>
        <w:tc>
          <w:tcPr>
            <w:tcW w:w="7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9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181"/>
        </w:trPr>
        <w:tc>
          <w:tcPr>
            <w:tcW w:w="7840" w:type="dxa"/>
            <w:vAlign w:val="bottom"/>
          </w:tcPr>
          <w:p>
            <w:pPr>
              <w:ind w:left="420"/>
              <w:spacing w:after="0"/>
              <w:rPr>
                <w:sz w:val="20"/>
                <w:szCs w:val="20"/>
                <w:color w:val="auto"/>
              </w:rPr>
            </w:pPr>
            <w:r>
              <w:rPr>
                <w:rFonts w:ascii="Arial" w:cs="Arial" w:eastAsia="Arial" w:hAnsi="Arial"/>
                <w:sz w:val="14"/>
                <w:szCs w:val="14"/>
                <w:color w:val="auto"/>
              </w:rPr>
              <w:t>Other receivables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(249)</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5"/>
                <w:szCs w:val="15"/>
                <w:color w:val="auto"/>
              </w:rPr>
            </w:pPr>
          </w:p>
        </w:tc>
      </w:tr>
      <w:tr>
        <w:trPr>
          <w:trHeight w:val="24"/>
        </w:trPr>
        <w:tc>
          <w:tcPr>
            <w:tcW w:w="7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6"/>
        </w:trPr>
        <w:tc>
          <w:tcPr>
            <w:tcW w:w="78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Other receivables - related parties</w:t>
            </w:r>
          </w:p>
        </w:tc>
        <w:tc>
          <w:tcPr>
            <w:tcW w:w="9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81"/>
        </w:trPr>
        <w:tc>
          <w:tcPr>
            <w:tcW w:w="7840" w:type="dxa"/>
            <w:vAlign w:val="bottom"/>
          </w:tcPr>
          <w:p>
            <w:pPr>
              <w:ind w:left="420"/>
              <w:spacing w:after="0"/>
              <w:rPr>
                <w:sz w:val="20"/>
                <w:szCs w:val="20"/>
                <w:color w:val="auto"/>
              </w:rPr>
            </w:pPr>
            <w:r>
              <w:rPr>
                <w:rFonts w:ascii="Arial" w:cs="Arial" w:eastAsia="Arial" w:hAnsi="Arial"/>
                <w:sz w:val="14"/>
                <w:szCs w:val="14"/>
                <w:color w:val="auto"/>
              </w:rPr>
              <w:t>Prepaid expenses and other current assets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(2,589)</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5"/>
                <w:szCs w:val="15"/>
                <w:color w:val="auto"/>
              </w:rPr>
            </w:pPr>
          </w:p>
        </w:tc>
      </w:tr>
      <w:tr>
        <w:trPr>
          <w:trHeight w:val="24"/>
        </w:trPr>
        <w:tc>
          <w:tcPr>
            <w:tcW w:w="7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6"/>
        </w:trPr>
        <w:tc>
          <w:tcPr>
            <w:tcW w:w="78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Inventory</w:t>
            </w:r>
          </w:p>
        </w:tc>
        <w:tc>
          <w:tcPr>
            <w:tcW w:w="9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(990)</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81"/>
        </w:trPr>
        <w:tc>
          <w:tcPr>
            <w:tcW w:w="7840" w:type="dxa"/>
            <w:vAlign w:val="bottom"/>
          </w:tcPr>
          <w:p>
            <w:pPr>
              <w:ind w:left="420"/>
              <w:spacing w:after="0"/>
              <w:rPr>
                <w:sz w:val="20"/>
                <w:szCs w:val="20"/>
                <w:color w:val="auto"/>
              </w:rPr>
            </w:pPr>
            <w:r>
              <w:rPr>
                <w:rFonts w:ascii="Arial" w:cs="Arial" w:eastAsia="Arial" w:hAnsi="Arial"/>
                <w:sz w:val="14"/>
                <w:szCs w:val="14"/>
                <w:color w:val="auto"/>
              </w:rPr>
              <w:t>Other assets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5"/>
                <w:szCs w:val="15"/>
                <w:color w:val="auto"/>
              </w:rPr>
            </w:pPr>
          </w:p>
        </w:tc>
      </w:tr>
      <w:tr>
        <w:trPr>
          <w:trHeight w:val="24"/>
        </w:trPr>
        <w:tc>
          <w:tcPr>
            <w:tcW w:w="7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6"/>
        </w:trPr>
        <w:tc>
          <w:tcPr>
            <w:tcW w:w="78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Accounts payable</w:t>
            </w:r>
          </w:p>
        </w:tc>
        <w:tc>
          <w:tcPr>
            <w:tcW w:w="9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1"/>
        </w:trPr>
        <w:tc>
          <w:tcPr>
            <w:tcW w:w="7840" w:type="dxa"/>
            <w:vAlign w:val="bottom"/>
          </w:tcPr>
          <w:p>
            <w:pPr>
              <w:ind w:left="420"/>
              <w:spacing w:after="0"/>
              <w:rPr>
                <w:sz w:val="20"/>
                <w:szCs w:val="20"/>
                <w:color w:val="auto"/>
              </w:rPr>
            </w:pPr>
            <w:r>
              <w:rPr>
                <w:rFonts w:ascii="Arial" w:cs="Arial" w:eastAsia="Arial" w:hAnsi="Arial"/>
                <w:sz w:val="14"/>
                <w:szCs w:val="14"/>
                <w:color w:val="auto"/>
              </w:rPr>
              <w:t>Deferred revenue</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24"/>
        </w:trPr>
        <w:tc>
          <w:tcPr>
            <w:tcW w:w="7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6"/>
        </w:trPr>
        <w:tc>
          <w:tcPr>
            <w:tcW w:w="78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Deferred rent</w:t>
            </w:r>
          </w:p>
        </w:tc>
        <w:tc>
          <w:tcPr>
            <w:tcW w:w="9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1"/>
        </w:trPr>
        <w:tc>
          <w:tcPr>
            <w:tcW w:w="7840" w:type="dxa"/>
            <w:vAlign w:val="bottom"/>
          </w:tcPr>
          <w:p>
            <w:pPr>
              <w:ind w:left="420"/>
              <w:spacing w:after="0"/>
              <w:rPr>
                <w:sz w:val="20"/>
                <w:szCs w:val="20"/>
                <w:color w:val="auto"/>
              </w:rPr>
            </w:pPr>
            <w:r>
              <w:rPr>
                <w:rFonts w:ascii="Arial" w:cs="Arial" w:eastAsia="Arial" w:hAnsi="Arial"/>
                <w:sz w:val="14"/>
                <w:szCs w:val="14"/>
                <w:color w:val="auto"/>
              </w:rPr>
              <w:t>Accrued expenses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(1,414)</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(885)</w:t>
            </w:r>
          </w:p>
        </w:tc>
        <w:tc>
          <w:tcPr>
            <w:tcW w:w="100" w:type="dxa"/>
            <w:vAlign w:val="bottom"/>
          </w:tcPr>
          <w:p>
            <w:pPr>
              <w:spacing w:after="0"/>
              <w:rPr>
                <w:sz w:val="15"/>
                <w:szCs w:val="15"/>
                <w:color w:val="auto"/>
              </w:rPr>
            </w:pPr>
          </w:p>
        </w:tc>
      </w:tr>
      <w:tr>
        <w:trPr>
          <w:trHeight w:val="24"/>
        </w:trPr>
        <w:tc>
          <w:tcPr>
            <w:tcW w:w="7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6"/>
        </w:trPr>
        <w:tc>
          <w:tcPr>
            <w:tcW w:w="78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Accrued research and development</w:t>
            </w:r>
          </w:p>
        </w:tc>
        <w:tc>
          <w:tcPr>
            <w:tcW w:w="9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1"/>
        </w:trPr>
        <w:tc>
          <w:tcPr>
            <w:tcW w:w="7840" w:type="dxa"/>
            <w:vAlign w:val="bottom"/>
          </w:tcPr>
          <w:p>
            <w:pPr>
              <w:ind w:left="420"/>
              <w:spacing w:after="0"/>
              <w:rPr>
                <w:sz w:val="20"/>
                <w:szCs w:val="20"/>
                <w:color w:val="auto"/>
              </w:rPr>
            </w:pPr>
            <w:r>
              <w:rPr>
                <w:rFonts w:ascii="Arial" w:cs="Arial" w:eastAsia="Arial" w:hAnsi="Arial"/>
                <w:sz w:val="14"/>
                <w:szCs w:val="14"/>
                <w:color w:val="auto"/>
              </w:rPr>
              <w:t>Other noncurrent liabilities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(83)</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24"/>
        </w:trPr>
        <w:tc>
          <w:tcPr>
            <w:tcW w:w="78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198"/>
        </w:trPr>
        <w:tc>
          <w:tcPr>
            <w:tcW w:w="7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Net cash used in operating activities</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(14,872)</w:t>
            </w: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(5,074)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61"/>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9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
        </w:trPr>
        <w:tc>
          <w:tcPr>
            <w:tcW w:w="7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9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(838)</w:t>
            </w: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(1,063)</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1"/>
        </w:trPr>
        <w:tc>
          <w:tcPr>
            <w:tcW w:w="7840" w:type="dxa"/>
            <w:vAlign w:val="bottom"/>
          </w:tcPr>
          <w:p>
            <w:pPr>
              <w:ind w:left="20"/>
              <w:spacing w:after="0"/>
              <w:rPr>
                <w:sz w:val="20"/>
                <w:szCs w:val="20"/>
                <w:color w:val="auto"/>
              </w:rPr>
            </w:pPr>
            <w:r>
              <w:rPr>
                <w:rFonts w:ascii="Arial" w:cs="Arial" w:eastAsia="Arial" w:hAnsi="Arial"/>
                <w:sz w:val="14"/>
                <w:szCs w:val="14"/>
                <w:color w:val="auto"/>
              </w:rPr>
              <w:t>Purchase of available-for-sale securities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9"/>
              </w:rPr>
              <w:t>(30,279)</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(3,485)</w:t>
            </w:r>
          </w:p>
        </w:tc>
        <w:tc>
          <w:tcPr>
            <w:tcW w:w="100" w:type="dxa"/>
            <w:vAlign w:val="bottom"/>
          </w:tcPr>
          <w:p>
            <w:pPr>
              <w:spacing w:after="0"/>
              <w:rPr>
                <w:sz w:val="15"/>
                <w:szCs w:val="15"/>
                <w:color w:val="auto"/>
              </w:rPr>
            </w:pPr>
          </w:p>
        </w:tc>
      </w:tr>
      <w:tr>
        <w:trPr>
          <w:trHeight w:val="24"/>
        </w:trPr>
        <w:tc>
          <w:tcPr>
            <w:tcW w:w="7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maturities of available-for-sale securities</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43,000</w:t>
            </w: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74"/>
        </w:trPr>
        <w:tc>
          <w:tcPr>
            <w:tcW w:w="7840" w:type="dxa"/>
            <w:vAlign w:val="bottom"/>
          </w:tcPr>
          <w:p>
            <w:pPr>
              <w:ind w:left="640"/>
              <w:spacing w:after="0"/>
              <w:rPr>
                <w:sz w:val="20"/>
                <w:szCs w:val="20"/>
                <w:color w:val="auto"/>
              </w:rPr>
            </w:pPr>
            <w:r>
              <w:rPr>
                <w:rFonts w:ascii="Arial" w:cs="Arial" w:eastAsia="Arial" w:hAnsi="Arial"/>
                <w:sz w:val="14"/>
                <w:szCs w:val="14"/>
                <w:color w:val="auto"/>
              </w:rPr>
              <w:t>Net cash provided by investing activities</w:t>
            </w:r>
          </w:p>
        </w:tc>
        <w:tc>
          <w:tcPr>
            <w:tcW w:w="9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11,883</w:t>
            </w:r>
          </w:p>
        </w:tc>
        <w:tc>
          <w:tcPr>
            <w:tcW w:w="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2,952</w:t>
            </w:r>
          </w:p>
        </w:tc>
        <w:tc>
          <w:tcPr>
            <w:tcW w:w="100" w:type="dxa"/>
            <w:vAlign w:val="bottom"/>
          </w:tcPr>
          <w:p>
            <w:pPr>
              <w:spacing w:after="0"/>
              <w:rPr>
                <w:sz w:val="15"/>
                <w:szCs w:val="15"/>
                <w:color w:val="auto"/>
              </w:rPr>
            </w:pPr>
          </w:p>
        </w:tc>
      </w:tr>
      <w:tr>
        <w:trPr>
          <w:trHeight w:val="24"/>
        </w:trPr>
        <w:tc>
          <w:tcPr>
            <w:tcW w:w="78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16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9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r>
      <w:tr>
        <w:trPr>
          <w:trHeight w:val="181"/>
        </w:trPr>
        <w:tc>
          <w:tcPr>
            <w:tcW w:w="7840" w:type="dxa"/>
            <w:vAlign w:val="bottom"/>
          </w:tcPr>
          <w:p>
            <w:pPr>
              <w:ind w:left="20"/>
              <w:spacing w:after="0"/>
              <w:rPr>
                <w:sz w:val="20"/>
                <w:szCs w:val="20"/>
                <w:color w:val="auto"/>
              </w:rPr>
            </w:pPr>
            <w:r>
              <w:rPr>
                <w:rFonts w:ascii="Arial" w:cs="Arial" w:eastAsia="Arial" w:hAnsi="Arial"/>
                <w:sz w:val="14"/>
                <w:szCs w:val="14"/>
                <w:color w:val="auto"/>
              </w:rPr>
              <w:t>Proceeds from issuance of common stock upon follow-on public offering, net of issuance costs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103,595</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24"/>
        </w:trPr>
        <w:tc>
          <w:tcPr>
            <w:tcW w:w="7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return of profit</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11,403</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81"/>
        </w:trPr>
        <w:tc>
          <w:tcPr>
            <w:tcW w:w="7840" w:type="dxa"/>
            <w:vAlign w:val="bottom"/>
          </w:tcPr>
          <w:p>
            <w:pPr>
              <w:ind w:left="20"/>
              <w:spacing w:after="0"/>
              <w:rPr>
                <w:sz w:val="20"/>
                <w:szCs w:val="20"/>
                <w:color w:val="auto"/>
              </w:rPr>
            </w:pPr>
            <w:r>
              <w:rPr>
                <w:rFonts w:ascii="Arial" w:cs="Arial" w:eastAsia="Arial" w:hAnsi="Arial"/>
                <w:sz w:val="14"/>
                <w:szCs w:val="14"/>
                <w:color w:val="auto"/>
              </w:rPr>
              <w:t>Repurchase of Class A common stock</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24"/>
        </w:trPr>
        <w:tc>
          <w:tcPr>
            <w:tcW w:w="7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stock option exercises including early exercised options</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74"/>
        </w:trPr>
        <w:tc>
          <w:tcPr>
            <w:tcW w:w="7840" w:type="dxa"/>
            <w:vAlign w:val="bottom"/>
          </w:tcPr>
          <w:p>
            <w:pPr>
              <w:ind w:left="640"/>
              <w:spacing w:after="0"/>
              <w:rPr>
                <w:sz w:val="20"/>
                <w:szCs w:val="20"/>
                <w:color w:val="auto"/>
              </w:rPr>
            </w:pPr>
            <w:r>
              <w:rPr>
                <w:rFonts w:ascii="Arial" w:cs="Arial" w:eastAsia="Arial" w:hAnsi="Arial"/>
                <w:sz w:val="14"/>
                <w:szCs w:val="14"/>
                <w:color w:val="auto"/>
              </w:rPr>
              <w:t>Net cash provided by financing activities</w:t>
            </w:r>
          </w:p>
        </w:tc>
        <w:tc>
          <w:tcPr>
            <w:tcW w:w="9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8"/>
              </w:rPr>
              <w:t>115,167</w:t>
            </w:r>
          </w:p>
        </w:tc>
        <w:tc>
          <w:tcPr>
            <w:tcW w:w="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r>
      <w:tr>
        <w:trPr>
          <w:trHeight w:val="24"/>
        </w:trPr>
        <w:tc>
          <w:tcPr>
            <w:tcW w:w="78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17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9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8"/>
              </w:rPr>
              <w:t>112,178</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(2,077)</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81"/>
        </w:trPr>
        <w:tc>
          <w:tcPr>
            <w:tcW w:w="78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333,928</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17,828</w:t>
            </w:r>
          </w:p>
        </w:tc>
        <w:tc>
          <w:tcPr>
            <w:tcW w:w="100" w:type="dxa"/>
            <w:vAlign w:val="bottom"/>
          </w:tcPr>
          <w:p>
            <w:pPr>
              <w:spacing w:after="0"/>
              <w:rPr>
                <w:sz w:val="15"/>
                <w:szCs w:val="15"/>
                <w:color w:val="auto"/>
              </w:rPr>
            </w:pPr>
          </w:p>
        </w:tc>
      </w:tr>
      <w:tr>
        <w:trPr>
          <w:trHeight w:val="24"/>
        </w:trPr>
        <w:tc>
          <w:tcPr>
            <w:tcW w:w="78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23"/>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980" w:type="dxa"/>
            <w:vAlign w:val="bottom"/>
            <w:tcBorders>
              <w:bottom w:val="single" w:sz="8" w:color="auto"/>
            </w:tcBorders>
            <w:shd w:val="clear" w:color="auto" w:fill="CCEEFF"/>
          </w:tcPr>
          <w:p>
            <w:pPr>
              <w:jc w:val="right"/>
              <w:ind w:right="832"/>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446,106</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15,751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38"/>
        </w:trPr>
        <w:tc>
          <w:tcPr>
            <w:tcW w:w="7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8"/>
        </w:trPr>
        <w:tc>
          <w:tcPr>
            <w:tcW w:w="78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6"/>
        </w:trPr>
        <w:tc>
          <w:tcPr>
            <w:tcW w:w="7840" w:type="dxa"/>
            <w:vAlign w:val="bottom"/>
          </w:tcPr>
          <w:p>
            <w:pPr>
              <w:ind w:left="20"/>
              <w:spacing w:after="0"/>
              <w:rPr>
                <w:sz w:val="20"/>
                <w:szCs w:val="20"/>
                <w:color w:val="auto"/>
              </w:rPr>
            </w:pPr>
            <w:r>
              <w:rPr>
                <w:rFonts w:ascii="Arial" w:cs="Arial" w:eastAsia="Arial" w:hAnsi="Arial"/>
                <w:sz w:val="14"/>
                <w:szCs w:val="14"/>
                <w:color w:val="auto"/>
              </w:rPr>
              <w:t>Property and equipment purchases included in accounts payable</w:t>
            </w:r>
          </w:p>
        </w:tc>
        <w:tc>
          <w:tcPr>
            <w:tcW w:w="98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1020" w:type="dxa"/>
            <w:vAlign w:val="bottom"/>
            <w:tcBorders>
              <w:bottom w:val="single" w:sz="8" w:color="auto"/>
            </w:tcBorders>
          </w:tcPr>
          <w:p>
            <w:pPr>
              <w:jc w:val="right"/>
              <w:ind w:right="872"/>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2,424</w:t>
            </w:r>
          </w:p>
        </w:tc>
        <w:tc>
          <w:tcPr>
            <w:tcW w:w="100" w:type="dxa"/>
            <w:vAlign w:val="bottom"/>
          </w:tcPr>
          <w:p>
            <w:pPr>
              <w:spacing w:after="0"/>
              <w:rPr>
                <w:sz w:val="17"/>
                <w:szCs w:val="17"/>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17"/>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purchases included in accrued expenses</w:t>
            </w:r>
          </w:p>
        </w:tc>
        <w:tc>
          <w:tcPr>
            <w:tcW w:w="980" w:type="dxa"/>
            <w:vAlign w:val="bottom"/>
            <w:tcBorders>
              <w:bottom w:val="single" w:sz="8" w:color="auto"/>
            </w:tcBorders>
            <w:shd w:val="clear" w:color="auto" w:fill="CCEEFF"/>
          </w:tcPr>
          <w:p>
            <w:pPr>
              <w:jc w:val="right"/>
              <w:ind w:right="832"/>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7"/>
        </w:trPr>
        <w:tc>
          <w:tcPr>
            <w:tcW w:w="7840" w:type="dxa"/>
            <w:vAlign w:val="bottom"/>
          </w:tcPr>
          <w:p>
            <w:pPr>
              <w:ind w:left="20"/>
              <w:spacing w:after="0"/>
              <w:rPr>
                <w:sz w:val="20"/>
                <w:szCs w:val="20"/>
                <w:color w:val="auto"/>
              </w:rPr>
            </w:pPr>
            <w:r>
              <w:rPr>
                <w:rFonts w:ascii="Arial" w:cs="Arial" w:eastAsia="Arial" w:hAnsi="Arial"/>
                <w:sz w:val="14"/>
                <w:szCs w:val="14"/>
                <w:color w:val="auto"/>
              </w:rPr>
              <w:t>Offering costs in accounts payable</w:t>
            </w:r>
          </w:p>
        </w:tc>
        <w:tc>
          <w:tcPr>
            <w:tcW w:w="980" w:type="dxa"/>
            <w:vAlign w:val="bottom"/>
          </w:tcPr>
          <w:p>
            <w:pPr>
              <w:jc w:val="right"/>
              <w:ind w:right="832"/>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158</w:t>
            </w:r>
          </w:p>
        </w:tc>
        <w:tc>
          <w:tcPr>
            <w:tcW w:w="80" w:type="dxa"/>
            <w:vAlign w:val="bottom"/>
          </w:tcPr>
          <w:p>
            <w:pPr>
              <w:spacing w:after="0"/>
              <w:rPr>
                <w:sz w:val="15"/>
                <w:szCs w:val="15"/>
                <w:color w:val="auto"/>
              </w:rPr>
            </w:pPr>
          </w:p>
        </w:tc>
        <w:tc>
          <w:tcPr>
            <w:tcW w:w="1020" w:type="dxa"/>
            <w:vAlign w:val="bottom"/>
          </w:tcPr>
          <w:p>
            <w:pPr>
              <w:jc w:val="right"/>
              <w:ind w:right="872"/>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17"/>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Offering costs in accrued expenses</w:t>
            </w:r>
          </w:p>
        </w:tc>
        <w:tc>
          <w:tcPr>
            <w:tcW w:w="980" w:type="dxa"/>
            <w:vAlign w:val="bottom"/>
            <w:shd w:val="clear" w:color="auto" w:fill="CCEEFF"/>
          </w:tcPr>
          <w:p>
            <w:pPr>
              <w:jc w:val="right"/>
              <w:ind w:right="832"/>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72"/>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78"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164465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80" w:top="121" w:right="37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 w:hanging="617"/>
        <w:spacing w:after="0"/>
        <w:tabs>
          <w:tab w:leader="none" w:pos="6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DESCRIPTION OF THE BUSINESS</w:t>
      </w:r>
    </w:p>
    <w:p>
      <w:pPr>
        <w:spacing w:after="0" w:line="170" w:lineRule="exact"/>
        <w:rPr>
          <w:sz w:val="20"/>
          <w:szCs w:val="20"/>
          <w:color w:val="auto"/>
        </w:rPr>
      </w:pPr>
    </w:p>
    <w:p>
      <w:pPr>
        <w:ind w:right="20" w:firstLine="308"/>
        <w:spacing w:after="0" w:line="258" w:lineRule="auto"/>
        <w:rPr>
          <w:sz w:val="20"/>
          <w:szCs w:val="20"/>
          <w:color w:val="auto"/>
        </w:rPr>
      </w:pPr>
      <w:r>
        <w:rPr>
          <w:rFonts w:ascii="Arial" w:cs="Arial" w:eastAsia="Arial" w:hAnsi="Arial"/>
          <w:sz w:val="17"/>
          <w:szCs w:val="17"/>
          <w:color w:val="auto"/>
        </w:rPr>
        <w:t>Seer, Inc. (the Company) was incorporated in Delaware on March 16, 2017, and is based in Redwood City, California. In December 2020, the Company formed the wholly-owned subsidiary, Seer Securities Corporation, located in Massachusetts. The Company is a life sciences company focused on capturing deep molecular insights from the proteome to enable novel insights and breakthroughs in the understanding of biology and disease. Since inception, the Company has devoted its efforts principally to research and development of its technology and product candidates, recruiting management and technical staff, acquiring operating assets, and raising capital.</w:t>
      </w:r>
    </w:p>
    <w:p>
      <w:pPr>
        <w:spacing w:after="0" w:line="131" w:lineRule="exact"/>
        <w:rPr>
          <w:sz w:val="20"/>
          <w:szCs w:val="20"/>
          <w:color w:val="auto"/>
        </w:rPr>
      </w:pPr>
    </w:p>
    <w:p>
      <w:pPr>
        <w:ind w:right="20" w:firstLine="308"/>
        <w:spacing w:after="0" w:line="265" w:lineRule="auto"/>
        <w:rPr>
          <w:sz w:val="20"/>
          <w:szCs w:val="20"/>
          <w:color w:val="auto"/>
        </w:rPr>
      </w:pPr>
      <w:r>
        <w:rPr>
          <w:rFonts w:ascii="Arial" w:cs="Arial" w:eastAsia="Arial" w:hAnsi="Arial"/>
          <w:sz w:val="17"/>
          <w:szCs w:val="17"/>
          <w:color w:val="auto"/>
        </w:rPr>
        <w:t>The Company is subject to a number of risks, similar to other early-stage life science companies, including, but not limited to, development and commercialization of its products, market acceptance of its products, development by its competitors of new technological innovations, protection of its intellectual property, and raising additional capital.</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Public Offering</w:t>
      </w:r>
    </w:p>
    <w:p>
      <w:pPr>
        <w:spacing w:after="0" w:line="164" w:lineRule="exact"/>
        <w:rPr>
          <w:sz w:val="20"/>
          <w:szCs w:val="20"/>
          <w:color w:val="auto"/>
        </w:rPr>
      </w:pPr>
    </w:p>
    <w:p>
      <w:pPr>
        <w:jc w:val="both"/>
        <w:ind w:right="180" w:firstLine="308"/>
        <w:spacing w:after="0" w:line="347" w:lineRule="auto"/>
        <w:rPr>
          <w:sz w:val="20"/>
          <w:szCs w:val="20"/>
          <w:color w:val="auto"/>
        </w:rPr>
      </w:pPr>
      <w:r>
        <w:rPr>
          <w:rFonts w:ascii="Arial" w:cs="Arial" w:eastAsia="Arial" w:hAnsi="Arial"/>
          <w:sz w:val="15"/>
          <w:szCs w:val="15"/>
          <w:color w:val="auto"/>
        </w:rPr>
        <w:t>On February 1, 2021, the Company completed an underwritten public offering of 1,650,000 shares of its Class A common stock at a public offering price of $67.00 per share. The Company received net proceeds of $103.0 million after deducting offering costs, underwriting discounts, and commissions of $7.6 million.</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Reverse Stock Split</w:t>
      </w:r>
    </w:p>
    <w:p>
      <w:pPr>
        <w:spacing w:after="0" w:line="164" w:lineRule="exact"/>
        <w:rPr>
          <w:sz w:val="20"/>
          <w:szCs w:val="20"/>
          <w:color w:val="auto"/>
        </w:rPr>
      </w:pPr>
    </w:p>
    <w:p>
      <w:pPr>
        <w:ind w:right="60" w:firstLine="308"/>
        <w:spacing w:after="0" w:line="301" w:lineRule="auto"/>
        <w:rPr>
          <w:sz w:val="20"/>
          <w:szCs w:val="20"/>
          <w:color w:val="auto"/>
        </w:rPr>
      </w:pPr>
      <w:r>
        <w:rPr>
          <w:rFonts w:ascii="Arial" w:cs="Arial" w:eastAsia="Arial" w:hAnsi="Arial"/>
          <w:sz w:val="15"/>
          <w:szCs w:val="15"/>
          <w:color w:val="auto"/>
        </w:rPr>
        <w:t>In November 2020, the Company’s board of directors approved an amended and restated certificate of incorporation to effect a reverse split of shares of the Company’s common stock and convertible preferred stock on a 1-for-2.14 basis (the Reverse Stock Split) effective as of November 25, 2020. The par values of the common stock and convertible preferred stock were not adjusted as a result of the Reverse Stock Split. All references to common stock, options to purchase common stock, restricted stock awards, restricted stock units, convertible preferred stock, share data, per share data, and related information contained in the unaudited condensed consolidated financial statements have been retrospectively adjusted to reflect the effect of the Reverse Stock Split for all periods presented.</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Liquidity</w:t>
      </w:r>
    </w:p>
    <w:p>
      <w:pPr>
        <w:spacing w:after="0" w:line="164" w:lineRule="exact"/>
        <w:rPr>
          <w:sz w:val="20"/>
          <w:szCs w:val="20"/>
          <w:color w:val="auto"/>
        </w:rPr>
      </w:pPr>
    </w:p>
    <w:p>
      <w:pPr>
        <w:ind w:right="60" w:firstLine="308"/>
        <w:spacing w:after="0" w:line="278" w:lineRule="auto"/>
        <w:rPr>
          <w:sz w:val="20"/>
          <w:szCs w:val="20"/>
          <w:color w:val="auto"/>
        </w:rPr>
      </w:pPr>
      <w:r>
        <w:rPr>
          <w:rFonts w:ascii="Arial" w:cs="Arial" w:eastAsia="Arial" w:hAnsi="Arial"/>
          <w:sz w:val="16"/>
          <w:szCs w:val="16"/>
          <w:color w:val="auto"/>
        </w:rPr>
        <w:t>As of March 31, 2021, the Company has incurred significant losses and has had negative cash flows from operations. As of March 31, 2021, the Company had cash, cash equivalents and investments of $531.1 million and an accumulated deficit of $71.8 million. Management expects to continue to incur significant expenses for the foreseeable future and to incur operating losses in the near term while the Company makes investments to support its anticipated growth. The Company believes that its cash and cash equivalents balance as of March 31, 2021 provides sufficient capital resources to continue its operations for at least 12 months from the issuance date of the accompanying unaudited condensed consolidated financial statements.</w:t>
      </w:r>
    </w:p>
    <w:p>
      <w:pPr>
        <w:spacing w:after="0" w:line="110" w:lineRule="exact"/>
        <w:rPr>
          <w:sz w:val="20"/>
          <w:szCs w:val="20"/>
          <w:color w:val="auto"/>
        </w:rPr>
      </w:pPr>
    </w:p>
    <w:p>
      <w:pPr>
        <w:ind w:left="620" w:hanging="617"/>
        <w:spacing w:after="0"/>
        <w:tabs>
          <w:tab w:leader="none" w:pos="62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AND BASIS OF PRESENTATION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64" w:lineRule="exact"/>
        <w:rPr>
          <w:sz w:val="20"/>
          <w:szCs w:val="20"/>
          <w:color w:val="auto"/>
        </w:rPr>
      </w:pPr>
    </w:p>
    <w:p>
      <w:pPr>
        <w:ind w:firstLine="308"/>
        <w:spacing w:after="0" w:line="306" w:lineRule="auto"/>
        <w:rPr>
          <w:sz w:val="20"/>
          <w:szCs w:val="20"/>
          <w:color w:val="auto"/>
        </w:rPr>
      </w:pPr>
      <w:r>
        <w:rPr>
          <w:rFonts w:ascii="Arial" w:cs="Arial" w:eastAsia="Arial" w:hAnsi="Arial"/>
          <w:sz w:val="15"/>
          <w:szCs w:val="15"/>
          <w:color w:val="auto"/>
        </w:rPr>
        <w:t>The unaudited condensed consolidated financial statements have been prepared in accordance with accounting principles generally accepted in the United States of America (U.S. GAAP). The Company has issued shares of Class A common stock, herein referred to as “Class A common stock” or “Class A,” and Class B common stock, herein referred to as “Class B common stock” or “Class B,” and collectively as “common stock.” The unaudited condensed consolidated financial statements include the accounts of Seer, Inc. and its wholly-owned subsidiary. All intercompany transactions and balances have been eliminated.</w:t>
      </w:r>
    </w:p>
    <w:p>
      <w:pPr>
        <w:spacing w:after="0" w:line="97" w:lineRule="exact"/>
        <w:rPr>
          <w:sz w:val="20"/>
          <w:szCs w:val="20"/>
          <w:color w:val="auto"/>
        </w:rPr>
      </w:pPr>
    </w:p>
    <w:p>
      <w:pPr>
        <w:ind w:right="20" w:firstLine="308"/>
        <w:spacing w:after="0" w:line="261" w:lineRule="auto"/>
        <w:rPr>
          <w:sz w:val="20"/>
          <w:szCs w:val="20"/>
          <w:color w:val="auto"/>
        </w:rPr>
      </w:pPr>
      <w:r>
        <w:rPr>
          <w:rFonts w:ascii="Arial" w:cs="Arial" w:eastAsia="Arial" w:hAnsi="Arial"/>
          <w:sz w:val="17"/>
          <w:szCs w:val="17"/>
          <w:color w:val="auto"/>
        </w:rPr>
        <w:t>The condensed consolidated balance sheets at December 31, 2020 have been derived from the audited consolidated financial statements of the Company at that date. Certain information and footnote disclosures typically included in the Company’s audited consolidated financial statements have been condensed or omitted. The accompanying unaudited condensed consolidated financial statements have been prepared on the same basis as the annual consolidated financial statements and, in the opinion of management, reflect all adjustments, which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7"/>
          <w:szCs w:val="17"/>
          <w:b w:val="1"/>
          <w:bCs w:val="1"/>
          <w:color w:val="auto"/>
        </w:rPr>
        <w:t>SEER,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60"/>
        <w:spacing w:after="0" w:line="310" w:lineRule="auto"/>
        <w:rPr>
          <w:sz w:val="20"/>
          <w:szCs w:val="20"/>
          <w:color w:val="auto"/>
        </w:rPr>
      </w:pPr>
      <w:r>
        <w:rPr>
          <w:rFonts w:ascii="Arial" w:cs="Arial" w:eastAsia="Arial" w:hAnsi="Arial"/>
          <w:sz w:val="16"/>
          <w:szCs w:val="16"/>
          <w:color w:val="auto"/>
        </w:rPr>
        <w:t>only normal recurring adjustments, necessary to state fairly the Company’s financial position, results of operations, comprehensive loss and cash flows for the periods presented, but are not necessarily indicative of the results of operations to be anticipated for any future annual or interim period.</w:t>
      </w:r>
    </w:p>
    <w:p>
      <w:pPr>
        <w:spacing w:after="0" w:line="90" w:lineRule="exact"/>
        <w:rPr>
          <w:sz w:val="20"/>
          <w:szCs w:val="20"/>
          <w:color w:val="auto"/>
        </w:rPr>
      </w:pPr>
    </w:p>
    <w:p>
      <w:pPr>
        <w:ind w:right="320" w:firstLine="308"/>
        <w:spacing w:after="0" w:line="347" w:lineRule="auto"/>
        <w:rPr>
          <w:sz w:val="20"/>
          <w:szCs w:val="20"/>
          <w:color w:val="auto"/>
        </w:rPr>
      </w:pPr>
      <w:r>
        <w:rPr>
          <w:rFonts w:ascii="Arial" w:cs="Arial" w:eastAsia="Arial" w:hAnsi="Arial"/>
          <w:sz w:val="15"/>
          <w:szCs w:val="15"/>
          <w:color w:val="auto"/>
        </w:rPr>
        <w:t>The accompanying unaudited condensed consolidated financial statements and notes should be read in conjunction with the audited consolidated financial statements and related notes for the year ended December 31, 2020 included in the Annual Report on Form 10-K filed with the SEC on March 29, 2021.</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64" w:lineRule="exact"/>
        <w:rPr>
          <w:sz w:val="20"/>
          <w:szCs w:val="20"/>
          <w:color w:val="auto"/>
        </w:rPr>
      </w:pPr>
    </w:p>
    <w:p>
      <w:pPr>
        <w:ind w:firstLine="308"/>
        <w:spacing w:after="0" w:line="278" w:lineRule="auto"/>
        <w:rPr>
          <w:sz w:val="20"/>
          <w:szCs w:val="20"/>
          <w:color w:val="auto"/>
        </w:rPr>
      </w:pPr>
      <w:r>
        <w:rPr>
          <w:rFonts w:ascii="Arial" w:cs="Arial" w:eastAsia="Arial" w:hAnsi="Arial"/>
          <w:sz w:val="16"/>
          <w:szCs w:val="16"/>
          <w:color w:val="auto"/>
        </w:rPr>
        <w:t>The preparation of unaudited condensed consolidated financial statements in conformity with U.S. GAAP requires management to make estimates and assumptions that affect the reported amounts of assets, liabilities, and the disclosure of contingent assets and liabilities at the date of the unaudited condensed consolidated financial statements and the reported amounts of expenses during the reporting period. On an ongoing basis, the Company evaluates its estimates and assumptions, including, but not limited to, those related to the fair value of common stock, stock-based compensation, accrued research and development expenses, useful lives and valuation of property and equipment, income tax uncertainties, and tax valuation allowances.</w:t>
      </w:r>
    </w:p>
    <w:p>
      <w:pPr>
        <w:spacing w:after="0" w:line="116" w:lineRule="exact"/>
        <w:rPr>
          <w:sz w:val="20"/>
          <w:szCs w:val="20"/>
          <w:color w:val="auto"/>
        </w:rPr>
      </w:pPr>
    </w:p>
    <w:p>
      <w:pPr>
        <w:jc w:val="both"/>
        <w:ind w:right="340" w:firstLine="308"/>
        <w:spacing w:after="0" w:line="265" w:lineRule="auto"/>
        <w:rPr>
          <w:sz w:val="20"/>
          <w:szCs w:val="20"/>
          <w:color w:val="auto"/>
        </w:rPr>
      </w:pPr>
      <w:r>
        <w:rPr>
          <w:rFonts w:ascii="Arial" w:cs="Arial" w:eastAsia="Arial" w:hAnsi="Arial"/>
          <w:sz w:val="17"/>
          <w:szCs w:val="17"/>
          <w:color w:val="auto"/>
        </w:rPr>
        <w:t>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Impact of the COVID-19 Pandemic</w:t>
      </w:r>
    </w:p>
    <w:p>
      <w:pPr>
        <w:spacing w:after="0" w:line="164" w:lineRule="exact"/>
        <w:rPr>
          <w:sz w:val="20"/>
          <w:szCs w:val="20"/>
          <w:color w:val="auto"/>
        </w:rPr>
      </w:pPr>
    </w:p>
    <w:p>
      <w:pPr>
        <w:ind w:right="20" w:firstLine="308"/>
        <w:spacing w:after="0" w:line="256" w:lineRule="auto"/>
        <w:rPr>
          <w:sz w:val="20"/>
          <w:szCs w:val="20"/>
          <w:color w:val="auto"/>
        </w:rPr>
      </w:pPr>
      <w:r>
        <w:rPr>
          <w:rFonts w:ascii="Arial" w:cs="Arial" w:eastAsia="Arial" w:hAnsi="Arial"/>
          <w:sz w:val="17"/>
          <w:szCs w:val="17"/>
          <w:color w:val="auto"/>
        </w:rPr>
        <w:t>As a result of the COVID-19 pandemic (COVID-19), the Company’s operations experienced disruptions and restrictions on employees’ ability to work and on the hiring of additional personnel, particularly as a result of preventive and precautionary measures taken by the Company and some of its suppliers and other service providers. In particular, some of the Company’s laboratory material and equipment suppliers, collaborators, and service providers used in the performance of its research activities and phased commercial launch plan have been similarly impacted by COVID-19, which may limit the Company’s ability to achieve its planned progress. COVID-19 has adversely affected the broader economy, which could affect the Company’s financing prospects. Continued disruptions from COVID-19 could harm the Company’s operations and the Company cannot anticipate all the ways in which it could be adversely impacted by health epidemics such as COVID-19.</w:t>
      </w:r>
    </w:p>
    <w:p>
      <w:pPr>
        <w:spacing w:after="0" w:line="134" w:lineRule="exact"/>
        <w:rPr>
          <w:sz w:val="20"/>
          <w:szCs w:val="20"/>
          <w:color w:val="auto"/>
        </w:rPr>
      </w:pPr>
    </w:p>
    <w:p>
      <w:pPr>
        <w:ind w:firstLine="308"/>
        <w:spacing w:after="0" w:line="282" w:lineRule="auto"/>
        <w:rPr>
          <w:sz w:val="20"/>
          <w:szCs w:val="20"/>
          <w:color w:val="auto"/>
        </w:rPr>
      </w:pPr>
      <w:r>
        <w:rPr>
          <w:rFonts w:ascii="Arial" w:cs="Arial" w:eastAsia="Arial" w:hAnsi="Arial"/>
          <w:sz w:val="16"/>
          <w:szCs w:val="16"/>
          <w:color w:val="auto"/>
        </w:rPr>
        <w:t>The COVID-19 pandemic has mainly impacted the progress of research and development activities due to the limited ability of the Company’s employees to access laboratories during times of statewide quarantine and on some of its suppliers who have experienced a surge in demand for their products resulting in supply delays for critical hardware, instrumentation and medical and testing supplies used for product development. The Company continues to monitor and assess the effects of the COVID-19 pandemic on its business, financial condition, results of operations and cash flows.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164" w:lineRule="exact"/>
        <w:rPr>
          <w:sz w:val="20"/>
          <w:szCs w:val="20"/>
          <w:color w:val="auto"/>
        </w:rPr>
      </w:pPr>
    </w:p>
    <w:p>
      <w:pPr>
        <w:ind w:right="280" w:firstLine="308"/>
        <w:spacing w:after="0" w:line="347" w:lineRule="auto"/>
        <w:rPr>
          <w:sz w:val="20"/>
          <w:szCs w:val="20"/>
          <w:color w:val="auto"/>
        </w:rPr>
      </w:pPr>
      <w:r>
        <w:rPr>
          <w:rFonts w:ascii="Arial" w:cs="Arial" w:eastAsia="Arial" w:hAnsi="Arial"/>
          <w:sz w:val="15"/>
          <w:szCs w:val="15"/>
          <w:color w:val="auto"/>
        </w:rPr>
        <w:t>The Company considers all highly liquid investments with an original maturity of three months or less at the date of purchase to be cash equivalents. As of March 31, 2021 and December 31, 2020, all amounts recorded as cash and cash equivalents consist of money market funds and are stated at fair value.</w:t>
      </w:r>
    </w:p>
    <w:p>
      <w:pPr>
        <w:spacing w:after="0" w:line="67" w:lineRule="exact"/>
        <w:rPr>
          <w:sz w:val="20"/>
          <w:szCs w:val="20"/>
          <w:color w:val="auto"/>
        </w:rPr>
      </w:pPr>
    </w:p>
    <w:p>
      <w:pPr>
        <w:ind w:right="40" w:firstLine="308"/>
        <w:spacing w:after="0" w:line="278" w:lineRule="auto"/>
        <w:rPr>
          <w:sz w:val="20"/>
          <w:szCs w:val="20"/>
          <w:color w:val="auto"/>
        </w:rPr>
      </w:pPr>
      <w:r>
        <w:rPr>
          <w:rFonts w:ascii="Arial" w:cs="Arial" w:eastAsia="Arial" w:hAnsi="Arial"/>
          <w:sz w:val="17"/>
          <w:szCs w:val="17"/>
          <w:color w:val="auto"/>
        </w:rPr>
        <w:t>Restricted cash as of March 31, 2021 and December 31, 2020 represents cash held by a financial institution as security for a letter of credit issued to the lessor for one of the Company’s operating leases and is classified as non-current.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7"/>
          <w:szCs w:val="17"/>
          <w:b w:val="1"/>
          <w:bCs w:val="1"/>
          <w:color w:val="auto"/>
        </w:rPr>
        <w:t>SEER,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20" w:firstLine="308"/>
        <w:spacing w:after="0" w:line="310" w:lineRule="auto"/>
        <w:rPr>
          <w:sz w:val="20"/>
          <w:szCs w:val="20"/>
          <w:color w:val="auto"/>
        </w:rPr>
      </w:pPr>
      <w:r>
        <w:rPr>
          <w:rFonts w:ascii="Arial" w:cs="Arial" w:eastAsia="Arial" w:hAnsi="Arial"/>
          <w:sz w:val="16"/>
          <w:szCs w:val="16"/>
          <w:color w:val="auto"/>
        </w:rPr>
        <w:t>The following table provides a reconciliation of cash, cash equivalents, and restricted cash reported within the unaudited condensed consolidated balance sheets that sum to the total of the same amounts shown in the unaudited condensed consolidated statements of cash flows (in thousands):</w:t>
      </w:r>
    </w:p>
    <w:p>
      <w:pPr>
        <w:spacing w:after="0" w:line="131"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58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w w:val="98"/>
              </w:rPr>
              <w:t>December 31,</w:t>
            </w:r>
          </w:p>
        </w:tc>
      </w:tr>
      <w:tr>
        <w:trPr>
          <w:trHeight w:val="178"/>
        </w:trPr>
        <w:tc>
          <w:tcPr>
            <w:tcW w:w="58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r>
      <w:tr>
        <w:trPr>
          <w:trHeight w:val="225"/>
        </w:trPr>
        <w:tc>
          <w:tcPr>
            <w:tcW w:w="5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8"/>
        </w:trPr>
        <w:tc>
          <w:tcPr>
            <w:tcW w:w="5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5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445,763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333,585</w:t>
            </w:r>
          </w:p>
        </w:tc>
      </w:tr>
      <w:tr>
        <w:trPr>
          <w:trHeight w:val="218"/>
        </w:trPr>
        <w:tc>
          <w:tcPr>
            <w:tcW w:w="58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Restricted cash</w:t>
            </w:r>
          </w:p>
        </w:tc>
        <w:tc>
          <w:tcPr>
            <w:tcW w:w="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w:t>
            </w:r>
          </w:p>
        </w:tc>
      </w:tr>
      <w:tr>
        <w:trPr>
          <w:trHeight w:val="237"/>
        </w:trPr>
        <w:tc>
          <w:tcPr>
            <w:tcW w:w="5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cash, cash equivalents and restricted cash</w:t>
            </w:r>
          </w:p>
        </w:tc>
        <w:tc>
          <w:tcPr>
            <w:tcW w:w="5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446,106</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333,928</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Research Revenue</w:t>
      </w:r>
    </w:p>
    <w:p>
      <w:pPr>
        <w:spacing w:after="0" w:line="164" w:lineRule="exact"/>
        <w:rPr>
          <w:sz w:val="20"/>
          <w:szCs w:val="20"/>
          <w:color w:val="auto"/>
        </w:rPr>
      </w:pPr>
    </w:p>
    <w:p>
      <w:pPr>
        <w:ind w:right="140" w:firstLine="308"/>
        <w:spacing w:after="0" w:line="256" w:lineRule="auto"/>
        <w:rPr>
          <w:sz w:val="20"/>
          <w:szCs w:val="20"/>
          <w:color w:val="auto"/>
        </w:rPr>
      </w:pPr>
      <w:r>
        <w:rPr>
          <w:rFonts w:ascii="Arial" w:cs="Arial" w:eastAsia="Arial" w:hAnsi="Arial"/>
          <w:sz w:val="17"/>
          <w:szCs w:val="17"/>
          <w:color w:val="auto"/>
        </w:rPr>
        <w:t>The Company recognizes revenue when control of the services is transferred to its customers in an amount that reflects the consideration it expects to receive from its customers in exchange for those services.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The Company considers a performance obligation satisfied once it has transferred control of a good or service to the customer, meaning the customer has the ability to use and obtain the benefit of the good or service.</w:t>
      </w:r>
    </w:p>
    <w:p>
      <w:pPr>
        <w:spacing w:after="0" w:line="134" w:lineRule="exact"/>
        <w:rPr>
          <w:sz w:val="20"/>
          <w:szCs w:val="20"/>
          <w:color w:val="auto"/>
        </w:rPr>
      </w:pPr>
    </w:p>
    <w:p>
      <w:pPr>
        <w:ind w:right="180" w:firstLine="308"/>
        <w:spacing w:after="0" w:line="301" w:lineRule="auto"/>
        <w:rPr>
          <w:sz w:val="20"/>
          <w:szCs w:val="20"/>
          <w:color w:val="auto"/>
        </w:rPr>
      </w:pPr>
      <w:r>
        <w:rPr>
          <w:rFonts w:ascii="Arial" w:cs="Arial" w:eastAsia="Arial" w:hAnsi="Arial"/>
          <w:sz w:val="15"/>
          <w:szCs w:val="15"/>
          <w:color w:val="auto"/>
        </w:rPr>
        <w:t>The Company recognizes revenue for research and development services contracts when control is transferred, which is upon completion of the services and when results of the services have been transferred to the customer. Upfront payments and fees received are recorded as deferred revenue until the Company performs its obligations under its arrangements. Amounts payable to the Company are recorded as other receivables when its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Grant Revenue</w:t>
      </w:r>
    </w:p>
    <w:p>
      <w:pPr>
        <w:spacing w:after="0" w:line="164" w:lineRule="exact"/>
        <w:rPr>
          <w:sz w:val="20"/>
          <w:szCs w:val="20"/>
          <w:color w:val="auto"/>
        </w:rPr>
      </w:pPr>
    </w:p>
    <w:p>
      <w:pPr>
        <w:ind w:firstLine="308"/>
        <w:spacing w:after="0" w:line="278" w:lineRule="auto"/>
        <w:rPr>
          <w:sz w:val="20"/>
          <w:szCs w:val="20"/>
          <w:color w:val="auto"/>
        </w:rPr>
      </w:pPr>
      <w:r>
        <w:rPr>
          <w:rFonts w:ascii="Arial" w:cs="Arial" w:eastAsia="Arial" w:hAnsi="Arial"/>
          <w:sz w:val="16"/>
          <w:szCs w:val="16"/>
          <w:color w:val="auto"/>
        </w:rPr>
        <w:t>Grant revenue represents funding under cost reimbursement programs from federal foundation sources for qualified research and development activities performed by the Company and are not based on estimates that are subject to change. Grants received are assessed to determine if the agreement should be accounted for as an exchange transaction or a contribution. An agreement is accounted for as a contribution if the resource provider does not receive commensurate value in return for the assets transferred. Such amounts are recorded as revenue as grant-funded activities are performed up to the amount of expenses incurred. Any advance funding payments are recorded as deferred revenue until the activities are performed.</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64" w:lineRule="exact"/>
        <w:rPr>
          <w:sz w:val="20"/>
          <w:szCs w:val="20"/>
          <w:color w:val="auto"/>
        </w:rPr>
      </w:pPr>
    </w:p>
    <w:p>
      <w:pPr>
        <w:ind w:right="100" w:firstLine="308"/>
        <w:spacing w:after="0" w:line="296" w:lineRule="auto"/>
        <w:rPr>
          <w:sz w:val="20"/>
          <w:szCs w:val="20"/>
          <w:color w:val="auto"/>
        </w:rPr>
      </w:pPr>
      <w:r>
        <w:rPr>
          <w:rFonts w:ascii="Arial" w:cs="Arial" w:eastAsia="Arial" w:hAnsi="Arial"/>
          <w:sz w:val="15"/>
          <w:szCs w:val="15"/>
          <w:color w:val="auto"/>
        </w:rPr>
        <w:t>The Company accounts for stock-based compensation, including from restricted common stock awards (RSAs), grants of restricted stock units (RSUs), and stock options that may be settled in shares of our common stock, based on the fair values of the equity instruments issued. The fair value is determined on the measurement date, which is generally the date of grant. The fair value of RSAs is the difference between the fair value of the underlying stock at the measurement date and the purchase price. The fair value of RSUs is the fair value of the underlying stock at the measurement date. The fair value for our stock option awards is determined at the grant date using the Black-Scholes valuation model. The fair value of share-based payment awards is recognized as expense on a straight-line basis over the requisite service period in which the awards are expected to vest. Forfeitures are accounted for in the period in which they occur. Share-based payment awards that include a service condition and a performance condition are expected to vest when the performance condition is probable of being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7"/>
          <w:szCs w:val="17"/>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firstLine="308"/>
        <w:spacing w:after="0" w:line="316" w:lineRule="auto"/>
        <w:rPr>
          <w:sz w:val="20"/>
          <w:szCs w:val="20"/>
          <w:color w:val="auto"/>
        </w:rPr>
      </w:pPr>
      <w:r>
        <w:rPr>
          <w:rFonts w:ascii="Arial" w:cs="Arial" w:eastAsia="Arial" w:hAnsi="Arial"/>
          <w:sz w:val="15"/>
          <w:szCs w:val="15"/>
          <w:color w:val="auto"/>
        </w:rPr>
        <w:t>The Black-Scholes model considers several variables and assumptions in estimating the fair value of stock-based awards that require judgment, for which changes if they occur can materially affect the resulting estimates of fair value. These assumptions include the per share fair value of the underlying common stock, exercise price, expected term, risk-free interest rate, expected annual dividend yield, and the expected stock price volatility over the expected term as follows:</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Fair Value of Common Stock</w:t>
      </w:r>
    </w:p>
    <w:p>
      <w:pPr>
        <w:spacing w:after="0" w:line="164" w:lineRule="exact"/>
        <w:rPr>
          <w:sz w:val="20"/>
          <w:szCs w:val="20"/>
          <w:color w:val="auto"/>
        </w:rPr>
      </w:pPr>
    </w:p>
    <w:p>
      <w:pPr>
        <w:ind w:right="40" w:firstLine="308"/>
        <w:spacing w:after="0" w:line="274" w:lineRule="auto"/>
        <w:rPr>
          <w:sz w:val="20"/>
          <w:szCs w:val="20"/>
          <w:color w:val="auto"/>
        </w:rPr>
      </w:pPr>
      <w:r>
        <w:rPr>
          <w:rFonts w:ascii="Arial" w:cs="Arial" w:eastAsia="Arial" w:hAnsi="Arial"/>
          <w:sz w:val="16"/>
          <w:szCs w:val="16"/>
          <w:color w:val="auto"/>
        </w:rPr>
        <w:t>For grants prior to the Company’s IPO in December 2020, the grant-date fair market value of the shares of common stock underlying stock options was determined by the Company’s Board of Directors with assistance of third-party valuation specialists. Because there has been no public market for the Company’s common stock, the Board of Directors exercises reasonable judgment and considers a number of objective and subjective factors to determine the best estimate of the fair market value, which include important developments in the Company’s operations, the prices at which the Company sold shares of its convertible preferred stock, the rights, preferences and privileges of the Company’s convertible preferred stock relative to those of the Company’s common stock, actual operating results, financial performance, external market conditions in the life sciences industry, general U.S. market conditions, equity market conditions of comparable public companies, and the lack of marketability of the Company’s common stock. For all grants subsequent to the IPO, the fair value of common stock was determined by using the closing price per share of common stock as reported on the Nasdaq Global Select Market.</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Expected Volatility</w:t>
      </w:r>
    </w:p>
    <w:p>
      <w:pPr>
        <w:spacing w:after="0" w:line="164" w:lineRule="exact"/>
        <w:rPr>
          <w:sz w:val="20"/>
          <w:szCs w:val="20"/>
          <w:color w:val="auto"/>
        </w:rPr>
      </w:pPr>
    </w:p>
    <w:p>
      <w:pPr>
        <w:ind w:firstLine="308"/>
        <w:spacing w:after="0" w:line="265" w:lineRule="auto"/>
        <w:rPr>
          <w:sz w:val="20"/>
          <w:szCs w:val="20"/>
          <w:color w:val="auto"/>
        </w:rPr>
      </w:pPr>
      <w:r>
        <w:rPr>
          <w:rFonts w:ascii="Arial" w:cs="Arial" w:eastAsia="Arial" w:hAnsi="Arial"/>
          <w:sz w:val="17"/>
          <w:szCs w:val="17"/>
          <w:color w:val="auto"/>
        </w:rPr>
        <w:t>The Company had no publicly available stock price information prior to its IPO and limited publicly available stock price information subsequent to its IPO and therefore the Company has used the historical volatility of the stock price of similar publicly traded peer companies. The historical volatility is calculated based on a period of time commensurate with the expected term assumptions.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Expected Term</w:t>
      </w:r>
    </w:p>
    <w:p>
      <w:pPr>
        <w:spacing w:after="0" w:line="164" w:lineRule="exact"/>
        <w:rPr>
          <w:sz w:val="20"/>
          <w:szCs w:val="20"/>
          <w:color w:val="auto"/>
        </w:rPr>
      </w:pPr>
    </w:p>
    <w:p>
      <w:pPr>
        <w:ind w:right="100" w:firstLine="308"/>
        <w:spacing w:after="0" w:line="278" w:lineRule="auto"/>
        <w:rPr>
          <w:sz w:val="20"/>
          <w:szCs w:val="20"/>
          <w:color w:val="auto"/>
        </w:rPr>
      </w:pPr>
      <w:r>
        <w:rPr>
          <w:rFonts w:ascii="Arial" w:cs="Arial" w:eastAsia="Arial" w:hAnsi="Arial"/>
          <w:sz w:val="17"/>
          <w:szCs w:val="17"/>
          <w:color w:val="auto"/>
        </w:rPr>
        <w:t>For stock options granted to employees and directors, the expected term is calculated using the simplified method for “plain vanilla” stock option awards. The expected term for stock options granted to non-employees is the contractual term.</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Risk-Free Interest Rate</w:t>
      </w:r>
    </w:p>
    <w:p>
      <w:pPr>
        <w:spacing w:after="0" w:line="164" w:lineRule="exact"/>
        <w:rPr>
          <w:sz w:val="20"/>
          <w:szCs w:val="20"/>
          <w:color w:val="auto"/>
        </w:rPr>
      </w:pPr>
    </w:p>
    <w:p>
      <w:pPr>
        <w:ind w:right="380" w:firstLine="308"/>
        <w:spacing w:after="0" w:line="278" w:lineRule="auto"/>
        <w:rPr>
          <w:sz w:val="20"/>
          <w:szCs w:val="20"/>
          <w:color w:val="auto"/>
        </w:rPr>
      </w:pPr>
      <w:r>
        <w:rPr>
          <w:rFonts w:ascii="Arial" w:cs="Arial" w:eastAsia="Arial" w:hAnsi="Arial"/>
          <w:sz w:val="17"/>
          <w:szCs w:val="17"/>
          <w:color w:val="auto"/>
        </w:rPr>
        <w:t>The risk-free interest rate is based on the yield available on U.S. Treasury zero-coupon issues similar in duration to the expected term of the equity-settled award.</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Expected Dividends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expected dividend yield is assumed to be zero as the Company has never paid dividends and has no current plans to pay dividends on its common stock.</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Net Loss Per Share Attributable to Common Stockholders</w:t>
      </w:r>
    </w:p>
    <w:p>
      <w:pPr>
        <w:spacing w:after="0" w:line="164" w:lineRule="exact"/>
        <w:rPr>
          <w:sz w:val="20"/>
          <w:szCs w:val="20"/>
          <w:color w:val="auto"/>
        </w:rPr>
      </w:pPr>
    </w:p>
    <w:p>
      <w:pPr>
        <w:ind w:right="140" w:firstLine="308"/>
        <w:spacing w:after="0" w:line="278" w:lineRule="auto"/>
        <w:rPr>
          <w:sz w:val="20"/>
          <w:szCs w:val="20"/>
          <w:color w:val="auto"/>
        </w:rPr>
      </w:pPr>
      <w:r>
        <w:rPr>
          <w:rFonts w:ascii="Arial" w:cs="Arial" w:eastAsia="Arial" w:hAnsi="Arial"/>
          <w:sz w:val="16"/>
          <w:szCs w:val="16"/>
          <w:color w:val="auto"/>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spacing w:after="0" w:line="116" w:lineRule="exact"/>
        <w:rPr>
          <w:sz w:val="20"/>
          <w:szCs w:val="20"/>
          <w:color w:val="auto"/>
        </w:rPr>
      </w:pPr>
    </w:p>
    <w:p>
      <w:pPr>
        <w:jc w:val="both"/>
        <w:ind w:right="80" w:firstLine="308"/>
        <w:spacing w:after="0" w:line="289" w:lineRule="auto"/>
        <w:rPr>
          <w:sz w:val="20"/>
          <w:szCs w:val="20"/>
          <w:color w:val="auto"/>
        </w:rPr>
      </w:pPr>
      <w:r>
        <w:rPr>
          <w:rFonts w:ascii="Arial" w:cs="Arial" w:eastAsia="Arial" w:hAnsi="Arial"/>
          <w:sz w:val="16"/>
          <w:szCs w:val="16"/>
          <w:color w:val="auto"/>
        </w:rPr>
        <w:t>The Company’s participating securities include the Company’s convertible preferred stock, as the holders are entitled to receive noncumulative dividends on a pari passu basis in the event that a dividend is paid on common stock. The Company also considers any shares issued on the early exercise of stock options subject to repurchase to be participating securities because holders of such shares have non-forfeitable dividend rights in the event a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780"/>
        <w:spacing w:after="0" w:line="278" w:lineRule="auto"/>
        <w:rPr>
          <w:sz w:val="20"/>
          <w:szCs w:val="20"/>
          <w:color w:val="auto"/>
        </w:rPr>
      </w:pPr>
      <w:r>
        <w:rPr>
          <w:rFonts w:ascii="Arial" w:cs="Arial" w:eastAsia="Arial" w:hAnsi="Arial"/>
          <w:sz w:val="17"/>
          <w:szCs w:val="17"/>
          <w:color w:val="auto"/>
        </w:rPr>
        <w:t>is paid on common stock. The holders of convertible preferred stock, as well as the holders of early exercised shares subject to repurchase, do not have a contractual obligation to share in losses.</w:t>
      </w:r>
    </w:p>
    <w:p>
      <w:pPr>
        <w:spacing w:after="0" w:line="112" w:lineRule="exact"/>
        <w:rPr>
          <w:sz w:val="20"/>
          <w:szCs w:val="20"/>
          <w:color w:val="auto"/>
        </w:rPr>
      </w:pPr>
    </w:p>
    <w:p>
      <w:pPr>
        <w:ind w:right="500" w:firstLine="308"/>
        <w:spacing w:after="0" w:line="310" w:lineRule="auto"/>
        <w:rPr>
          <w:sz w:val="20"/>
          <w:szCs w:val="20"/>
          <w:color w:val="auto"/>
        </w:rPr>
      </w:pPr>
      <w:r>
        <w:rPr>
          <w:rFonts w:ascii="Arial" w:cs="Arial" w:eastAsia="Arial" w:hAnsi="Arial"/>
          <w:sz w:val="16"/>
          <w:szCs w:val="16"/>
          <w:color w:val="auto"/>
        </w:rPr>
        <w:t>Basic net loss per share attributable to common stockholders is calculated by dividing the net loss attributable to common stockholders by the weighted-average number of shares of common stock outstanding during the period, adjusted for outstanding shares that are subject to repurchase.</w:t>
      </w:r>
    </w:p>
    <w:p>
      <w:pPr>
        <w:spacing w:after="0" w:line="90" w:lineRule="exact"/>
        <w:rPr>
          <w:sz w:val="20"/>
          <w:szCs w:val="20"/>
          <w:color w:val="auto"/>
        </w:rPr>
      </w:pPr>
    </w:p>
    <w:p>
      <w:pPr>
        <w:ind w:right="80" w:firstLine="308"/>
        <w:spacing w:after="0" w:line="261" w:lineRule="auto"/>
        <w:rPr>
          <w:sz w:val="20"/>
          <w:szCs w:val="20"/>
          <w:color w:val="auto"/>
        </w:rPr>
      </w:pPr>
      <w:r>
        <w:rPr>
          <w:rFonts w:ascii="Arial" w:cs="Arial" w:eastAsia="Arial" w:hAnsi="Arial"/>
          <w:sz w:val="17"/>
          <w:szCs w:val="17"/>
          <w:color w:val="auto"/>
        </w:rPr>
        <w:t>Diluted net loss per share is computed by giving effect to all potentially dilutive securities outstanding for the period using the treasury stock method or the if-converted method based on the nature of such securities. For periods in which the 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64" w:lineRule="exact"/>
        <w:rPr>
          <w:sz w:val="20"/>
          <w:szCs w:val="20"/>
          <w:color w:val="auto"/>
        </w:rPr>
      </w:pPr>
    </w:p>
    <w:p>
      <w:pPr>
        <w:jc w:val="both"/>
        <w:ind w:firstLine="308"/>
        <w:spacing w:after="0" w:line="261"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which is intended to simplify the accounting for income taxes. This standard removes certain exceptions to the general principles in Topic 740 and also clarifies and amends existing standards to improve consistent application. The Company adopted this standard as of January 1, 2021, which did not have a material impact on its financial statements as of the adoption date.</w:t>
      </w:r>
    </w:p>
    <w:p>
      <w:pPr>
        <w:spacing w:after="0" w:line="126" w:lineRule="exact"/>
        <w:rPr>
          <w:sz w:val="20"/>
          <w:szCs w:val="20"/>
          <w:color w:val="auto"/>
        </w:rPr>
      </w:pPr>
    </w:p>
    <w:p>
      <w:pPr>
        <w:ind w:right="20" w:firstLine="308"/>
        <w:spacing w:after="0" w:line="261" w:lineRule="auto"/>
        <w:rPr>
          <w:sz w:val="20"/>
          <w:szCs w:val="20"/>
          <w:color w:val="auto"/>
        </w:rPr>
      </w:pPr>
      <w:r>
        <w:rPr>
          <w:rFonts w:ascii="Arial" w:cs="Arial" w:eastAsia="Arial" w:hAnsi="Arial"/>
          <w:sz w:val="17"/>
          <w:szCs w:val="17"/>
          <w:color w:val="auto"/>
        </w:rPr>
        <w:t xml:space="preserve">In January 2020, the FASB issued ASU No. 2020-01, </w:t>
      </w:r>
      <w:r>
        <w:rPr>
          <w:rFonts w:ascii="Arial" w:cs="Arial" w:eastAsia="Arial" w:hAnsi="Arial"/>
          <w:sz w:val="17"/>
          <w:szCs w:val="17"/>
          <w:i w:val="1"/>
          <w:iCs w:val="1"/>
          <w:color w:val="auto"/>
        </w:rPr>
        <w:t>Investments—Equity Securities (Topic 321), Investments—Equity Method and Joint Ventures (Topic 323),</w:t>
      </w:r>
      <w:r>
        <w:rPr>
          <w:rFonts w:ascii="Arial" w:cs="Arial" w:eastAsia="Arial" w:hAnsi="Arial"/>
          <w:sz w:val="17"/>
          <w:szCs w:val="17"/>
          <w:color w:val="auto"/>
        </w:rPr>
        <w:t xml:space="preserve"> </w:t>
      </w:r>
      <w:r>
        <w:rPr>
          <w:rFonts w:ascii="Arial" w:cs="Arial" w:eastAsia="Arial" w:hAnsi="Arial"/>
          <w:sz w:val="17"/>
          <w:szCs w:val="17"/>
          <w:i w:val="1"/>
          <w:iCs w:val="1"/>
          <w:color w:val="auto"/>
        </w:rPr>
        <w:t>and Derivatives and Hedging (Topic 815)</w:t>
      </w:r>
      <w:r>
        <w:rPr>
          <w:rFonts w:ascii="Arial" w:cs="Arial" w:eastAsia="Arial" w:hAnsi="Arial"/>
          <w:sz w:val="17"/>
          <w:szCs w:val="17"/>
          <w:color w:val="auto"/>
        </w:rPr>
        <w:t>. This standard clarifies the interaction between accounting standards related to equity securities, equity method</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and certain derivative instruments. The Company adopted this standard as of January 1, 2021, which did not have a material impact on its financial statements as of the adoption date.</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Recently Issued Accounting Pronouncements Not Yet Adopted</w:t>
      </w:r>
    </w:p>
    <w:p>
      <w:pPr>
        <w:spacing w:after="0" w:line="164" w:lineRule="exact"/>
        <w:rPr>
          <w:sz w:val="20"/>
          <w:szCs w:val="20"/>
          <w:color w:val="auto"/>
        </w:rPr>
      </w:pPr>
    </w:p>
    <w:p>
      <w:pPr>
        <w:ind w:right="20" w:firstLine="308"/>
        <w:spacing w:after="0" w:line="257"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This standard clarifies the definition of a lease and requires a lessee to recognize in the statement of financial position a liability to make lease payments (the lease liability) and a right-to-use asset representing its right to use the underlying asset for the lease term. In November 2019, the FASB issued ASU No. 2019-10 which extends the effective date of ASU No. 2016-02 for non-public business entities, including smaller reporting companies, to fiscal years beginning after December 15, 2021, and interim periods within fiscal years beginning after December 15, 2022. While the Company has not yet quantified the impact, these adjustments will increase total assets and total liabilities relative to such amounts reported prior to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100"/>
        <w:spacing w:after="0"/>
        <w:rPr>
          <w:sz w:val="20"/>
          <w:szCs w:val="20"/>
          <w:color w:val="auto"/>
        </w:rPr>
      </w:pPr>
      <w:r>
        <w:rPr>
          <w:rFonts w:ascii="Arial" w:cs="Arial" w:eastAsia="Arial" w:hAnsi="Arial"/>
          <w:sz w:val="17"/>
          <w:szCs w:val="17"/>
          <w:b w:val="1"/>
          <w:bCs w:val="1"/>
          <w:color w:val="auto"/>
        </w:rPr>
        <w:t>SEER,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 w:hanging="617"/>
        <w:spacing w:after="0"/>
        <w:tabs>
          <w:tab w:leader="none" w:pos="62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 AND FAIR VALUE OF FINANCIAL INSTRUMENTS</w:t>
      </w:r>
    </w:p>
    <w:p>
      <w:pPr>
        <w:spacing w:after="0" w:line="170" w:lineRule="exact"/>
        <w:rPr>
          <w:sz w:val="20"/>
          <w:szCs w:val="20"/>
          <w:color w:val="auto"/>
        </w:rPr>
      </w:pPr>
    </w:p>
    <w:p>
      <w:pPr>
        <w:ind w:right="480" w:firstLine="308"/>
        <w:spacing w:after="0" w:line="277" w:lineRule="auto"/>
        <w:rPr>
          <w:sz w:val="20"/>
          <w:szCs w:val="20"/>
          <w:color w:val="auto"/>
        </w:rPr>
      </w:pPr>
      <w:r>
        <w:rPr>
          <w:rFonts w:ascii="Arial" w:cs="Arial" w:eastAsia="Arial" w:hAnsi="Arial"/>
          <w:sz w:val="17"/>
          <w:szCs w:val="17"/>
          <w:color w:val="auto"/>
        </w:rPr>
        <w:t>The following tables set forth the fair value of the Company’s financial assets that were measured at fair value on a recurring basis by level within the fair value hierarchy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80" w:type="dxa"/>
            <w:vAlign w:val="bottom"/>
            <w:gridSpan w:val="6"/>
          </w:tcPr>
          <w:p>
            <w:pPr>
              <w:jc w:val="right"/>
              <w:ind w:right="779"/>
              <w:spacing w:after="0"/>
              <w:rPr>
                <w:sz w:val="20"/>
                <w:szCs w:val="20"/>
                <w:color w:val="auto"/>
              </w:rPr>
            </w:pPr>
            <w:r>
              <w:rPr>
                <w:rFonts w:ascii="Arial" w:cs="Arial" w:eastAsia="Arial" w:hAnsi="Arial"/>
                <w:sz w:val="14"/>
                <w:szCs w:val="14"/>
                <w:b w:val="1"/>
                <w:bCs w:val="1"/>
                <w:color w:val="auto"/>
              </w:rPr>
              <w:t>March 31, 2021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
        </w:trPr>
        <w:tc>
          <w:tcPr>
            <w:tcW w:w="2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4"/>
        </w:trPr>
        <w:tc>
          <w:tcPr>
            <w:tcW w:w="27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gridSpan w:val="2"/>
          </w:tcPr>
          <w:p>
            <w:pPr>
              <w:jc w:val="right"/>
              <w:ind w:right="303"/>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gridSpan w:val="3"/>
          </w:tcPr>
          <w:p>
            <w:pPr>
              <w:jc w:val="right"/>
              <w:ind w:right="219"/>
              <w:spacing w:after="0"/>
              <w:rPr>
                <w:sz w:val="20"/>
                <w:szCs w:val="20"/>
                <w:color w:val="auto"/>
              </w:rPr>
            </w:pPr>
            <w:r>
              <w:rPr>
                <w:rFonts w:ascii="Arial" w:cs="Arial" w:eastAsia="Arial" w:hAnsi="Arial"/>
                <w:sz w:val="14"/>
                <w:szCs w:val="14"/>
                <w:b w:val="1"/>
                <w:bCs w:val="1"/>
                <w:color w:val="auto"/>
                <w:w w:val="96"/>
              </w:rPr>
              <w:t>Level 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259"/>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339"/>
              <w:spacing w:after="0"/>
              <w:rPr>
                <w:sz w:val="20"/>
                <w:szCs w:val="20"/>
                <w:color w:val="auto"/>
              </w:rPr>
            </w:pPr>
            <w:r>
              <w:rPr>
                <w:rFonts w:ascii="Arial" w:cs="Arial" w:eastAsia="Arial" w:hAnsi="Arial"/>
                <w:sz w:val="14"/>
                <w:szCs w:val="14"/>
                <w:b w:val="1"/>
                <w:bCs w:val="1"/>
                <w:color w:val="auto"/>
              </w:rPr>
              <w:t>Total</w:t>
            </w:r>
          </w:p>
        </w:tc>
      </w:tr>
      <w:tr>
        <w:trPr>
          <w:trHeight w:val="24"/>
        </w:trPr>
        <w:tc>
          <w:tcPr>
            <w:tcW w:w="270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2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Assets:</w:t>
            </w:r>
          </w:p>
        </w:tc>
        <w:tc>
          <w:tcPr>
            <w:tcW w:w="2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Classification:</w:t>
            </w:r>
          </w:p>
        </w:tc>
        <w:tc>
          <w:tcPr>
            <w:tcW w:w="5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56"/>
        </w:trPr>
        <w:tc>
          <w:tcPr>
            <w:tcW w:w="2700" w:type="dxa"/>
            <w:vAlign w:val="bottom"/>
          </w:tcPr>
          <w:p>
            <w:pPr>
              <w:ind w:left="320"/>
              <w:spacing w:after="0"/>
              <w:rPr>
                <w:sz w:val="20"/>
                <w:szCs w:val="20"/>
                <w:color w:val="auto"/>
              </w:rPr>
            </w:pPr>
            <w:r>
              <w:rPr>
                <w:rFonts w:ascii="Arial" w:cs="Arial" w:eastAsia="Arial" w:hAnsi="Arial"/>
                <w:sz w:val="17"/>
                <w:szCs w:val="17"/>
                <w:color w:val="auto"/>
              </w:rPr>
              <w:t>Money market funds</w:t>
            </w:r>
          </w:p>
        </w:tc>
        <w:tc>
          <w:tcPr>
            <w:tcW w:w="2480" w:type="dxa"/>
            <w:vAlign w:val="bottom"/>
          </w:tcPr>
          <w:p>
            <w:pPr>
              <w:ind w:left="320"/>
              <w:spacing w:after="0"/>
              <w:rPr>
                <w:sz w:val="20"/>
                <w:szCs w:val="20"/>
                <w:color w:val="auto"/>
              </w:rPr>
            </w:pPr>
            <w:r>
              <w:rPr>
                <w:rFonts w:ascii="Arial" w:cs="Arial" w:eastAsia="Arial" w:hAnsi="Arial"/>
                <w:sz w:val="17"/>
                <w:szCs w:val="17"/>
                <w:color w:val="auto"/>
              </w:rPr>
              <w:t>Cash and cash equivalents</w:t>
            </w:r>
          </w:p>
        </w:tc>
        <w:tc>
          <w:tcPr>
            <w:tcW w:w="5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444,668</w:t>
            </w:r>
          </w:p>
        </w:tc>
        <w:tc>
          <w:tcPr>
            <w:tcW w:w="700" w:type="dxa"/>
            <w:vAlign w:val="bottom"/>
            <w:gridSpan w:val="2"/>
          </w:tcPr>
          <w:p>
            <w:pPr>
              <w:jc w:val="right"/>
              <w:ind w:right="114"/>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tcPr>
          <w:p>
            <w:pPr>
              <w:ind w:left="7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444,668</w:t>
            </w:r>
          </w:p>
        </w:tc>
      </w:tr>
      <w:tr>
        <w:trPr>
          <w:trHeight w:val="257"/>
        </w:trPr>
        <w:tc>
          <w:tcPr>
            <w:tcW w:w="27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U.S. Treasury securities</w:t>
            </w:r>
          </w:p>
        </w:tc>
        <w:tc>
          <w:tcPr>
            <w:tcW w:w="2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Investments</w:t>
            </w:r>
          </w:p>
        </w:tc>
        <w:tc>
          <w:tcPr>
            <w:tcW w:w="54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85,379</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85,379</w:t>
            </w:r>
          </w:p>
        </w:tc>
      </w:tr>
      <w:tr>
        <w:trPr>
          <w:trHeight w:val="251"/>
        </w:trPr>
        <w:tc>
          <w:tcPr>
            <w:tcW w:w="2700" w:type="dxa"/>
            <w:vAlign w:val="bottom"/>
          </w:tcPr>
          <w:p>
            <w:pPr>
              <w:ind w:left="20"/>
              <w:spacing w:after="0"/>
              <w:rPr>
                <w:sz w:val="20"/>
                <w:szCs w:val="20"/>
                <w:color w:val="auto"/>
              </w:rPr>
            </w:pPr>
            <w:r>
              <w:rPr>
                <w:rFonts w:ascii="Arial" w:cs="Arial" w:eastAsia="Arial" w:hAnsi="Arial"/>
                <w:sz w:val="17"/>
                <w:szCs w:val="17"/>
                <w:color w:val="auto"/>
              </w:rPr>
              <w:t>Total assets measured at fair value</w:t>
            </w:r>
          </w:p>
        </w:tc>
        <w:tc>
          <w:tcPr>
            <w:tcW w:w="2480" w:type="dxa"/>
            <w:vAlign w:val="bottom"/>
          </w:tcPr>
          <w:p>
            <w:pPr>
              <w:spacing w:after="0"/>
              <w:rPr>
                <w:sz w:val="21"/>
                <w:szCs w:val="21"/>
                <w:color w:val="auto"/>
              </w:rPr>
            </w:pPr>
          </w:p>
        </w:tc>
        <w:tc>
          <w:tcPr>
            <w:tcW w:w="5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444,668</w:t>
            </w:r>
          </w:p>
        </w:tc>
        <w:tc>
          <w:tcPr>
            <w:tcW w:w="700" w:type="dxa"/>
            <w:vAlign w:val="bottom"/>
            <w:gridSpan w:val="2"/>
          </w:tcPr>
          <w:p>
            <w:pPr>
              <w:jc w:val="right"/>
              <w:ind w:right="114"/>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85,379</w:t>
            </w:r>
          </w:p>
        </w:tc>
        <w:tc>
          <w:tcPr>
            <w:tcW w:w="60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tcPr>
          <w:p>
            <w:pPr>
              <w:ind w:left="7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530,047</w:t>
            </w:r>
          </w:p>
        </w:tc>
      </w:tr>
      <w:tr>
        <w:trPr>
          <w:trHeight w:val="20"/>
        </w:trPr>
        <w:tc>
          <w:tcPr>
            <w:tcW w:w="27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443"/>
        </w:trPr>
        <w:tc>
          <w:tcPr>
            <w:tcW w:w="2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gridSpan w:val="5"/>
          </w:tcPr>
          <w:p>
            <w:pPr>
              <w:jc w:val="right"/>
              <w:ind w:right="359"/>
              <w:spacing w:after="0"/>
              <w:rPr>
                <w:sz w:val="20"/>
                <w:szCs w:val="20"/>
                <w:color w:val="auto"/>
              </w:rPr>
            </w:pPr>
            <w:r>
              <w:rPr>
                <w:rFonts w:ascii="Arial" w:cs="Arial" w:eastAsia="Arial" w:hAnsi="Arial"/>
                <w:sz w:val="14"/>
                <w:szCs w:val="14"/>
                <w:b w:val="1"/>
                <w:bCs w:val="1"/>
                <w:color w:val="auto"/>
                <w:w w:val="85"/>
              </w:rPr>
              <w:t>December 31, 2020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
        </w:trPr>
        <w:tc>
          <w:tcPr>
            <w:tcW w:w="2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5"/>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4"/>
        </w:trPr>
        <w:tc>
          <w:tcPr>
            <w:tcW w:w="27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gridSpan w:val="3"/>
          </w:tcPr>
          <w:p>
            <w:pPr>
              <w:jc w:val="right"/>
              <w:ind w:right="314"/>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Level 2</w:t>
            </w:r>
          </w:p>
        </w:tc>
        <w:tc>
          <w:tcPr>
            <w:tcW w:w="940" w:type="dxa"/>
            <w:vAlign w:val="bottom"/>
          </w:tcPr>
          <w:p>
            <w:pPr>
              <w:jc w:val="right"/>
              <w:ind w:right="39"/>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359"/>
              <w:spacing w:after="0"/>
              <w:rPr>
                <w:sz w:val="20"/>
                <w:szCs w:val="20"/>
                <w:color w:val="auto"/>
              </w:rPr>
            </w:pPr>
            <w:r>
              <w:rPr>
                <w:rFonts w:ascii="Arial" w:cs="Arial" w:eastAsia="Arial" w:hAnsi="Arial"/>
                <w:sz w:val="14"/>
                <w:szCs w:val="14"/>
                <w:b w:val="1"/>
                <w:bCs w:val="1"/>
                <w:color w:val="auto"/>
              </w:rPr>
              <w:t>Total</w:t>
            </w:r>
          </w:p>
        </w:tc>
      </w:tr>
      <w:tr>
        <w:trPr>
          <w:trHeight w:val="24"/>
        </w:trPr>
        <w:tc>
          <w:tcPr>
            <w:tcW w:w="270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4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7"/>
                <w:szCs w:val="17"/>
                <w:color w:val="auto"/>
              </w:rPr>
              <w:t>Classification:</w:t>
            </w:r>
          </w:p>
        </w:tc>
        <w:tc>
          <w:tcPr>
            <w:tcW w:w="5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56"/>
        </w:trPr>
        <w:tc>
          <w:tcPr>
            <w:tcW w:w="2700" w:type="dxa"/>
            <w:vAlign w:val="bottom"/>
          </w:tcPr>
          <w:p>
            <w:pPr>
              <w:ind w:left="20"/>
              <w:spacing w:after="0"/>
              <w:rPr>
                <w:sz w:val="20"/>
                <w:szCs w:val="20"/>
                <w:color w:val="auto"/>
              </w:rPr>
            </w:pPr>
            <w:r>
              <w:rPr>
                <w:rFonts w:ascii="Arial" w:cs="Arial" w:eastAsia="Arial" w:hAnsi="Arial"/>
                <w:sz w:val="17"/>
                <w:szCs w:val="17"/>
                <w:color w:val="auto"/>
              </w:rPr>
              <w:t>Money market funds</w:t>
            </w:r>
          </w:p>
        </w:tc>
        <w:tc>
          <w:tcPr>
            <w:tcW w:w="2480" w:type="dxa"/>
            <w:vAlign w:val="bottom"/>
          </w:tcPr>
          <w:p>
            <w:pPr>
              <w:ind w:left="600"/>
              <w:spacing w:after="0"/>
              <w:rPr>
                <w:sz w:val="20"/>
                <w:szCs w:val="20"/>
                <w:color w:val="auto"/>
              </w:rPr>
            </w:pPr>
            <w:r>
              <w:rPr>
                <w:rFonts w:ascii="Arial" w:cs="Arial" w:eastAsia="Arial" w:hAnsi="Arial"/>
                <w:sz w:val="17"/>
                <w:szCs w:val="17"/>
                <w:color w:val="auto"/>
                <w:w w:val="91"/>
              </w:rPr>
              <w:t>Cash and cash equivalents</w:t>
            </w:r>
          </w:p>
        </w:tc>
        <w:tc>
          <w:tcPr>
            <w:tcW w:w="540" w:type="dxa"/>
            <w:vAlign w:val="bottom"/>
          </w:tcPr>
          <w:p>
            <w:pPr>
              <w:spacing w:after="0"/>
              <w:rPr>
                <w:sz w:val="22"/>
                <w:szCs w:val="22"/>
                <w:color w:val="auto"/>
              </w:rPr>
            </w:pPr>
          </w:p>
        </w:tc>
        <w:tc>
          <w:tcPr>
            <w:tcW w:w="940" w:type="dxa"/>
            <w:vAlign w:val="bottom"/>
            <w:gridSpan w:val="2"/>
          </w:tcPr>
          <w:p>
            <w:pPr>
              <w:jc w:val="right"/>
              <w:ind w:right="343"/>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w w:val="97"/>
              </w:rPr>
              <w:t>333,585</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759"/>
              <w:spacing w:after="0"/>
              <w:rPr>
                <w:sz w:val="20"/>
                <w:szCs w:val="20"/>
                <w:color w:val="auto"/>
              </w:rPr>
            </w:pPr>
            <w:r>
              <w:rPr>
                <w:rFonts w:ascii="Arial" w:cs="Arial" w:eastAsia="Arial" w:hAnsi="Arial"/>
                <w:sz w:val="17"/>
                <w:szCs w:val="17"/>
                <w:color w:val="auto"/>
                <w:w w:val="84"/>
              </w:rPr>
              <w:t>$</w:t>
            </w:r>
          </w:p>
        </w:tc>
        <w:tc>
          <w:tcPr>
            <w:tcW w:w="360" w:type="dxa"/>
            <w:vAlign w:val="bottom"/>
            <w:gridSpan w:val="3"/>
          </w:tcPr>
          <w:p>
            <w:pPr>
              <w:ind w:left="2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333,585</w:t>
            </w:r>
          </w:p>
        </w:tc>
      </w:tr>
      <w:tr>
        <w:trPr>
          <w:trHeight w:val="257"/>
        </w:trPr>
        <w:tc>
          <w:tcPr>
            <w:tcW w:w="2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2480" w:type="dxa"/>
            <w:vAlign w:val="bottom"/>
            <w:shd w:val="clear" w:color="auto" w:fill="CCEEFF"/>
          </w:tcPr>
          <w:p>
            <w:pPr>
              <w:ind w:left="600"/>
              <w:spacing w:after="0"/>
              <w:rPr>
                <w:sz w:val="20"/>
                <w:szCs w:val="20"/>
                <w:color w:val="auto"/>
              </w:rPr>
            </w:pPr>
            <w:r>
              <w:rPr>
                <w:rFonts w:ascii="Arial" w:cs="Arial" w:eastAsia="Arial" w:hAnsi="Arial"/>
                <w:sz w:val="17"/>
                <w:szCs w:val="17"/>
                <w:color w:val="auto"/>
              </w:rPr>
              <w:t>Investments</w:t>
            </w:r>
          </w:p>
        </w:tc>
        <w:tc>
          <w:tcPr>
            <w:tcW w:w="5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98,278</w:t>
            </w:r>
          </w:p>
        </w:tc>
        <w:tc>
          <w:tcPr>
            <w:tcW w:w="10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98,278</w:t>
            </w:r>
          </w:p>
        </w:tc>
      </w:tr>
      <w:tr>
        <w:trPr>
          <w:trHeight w:val="251"/>
        </w:trPr>
        <w:tc>
          <w:tcPr>
            <w:tcW w:w="2700" w:type="dxa"/>
            <w:vAlign w:val="bottom"/>
          </w:tcPr>
          <w:p>
            <w:pPr>
              <w:ind w:left="20"/>
              <w:spacing w:after="0"/>
              <w:rPr>
                <w:sz w:val="20"/>
                <w:szCs w:val="20"/>
                <w:color w:val="auto"/>
              </w:rPr>
            </w:pPr>
            <w:r>
              <w:rPr>
                <w:rFonts w:ascii="Arial" w:cs="Arial" w:eastAsia="Arial" w:hAnsi="Arial"/>
                <w:sz w:val="17"/>
                <w:szCs w:val="17"/>
                <w:color w:val="auto"/>
              </w:rPr>
              <w:t>Total assets measured at fair value</w:t>
            </w:r>
          </w:p>
        </w:tc>
        <w:tc>
          <w:tcPr>
            <w:tcW w:w="2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gridSpan w:val="2"/>
          </w:tcPr>
          <w:p>
            <w:pPr>
              <w:jc w:val="right"/>
              <w:ind w:right="343"/>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w w:val="97"/>
              </w:rPr>
              <w:t>333,585</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gridSpan w:val="4"/>
          </w:tcPr>
          <w:p>
            <w:pPr>
              <w:jc w:val="right"/>
              <w:spacing w:after="0"/>
              <w:rPr>
                <w:sz w:val="20"/>
                <w:szCs w:val="20"/>
                <w:color w:val="auto"/>
              </w:rPr>
            </w:pPr>
            <w:r>
              <w:rPr>
                <w:rFonts w:ascii="Arial" w:cs="Arial" w:eastAsia="Arial" w:hAnsi="Arial"/>
                <w:sz w:val="17"/>
                <w:szCs w:val="17"/>
                <w:color w:val="auto"/>
              </w:rPr>
              <w:t>98,278</w:t>
            </w:r>
          </w:p>
        </w:tc>
        <w:tc>
          <w:tcPr>
            <w:tcW w:w="100" w:type="dxa"/>
            <w:vAlign w:val="bottom"/>
          </w:tcPr>
          <w:p>
            <w:pPr>
              <w:spacing w:after="0"/>
              <w:rPr>
                <w:sz w:val="21"/>
                <w:szCs w:val="21"/>
                <w:color w:val="auto"/>
              </w:rPr>
            </w:pPr>
          </w:p>
        </w:tc>
        <w:tc>
          <w:tcPr>
            <w:tcW w:w="940" w:type="dxa"/>
            <w:vAlign w:val="bottom"/>
          </w:tcPr>
          <w:p>
            <w:pPr>
              <w:jc w:val="right"/>
              <w:ind w:right="759"/>
              <w:spacing w:after="0"/>
              <w:rPr>
                <w:sz w:val="20"/>
                <w:szCs w:val="20"/>
                <w:color w:val="auto"/>
              </w:rPr>
            </w:pPr>
            <w:r>
              <w:rPr>
                <w:rFonts w:ascii="Arial" w:cs="Arial" w:eastAsia="Arial" w:hAnsi="Arial"/>
                <w:sz w:val="17"/>
                <w:szCs w:val="17"/>
                <w:color w:val="auto"/>
                <w:w w:val="84"/>
              </w:rPr>
              <w:t>$</w:t>
            </w:r>
          </w:p>
        </w:tc>
        <w:tc>
          <w:tcPr>
            <w:tcW w:w="360" w:type="dxa"/>
            <w:vAlign w:val="bottom"/>
            <w:gridSpan w:val="3"/>
          </w:tcPr>
          <w:p>
            <w:pPr>
              <w:ind w:left="2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431,863</w:t>
            </w:r>
          </w:p>
        </w:tc>
      </w:tr>
      <w:tr>
        <w:trPr>
          <w:trHeight w:val="20"/>
        </w:trPr>
        <w:tc>
          <w:tcPr>
            <w:tcW w:w="27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00" w:firstLine="308"/>
        <w:spacing w:after="0" w:line="282" w:lineRule="auto"/>
        <w:rPr>
          <w:sz w:val="20"/>
          <w:szCs w:val="20"/>
          <w:color w:val="auto"/>
        </w:rPr>
      </w:pPr>
      <w:r>
        <w:rPr>
          <w:rFonts w:ascii="Arial" w:cs="Arial" w:eastAsia="Arial" w:hAnsi="Arial"/>
          <w:sz w:val="16"/>
          <w:szCs w:val="16"/>
          <w:color w:val="auto"/>
        </w:rPr>
        <w:t>There were no financial liabilities measured at fair value. The Company classifies money market funds within Level 1 of the fair value hierarchy because they are valued using bank balances or quoted market prices. The Company classifies its investments in U.S. Treasury securities (Treasury bills, Treasury notes, and Treasury bonds)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spacing w:after="0" w:line="112" w:lineRule="exact"/>
        <w:rPr>
          <w:sz w:val="20"/>
          <w:szCs w:val="20"/>
          <w:color w:val="auto"/>
        </w:rPr>
      </w:pPr>
    </w:p>
    <w:p>
      <w:pPr>
        <w:ind w:right="440" w:firstLine="308"/>
        <w:spacing w:after="0" w:line="278" w:lineRule="auto"/>
        <w:rPr>
          <w:sz w:val="20"/>
          <w:szCs w:val="20"/>
          <w:color w:val="auto"/>
        </w:rPr>
      </w:pPr>
      <w:r>
        <w:rPr>
          <w:rFonts w:ascii="Arial" w:cs="Arial" w:eastAsia="Arial" w:hAnsi="Arial"/>
          <w:sz w:val="17"/>
          <w:szCs w:val="17"/>
          <w:color w:val="auto"/>
        </w:rPr>
        <w:t>The carrying amount of the Company’s other receivables, prepaid expenses, other current assets, accounts payable, and accrued expenses approximate fair value due to their short maturities.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is a summary of the Company’s cash equivalents and investments and the gross unrealized holding gains and losses (in thousands):</w:t>
      </w: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178"/>
        </w:trPr>
        <w:tc>
          <w:tcPr>
            <w:tcW w:w="4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80" w:type="dxa"/>
            <w:vAlign w:val="bottom"/>
            <w:gridSpan w:val="5"/>
          </w:tcPr>
          <w:p>
            <w:pPr>
              <w:ind w:left="980"/>
              <w:spacing w:after="0"/>
              <w:rPr>
                <w:sz w:val="20"/>
                <w:szCs w:val="20"/>
                <w:color w:val="auto"/>
              </w:rPr>
            </w:pPr>
            <w:r>
              <w:rPr>
                <w:rFonts w:ascii="Arial" w:cs="Arial" w:eastAsia="Arial" w:hAnsi="Arial"/>
                <w:sz w:val="14"/>
                <w:szCs w:val="14"/>
                <w:b w:val="1"/>
                <w:bCs w:val="1"/>
                <w:color w:val="auto"/>
              </w:rPr>
              <w:t>March 31, 2021</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
        </w:trPr>
        <w:tc>
          <w:tcPr>
            <w:tcW w:w="4280" w:type="dxa"/>
            <w:vAlign w:val="bottom"/>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72"/>
        </w:trPr>
        <w:tc>
          <w:tcPr>
            <w:tcW w:w="4280" w:type="dxa"/>
            <w:vAlign w:val="bottom"/>
          </w:tcPr>
          <w:p>
            <w:pPr>
              <w:spacing w:after="0"/>
              <w:rPr>
                <w:sz w:val="14"/>
                <w:szCs w:val="14"/>
                <w:color w:val="auto"/>
              </w:rPr>
            </w:pPr>
          </w:p>
        </w:tc>
        <w:tc>
          <w:tcPr>
            <w:tcW w:w="1760" w:type="dxa"/>
            <w:vAlign w:val="bottom"/>
            <w:gridSpan w:val="3"/>
          </w:tcPr>
          <w:p>
            <w:pPr>
              <w:ind w:left="360"/>
              <w:spacing w:after="0"/>
              <w:rPr>
                <w:sz w:val="20"/>
                <w:szCs w:val="20"/>
                <w:color w:val="auto"/>
              </w:rPr>
            </w:pPr>
            <w:r>
              <w:rPr>
                <w:rFonts w:ascii="Arial" w:cs="Arial" w:eastAsia="Arial" w:hAnsi="Arial"/>
                <w:sz w:val="14"/>
                <w:szCs w:val="14"/>
                <w:b w:val="1"/>
                <w:bCs w:val="1"/>
                <w:color w:val="auto"/>
                <w:w w:val="95"/>
              </w:rPr>
              <w:t>Amortized Cost Basis</w:t>
            </w:r>
          </w:p>
        </w:tc>
        <w:tc>
          <w:tcPr>
            <w:tcW w:w="4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Gains</w:t>
            </w:r>
          </w:p>
        </w:tc>
        <w:tc>
          <w:tcPr>
            <w:tcW w:w="44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540" w:type="dxa"/>
            <w:vAlign w:val="bottom"/>
          </w:tcPr>
          <w:p>
            <w:pPr>
              <w:spacing w:after="0"/>
              <w:rPr>
                <w:sz w:val="14"/>
                <w:szCs w:val="14"/>
                <w:color w:val="auto"/>
              </w:rPr>
            </w:pPr>
          </w:p>
        </w:tc>
        <w:tc>
          <w:tcPr>
            <w:tcW w:w="920" w:type="dxa"/>
            <w:vAlign w:val="bottom"/>
          </w:tcPr>
          <w:p>
            <w:pPr>
              <w:jc w:val="right"/>
              <w:ind w:right="79"/>
              <w:spacing w:after="0"/>
              <w:rPr>
                <w:sz w:val="20"/>
                <w:szCs w:val="20"/>
                <w:color w:val="auto"/>
              </w:rPr>
            </w:pPr>
            <w:r>
              <w:rPr>
                <w:rFonts w:ascii="Arial" w:cs="Arial" w:eastAsia="Arial" w:hAnsi="Arial"/>
                <w:sz w:val="14"/>
                <w:szCs w:val="14"/>
                <w:b w:val="1"/>
                <w:bCs w:val="1"/>
                <w:color w:val="auto"/>
              </w:rPr>
              <w:t>Fair Value</w:t>
            </w:r>
          </w:p>
        </w:tc>
      </w:tr>
      <w:tr>
        <w:trPr>
          <w:trHeight w:val="199"/>
        </w:trPr>
        <w:tc>
          <w:tcPr>
            <w:tcW w:w="42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Assets:</w:t>
            </w:r>
          </w:p>
        </w:tc>
        <w:tc>
          <w:tcPr>
            <w:tcW w:w="7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56"/>
        </w:trPr>
        <w:tc>
          <w:tcPr>
            <w:tcW w:w="4280" w:type="dxa"/>
            <w:vAlign w:val="bottom"/>
          </w:tcPr>
          <w:p>
            <w:pPr>
              <w:ind w:left="320"/>
              <w:spacing w:after="0"/>
              <w:rPr>
                <w:sz w:val="20"/>
                <w:szCs w:val="20"/>
                <w:color w:val="auto"/>
              </w:rPr>
            </w:pPr>
            <w:r>
              <w:rPr>
                <w:rFonts w:ascii="Arial" w:cs="Arial" w:eastAsia="Arial" w:hAnsi="Arial"/>
                <w:sz w:val="17"/>
                <w:szCs w:val="17"/>
                <w:color w:val="auto"/>
              </w:rPr>
              <w:t>Money market funds</w:t>
            </w:r>
          </w:p>
        </w:tc>
        <w:tc>
          <w:tcPr>
            <w:tcW w:w="740" w:type="dxa"/>
            <w:vAlign w:val="bottom"/>
          </w:tcPr>
          <w:p>
            <w:pPr>
              <w:jc w:val="right"/>
              <w:ind w:right="24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444,668</w:t>
            </w:r>
          </w:p>
        </w:tc>
        <w:tc>
          <w:tcPr>
            <w:tcW w:w="8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444,6</w:t>
            </w:r>
          </w:p>
        </w:tc>
      </w:tr>
      <w:tr>
        <w:trPr>
          <w:trHeight w:val="218"/>
        </w:trPr>
        <w:tc>
          <w:tcPr>
            <w:tcW w:w="4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U.S. Treasury securities</w:t>
            </w:r>
          </w:p>
        </w:tc>
        <w:tc>
          <w:tcPr>
            <w:tcW w:w="7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85,351</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7"/>
                <w:szCs w:val="17"/>
                <w:color w:val="auto"/>
              </w:rPr>
              <w:t>28</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85,3</w:t>
            </w:r>
          </w:p>
        </w:tc>
      </w:tr>
      <w:tr>
        <w:trPr>
          <w:trHeight w:val="212"/>
        </w:trPr>
        <w:tc>
          <w:tcPr>
            <w:tcW w:w="4280" w:type="dxa"/>
            <w:vAlign w:val="bottom"/>
          </w:tcPr>
          <w:p>
            <w:pPr>
              <w:ind w:left="320"/>
              <w:spacing w:after="0"/>
              <w:rPr>
                <w:sz w:val="20"/>
                <w:szCs w:val="20"/>
                <w:color w:val="auto"/>
              </w:rPr>
            </w:pPr>
            <w:r>
              <w:rPr>
                <w:rFonts w:ascii="Arial" w:cs="Arial" w:eastAsia="Arial" w:hAnsi="Arial"/>
                <w:sz w:val="17"/>
                <w:szCs w:val="17"/>
                <w:color w:val="auto"/>
              </w:rPr>
              <w:t>Total</w:t>
            </w:r>
          </w:p>
        </w:tc>
        <w:tc>
          <w:tcPr>
            <w:tcW w:w="740" w:type="dxa"/>
            <w:vAlign w:val="bottom"/>
            <w:tcBorders>
              <w:bottom w:val="single" w:sz="8" w:color="auto"/>
            </w:tcBorders>
          </w:tcPr>
          <w:p>
            <w:pPr>
              <w:jc w:val="right"/>
              <w:ind w:right="2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530,019</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530,0</w:t>
            </w:r>
          </w:p>
        </w:tc>
      </w:tr>
      <w:tr>
        <w:trPr>
          <w:trHeight w:val="20"/>
        </w:trPr>
        <w:tc>
          <w:tcPr>
            <w:tcW w:w="4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43"/>
        </w:trPr>
        <w:tc>
          <w:tcPr>
            <w:tcW w:w="4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80" w:type="dxa"/>
            <w:vAlign w:val="bottom"/>
            <w:gridSpan w:val="5"/>
          </w:tcPr>
          <w:p>
            <w:pPr>
              <w:ind w:left="880"/>
              <w:spacing w:after="0"/>
              <w:rPr>
                <w:sz w:val="20"/>
                <w:szCs w:val="20"/>
                <w:color w:val="auto"/>
              </w:rPr>
            </w:pPr>
            <w:r>
              <w:rPr>
                <w:rFonts w:ascii="Arial" w:cs="Arial" w:eastAsia="Arial" w:hAnsi="Arial"/>
                <w:sz w:val="14"/>
                <w:szCs w:val="14"/>
                <w:b w:val="1"/>
                <w:bCs w:val="1"/>
                <w:color w:val="auto"/>
              </w:rPr>
              <w:t>December 31, 2020</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
        </w:trPr>
        <w:tc>
          <w:tcPr>
            <w:tcW w:w="4280" w:type="dxa"/>
            <w:vAlign w:val="bottom"/>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72"/>
        </w:trPr>
        <w:tc>
          <w:tcPr>
            <w:tcW w:w="4280" w:type="dxa"/>
            <w:vAlign w:val="bottom"/>
          </w:tcPr>
          <w:p>
            <w:pPr>
              <w:spacing w:after="0"/>
              <w:rPr>
                <w:sz w:val="14"/>
                <w:szCs w:val="14"/>
                <w:color w:val="auto"/>
              </w:rPr>
            </w:pPr>
          </w:p>
        </w:tc>
        <w:tc>
          <w:tcPr>
            <w:tcW w:w="1760" w:type="dxa"/>
            <w:vAlign w:val="bottom"/>
            <w:gridSpan w:val="3"/>
          </w:tcPr>
          <w:p>
            <w:pPr>
              <w:ind w:left="360"/>
              <w:spacing w:after="0"/>
              <w:rPr>
                <w:sz w:val="20"/>
                <w:szCs w:val="20"/>
                <w:color w:val="auto"/>
              </w:rPr>
            </w:pPr>
            <w:r>
              <w:rPr>
                <w:rFonts w:ascii="Arial" w:cs="Arial" w:eastAsia="Arial" w:hAnsi="Arial"/>
                <w:sz w:val="14"/>
                <w:szCs w:val="14"/>
                <w:b w:val="1"/>
                <w:bCs w:val="1"/>
                <w:color w:val="auto"/>
                <w:w w:val="95"/>
              </w:rPr>
              <w:t>Amortized Cost Basis</w:t>
            </w:r>
          </w:p>
        </w:tc>
        <w:tc>
          <w:tcPr>
            <w:tcW w:w="4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Gains</w:t>
            </w:r>
          </w:p>
        </w:tc>
        <w:tc>
          <w:tcPr>
            <w:tcW w:w="44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540" w:type="dxa"/>
            <w:vAlign w:val="bottom"/>
          </w:tcPr>
          <w:p>
            <w:pPr>
              <w:spacing w:after="0"/>
              <w:rPr>
                <w:sz w:val="14"/>
                <w:szCs w:val="14"/>
                <w:color w:val="auto"/>
              </w:rPr>
            </w:pPr>
          </w:p>
        </w:tc>
        <w:tc>
          <w:tcPr>
            <w:tcW w:w="920" w:type="dxa"/>
            <w:vAlign w:val="bottom"/>
          </w:tcPr>
          <w:p>
            <w:pPr>
              <w:jc w:val="right"/>
              <w:ind w:right="79"/>
              <w:spacing w:after="0"/>
              <w:rPr>
                <w:sz w:val="20"/>
                <w:szCs w:val="20"/>
                <w:color w:val="auto"/>
              </w:rPr>
            </w:pPr>
            <w:r>
              <w:rPr>
                <w:rFonts w:ascii="Arial" w:cs="Arial" w:eastAsia="Arial" w:hAnsi="Arial"/>
                <w:sz w:val="14"/>
                <w:szCs w:val="14"/>
                <w:b w:val="1"/>
                <w:bCs w:val="1"/>
                <w:color w:val="auto"/>
              </w:rPr>
              <w:t>Fair Value</w:t>
            </w:r>
          </w:p>
        </w:tc>
      </w:tr>
      <w:tr>
        <w:trPr>
          <w:trHeight w:val="199"/>
        </w:trPr>
        <w:tc>
          <w:tcPr>
            <w:tcW w:w="42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Assets:</w:t>
            </w:r>
          </w:p>
        </w:tc>
        <w:tc>
          <w:tcPr>
            <w:tcW w:w="7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56"/>
        </w:trPr>
        <w:tc>
          <w:tcPr>
            <w:tcW w:w="4280" w:type="dxa"/>
            <w:vAlign w:val="bottom"/>
          </w:tcPr>
          <w:p>
            <w:pPr>
              <w:ind w:left="320"/>
              <w:spacing w:after="0"/>
              <w:rPr>
                <w:sz w:val="20"/>
                <w:szCs w:val="20"/>
                <w:color w:val="auto"/>
              </w:rPr>
            </w:pPr>
            <w:r>
              <w:rPr>
                <w:rFonts w:ascii="Arial" w:cs="Arial" w:eastAsia="Arial" w:hAnsi="Arial"/>
                <w:sz w:val="17"/>
                <w:szCs w:val="17"/>
                <w:color w:val="auto"/>
              </w:rPr>
              <w:t>Money market funds</w:t>
            </w:r>
          </w:p>
        </w:tc>
        <w:tc>
          <w:tcPr>
            <w:tcW w:w="740" w:type="dxa"/>
            <w:vAlign w:val="bottom"/>
          </w:tcPr>
          <w:p>
            <w:pPr>
              <w:jc w:val="right"/>
              <w:ind w:right="24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333,585</w:t>
            </w:r>
          </w:p>
        </w:tc>
        <w:tc>
          <w:tcPr>
            <w:tcW w:w="8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333,5</w:t>
            </w:r>
          </w:p>
        </w:tc>
      </w:tr>
      <w:tr>
        <w:trPr>
          <w:trHeight w:val="218"/>
        </w:trPr>
        <w:tc>
          <w:tcPr>
            <w:tcW w:w="4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U.S. Treasury securities</w:t>
            </w:r>
          </w:p>
        </w:tc>
        <w:tc>
          <w:tcPr>
            <w:tcW w:w="7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98,223</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7"/>
                <w:szCs w:val="17"/>
                <w:color w:val="auto"/>
              </w:rPr>
              <w:t>57</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98,2</w:t>
            </w:r>
          </w:p>
        </w:tc>
      </w:tr>
      <w:tr>
        <w:trPr>
          <w:trHeight w:val="212"/>
        </w:trPr>
        <w:tc>
          <w:tcPr>
            <w:tcW w:w="4280" w:type="dxa"/>
            <w:vAlign w:val="bottom"/>
          </w:tcPr>
          <w:p>
            <w:pPr>
              <w:ind w:left="320"/>
              <w:spacing w:after="0"/>
              <w:rPr>
                <w:sz w:val="20"/>
                <w:szCs w:val="20"/>
                <w:color w:val="auto"/>
              </w:rPr>
            </w:pPr>
            <w:r>
              <w:rPr>
                <w:rFonts w:ascii="Arial" w:cs="Arial" w:eastAsia="Arial" w:hAnsi="Arial"/>
                <w:sz w:val="17"/>
                <w:szCs w:val="17"/>
                <w:color w:val="auto"/>
              </w:rPr>
              <w:t>Total</w:t>
            </w:r>
          </w:p>
        </w:tc>
        <w:tc>
          <w:tcPr>
            <w:tcW w:w="740" w:type="dxa"/>
            <w:vAlign w:val="bottom"/>
            <w:tcBorders>
              <w:bottom w:val="single" w:sz="8" w:color="auto"/>
            </w:tcBorders>
          </w:tcPr>
          <w:p>
            <w:pPr>
              <w:jc w:val="right"/>
              <w:ind w:right="2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431,808</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7"/>
                <w:szCs w:val="17"/>
                <w:color w:val="auto"/>
              </w:rPr>
              <w:t>57</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431,8</w:t>
            </w:r>
          </w:p>
        </w:tc>
      </w:tr>
      <w:tr>
        <w:trPr>
          <w:trHeight w:val="20"/>
        </w:trPr>
        <w:tc>
          <w:tcPr>
            <w:tcW w:w="4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right="660" w:firstLine="308"/>
        <w:spacing w:after="0" w:line="265" w:lineRule="auto"/>
        <w:rPr>
          <w:sz w:val="20"/>
          <w:szCs w:val="20"/>
          <w:color w:val="auto"/>
        </w:rPr>
      </w:pPr>
      <w:r>
        <w:rPr>
          <w:rFonts w:ascii="Arial" w:cs="Arial" w:eastAsia="Arial" w:hAnsi="Arial"/>
          <w:sz w:val="17"/>
          <w:szCs w:val="17"/>
          <w:color w:val="auto"/>
        </w:rPr>
        <w:t>As of December 31, 2020, unrealized losses on available-for-sale investments are not attributable to credit risk and are considered to be temporary. The Company believes it is more likely than not that investments in an unrealized loss position will be held until maturity or the recovery of the cost basis of the investment. There were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5" w:name="page16"/>
    <w:bookmarkEnd w:id="15"/>
    <w:p>
      <w:pPr>
        <w:jc w:val="center"/>
        <w:ind w:right="-99"/>
        <w:spacing w:after="0"/>
        <w:rPr>
          <w:sz w:val="20"/>
          <w:szCs w:val="20"/>
          <w:color w:val="auto"/>
        </w:rPr>
      </w:pPr>
      <w:r>
        <w:rPr>
          <w:rFonts w:ascii="Arial" w:cs="Arial" w:eastAsia="Arial" w:hAnsi="Arial"/>
          <w:sz w:val="17"/>
          <w:szCs w:val="17"/>
          <w:b w:val="1"/>
          <w:bCs w:val="1"/>
          <w:color w:val="auto"/>
        </w:rPr>
        <w:t>SEER,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unrealized losses on available-for-sale investments as of March 31, 2021. To date, the Company has not recorded any impairment charges on marketable securities related to other-than-temporary declines in market value. As of March 31, 2021 and December 31, 2020, the weighted-average remaining maturity of the Company’s investment portfolio was less than one year.</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Pr>
          <w:p>
            <w:pPr>
              <w:jc w:val="right"/>
              <w:ind w:right="94"/>
              <w:spacing w:after="0"/>
              <w:rPr>
                <w:sz w:val="20"/>
                <w:szCs w:val="20"/>
                <w:color w:val="auto"/>
              </w:rPr>
            </w:pPr>
            <w:r>
              <w:rPr>
                <w:rFonts w:ascii="Arial" w:cs="Arial" w:eastAsia="Arial" w:hAnsi="Arial"/>
                <w:sz w:val="17"/>
                <w:szCs w:val="17"/>
                <w:b w:val="1"/>
                <w:bCs w:val="1"/>
                <w:color w:val="auto"/>
                <w:w w:val="84"/>
              </w:rPr>
              <w:t>4.</w:t>
            </w:r>
          </w:p>
        </w:tc>
        <w:tc>
          <w:tcPr>
            <w:tcW w:w="5860" w:type="dxa"/>
            <w:vAlign w:val="bottom"/>
            <w:gridSpan w:val="2"/>
          </w:tcPr>
          <w:p>
            <w:pPr>
              <w:ind w:left="300"/>
              <w:spacing w:after="0"/>
              <w:rPr>
                <w:sz w:val="20"/>
                <w:szCs w:val="20"/>
                <w:color w:val="auto"/>
              </w:rPr>
            </w:pPr>
            <w:r>
              <w:rPr>
                <w:rFonts w:ascii="Arial" w:cs="Arial" w:eastAsia="Arial" w:hAnsi="Arial"/>
                <w:sz w:val="17"/>
                <w:szCs w:val="17"/>
                <w:b w:val="1"/>
                <w:bCs w:val="1"/>
                <w:color w:val="auto"/>
              </w:rPr>
              <w:t>OTHER FINANCIAL STATEMENT INFORMATION</w:t>
            </w:r>
          </w:p>
        </w:tc>
        <w:tc>
          <w:tcPr>
            <w:tcW w:w="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32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Inventory</w:t>
            </w: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2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Arial" w:cs="Arial" w:eastAsia="Arial" w:hAnsi="Arial"/>
                <w:sz w:val="17"/>
                <w:szCs w:val="17"/>
                <w:color w:val="auto"/>
              </w:rPr>
              <w:t>Inventory consists of the following (in thousands):</w:t>
            </w: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3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Pr>
          <w:p>
            <w:pPr>
              <w:spacing w:after="0"/>
              <w:rPr>
                <w:sz w:val="24"/>
                <w:szCs w:val="24"/>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jc w:val="center"/>
              <w:ind w:right="180"/>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5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5860" w:type="dxa"/>
            <w:vAlign w:val="bottom"/>
            <w:gridSpan w:val="2"/>
          </w:tcPr>
          <w:p>
            <w:pPr>
              <w:ind w:left="320"/>
              <w:spacing w:after="0"/>
              <w:rPr>
                <w:sz w:val="20"/>
                <w:szCs w:val="20"/>
                <w:color w:val="auto"/>
              </w:rPr>
            </w:pPr>
            <w:r>
              <w:rPr>
                <w:rFonts w:ascii="Arial" w:cs="Arial" w:eastAsia="Arial" w:hAnsi="Arial"/>
                <w:sz w:val="17"/>
                <w:szCs w:val="17"/>
                <w:color w:val="auto"/>
              </w:rPr>
              <w:t>Raw materials</w:t>
            </w:r>
          </w:p>
        </w:tc>
        <w:tc>
          <w:tcPr>
            <w:tcW w:w="58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58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Finished goods</w:t>
            </w:r>
          </w:p>
        </w:tc>
        <w:tc>
          <w:tcPr>
            <w:tcW w:w="5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rPr>
              <w:t>919</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551</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5860" w:type="dxa"/>
            <w:vAlign w:val="bottom"/>
            <w:gridSpan w:val="2"/>
          </w:tcPr>
          <w:p>
            <w:pPr>
              <w:ind w:left="320"/>
              <w:spacing w:after="0"/>
              <w:rPr>
                <w:sz w:val="20"/>
                <w:szCs w:val="20"/>
                <w:color w:val="auto"/>
              </w:rPr>
            </w:pPr>
            <w:r>
              <w:rPr>
                <w:rFonts w:ascii="Arial" w:cs="Arial" w:eastAsia="Arial" w:hAnsi="Arial"/>
                <w:sz w:val="17"/>
                <w:szCs w:val="17"/>
                <w:color w:val="auto"/>
              </w:rPr>
              <w:t>Total inventory</w:t>
            </w: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86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rPr>
              <w:t>Other Receivables</w:t>
            </w: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20" w:type="dxa"/>
            <w:vAlign w:val="bottom"/>
          </w:tcPr>
          <w:p>
            <w:pPr>
              <w:spacing w:after="0"/>
              <w:rPr>
                <w:sz w:val="24"/>
                <w:szCs w:val="24"/>
                <w:color w:val="auto"/>
              </w:rPr>
            </w:pPr>
          </w:p>
        </w:tc>
        <w:tc>
          <w:tcPr>
            <w:tcW w:w="586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2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Arial" w:cs="Arial" w:eastAsia="Arial" w:hAnsi="Arial"/>
                <w:sz w:val="17"/>
                <w:szCs w:val="17"/>
                <w:color w:val="auto"/>
              </w:rPr>
              <w:t>Other receivables consist of the following (in thousands):</w:t>
            </w: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3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Pr>
          <w:p>
            <w:pPr>
              <w:spacing w:after="0"/>
              <w:rPr>
                <w:sz w:val="24"/>
                <w:szCs w:val="24"/>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jc w:val="center"/>
              <w:ind w:right="180"/>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5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5860" w:type="dxa"/>
            <w:vAlign w:val="bottom"/>
            <w:gridSpan w:val="2"/>
          </w:tcPr>
          <w:p>
            <w:pPr>
              <w:ind w:left="320"/>
              <w:spacing w:after="0"/>
              <w:rPr>
                <w:sz w:val="20"/>
                <w:szCs w:val="20"/>
                <w:color w:val="auto"/>
              </w:rPr>
            </w:pPr>
            <w:r>
              <w:rPr>
                <w:rFonts w:ascii="Arial" w:cs="Arial" w:eastAsia="Arial" w:hAnsi="Arial"/>
                <w:sz w:val="17"/>
                <w:szCs w:val="17"/>
                <w:color w:val="auto"/>
              </w:rPr>
              <w:t>Interest receivable</w:t>
            </w:r>
          </w:p>
        </w:tc>
        <w:tc>
          <w:tcPr>
            <w:tcW w:w="5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58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5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rPr>
              <w:t>178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rPr>
              <w:t>142</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5860" w:type="dxa"/>
            <w:vAlign w:val="bottom"/>
            <w:gridSpan w:val="2"/>
          </w:tcPr>
          <w:p>
            <w:pPr>
              <w:ind w:left="320"/>
              <w:spacing w:after="0"/>
              <w:rPr>
                <w:sz w:val="20"/>
                <w:szCs w:val="20"/>
                <w:color w:val="auto"/>
              </w:rPr>
            </w:pPr>
            <w:r>
              <w:rPr>
                <w:rFonts w:ascii="Arial" w:cs="Arial" w:eastAsia="Arial" w:hAnsi="Arial"/>
                <w:sz w:val="17"/>
                <w:szCs w:val="17"/>
                <w:color w:val="auto"/>
              </w:rPr>
              <w:t>Total other receivables</w:t>
            </w: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86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rPr>
              <w:t>Property and Equipment, Net</w:t>
            </w: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320" w:type="dxa"/>
            <w:vAlign w:val="bottom"/>
          </w:tcPr>
          <w:p>
            <w:pPr>
              <w:spacing w:after="0"/>
              <w:rPr>
                <w:sz w:val="24"/>
                <w:szCs w:val="24"/>
                <w:color w:val="auto"/>
              </w:rPr>
            </w:pPr>
          </w:p>
        </w:tc>
        <w:tc>
          <w:tcPr>
            <w:tcW w:w="586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2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Arial" w:cs="Arial" w:eastAsia="Arial" w:hAnsi="Arial"/>
                <w:sz w:val="17"/>
                <w:szCs w:val="17"/>
                <w:color w:val="auto"/>
              </w:rPr>
              <w:t>Property and equipment, net consists of the following (in thousands):</w:t>
            </w: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3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Pr>
          <w:p>
            <w:pPr>
              <w:spacing w:after="0"/>
              <w:rPr>
                <w:sz w:val="24"/>
                <w:szCs w:val="24"/>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jc w:val="center"/>
              <w:ind w:right="220"/>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60" w:type="dxa"/>
            <w:vAlign w:val="bottom"/>
          </w:tcPr>
          <w:p>
            <w:pPr>
              <w:jc w:val="center"/>
              <w:ind w:right="160"/>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5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5860" w:type="dxa"/>
            <w:vAlign w:val="bottom"/>
            <w:gridSpan w:val="2"/>
          </w:tcPr>
          <w:p>
            <w:pPr>
              <w:ind w:left="320"/>
              <w:spacing w:after="0"/>
              <w:rPr>
                <w:sz w:val="20"/>
                <w:szCs w:val="20"/>
                <w:color w:val="auto"/>
              </w:rPr>
            </w:pPr>
            <w:r>
              <w:rPr>
                <w:rFonts w:ascii="Arial" w:cs="Arial" w:eastAsia="Arial" w:hAnsi="Arial"/>
                <w:sz w:val="17"/>
                <w:szCs w:val="17"/>
                <w:color w:val="auto"/>
              </w:rPr>
              <w:t>Laboratory equipment</w:t>
            </w:r>
          </w:p>
        </w:tc>
        <w:tc>
          <w:tcPr>
            <w:tcW w:w="58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8,774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8,075</w:t>
            </w: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58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Computer equipment and software</w:t>
            </w: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5860" w:type="dxa"/>
            <w:vAlign w:val="bottom"/>
            <w:gridSpan w:val="2"/>
          </w:tcPr>
          <w:p>
            <w:pPr>
              <w:ind w:left="320"/>
              <w:spacing w:after="0"/>
              <w:rPr>
                <w:sz w:val="20"/>
                <w:szCs w:val="20"/>
                <w:color w:val="auto"/>
              </w:rPr>
            </w:pPr>
            <w:r>
              <w:rPr>
                <w:rFonts w:ascii="Arial" w:cs="Arial" w:eastAsia="Arial" w:hAnsi="Arial"/>
                <w:sz w:val="17"/>
                <w:szCs w:val="17"/>
                <w:color w:val="auto"/>
              </w:rPr>
              <w:t>Furniture and fixtures</w:t>
            </w: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241</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5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Leasehold improvements</w:t>
            </w:r>
          </w:p>
        </w:tc>
        <w:tc>
          <w:tcPr>
            <w:tcW w:w="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2,294</w:t>
            </w: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5860" w:type="dxa"/>
            <w:vAlign w:val="bottom"/>
            <w:gridSpan w:val="2"/>
          </w:tcPr>
          <w:p>
            <w:pPr>
              <w:ind w:left="320"/>
              <w:spacing w:after="0"/>
              <w:rPr>
                <w:sz w:val="20"/>
                <w:szCs w:val="20"/>
                <w:color w:val="auto"/>
              </w:rPr>
            </w:pPr>
            <w:r>
              <w:rPr>
                <w:rFonts w:ascii="Arial" w:cs="Arial" w:eastAsia="Arial" w:hAnsi="Arial"/>
                <w:sz w:val="17"/>
                <w:szCs w:val="17"/>
                <w:color w:val="auto"/>
              </w:rPr>
              <w:t>Property and equipment</w:t>
            </w: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11,515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10,792</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5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Less: accumulated depreciation and amortization</w:t>
            </w:r>
          </w:p>
        </w:tc>
        <w:tc>
          <w:tcPr>
            <w:tcW w:w="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2,351</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5860" w:type="dxa"/>
            <w:vAlign w:val="bottom"/>
            <w:gridSpan w:val="2"/>
          </w:tcPr>
          <w:p>
            <w:pPr>
              <w:ind w:left="320"/>
              <w:spacing w:after="0"/>
              <w:rPr>
                <w:sz w:val="20"/>
                <w:szCs w:val="20"/>
                <w:color w:val="auto"/>
              </w:rPr>
            </w:pPr>
            <w:r>
              <w:rPr>
                <w:rFonts w:ascii="Arial" w:cs="Arial" w:eastAsia="Arial" w:hAnsi="Arial"/>
                <w:sz w:val="17"/>
                <w:szCs w:val="17"/>
                <w:color w:val="auto"/>
              </w:rPr>
              <w:t>Total property and equipment, net</w:t>
            </w:r>
          </w:p>
        </w:tc>
        <w:tc>
          <w:tcPr>
            <w:tcW w:w="58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8,682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8,441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right="120" w:firstLine="308"/>
        <w:spacing w:after="0" w:line="278" w:lineRule="auto"/>
        <w:rPr>
          <w:sz w:val="20"/>
          <w:szCs w:val="20"/>
          <w:color w:val="auto"/>
        </w:rPr>
      </w:pPr>
      <w:r>
        <w:rPr>
          <w:rFonts w:ascii="Arial" w:cs="Arial" w:eastAsia="Arial" w:hAnsi="Arial"/>
          <w:sz w:val="17"/>
          <w:szCs w:val="17"/>
          <w:color w:val="auto"/>
        </w:rPr>
        <w:t>Depreciation and amortization expense related to property and equipment was $0.5 million and $0.3 million for the three months ended March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7"/>
          <w:szCs w:val="17"/>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Accrued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Accrued expenses consist of the following (in thousands):</w:t>
      </w: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178"/>
        </w:trPr>
        <w:tc>
          <w:tcPr>
            <w:tcW w:w="58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tcPr>
          <w:p>
            <w:pPr>
              <w:jc w:val="right"/>
              <w:ind w:right="259"/>
              <w:spacing w:after="0"/>
              <w:rPr>
                <w:sz w:val="20"/>
                <w:szCs w:val="20"/>
                <w:color w:val="auto"/>
              </w:rPr>
            </w:pPr>
            <w:r>
              <w:rPr>
                <w:rFonts w:ascii="Arial" w:cs="Arial" w:eastAsia="Arial" w:hAnsi="Arial"/>
                <w:sz w:val="14"/>
                <w:szCs w:val="14"/>
                <w:b w:val="1"/>
                <w:bCs w:val="1"/>
                <w:color w:val="auto"/>
              </w:rPr>
              <w:t>December 31,</w:t>
            </w:r>
          </w:p>
        </w:tc>
      </w:tr>
      <w:tr>
        <w:trPr>
          <w:trHeight w:val="24"/>
        </w:trPr>
        <w:tc>
          <w:tcPr>
            <w:tcW w:w="58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4"/>
        </w:trPr>
        <w:tc>
          <w:tcPr>
            <w:tcW w:w="5840" w:type="dxa"/>
            <w:vAlign w:val="bottom"/>
          </w:tcPr>
          <w:p>
            <w:pPr>
              <w:spacing w:after="0"/>
              <w:rPr>
                <w:sz w:val="15"/>
                <w:szCs w:val="15"/>
                <w:color w:val="auto"/>
              </w:rPr>
            </w:pPr>
          </w:p>
        </w:tc>
        <w:tc>
          <w:tcPr>
            <w:tcW w:w="1360" w:type="dxa"/>
            <w:vAlign w:val="bottom"/>
          </w:tcPr>
          <w:p>
            <w:pPr>
              <w:jc w:val="right"/>
              <w:ind w:right="83"/>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tcPr>
          <w:p>
            <w:pPr>
              <w:jc w:val="right"/>
              <w:ind w:right="539"/>
              <w:spacing w:after="0"/>
              <w:rPr>
                <w:sz w:val="20"/>
                <w:szCs w:val="20"/>
                <w:color w:val="auto"/>
              </w:rPr>
            </w:pPr>
            <w:r>
              <w:rPr>
                <w:rFonts w:ascii="Arial" w:cs="Arial" w:eastAsia="Arial" w:hAnsi="Arial"/>
                <w:sz w:val="14"/>
                <w:szCs w:val="14"/>
                <w:b w:val="1"/>
                <w:bCs w:val="1"/>
                <w:color w:val="auto"/>
              </w:rPr>
              <w:t>2020</w:t>
            </w:r>
          </w:p>
        </w:tc>
      </w:tr>
      <w:tr>
        <w:trPr>
          <w:trHeight w:val="24"/>
        </w:trPr>
        <w:tc>
          <w:tcPr>
            <w:tcW w:w="58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4"/>
        </w:trPr>
        <w:tc>
          <w:tcPr>
            <w:tcW w:w="58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8"/>
        </w:trPr>
        <w:tc>
          <w:tcPr>
            <w:tcW w:w="5840" w:type="dxa"/>
            <w:vAlign w:val="bottom"/>
          </w:tcPr>
          <w:p>
            <w:pPr>
              <w:ind w:left="320"/>
              <w:spacing w:after="0"/>
              <w:rPr>
                <w:sz w:val="20"/>
                <w:szCs w:val="20"/>
                <w:color w:val="auto"/>
              </w:rPr>
            </w:pPr>
            <w:r>
              <w:rPr>
                <w:rFonts w:ascii="Arial" w:cs="Arial" w:eastAsia="Arial" w:hAnsi="Arial"/>
                <w:sz w:val="17"/>
                <w:szCs w:val="17"/>
                <w:color w:val="auto"/>
              </w:rPr>
              <w:t>Accrued compensation</w:t>
            </w:r>
          </w:p>
        </w:tc>
        <w:tc>
          <w:tcPr>
            <w:tcW w:w="1360" w:type="dxa"/>
            <w:vAlign w:val="bottom"/>
          </w:tcPr>
          <w:p>
            <w:pPr>
              <w:jc w:val="right"/>
              <w:ind w:right="883"/>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9"/>
              </w:rPr>
              <w:t>1,446</w:t>
            </w:r>
          </w:p>
        </w:tc>
        <w:tc>
          <w:tcPr>
            <w:tcW w:w="100" w:type="dxa"/>
            <w:vAlign w:val="bottom"/>
          </w:tcPr>
          <w:p>
            <w:pPr>
              <w:spacing w:after="0"/>
              <w:rPr>
                <w:sz w:val="18"/>
                <w:szCs w:val="18"/>
                <w:color w:val="auto"/>
              </w:rPr>
            </w:pPr>
          </w:p>
        </w:tc>
        <w:tc>
          <w:tcPr>
            <w:tcW w:w="5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2,866</w:t>
            </w:r>
          </w:p>
        </w:tc>
      </w:tr>
      <w:tr>
        <w:trPr>
          <w:trHeight w:val="219"/>
        </w:trPr>
        <w:tc>
          <w:tcPr>
            <w:tcW w:w="5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professional services</w:t>
            </w:r>
          </w:p>
        </w:tc>
        <w:tc>
          <w:tcPr>
            <w:tcW w:w="13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1,314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1,074</w:t>
            </w:r>
          </w:p>
        </w:tc>
      </w:tr>
      <w:tr>
        <w:trPr>
          <w:trHeight w:val="218"/>
        </w:trPr>
        <w:tc>
          <w:tcPr>
            <w:tcW w:w="5840" w:type="dxa"/>
            <w:vAlign w:val="bottom"/>
          </w:tcPr>
          <w:p>
            <w:pPr>
              <w:ind w:left="320"/>
              <w:spacing w:after="0"/>
              <w:rPr>
                <w:sz w:val="20"/>
                <w:szCs w:val="20"/>
                <w:color w:val="auto"/>
              </w:rPr>
            </w:pPr>
            <w:r>
              <w:rPr>
                <w:rFonts w:ascii="Arial" w:cs="Arial" w:eastAsia="Arial" w:hAnsi="Arial"/>
                <w:sz w:val="17"/>
                <w:szCs w:val="17"/>
                <w:color w:val="auto"/>
              </w:rPr>
              <w:t>Restricted stock liability, current</w:t>
            </w:r>
          </w:p>
        </w:tc>
        <w:tc>
          <w:tcPr>
            <w:tcW w:w="13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483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484</w:t>
            </w:r>
          </w:p>
        </w:tc>
      </w:tr>
      <w:tr>
        <w:trPr>
          <w:trHeight w:val="218"/>
        </w:trPr>
        <w:tc>
          <w:tcPr>
            <w:tcW w:w="5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13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958</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723</w:t>
            </w:r>
          </w:p>
        </w:tc>
      </w:tr>
      <w:tr>
        <w:trPr>
          <w:trHeight w:val="212"/>
        </w:trPr>
        <w:tc>
          <w:tcPr>
            <w:tcW w:w="5840" w:type="dxa"/>
            <w:vAlign w:val="bottom"/>
          </w:tcPr>
          <w:p>
            <w:pPr>
              <w:ind w:left="320"/>
              <w:spacing w:after="0"/>
              <w:rPr>
                <w:sz w:val="20"/>
                <w:szCs w:val="20"/>
                <w:color w:val="auto"/>
              </w:rPr>
            </w:pPr>
            <w:r>
              <w:rPr>
                <w:rFonts w:ascii="Arial" w:cs="Arial" w:eastAsia="Arial" w:hAnsi="Arial"/>
                <w:sz w:val="17"/>
                <w:szCs w:val="17"/>
                <w:color w:val="auto"/>
              </w:rPr>
              <w:t>Total accrued expenses</w:t>
            </w:r>
          </w:p>
        </w:tc>
        <w:tc>
          <w:tcPr>
            <w:tcW w:w="1360" w:type="dxa"/>
            <w:vAlign w:val="bottom"/>
            <w:tcBorders>
              <w:bottom w:val="single" w:sz="8" w:color="auto"/>
            </w:tcBorders>
          </w:tcPr>
          <w:p>
            <w:pPr>
              <w:jc w:val="right"/>
              <w:ind w:right="883"/>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4,201</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5,147</w:t>
            </w:r>
          </w:p>
        </w:tc>
      </w:tr>
      <w:tr>
        <w:trPr>
          <w:trHeight w:val="20"/>
        </w:trPr>
        <w:tc>
          <w:tcPr>
            <w:tcW w:w="58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620" w:hanging="617"/>
        <w:spacing w:after="0"/>
        <w:tabs>
          <w:tab w:leader="none" w:pos="62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REVENUE AND DEFERRED REVENUE</w:t>
      </w:r>
    </w:p>
    <w:p>
      <w:pPr>
        <w:spacing w:after="0" w:line="170" w:lineRule="exact"/>
        <w:rPr>
          <w:sz w:val="20"/>
          <w:szCs w:val="20"/>
          <w:color w:val="auto"/>
        </w:rPr>
      </w:pPr>
    </w:p>
    <w:p>
      <w:pPr>
        <w:ind w:left="320" w:right="140"/>
        <w:spacing w:after="0" w:line="441" w:lineRule="auto"/>
        <w:rPr>
          <w:sz w:val="20"/>
          <w:szCs w:val="20"/>
          <w:color w:val="auto"/>
        </w:rPr>
      </w:pPr>
      <w:r>
        <w:rPr>
          <w:rFonts w:ascii="Arial" w:cs="Arial" w:eastAsia="Arial" w:hAnsi="Arial"/>
          <w:sz w:val="17"/>
          <w:szCs w:val="17"/>
          <w:color w:val="auto"/>
        </w:rPr>
        <w:t xml:space="preserve">As of March 31, 2021 and December 31, 2020, the Company recorded $0.3 million and $0.3 million of deferred revenue related to the following agreements. </w:t>
      </w:r>
      <w:r>
        <w:rPr>
          <w:rFonts w:ascii="Arial" w:cs="Arial" w:eastAsia="Arial" w:hAnsi="Arial"/>
          <w:sz w:val="17"/>
          <w:szCs w:val="17"/>
          <w:b w:val="1"/>
          <w:bCs w:val="1"/>
          <w:i w:val="1"/>
          <w:iCs w:val="1"/>
          <w:color w:val="auto"/>
        </w:rPr>
        <w:t>Research Agreements</w:t>
      </w:r>
    </w:p>
    <w:p>
      <w:pPr>
        <w:spacing w:after="0" w:line="1" w:lineRule="exact"/>
        <w:rPr>
          <w:sz w:val="20"/>
          <w:szCs w:val="20"/>
          <w:color w:val="auto"/>
        </w:rPr>
      </w:pPr>
    </w:p>
    <w:p>
      <w:pPr>
        <w:ind w:right="100" w:firstLine="308"/>
        <w:spacing w:after="0" w:line="316" w:lineRule="auto"/>
        <w:rPr>
          <w:sz w:val="20"/>
          <w:szCs w:val="20"/>
          <w:color w:val="auto"/>
        </w:rPr>
      </w:pPr>
      <w:r>
        <w:rPr>
          <w:rFonts w:ascii="Arial" w:cs="Arial" w:eastAsia="Arial" w:hAnsi="Arial"/>
          <w:sz w:val="15"/>
          <w:szCs w:val="15"/>
          <w:color w:val="auto"/>
        </w:rPr>
        <w:t>In February 2019, the Company entered into a sponsored research agreement with a biotechnology company under which the Company is required to execute certain research and development activities as well as optional research and development activities if elected by the customer for total consideration payable of $0.4 million. During the three months ended March 31, 2021 and 2020, the Company did not recognize any research revenue with respect to this agreement.</w:t>
      </w:r>
    </w:p>
    <w:p>
      <w:pPr>
        <w:spacing w:after="0" w:line="90" w:lineRule="exact"/>
        <w:rPr>
          <w:sz w:val="20"/>
          <w:szCs w:val="20"/>
          <w:color w:val="auto"/>
        </w:rPr>
      </w:pPr>
    </w:p>
    <w:p>
      <w:pPr>
        <w:ind w:right="60" w:firstLine="308"/>
        <w:spacing w:after="0" w:line="261" w:lineRule="auto"/>
        <w:rPr>
          <w:sz w:val="20"/>
          <w:szCs w:val="20"/>
          <w:color w:val="auto"/>
        </w:rPr>
      </w:pPr>
      <w:r>
        <w:rPr>
          <w:rFonts w:ascii="Arial" w:cs="Arial" w:eastAsia="Arial" w:hAnsi="Arial"/>
          <w:sz w:val="17"/>
          <w:szCs w:val="17"/>
          <w:color w:val="auto"/>
        </w:rPr>
        <w:t>In March 2020, the Company entered into a sponsored research agreement with a pharmaceutical company under which the Company is required to execute certain research and development activities for total consideration payable of $0.5 million, of which $0.3 million was received and recorded as deferred revenue as of March 31, 2021. During the three months ended March 31, 2021 and 2020, the Company did not recognize any research revenue with respect to the research agreement.</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NIH Grant</w:t>
      </w:r>
    </w:p>
    <w:p>
      <w:pPr>
        <w:spacing w:after="0" w:line="164" w:lineRule="exact"/>
        <w:rPr>
          <w:sz w:val="20"/>
          <w:szCs w:val="20"/>
          <w:color w:val="auto"/>
        </w:rPr>
      </w:pPr>
    </w:p>
    <w:p>
      <w:pPr>
        <w:ind w:firstLine="308"/>
        <w:spacing w:after="0" w:line="261" w:lineRule="auto"/>
        <w:rPr>
          <w:sz w:val="20"/>
          <w:szCs w:val="20"/>
          <w:color w:val="auto"/>
        </w:rPr>
      </w:pPr>
      <w:r>
        <w:rPr>
          <w:rFonts w:ascii="Arial" w:cs="Arial" w:eastAsia="Arial" w:hAnsi="Arial"/>
          <w:sz w:val="17"/>
          <w:szCs w:val="17"/>
          <w:color w:val="auto"/>
        </w:rPr>
        <w:t>In August 2019, the Company received a notice of a Small Business Innovation Research grant award from the National Institutes of Health, which will provide funding of approximately $1.1 million to the Company for its development of research applications. In June 2020, the Company received a notice that additional grant consideration of $0.9 million will be awarded. During the three months ended March 31, 2021 and 2020, the Company recognized grant revenue of $0.1 million and $0.2 million, respectively, with respect to the award.</w:t>
      </w:r>
    </w:p>
    <w:p>
      <w:pPr>
        <w:spacing w:after="0" w:line="120" w:lineRule="exact"/>
        <w:rPr>
          <w:sz w:val="20"/>
          <w:szCs w:val="20"/>
          <w:color w:val="auto"/>
        </w:rPr>
      </w:pPr>
    </w:p>
    <w:p>
      <w:pPr>
        <w:ind w:left="620" w:hanging="617"/>
        <w:spacing w:after="0"/>
        <w:tabs>
          <w:tab w:leader="none" w:pos="62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CAPITAL STOCK AND STOCKHOLDERS’ EQUITY</w:t>
      </w:r>
    </w:p>
    <w:p>
      <w:pPr>
        <w:spacing w:after="0" w:line="170" w:lineRule="exact"/>
        <w:rPr>
          <w:sz w:val="20"/>
          <w:szCs w:val="20"/>
          <w:color w:val="auto"/>
        </w:rPr>
      </w:pPr>
    </w:p>
    <w:p>
      <w:pPr>
        <w:ind w:right="400" w:firstLine="308"/>
        <w:spacing w:after="0" w:line="278" w:lineRule="auto"/>
        <w:rPr>
          <w:sz w:val="20"/>
          <w:szCs w:val="20"/>
          <w:color w:val="auto"/>
        </w:rPr>
      </w:pPr>
      <w:r>
        <w:rPr>
          <w:rFonts w:ascii="Arial" w:cs="Arial" w:eastAsia="Arial" w:hAnsi="Arial"/>
          <w:sz w:val="17"/>
          <w:szCs w:val="17"/>
          <w:color w:val="auto"/>
        </w:rPr>
        <w:t>As of March 31, 2021, the Company is authorized to issue 105,000,000 shares of capital stock consisting of 94,000,000 shares of Class A common stock, 6,000,000 shares of Class B common stock, and 5,000,000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7"/>
          <w:szCs w:val="17"/>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Common Stock</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Common stock issued and outstanding is as follows:</w:t>
      </w: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178"/>
        </w:trPr>
        <w:tc>
          <w:tcPr>
            <w:tcW w:w="6360" w:type="dxa"/>
            <w:vAlign w:val="bottom"/>
          </w:tcPr>
          <w:p>
            <w:pPr>
              <w:spacing w:after="0"/>
              <w:rPr>
                <w:sz w:val="15"/>
                <w:szCs w:val="15"/>
                <w:color w:val="auto"/>
              </w:rPr>
            </w:pPr>
          </w:p>
        </w:tc>
        <w:tc>
          <w:tcPr>
            <w:tcW w:w="1660" w:type="dxa"/>
            <w:vAlign w:val="bottom"/>
            <w:gridSpan w:val="2"/>
          </w:tcPr>
          <w:p>
            <w:pPr>
              <w:ind w:left="640"/>
              <w:spacing w:after="0"/>
              <w:rPr>
                <w:sz w:val="20"/>
                <w:szCs w:val="20"/>
                <w:color w:val="auto"/>
              </w:rPr>
            </w:pPr>
            <w:r>
              <w:rPr>
                <w:rFonts w:ascii="Arial" w:cs="Arial" w:eastAsia="Arial" w:hAnsi="Arial"/>
                <w:sz w:val="14"/>
                <w:szCs w:val="14"/>
                <w:b w:val="1"/>
                <w:bCs w:val="1"/>
                <w:color w:val="auto"/>
              </w:rPr>
              <w:t>March 31,</w:t>
            </w:r>
          </w:p>
        </w:tc>
        <w:tc>
          <w:tcPr>
            <w:tcW w:w="1560" w:type="dxa"/>
            <w:vAlign w:val="bottom"/>
          </w:tcPr>
          <w:p>
            <w:pPr>
              <w:jc w:val="right"/>
              <w:ind w:right="141"/>
              <w:spacing w:after="0"/>
              <w:rPr>
                <w:sz w:val="20"/>
                <w:szCs w:val="20"/>
                <w:color w:val="auto"/>
              </w:rPr>
            </w:pPr>
            <w:r>
              <w:rPr>
                <w:rFonts w:ascii="Arial" w:cs="Arial" w:eastAsia="Arial" w:hAnsi="Arial"/>
                <w:sz w:val="14"/>
                <w:szCs w:val="14"/>
                <w:b w:val="1"/>
                <w:bCs w:val="1"/>
                <w:color w:val="auto"/>
              </w:rPr>
              <w:t>December 31,</w:t>
            </w:r>
          </w:p>
        </w:tc>
      </w:tr>
      <w:tr>
        <w:trPr>
          <w:trHeight w:val="24"/>
        </w:trPr>
        <w:tc>
          <w:tcPr>
            <w:tcW w:w="63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74"/>
        </w:trPr>
        <w:tc>
          <w:tcPr>
            <w:tcW w:w="6360" w:type="dxa"/>
            <w:vAlign w:val="bottom"/>
          </w:tcPr>
          <w:p>
            <w:pPr>
              <w:spacing w:after="0"/>
              <w:rPr>
                <w:sz w:val="15"/>
                <w:szCs w:val="15"/>
                <w:color w:val="auto"/>
              </w:rPr>
            </w:pPr>
          </w:p>
        </w:tc>
        <w:tc>
          <w:tcPr>
            <w:tcW w:w="1560" w:type="dxa"/>
            <w:vAlign w:val="bottom"/>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560" w:type="dxa"/>
            <w:vAlign w:val="bottom"/>
          </w:tcPr>
          <w:p>
            <w:pPr>
              <w:jc w:val="right"/>
              <w:ind w:right="401"/>
              <w:spacing w:after="0"/>
              <w:rPr>
                <w:sz w:val="20"/>
                <w:szCs w:val="20"/>
                <w:color w:val="auto"/>
              </w:rPr>
            </w:pPr>
            <w:r>
              <w:rPr>
                <w:rFonts w:ascii="Arial" w:cs="Arial" w:eastAsia="Arial" w:hAnsi="Arial"/>
                <w:sz w:val="14"/>
                <w:szCs w:val="14"/>
                <w:b w:val="1"/>
                <w:bCs w:val="1"/>
                <w:color w:val="auto"/>
              </w:rPr>
              <w:t>2020</w:t>
            </w:r>
          </w:p>
        </w:tc>
      </w:tr>
      <w:tr>
        <w:trPr>
          <w:trHeight w:val="24"/>
        </w:trPr>
        <w:tc>
          <w:tcPr>
            <w:tcW w:w="63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1"/>
        </w:trPr>
        <w:tc>
          <w:tcPr>
            <w:tcW w:w="6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18"/>
        </w:trPr>
        <w:tc>
          <w:tcPr>
            <w:tcW w:w="63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Class A common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56,606,968</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53,395,319</w:t>
            </w:r>
          </w:p>
        </w:tc>
      </w:tr>
      <w:tr>
        <w:trPr>
          <w:trHeight w:val="218"/>
        </w:trPr>
        <w:tc>
          <w:tcPr>
            <w:tcW w:w="63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Class B common stock</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4,702,381</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5,865,732</w:t>
            </w:r>
          </w:p>
        </w:tc>
      </w:tr>
      <w:tr>
        <w:trPr>
          <w:trHeight w:val="237"/>
        </w:trPr>
        <w:tc>
          <w:tcPr>
            <w:tcW w:w="6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common stock issued and outstanding</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61,309,349</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59,261,051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right="60" w:firstLine="308"/>
        <w:spacing w:after="0" w:line="282" w:lineRule="auto"/>
        <w:rPr>
          <w:sz w:val="20"/>
          <w:szCs w:val="20"/>
          <w:color w:val="auto"/>
        </w:rPr>
      </w:pPr>
      <w:r>
        <w:rPr>
          <w:rFonts w:ascii="Arial" w:cs="Arial" w:eastAsia="Arial" w:hAnsi="Arial"/>
          <w:sz w:val="16"/>
          <w:szCs w:val="16"/>
          <w:color w:val="auto"/>
        </w:rPr>
        <w:t>Class A and Class B common stock have a par value of $0.00001 per share. Holders of Class A common stock are entitled to one vote per share and holders of Class B common stock are entitled to 10 votes per share. Class B common shares are convertible to Class A common shares at any time at the option of the holder on a one-for-one basis. Holders of common stock are entitled to dividends as declared by the Board of Directors, subject to rights of holders of all classes of stock outstanding having priority rights as to dividends. There have been no dividends declared to date.</w:t>
      </w:r>
    </w:p>
    <w:p>
      <w:pPr>
        <w:spacing w:after="0" w:line="112" w:lineRule="exact"/>
        <w:rPr>
          <w:sz w:val="20"/>
          <w:szCs w:val="20"/>
          <w:color w:val="auto"/>
        </w:rPr>
      </w:pPr>
    </w:p>
    <w:p>
      <w:pPr>
        <w:ind w:right="160" w:firstLine="308"/>
        <w:spacing w:after="0" w:line="289" w:lineRule="auto"/>
        <w:rPr>
          <w:sz w:val="20"/>
          <w:szCs w:val="20"/>
          <w:color w:val="auto"/>
        </w:rPr>
      </w:pPr>
      <w:r>
        <w:rPr>
          <w:rFonts w:ascii="Arial" w:cs="Arial" w:eastAsia="Arial" w:hAnsi="Arial"/>
          <w:sz w:val="16"/>
          <w:szCs w:val="16"/>
          <w:color w:val="auto"/>
        </w:rPr>
        <w:t>In the first quarter of 2021, the Company received $11.4 million related to the return of short-swing profits from one of its beneficial owners. These proceeds are recognized as a capital contribution from stockholders as an increase to additional paid-in capital on the condensed consolidated statements of changes in stockholders’ equity and as cash provided by financing activities on the condensed consolidated statements of cash flows.</w:t>
      </w:r>
    </w:p>
    <w:p>
      <w:pPr>
        <w:spacing w:after="0" w:line="100" w:lineRule="exact"/>
        <w:rPr>
          <w:sz w:val="20"/>
          <w:szCs w:val="20"/>
          <w:color w:val="auto"/>
        </w:rPr>
      </w:pPr>
    </w:p>
    <w:p>
      <w:pPr>
        <w:ind w:left="620" w:hanging="617"/>
        <w:spacing w:after="0"/>
        <w:tabs>
          <w:tab w:leader="none" w:pos="62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EQUITY INCENTIVE PLANS</w:t>
      </w:r>
    </w:p>
    <w:p>
      <w:pPr>
        <w:spacing w:after="0" w:line="170" w:lineRule="exact"/>
        <w:rPr>
          <w:sz w:val="20"/>
          <w:szCs w:val="20"/>
          <w:color w:val="auto"/>
        </w:rPr>
      </w:pPr>
    </w:p>
    <w:p>
      <w:pPr>
        <w:jc w:val="both"/>
        <w:ind w:right="60" w:firstLine="308"/>
        <w:spacing w:after="0" w:line="316" w:lineRule="auto"/>
        <w:rPr>
          <w:sz w:val="20"/>
          <w:szCs w:val="20"/>
          <w:color w:val="auto"/>
        </w:rPr>
      </w:pPr>
      <w:r>
        <w:rPr>
          <w:rFonts w:ascii="Arial" w:cs="Arial" w:eastAsia="Arial" w:hAnsi="Arial"/>
          <w:sz w:val="15"/>
          <w:szCs w:val="15"/>
          <w:color w:val="auto"/>
        </w:rPr>
        <w:t>In 2017, the Company adopted the 2017 Stock Incentive Plan (2017 Plan), which provided for the granting of awards to employees, directors, and consultants of the Company. Awards issuable under the Plan include incentive stock options (ISO), nonqualified stock options (NSO), and restricted stock awards. In 2020, the Company adopted the 2020 RSU Equity Incentive Plan (2020 RSU Plan), which provided for the granting of RSUs to certain employees of the Company.</w:t>
      </w:r>
    </w:p>
    <w:p>
      <w:pPr>
        <w:spacing w:after="0" w:line="90" w:lineRule="exact"/>
        <w:rPr>
          <w:sz w:val="20"/>
          <w:szCs w:val="20"/>
          <w:color w:val="auto"/>
        </w:rPr>
      </w:pPr>
    </w:p>
    <w:p>
      <w:pPr>
        <w:jc w:val="both"/>
        <w:ind w:firstLine="308"/>
        <w:spacing w:after="0" w:line="265" w:lineRule="auto"/>
        <w:rPr>
          <w:sz w:val="20"/>
          <w:szCs w:val="20"/>
          <w:color w:val="auto"/>
        </w:rPr>
      </w:pPr>
      <w:r>
        <w:rPr>
          <w:rFonts w:ascii="Arial" w:cs="Arial" w:eastAsia="Arial" w:hAnsi="Arial"/>
          <w:sz w:val="17"/>
          <w:szCs w:val="17"/>
          <w:color w:val="auto"/>
        </w:rPr>
        <w:t>In 2020, the Company adopted the 2020 Equity Incentive Plan (2020 Plan), which became effective in connection with the IPO. The Company’s 2017 Plan and 2020 RSU Plan were terminated in connection with the IPO and no further grants will be made under the 2017 Plan and 2020 RSU Plan from the date that the 2020 Plan became effective.</w:t>
      </w:r>
    </w:p>
    <w:p>
      <w:pPr>
        <w:spacing w:after="0" w:line="123" w:lineRule="exact"/>
        <w:rPr>
          <w:sz w:val="20"/>
          <w:szCs w:val="20"/>
          <w:color w:val="auto"/>
        </w:rPr>
      </w:pPr>
    </w:p>
    <w:p>
      <w:pPr>
        <w:ind w:right="60" w:firstLine="308"/>
        <w:spacing w:after="0" w:line="278" w:lineRule="auto"/>
        <w:rPr>
          <w:sz w:val="20"/>
          <w:szCs w:val="20"/>
          <w:color w:val="auto"/>
        </w:rPr>
      </w:pPr>
      <w:r>
        <w:rPr>
          <w:rFonts w:ascii="Arial" w:cs="Arial" w:eastAsia="Arial" w:hAnsi="Arial"/>
          <w:sz w:val="17"/>
          <w:szCs w:val="17"/>
          <w:color w:val="auto"/>
        </w:rPr>
        <w:t>As of March 31, 2021, there are 8,302,701 shares of Class A common stock reserved for issuance under the 2020 Plan of which 6,153,968 shares are available for issuance in connection with grants of future awards.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Stock option activity for the three months ended March 31, 2021 is as follows:</w:t>
      </w: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1640" w:type="dxa"/>
            <w:vAlign w:val="bottom"/>
            <w:gridSpan w:val="2"/>
          </w:tcPr>
          <w:p>
            <w:pPr>
              <w:ind w:left="680"/>
              <w:spacing w:after="0"/>
              <w:rPr>
                <w:sz w:val="20"/>
                <w:szCs w:val="20"/>
                <w:color w:val="auto"/>
              </w:rPr>
            </w:pPr>
            <w:r>
              <w:rPr>
                <w:rFonts w:ascii="Arial" w:cs="Arial" w:eastAsia="Arial" w:hAnsi="Arial"/>
                <w:sz w:val="14"/>
                <w:szCs w:val="14"/>
                <w:b w:val="1"/>
                <w:bCs w:val="1"/>
                <w:color w:val="auto"/>
              </w:rPr>
              <w:t>Options</w:t>
            </w:r>
          </w:p>
        </w:tc>
        <w:tc>
          <w:tcPr>
            <w:tcW w:w="460" w:type="dxa"/>
            <w:vAlign w:val="bottom"/>
          </w:tcPr>
          <w:p>
            <w:pPr>
              <w:spacing w:after="0"/>
              <w:rPr>
                <w:sz w:val="14"/>
                <w:szCs w:val="14"/>
                <w:color w:val="auto"/>
              </w:rPr>
            </w:pPr>
          </w:p>
        </w:tc>
        <w:tc>
          <w:tcPr>
            <w:tcW w:w="1400" w:type="dxa"/>
            <w:vAlign w:val="bottom"/>
          </w:tcPr>
          <w:p>
            <w:pPr>
              <w:jc w:val="right"/>
              <w:ind w:right="159"/>
              <w:spacing w:after="0"/>
              <w:rPr>
                <w:sz w:val="20"/>
                <w:szCs w:val="20"/>
                <w:color w:val="auto"/>
              </w:rPr>
            </w:pPr>
            <w:r>
              <w:rPr>
                <w:rFonts w:ascii="Arial" w:cs="Arial" w:eastAsia="Arial" w:hAnsi="Arial"/>
                <w:sz w:val="14"/>
                <w:szCs w:val="14"/>
                <w:b w:val="1"/>
                <w:bCs w:val="1"/>
                <w:color w:val="auto"/>
                <w:w w:val="93"/>
              </w:rPr>
              <w:t>Weighted Average</w:t>
            </w:r>
          </w:p>
        </w:tc>
      </w:tr>
      <w:tr>
        <w:trPr>
          <w:trHeight w:val="182"/>
        </w:trPr>
        <w:tc>
          <w:tcPr>
            <w:tcW w:w="4440" w:type="dxa"/>
            <w:vAlign w:val="bottom"/>
          </w:tcPr>
          <w:p>
            <w:pPr>
              <w:spacing w:after="0"/>
              <w:rPr>
                <w:sz w:val="15"/>
                <w:szCs w:val="15"/>
                <w:color w:val="auto"/>
              </w:rPr>
            </w:pPr>
          </w:p>
        </w:tc>
        <w:tc>
          <w:tcPr>
            <w:tcW w:w="1640" w:type="dxa"/>
            <w:vAlign w:val="bottom"/>
            <w:gridSpan w:val="2"/>
          </w:tcPr>
          <w:p>
            <w:pPr>
              <w:ind w:left="400"/>
              <w:spacing w:after="0"/>
              <w:rPr>
                <w:sz w:val="20"/>
                <w:szCs w:val="20"/>
                <w:color w:val="auto"/>
              </w:rPr>
            </w:pPr>
            <w:r>
              <w:rPr>
                <w:rFonts w:ascii="Arial" w:cs="Arial" w:eastAsia="Arial" w:hAnsi="Arial"/>
                <w:sz w:val="14"/>
                <w:szCs w:val="14"/>
                <w:b w:val="1"/>
                <w:bCs w:val="1"/>
                <w:color w:val="auto"/>
              </w:rPr>
              <w:t>Outstanding</w:t>
            </w:r>
          </w:p>
        </w:tc>
        <w:tc>
          <w:tcPr>
            <w:tcW w:w="460" w:type="dxa"/>
            <w:vAlign w:val="bottom"/>
          </w:tcPr>
          <w:p>
            <w:pPr>
              <w:spacing w:after="0"/>
              <w:rPr>
                <w:sz w:val="15"/>
                <w:szCs w:val="15"/>
                <w:color w:val="auto"/>
              </w:rPr>
            </w:pPr>
          </w:p>
        </w:tc>
        <w:tc>
          <w:tcPr>
            <w:tcW w:w="1400" w:type="dxa"/>
            <w:vAlign w:val="bottom"/>
          </w:tcPr>
          <w:p>
            <w:pPr>
              <w:jc w:val="right"/>
              <w:ind w:right="439"/>
              <w:spacing w:after="0"/>
              <w:rPr>
                <w:sz w:val="20"/>
                <w:szCs w:val="20"/>
                <w:color w:val="auto"/>
              </w:rPr>
            </w:pPr>
            <w:r>
              <w:rPr>
                <w:rFonts w:ascii="Arial" w:cs="Arial" w:eastAsia="Arial" w:hAnsi="Arial"/>
                <w:sz w:val="14"/>
                <w:szCs w:val="14"/>
                <w:b w:val="1"/>
                <w:bCs w:val="1"/>
                <w:color w:val="auto"/>
                <w:w w:val="89"/>
              </w:rPr>
              <w:t>Exercise Price</w:t>
            </w:r>
          </w:p>
        </w:tc>
      </w:tr>
      <w:tr>
        <w:trPr>
          <w:trHeight w:val="215"/>
        </w:trPr>
        <w:tc>
          <w:tcPr>
            <w:tcW w:w="44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Balance - December 31, 2020</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rPr>
              <w:t>9,551,105</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rPr>
              <w:t>5.55</w:t>
            </w:r>
          </w:p>
        </w:tc>
      </w:tr>
      <w:tr>
        <w:trPr>
          <w:trHeight w:val="218"/>
        </w:trPr>
        <w:tc>
          <w:tcPr>
            <w:tcW w:w="4440" w:type="dxa"/>
            <w:vAlign w:val="bottom"/>
          </w:tcPr>
          <w:p>
            <w:pPr>
              <w:ind w:left="320"/>
              <w:spacing w:after="0"/>
              <w:rPr>
                <w:sz w:val="20"/>
                <w:szCs w:val="20"/>
                <w:color w:val="auto"/>
              </w:rPr>
            </w:pPr>
            <w:r>
              <w:rPr>
                <w:rFonts w:ascii="Arial" w:cs="Arial" w:eastAsia="Arial" w:hAnsi="Arial"/>
                <w:sz w:val="17"/>
                <w:szCs w:val="17"/>
                <w:color w:val="auto"/>
              </w:rPr>
              <w:t>Options granted</w:t>
            </w:r>
          </w:p>
        </w:tc>
        <w:tc>
          <w:tcPr>
            <w:tcW w:w="1540" w:type="dxa"/>
            <w:vAlign w:val="bottom"/>
          </w:tcPr>
          <w:p>
            <w:pPr>
              <w:jc w:val="right"/>
              <w:spacing w:after="0"/>
              <w:rPr>
                <w:sz w:val="20"/>
                <w:szCs w:val="20"/>
                <w:color w:val="auto"/>
              </w:rPr>
            </w:pPr>
            <w:r>
              <w:rPr>
                <w:rFonts w:ascii="Arial" w:cs="Arial" w:eastAsia="Arial" w:hAnsi="Arial"/>
                <w:sz w:val="17"/>
                <w:szCs w:val="17"/>
                <w:color w:val="231F20"/>
              </w:rPr>
              <w:t>768,624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231F20"/>
              </w:rPr>
              <w:t>59.94</w:t>
            </w:r>
          </w:p>
        </w:tc>
      </w:tr>
      <w:tr>
        <w:trPr>
          <w:trHeight w:val="219"/>
        </w:trPr>
        <w:tc>
          <w:tcPr>
            <w:tcW w:w="4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Options exercised</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231F20"/>
              </w:rPr>
              <w:t>(399,174)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231F20"/>
              </w:rPr>
              <w:t>0.44</w:t>
            </w:r>
          </w:p>
        </w:tc>
      </w:tr>
      <w:tr>
        <w:trPr>
          <w:trHeight w:val="218"/>
        </w:trPr>
        <w:tc>
          <w:tcPr>
            <w:tcW w:w="44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Options cancelled and 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31F20"/>
              </w:rPr>
              <w:t>(81,201)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31F20"/>
              </w:rPr>
              <w:t>5.70</w:t>
            </w:r>
          </w:p>
        </w:tc>
      </w:tr>
      <w:tr>
        <w:trPr>
          <w:trHeight w:val="237"/>
        </w:trPr>
        <w:tc>
          <w:tcPr>
            <w:tcW w:w="4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Balance - March 31, 2021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rPr>
              <w:t>9,839,354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rPr>
              <w:t>10.00</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4440" w:type="dxa"/>
            <w:vAlign w:val="bottom"/>
          </w:tcPr>
          <w:p>
            <w:pPr>
              <w:spacing w:after="0" w:line="190" w:lineRule="exact"/>
              <w:rPr>
                <w:sz w:val="20"/>
                <w:szCs w:val="20"/>
                <w:color w:val="auto"/>
              </w:rPr>
            </w:pPr>
            <w:r>
              <w:rPr>
                <w:rFonts w:ascii="Arial" w:cs="Arial" w:eastAsia="Arial" w:hAnsi="Arial"/>
                <w:sz w:val="17"/>
                <w:szCs w:val="17"/>
                <w:color w:val="auto"/>
              </w:rPr>
              <w:t>Vested and exercisable, March 31, 2021</w:t>
            </w:r>
          </w:p>
        </w:tc>
        <w:tc>
          <w:tcPr>
            <w:tcW w:w="154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1,616,370</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2.44</w:t>
            </w:r>
          </w:p>
        </w:tc>
      </w:tr>
      <w:tr>
        <w:trPr>
          <w:trHeight w:val="20"/>
        </w:trPr>
        <w:tc>
          <w:tcPr>
            <w:tcW w:w="44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right="100"/>
        <w:spacing w:after="0"/>
        <w:rPr>
          <w:sz w:val="20"/>
          <w:szCs w:val="20"/>
          <w:color w:val="auto"/>
        </w:rPr>
      </w:pPr>
      <w:r>
        <w:rPr>
          <w:rFonts w:ascii="Arial" w:cs="Arial" w:eastAsia="Arial" w:hAnsi="Arial"/>
          <w:sz w:val="17"/>
          <w:szCs w:val="17"/>
          <w:b w:val="1"/>
          <w:bCs w:val="1"/>
          <w:color w:val="auto"/>
        </w:rPr>
        <w:t>SEER,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Restricted Stock</w:t>
      </w:r>
    </w:p>
    <w:p>
      <w:pPr>
        <w:spacing w:after="0" w:line="164" w:lineRule="exact"/>
        <w:rPr>
          <w:sz w:val="20"/>
          <w:szCs w:val="20"/>
          <w:color w:val="auto"/>
        </w:rPr>
      </w:pPr>
    </w:p>
    <w:p>
      <w:pPr>
        <w:ind w:right="160" w:firstLine="308"/>
        <w:spacing w:after="0" w:line="310" w:lineRule="auto"/>
        <w:rPr>
          <w:sz w:val="20"/>
          <w:szCs w:val="20"/>
          <w:color w:val="auto"/>
        </w:rPr>
      </w:pPr>
      <w:r>
        <w:rPr>
          <w:rFonts w:ascii="Arial" w:cs="Arial" w:eastAsia="Arial" w:hAnsi="Arial"/>
          <w:sz w:val="16"/>
          <w:szCs w:val="16"/>
          <w:color w:val="auto"/>
        </w:rPr>
        <w:t>Certain stock options granted under the 2017 Plan provide stock option holders the right to exercise unvested stock options in exchange for restricted shares of Class A common stock. The Company has also issued restricted shares of Class A common stock to employees and directors under the 2017 Plan.</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activity of restricted shares of Class A common stock for the three months ended March 31, 2021 is as follows:</w:t>
      </w:r>
    </w:p>
    <w:p>
      <w:pPr>
        <w:spacing w:after="0" w:line="17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Weighted-Average</w:t>
            </w:r>
          </w:p>
        </w:tc>
        <w:tc>
          <w:tcPr>
            <w:tcW w:w="0" w:type="dxa"/>
            <w:vAlign w:val="bottom"/>
          </w:tcPr>
          <w:p>
            <w:pPr>
              <w:spacing w:after="0"/>
              <w:rPr>
                <w:sz w:val="1"/>
                <w:szCs w:val="1"/>
                <w:color w:val="auto"/>
              </w:rPr>
            </w:pPr>
          </w:p>
        </w:tc>
      </w:tr>
      <w:tr>
        <w:trPr>
          <w:trHeight w:val="128"/>
        </w:trPr>
        <w:tc>
          <w:tcPr>
            <w:tcW w:w="7040" w:type="dxa"/>
            <w:vAlign w:val="bottom"/>
          </w:tcPr>
          <w:p>
            <w:pPr>
              <w:spacing w:after="0"/>
              <w:rPr>
                <w:sz w:val="11"/>
                <w:szCs w:val="11"/>
                <w:color w:val="auto"/>
              </w:rPr>
            </w:pPr>
          </w:p>
        </w:tc>
        <w:tc>
          <w:tcPr>
            <w:tcW w:w="20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Number of Shares</w:t>
            </w:r>
          </w:p>
        </w:tc>
        <w:tc>
          <w:tcPr>
            <w:tcW w:w="560" w:type="dxa"/>
            <w:vAlign w:val="bottom"/>
          </w:tcPr>
          <w:p>
            <w:pPr>
              <w:spacing w:after="0"/>
              <w:rPr>
                <w:sz w:val="11"/>
                <w:szCs w:val="11"/>
                <w:color w:val="auto"/>
              </w:rPr>
            </w:pPr>
          </w:p>
        </w:tc>
        <w:tc>
          <w:tcPr>
            <w:tcW w:w="1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79"/>
        </w:trPr>
        <w:tc>
          <w:tcPr>
            <w:tcW w:w="704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12"/>
        </w:trPr>
        <w:tc>
          <w:tcPr>
            <w:tcW w:w="70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Unvested at December 31, 2020</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775,641</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8"/>
        </w:trPr>
        <w:tc>
          <w:tcPr>
            <w:tcW w:w="7040" w:type="dxa"/>
            <w:vAlign w:val="bottom"/>
          </w:tcPr>
          <w:p>
            <w:pPr>
              <w:ind w:left="320"/>
              <w:spacing w:after="0"/>
              <w:rPr>
                <w:sz w:val="20"/>
                <w:szCs w:val="20"/>
                <w:color w:val="auto"/>
              </w:rPr>
            </w:pPr>
            <w:r>
              <w:rPr>
                <w:rFonts w:ascii="Arial" w:cs="Arial" w:eastAsia="Arial" w:hAnsi="Arial"/>
                <w:sz w:val="17"/>
                <w:szCs w:val="17"/>
                <w:color w:val="auto"/>
              </w:rPr>
              <w:t>Granted</w:t>
            </w:r>
          </w:p>
        </w:tc>
        <w:tc>
          <w:tcPr>
            <w:tcW w:w="1900" w:type="dxa"/>
            <w:vAlign w:val="bottom"/>
          </w:tcPr>
          <w:p>
            <w:pPr>
              <w:jc w:val="right"/>
              <w:spacing w:after="0"/>
              <w:rPr>
                <w:sz w:val="20"/>
                <w:szCs w:val="20"/>
                <w:color w:val="auto"/>
              </w:rPr>
            </w:pPr>
            <w:r>
              <w:rPr>
                <w:rFonts w:ascii="Arial" w:cs="Arial" w:eastAsia="Arial" w:hAnsi="Arial"/>
                <w:sz w:val="17"/>
                <w:szCs w:val="17"/>
                <w:color w:val="auto"/>
              </w:rPr>
              <w:t>10,728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9"/>
        </w:trPr>
        <w:tc>
          <w:tcPr>
            <w:tcW w:w="7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Repurchased</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8"/>
        </w:trPr>
        <w:tc>
          <w:tcPr>
            <w:tcW w:w="70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Vested</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(133,075)</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37"/>
        </w:trPr>
        <w:tc>
          <w:tcPr>
            <w:tcW w:w="7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Unvested at March 31, 2021</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652,418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RSUs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has granted RSUs under the 2020 RSU Plan and the 2020 Plan. RSU activity for the three months ended March 31, 2021 is as follows:</w:t>
      </w:r>
    </w:p>
    <w:p>
      <w:pPr>
        <w:spacing w:after="0" w:line="18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Weighted-Average</w:t>
            </w:r>
          </w:p>
        </w:tc>
        <w:tc>
          <w:tcPr>
            <w:tcW w:w="0" w:type="dxa"/>
            <w:vAlign w:val="bottom"/>
          </w:tcPr>
          <w:p>
            <w:pPr>
              <w:spacing w:after="0"/>
              <w:rPr>
                <w:sz w:val="1"/>
                <w:szCs w:val="1"/>
                <w:color w:val="auto"/>
              </w:rPr>
            </w:pPr>
          </w:p>
        </w:tc>
      </w:tr>
      <w:tr>
        <w:trPr>
          <w:trHeight w:val="128"/>
        </w:trPr>
        <w:tc>
          <w:tcPr>
            <w:tcW w:w="7040" w:type="dxa"/>
            <w:vAlign w:val="bottom"/>
          </w:tcPr>
          <w:p>
            <w:pPr>
              <w:spacing w:after="0"/>
              <w:rPr>
                <w:sz w:val="11"/>
                <w:szCs w:val="11"/>
                <w:color w:val="auto"/>
              </w:rPr>
            </w:pPr>
          </w:p>
        </w:tc>
        <w:tc>
          <w:tcPr>
            <w:tcW w:w="20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Restricted Stock Units</w:t>
            </w:r>
          </w:p>
        </w:tc>
        <w:tc>
          <w:tcPr>
            <w:tcW w:w="560" w:type="dxa"/>
            <w:vAlign w:val="bottom"/>
          </w:tcPr>
          <w:p>
            <w:pPr>
              <w:spacing w:after="0"/>
              <w:rPr>
                <w:sz w:val="11"/>
                <w:szCs w:val="11"/>
                <w:color w:val="auto"/>
              </w:rPr>
            </w:pPr>
          </w:p>
        </w:tc>
        <w:tc>
          <w:tcPr>
            <w:tcW w:w="1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79"/>
        </w:trPr>
        <w:tc>
          <w:tcPr>
            <w:tcW w:w="704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12"/>
        </w:trPr>
        <w:tc>
          <w:tcPr>
            <w:tcW w:w="70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Balance at December 31, 2020</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491,318</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8"/>
        </w:trPr>
        <w:tc>
          <w:tcPr>
            <w:tcW w:w="7040" w:type="dxa"/>
            <w:vAlign w:val="bottom"/>
          </w:tcPr>
          <w:p>
            <w:pPr>
              <w:ind w:left="320"/>
              <w:spacing w:after="0"/>
              <w:rPr>
                <w:sz w:val="20"/>
                <w:szCs w:val="20"/>
                <w:color w:val="auto"/>
              </w:rPr>
            </w:pPr>
            <w:r>
              <w:rPr>
                <w:rFonts w:ascii="Arial" w:cs="Arial" w:eastAsia="Arial" w:hAnsi="Arial"/>
                <w:sz w:val="17"/>
                <w:szCs w:val="17"/>
                <w:color w:val="auto"/>
              </w:rPr>
              <w:t>Granted</w:t>
            </w:r>
          </w:p>
        </w:tc>
        <w:tc>
          <w:tcPr>
            <w:tcW w:w="1900" w:type="dxa"/>
            <w:vAlign w:val="bottom"/>
          </w:tcPr>
          <w:p>
            <w:pPr>
              <w:jc w:val="right"/>
              <w:spacing w:after="0"/>
              <w:rPr>
                <w:sz w:val="20"/>
                <w:szCs w:val="20"/>
                <w:color w:val="auto"/>
              </w:rPr>
            </w:pPr>
            <w:r>
              <w:rPr>
                <w:rFonts w:ascii="Arial" w:cs="Arial" w:eastAsia="Arial" w:hAnsi="Arial"/>
                <w:sz w:val="17"/>
                <w:szCs w:val="17"/>
                <w:color w:val="auto"/>
              </w:rPr>
              <w:t>200,233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19"/>
        </w:trPr>
        <w:tc>
          <w:tcPr>
            <w:tcW w:w="7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8"/>
        </w:trPr>
        <w:tc>
          <w:tcPr>
            <w:tcW w:w="70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Cancelled</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(947)</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37"/>
        </w:trPr>
        <w:tc>
          <w:tcPr>
            <w:tcW w:w="7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Balance at March 31, 2021</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689,484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164" w:lineRule="exact"/>
        <w:rPr>
          <w:sz w:val="20"/>
          <w:szCs w:val="20"/>
          <w:color w:val="auto"/>
        </w:rPr>
      </w:pPr>
    </w:p>
    <w:p>
      <w:pPr>
        <w:ind w:right="280" w:firstLine="308"/>
        <w:spacing w:after="0" w:line="261" w:lineRule="auto"/>
        <w:rPr>
          <w:sz w:val="20"/>
          <w:szCs w:val="20"/>
          <w:color w:val="auto"/>
        </w:rPr>
      </w:pPr>
      <w:r>
        <w:rPr>
          <w:rFonts w:ascii="Arial" w:cs="Arial" w:eastAsia="Arial" w:hAnsi="Arial"/>
          <w:sz w:val="17"/>
          <w:szCs w:val="17"/>
          <w:color w:val="auto"/>
        </w:rPr>
        <w:t>In November 2020, the Company’s board of directors adopted the 2020 Employee Stock Purchase Plan (ESPP), which was subsequently approved by the Company’s stockholders and became effective in connection with the IPO. A total of 1,195,327 shares of Class A common stock are reserved for issuance under the ESPP as of March 31, 2021. The first offering period has not commenced as of March 31, 2021 and there is no stock-based compensation related to the ESPP for the three months ended March 31, 2021.</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64" w:lineRule="exact"/>
        <w:rPr>
          <w:sz w:val="20"/>
          <w:szCs w:val="20"/>
          <w:color w:val="auto"/>
        </w:rPr>
      </w:pPr>
    </w:p>
    <w:p>
      <w:pPr>
        <w:ind w:right="240" w:firstLine="308"/>
        <w:spacing w:after="0" w:line="278" w:lineRule="auto"/>
        <w:rPr>
          <w:sz w:val="20"/>
          <w:szCs w:val="20"/>
          <w:color w:val="auto"/>
        </w:rPr>
      </w:pPr>
      <w:r>
        <w:rPr>
          <w:rFonts w:ascii="Arial" w:cs="Arial" w:eastAsia="Arial" w:hAnsi="Arial"/>
          <w:sz w:val="17"/>
          <w:szCs w:val="17"/>
          <w:color w:val="auto"/>
        </w:rPr>
        <w:t>The following table summarizes the components of stock-based compensation recognized in the Company’s condensed consolidated statements of operations and comprehensive loss (in thousands):</w:t>
      </w:r>
    </w:p>
    <w:p>
      <w:pPr>
        <w:spacing w:after="0" w:line="147"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8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Pr>
          <w:p>
            <w:pPr>
              <w:spacing w:after="0"/>
              <w:rPr>
                <w:sz w:val="14"/>
                <w:szCs w:val="14"/>
                <w:color w:val="auto"/>
              </w:rPr>
            </w:pPr>
          </w:p>
        </w:tc>
      </w:tr>
      <w:tr>
        <w:trPr>
          <w:trHeight w:val="178"/>
        </w:trPr>
        <w:tc>
          <w:tcPr>
            <w:tcW w:w="4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180" w:type="dxa"/>
            <w:vAlign w:val="bottom"/>
            <w:gridSpan w:val="3"/>
          </w:tcPr>
          <w:p>
            <w:pPr>
              <w:jc w:val="right"/>
              <w:ind w:right="494"/>
              <w:spacing w:after="0"/>
              <w:rPr>
                <w:sz w:val="20"/>
                <w:szCs w:val="20"/>
                <w:color w:val="auto"/>
              </w:rPr>
            </w:pPr>
            <w:r>
              <w:rPr>
                <w:rFonts w:ascii="Arial" w:cs="Arial" w:eastAsia="Arial" w:hAnsi="Arial"/>
                <w:sz w:val="14"/>
                <w:szCs w:val="14"/>
                <w:b w:val="1"/>
                <w:bCs w:val="1"/>
                <w:color w:val="auto"/>
              </w:rPr>
              <w:t>March 31,</w:t>
            </w:r>
          </w:p>
        </w:tc>
        <w:tc>
          <w:tcPr>
            <w:tcW w:w="1080" w:type="dxa"/>
            <w:vAlign w:val="bottom"/>
          </w:tcPr>
          <w:p>
            <w:pPr>
              <w:spacing w:after="0"/>
              <w:rPr>
                <w:sz w:val="15"/>
                <w:szCs w:val="15"/>
                <w:color w:val="auto"/>
              </w:rPr>
            </w:pPr>
          </w:p>
        </w:tc>
      </w:tr>
      <w:tr>
        <w:trPr>
          <w:trHeight w:val="24"/>
        </w:trPr>
        <w:tc>
          <w:tcPr>
            <w:tcW w:w="40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4"/>
        </w:trPr>
        <w:tc>
          <w:tcPr>
            <w:tcW w:w="4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60" w:type="dxa"/>
            <w:vAlign w:val="bottom"/>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jc w:val="right"/>
              <w:ind w:right="619"/>
              <w:spacing w:after="0"/>
              <w:rPr>
                <w:sz w:val="20"/>
                <w:szCs w:val="20"/>
                <w:color w:val="auto"/>
              </w:rPr>
            </w:pPr>
            <w:r>
              <w:rPr>
                <w:rFonts w:ascii="Arial" w:cs="Arial" w:eastAsia="Arial" w:hAnsi="Arial"/>
                <w:sz w:val="14"/>
                <w:szCs w:val="14"/>
                <w:b w:val="1"/>
                <w:bCs w:val="1"/>
                <w:color w:val="auto"/>
              </w:rPr>
              <w:t>2020</w:t>
            </w:r>
          </w:p>
        </w:tc>
      </w:tr>
      <w:tr>
        <w:trPr>
          <w:trHeight w:val="24"/>
        </w:trPr>
        <w:tc>
          <w:tcPr>
            <w:tcW w:w="40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4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8"/>
        </w:trPr>
        <w:tc>
          <w:tcPr>
            <w:tcW w:w="4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Research and development</w:t>
            </w:r>
          </w:p>
        </w:tc>
        <w:tc>
          <w:tcPr>
            <w:tcW w:w="6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1,492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r>
      <w:tr>
        <w:trPr>
          <w:trHeight w:val="218"/>
        </w:trPr>
        <w:tc>
          <w:tcPr>
            <w:tcW w:w="40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Selling, general and administrative</w:t>
            </w: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4,547</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397</w:t>
            </w:r>
          </w:p>
        </w:tc>
      </w:tr>
      <w:tr>
        <w:trPr>
          <w:trHeight w:val="237"/>
        </w:trPr>
        <w:tc>
          <w:tcPr>
            <w:tcW w:w="4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stock-based compensation</w:t>
            </w:r>
          </w:p>
        </w:tc>
        <w:tc>
          <w:tcPr>
            <w:tcW w:w="6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6,039</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579</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9" w:name="page20"/>
    <w:bookmarkEnd w:id="19"/>
    <w:p>
      <w:pPr>
        <w:jc w:val="center"/>
        <w:ind w:right="100"/>
        <w:spacing w:after="0"/>
        <w:rPr>
          <w:sz w:val="20"/>
          <w:szCs w:val="20"/>
          <w:color w:val="auto"/>
        </w:rPr>
      </w:pPr>
      <w:r>
        <w:rPr>
          <w:rFonts w:ascii="Arial" w:cs="Arial" w:eastAsia="Arial" w:hAnsi="Arial"/>
          <w:sz w:val="17"/>
          <w:szCs w:val="17"/>
          <w:b w:val="1"/>
          <w:bCs w:val="1"/>
          <w:color w:val="auto"/>
        </w:rPr>
        <w:t>SEER,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 w:hanging="617"/>
        <w:spacing w:after="0"/>
        <w:tabs>
          <w:tab w:leader="none" w:pos="62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Facility Lease Agreement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On January 4, 2019, the Company entered into a lease agreement for office and laboratory space in Redwood City, California. The lease term commenced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November 2019 and ends on September 30, 2029. In connection with the lease, the Company maintains a letter of credit issued to the lessor in the amount of</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$0.3 million, which is secured by restricted cash that is classified as non-current at March 31, 2021 and December 31, 2020 based on the term of the underlying</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lease.</w:t>
      </w:r>
    </w:p>
    <w:p>
      <w:pPr>
        <w:spacing w:after="0" w:line="153" w:lineRule="exact"/>
        <w:rPr>
          <w:sz w:val="20"/>
          <w:szCs w:val="20"/>
          <w:color w:val="auto"/>
        </w:rPr>
      </w:pPr>
    </w:p>
    <w:p>
      <w:pPr>
        <w:ind w:right="140" w:firstLine="308"/>
        <w:spacing w:after="0" w:line="261" w:lineRule="auto"/>
        <w:rPr>
          <w:sz w:val="20"/>
          <w:szCs w:val="20"/>
          <w:color w:val="auto"/>
        </w:rPr>
      </w:pPr>
      <w:r>
        <w:rPr>
          <w:rFonts w:ascii="Arial" w:cs="Arial" w:eastAsia="Arial" w:hAnsi="Arial"/>
          <w:sz w:val="17"/>
          <w:szCs w:val="17"/>
          <w:color w:val="auto"/>
        </w:rPr>
        <w:t>The Company entered into an amendment to the lease agreement with respect to its facility in Redwood City, California in June 2020. The amendment is accounted for as a new operating lease. The amendment makes certain changes to the original lease, including (i) additional office and laboratory space in the same building (Expansion Premises) and (ii) an extension of the expiration date of the original lease to 127.5 months following the delivery date of the Expansion Premises, which is estimated to be in the fourth quarter of 2021.</w:t>
      </w:r>
    </w:p>
    <w:p>
      <w:pPr>
        <w:spacing w:after="0" w:line="126" w:lineRule="exact"/>
        <w:rPr>
          <w:sz w:val="20"/>
          <w:szCs w:val="20"/>
          <w:color w:val="auto"/>
        </w:rPr>
      </w:pPr>
    </w:p>
    <w:p>
      <w:pPr>
        <w:ind w:right="440" w:firstLine="308"/>
        <w:spacing w:after="0" w:line="261" w:lineRule="auto"/>
        <w:rPr>
          <w:sz w:val="20"/>
          <w:szCs w:val="20"/>
          <w:color w:val="auto"/>
        </w:rPr>
      </w:pPr>
      <w:r>
        <w:rPr>
          <w:rFonts w:ascii="Arial" w:cs="Arial" w:eastAsia="Arial" w:hAnsi="Arial"/>
          <w:sz w:val="17"/>
          <w:szCs w:val="17"/>
          <w:color w:val="auto"/>
        </w:rPr>
        <w:t>The amendment provides for annual base rent for the Expansion Premises of approximately $0.9 million in the first year of the lease term (subject to an abatement period of nine months), which increases on an annual basis to approximately $1.2 million in the final year of the lease term. The amendment also provides for tenant incentives in the amount of $2.4 million. Under the amendment, the Company retains its original option to renew the lease for an additional five-year term, at then-current market rates.</w:t>
      </w:r>
    </w:p>
    <w:p>
      <w:pPr>
        <w:spacing w:after="0" w:line="126" w:lineRule="exact"/>
        <w:rPr>
          <w:sz w:val="20"/>
          <w:szCs w:val="20"/>
          <w:color w:val="auto"/>
        </w:rPr>
      </w:pPr>
    </w:p>
    <w:p>
      <w:pPr>
        <w:jc w:val="both"/>
        <w:ind w:right="120" w:firstLine="308"/>
        <w:spacing w:after="0" w:line="265" w:lineRule="auto"/>
        <w:rPr>
          <w:sz w:val="20"/>
          <w:szCs w:val="20"/>
          <w:color w:val="auto"/>
        </w:rPr>
      </w:pPr>
      <w:r>
        <w:rPr>
          <w:rFonts w:ascii="Arial" w:cs="Arial" w:eastAsia="Arial" w:hAnsi="Arial"/>
          <w:sz w:val="17"/>
          <w:szCs w:val="17"/>
          <w:color w:val="auto"/>
        </w:rPr>
        <w:t>During the period from the lease amendment commencement until the earlier of one month after occupancy of the Expansion Premises or September 2021, the Company will be provided with temporary space. The Company is not required to pay additional rent for the temporary space, but is required to pay property taxes, insurance and normal maintenance costs with respect to the temporary space.</w:t>
      </w:r>
    </w:p>
    <w:p>
      <w:pPr>
        <w:spacing w:after="0" w:line="123" w:lineRule="exact"/>
        <w:rPr>
          <w:sz w:val="20"/>
          <w:szCs w:val="20"/>
          <w:color w:val="auto"/>
        </w:rPr>
      </w:pPr>
    </w:p>
    <w:p>
      <w:pPr>
        <w:ind w:right="240" w:firstLine="308"/>
        <w:spacing w:after="0" w:line="310" w:lineRule="auto"/>
        <w:rPr>
          <w:sz w:val="20"/>
          <w:szCs w:val="20"/>
          <w:color w:val="auto"/>
        </w:rPr>
      </w:pPr>
      <w:r>
        <w:rPr>
          <w:rFonts w:ascii="Arial" w:cs="Arial" w:eastAsia="Arial" w:hAnsi="Arial"/>
          <w:sz w:val="16"/>
          <w:szCs w:val="16"/>
          <w:color w:val="auto"/>
        </w:rPr>
        <w:t>Rent expense was $0.2 million and $0.2 million for the three months ended March 31, 2021 and 2020, respectively. The Company is required to pay property taxes, insurance, and normal maintenance costs for the facility and will be required to pay any increases over the base year of these expenses.</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March 31, 2021, future minimum commitments under the Company’s non-cancelable facility operating lease are as follows:</w:t>
      </w:r>
    </w:p>
    <w:p>
      <w:pPr>
        <w:spacing w:after="0" w:line="193"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92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Years ending December 31,</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7"/>
              </w:rPr>
              <w:t>(in thousands)</w:t>
            </w:r>
          </w:p>
        </w:tc>
      </w:tr>
      <w:tr>
        <w:trPr>
          <w:trHeight w:val="217"/>
        </w:trPr>
        <w:tc>
          <w:tcPr>
            <w:tcW w:w="93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2021 (nine months remaining)</w:t>
            </w:r>
          </w:p>
        </w:tc>
        <w:tc>
          <w:tcPr>
            <w:tcW w:w="5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8"/>
        </w:trPr>
        <w:tc>
          <w:tcPr>
            <w:tcW w:w="9280" w:type="dxa"/>
            <w:vAlign w:val="bottom"/>
          </w:tcPr>
          <w:p>
            <w:pPr>
              <w:ind w:left="320"/>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9"/>
        </w:trPr>
        <w:tc>
          <w:tcPr>
            <w:tcW w:w="9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8"/>
        </w:trPr>
        <w:tc>
          <w:tcPr>
            <w:tcW w:w="9280" w:type="dxa"/>
            <w:vAlign w:val="bottom"/>
          </w:tcPr>
          <w:p>
            <w:pPr>
              <w:ind w:left="320"/>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9"/>
        </w:trPr>
        <w:tc>
          <w:tcPr>
            <w:tcW w:w="9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18"/>
        </w:trPr>
        <w:tc>
          <w:tcPr>
            <w:tcW w:w="9380" w:type="dxa"/>
            <w:vAlign w:val="bottom"/>
            <w:tcBorders>
              <w:bottom w:val="single" w:sz="8" w:color="CCEEFF"/>
            </w:tcBorders>
            <w:gridSpan w:val="2"/>
          </w:tcPr>
          <w:p>
            <w:pPr>
              <w:ind w:left="320"/>
              <w:spacing w:after="0"/>
              <w:rPr>
                <w:sz w:val="20"/>
                <w:szCs w:val="20"/>
                <w:color w:val="auto"/>
              </w:rPr>
            </w:pPr>
            <w:r>
              <w:rPr>
                <w:rFonts w:ascii="Arial" w:cs="Arial" w:eastAsia="Arial" w:hAnsi="Arial"/>
                <w:sz w:val="17"/>
                <w:szCs w:val="17"/>
                <w:color w:val="auto"/>
              </w:rPr>
              <w:t>Thereafter</w:t>
            </w: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w:t>
            </w:r>
          </w:p>
        </w:tc>
      </w:tr>
      <w:tr>
        <w:trPr>
          <w:trHeight w:val="237"/>
        </w:trPr>
        <w:tc>
          <w:tcPr>
            <w:tcW w:w="93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7"/>
                <w:szCs w:val="17"/>
                <w:color w:val="auto"/>
              </w:rPr>
              <w:t>Total</w:t>
            </w:r>
          </w:p>
        </w:tc>
        <w:tc>
          <w:tcPr>
            <w:tcW w:w="5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above table does not include the amendment to the existing operating lease we entered into in April 2021. See Note 11.</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Purchase Commitments and Obligations</w:t>
      </w:r>
    </w:p>
    <w:p>
      <w:pPr>
        <w:spacing w:after="0" w:line="164" w:lineRule="exact"/>
        <w:rPr>
          <w:sz w:val="20"/>
          <w:szCs w:val="20"/>
          <w:color w:val="auto"/>
        </w:rPr>
      </w:pPr>
    </w:p>
    <w:p>
      <w:pPr>
        <w:ind w:right="220" w:firstLine="308"/>
        <w:spacing w:after="0" w:line="258" w:lineRule="auto"/>
        <w:rPr>
          <w:sz w:val="20"/>
          <w:szCs w:val="20"/>
          <w:color w:val="auto"/>
        </w:rPr>
      </w:pPr>
      <w:r>
        <w:rPr>
          <w:rFonts w:ascii="Arial" w:cs="Arial" w:eastAsia="Arial" w:hAnsi="Arial"/>
          <w:sz w:val="17"/>
          <w:szCs w:val="17"/>
          <w:color w:val="auto"/>
        </w:rPr>
        <w:t>The Company has certain purchase commitments related to its inventory management with certain manufacturing suppliers wherein the Company is required to purchase the amounts forecasted in a blanket purchase order within a certain time period. The contractual obligations represent future cash commitments and liabilities under agreements with third parties and exclude orders for goods and services entered into in the normal course of business that are not enforceable or subject to change. These outstanding commitments amounted to $4.6 million and $3.1 million as of March 31, 2021 and December 31, 2020, respectively, and are excluded from the future minimum commitments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0" w:name="page21"/>
    <w:bookmarkEnd w:id="20"/>
    <w:p>
      <w:pPr>
        <w:jc w:val="center"/>
        <w:ind w:right="100"/>
        <w:spacing w:after="0"/>
        <w:rPr>
          <w:sz w:val="20"/>
          <w:szCs w:val="20"/>
          <w:color w:val="auto"/>
        </w:rPr>
      </w:pPr>
      <w:r>
        <w:rPr>
          <w:rFonts w:ascii="Arial" w:cs="Arial" w:eastAsia="Arial" w:hAnsi="Arial"/>
          <w:sz w:val="17"/>
          <w:szCs w:val="17"/>
          <w:b w:val="1"/>
          <w:bCs w:val="1"/>
          <w:color w:val="auto"/>
        </w:rPr>
        <w:t>SEER,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Guarantees and Indemnifications</w:t>
      </w:r>
    </w:p>
    <w:p>
      <w:pPr>
        <w:spacing w:after="0" w:line="164" w:lineRule="exact"/>
        <w:rPr>
          <w:sz w:val="20"/>
          <w:szCs w:val="20"/>
          <w:color w:val="auto"/>
        </w:rPr>
      </w:pPr>
    </w:p>
    <w:p>
      <w:pPr>
        <w:ind w:right="320" w:firstLine="308"/>
        <w:spacing w:after="0" w:line="276" w:lineRule="auto"/>
        <w:rPr>
          <w:sz w:val="20"/>
          <w:szCs w:val="20"/>
          <w:color w:val="auto"/>
        </w:rPr>
      </w:pPr>
      <w:r>
        <w:rPr>
          <w:rFonts w:ascii="Arial" w:cs="Arial" w:eastAsia="Arial" w:hAnsi="Arial"/>
          <w:sz w:val="16"/>
          <w:szCs w:val="16"/>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March 31, 2021 and December 31, 2020, the Company does not have any material indemnification claims that were probable or reasonably possible and consequently has not recorded related liabilities.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Contingencies</w:t>
      </w:r>
    </w:p>
    <w:p>
      <w:pPr>
        <w:spacing w:after="0" w:line="164" w:lineRule="exact"/>
        <w:rPr>
          <w:sz w:val="20"/>
          <w:szCs w:val="20"/>
          <w:color w:val="auto"/>
        </w:rPr>
      </w:pPr>
    </w:p>
    <w:p>
      <w:pPr>
        <w:ind w:right="120" w:firstLine="308"/>
        <w:spacing w:after="0" w:line="278" w:lineRule="auto"/>
        <w:rPr>
          <w:sz w:val="20"/>
          <w:szCs w:val="20"/>
          <w:color w:val="auto"/>
        </w:rPr>
      </w:pPr>
      <w:r>
        <w:rPr>
          <w:rFonts w:ascii="Arial" w:cs="Arial" w:eastAsia="Arial" w:hAnsi="Arial"/>
          <w:sz w:val="17"/>
          <w:szCs w:val="17"/>
          <w:color w:val="auto"/>
        </w:rPr>
        <w:t>From time to time, the Company may become involved in legal proceedings arising in the ordinary course of business. The Company is not currently a party to any material legal proceedings.</w:t>
      </w:r>
    </w:p>
    <w:p>
      <w:pPr>
        <w:spacing w:after="0" w:line="106" w:lineRule="exact"/>
        <w:rPr>
          <w:sz w:val="20"/>
          <w:szCs w:val="20"/>
          <w:color w:val="auto"/>
        </w:rPr>
      </w:pPr>
    </w:p>
    <w:p>
      <w:pPr>
        <w:ind w:left="620" w:hanging="617"/>
        <w:spacing w:after="0"/>
        <w:tabs>
          <w:tab w:leader="none" w:pos="62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PROGNOMIQ, INC.</w:t>
      </w:r>
    </w:p>
    <w:p>
      <w:pPr>
        <w:spacing w:after="0" w:line="170" w:lineRule="exact"/>
        <w:rPr>
          <w:sz w:val="20"/>
          <w:szCs w:val="20"/>
          <w:color w:val="auto"/>
        </w:rPr>
      </w:pPr>
    </w:p>
    <w:p>
      <w:pPr>
        <w:ind w:right="180" w:firstLine="308"/>
        <w:spacing w:after="0" w:line="316" w:lineRule="auto"/>
        <w:rPr>
          <w:sz w:val="20"/>
          <w:szCs w:val="20"/>
          <w:color w:val="auto"/>
        </w:rPr>
      </w:pPr>
      <w:r>
        <w:rPr>
          <w:rFonts w:ascii="Arial" w:cs="Arial" w:eastAsia="Arial" w:hAnsi="Arial"/>
          <w:sz w:val="15"/>
          <w:szCs w:val="15"/>
          <w:color w:val="auto"/>
        </w:rPr>
        <w:t>In August 2020, the Company formed a new entity, PrognomIQ, Inc. (PrognomIQ), and entered into a stock purchase agreement with PrognomIQ, pursuant to which the Company transferred to PrognomIQ certain assets that comprise the Company’s human diagnostics activities in exchange for all the outstanding equity interests of PrognomIQ. The Company subsequently completed a pro-rata distribution to its stockholders of most of the shares of capital stock of PrognomIQ.</w:t>
      </w:r>
    </w:p>
    <w:p>
      <w:pPr>
        <w:spacing w:after="0" w:line="90" w:lineRule="exact"/>
        <w:rPr>
          <w:sz w:val="20"/>
          <w:szCs w:val="20"/>
          <w:color w:val="auto"/>
        </w:rPr>
      </w:pPr>
    </w:p>
    <w:p>
      <w:pPr>
        <w:ind w:right="120" w:firstLine="308"/>
        <w:spacing w:after="0" w:line="301" w:lineRule="auto"/>
        <w:rPr>
          <w:sz w:val="20"/>
          <w:szCs w:val="20"/>
          <w:color w:val="auto"/>
        </w:rPr>
      </w:pPr>
      <w:r>
        <w:rPr>
          <w:rFonts w:ascii="Arial" w:cs="Arial" w:eastAsia="Arial" w:hAnsi="Arial"/>
          <w:sz w:val="15"/>
          <w:szCs w:val="15"/>
          <w:color w:val="auto"/>
        </w:rPr>
        <w:t>The Company has concluded that PrognomIQ is a VIE due to its reliance on future financing and insufficient equity investment at risk. However, the Company is not the primary beneficiary of the VIE as it does not have the power to direct the activities that most significantly impact the economic performance of PrognomIQ and does not have control over the PrognomIQ board of directors. The Company has determined that it has the ability to exercise significant influence over PrognomIQ and therefore has accounted for its investment in PrognomIQ using the equity method. During the year ended December 31, 2020, the carrying value of the Company’s investment in PrognomIQ was reduced to nil after recognizing net losses based on its percentage of ownership in PrognomIQ.</w:t>
      </w:r>
    </w:p>
    <w:p>
      <w:pPr>
        <w:spacing w:after="0" w:line="100" w:lineRule="exact"/>
        <w:rPr>
          <w:sz w:val="20"/>
          <w:szCs w:val="20"/>
          <w:color w:val="auto"/>
        </w:rPr>
      </w:pPr>
    </w:p>
    <w:p>
      <w:pPr>
        <w:jc w:val="both"/>
        <w:ind w:right="640" w:firstLine="308"/>
        <w:spacing w:after="0" w:line="265" w:lineRule="auto"/>
        <w:rPr>
          <w:sz w:val="20"/>
          <w:szCs w:val="20"/>
          <w:color w:val="auto"/>
        </w:rPr>
      </w:pPr>
      <w:r>
        <w:rPr>
          <w:rFonts w:ascii="Arial" w:cs="Arial" w:eastAsia="Arial" w:hAnsi="Arial"/>
          <w:sz w:val="17"/>
          <w:szCs w:val="17"/>
          <w:color w:val="auto"/>
        </w:rPr>
        <w:t>PrognomIQ constitutes a related party and, as of March 31, 2021 and December 31, 2020, the Company recorded $0.1 million and $0.1 million in other receivables, related parties, respectively, on the condensed consolidated balance sheets representing amounts due for general transition services and support provided.</w:t>
      </w:r>
    </w:p>
    <w:p>
      <w:pPr>
        <w:spacing w:after="0" w:line="117" w:lineRule="exact"/>
        <w:rPr>
          <w:sz w:val="20"/>
          <w:szCs w:val="20"/>
          <w:color w:val="auto"/>
        </w:rPr>
      </w:pPr>
    </w:p>
    <w:p>
      <w:pPr>
        <w:ind w:left="620" w:hanging="617"/>
        <w:spacing w:after="0"/>
        <w:tabs>
          <w:tab w:leader="none" w:pos="62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NET LOSS PER SHARE ATTRIBUTABLE TO COMMON STOCKHOLDERS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shows the computation of basic and diluted net loss per share (in thousands, except share and per share data):</w:t>
      </w:r>
    </w:p>
    <w:p>
      <w:pPr>
        <w:spacing w:after="0" w:line="176"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Three Months Ended</w:t>
      </w:r>
    </w:p>
    <w:tbl>
      <w:tblPr>
        <w:tblLayout w:type="fixed"/>
        <w:tblInd w:w="320" w:type="dxa"/>
        <w:tblCellMar>
          <w:top w:w="0" w:type="dxa"/>
          <w:left w:w="0" w:type="dxa"/>
          <w:bottom w:w="0" w:type="dxa"/>
          <w:right w:w="0" w:type="dxa"/>
        </w:tblCellMar>
      </w:tblPr>
      <w:tr>
        <w:trPr>
          <w:trHeight w:val="173"/>
        </w:trPr>
        <w:tc>
          <w:tcPr>
            <w:tcW w:w="74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2"/>
              </w:rPr>
              <w:t>March 31,</w:t>
            </w: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4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5"/>
        </w:trPr>
        <w:tc>
          <w:tcPr>
            <w:tcW w:w="7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Numerator:</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440" w:type="dxa"/>
            <w:vAlign w:val="bottom"/>
          </w:tcPr>
          <w:p>
            <w:pPr>
              <w:ind w:left="320"/>
              <w:spacing w:after="0"/>
              <w:rPr>
                <w:sz w:val="20"/>
                <w:szCs w:val="20"/>
                <w:color w:val="auto"/>
              </w:rPr>
            </w:pPr>
            <w:r>
              <w:rPr>
                <w:rFonts w:ascii="Arial" w:cs="Arial" w:eastAsia="Arial" w:hAnsi="Arial"/>
                <w:sz w:val="17"/>
                <w:szCs w:val="17"/>
                <w:color w:val="auto"/>
              </w:rPr>
              <w:t>Net loss attributable to common stockholders</w:t>
            </w: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(16,429)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(5,49</w:t>
            </w: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440" w:type="dxa"/>
            <w:vAlign w:val="bottom"/>
            <w:shd w:val="clear" w:color="auto" w:fill="CCEEFF"/>
          </w:tcPr>
          <w:p>
            <w:pPr>
              <w:ind w:left="320"/>
              <w:spacing w:after="0" w:line="185" w:lineRule="exact"/>
              <w:rPr>
                <w:sz w:val="20"/>
                <w:szCs w:val="20"/>
                <w:color w:val="auto"/>
              </w:rPr>
            </w:pPr>
            <w:r>
              <w:rPr>
                <w:rFonts w:ascii="Arial" w:cs="Arial" w:eastAsia="Arial" w:hAnsi="Arial"/>
                <w:sz w:val="17"/>
                <w:szCs w:val="17"/>
                <w:color w:val="auto"/>
              </w:rPr>
              <w:t>Denominator:</w:t>
            </w:r>
          </w:p>
        </w:tc>
        <w:tc>
          <w:tcPr>
            <w:tcW w:w="6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7440" w:type="dxa"/>
            <w:vAlign w:val="bottom"/>
          </w:tcPr>
          <w:p>
            <w:pPr>
              <w:spacing w:after="0" w:line="167" w:lineRule="exact"/>
              <w:rPr>
                <w:sz w:val="20"/>
                <w:szCs w:val="20"/>
                <w:color w:val="auto"/>
              </w:rPr>
            </w:pPr>
            <w:r>
              <w:rPr>
                <w:rFonts w:ascii="Arial" w:cs="Arial" w:eastAsia="Arial" w:hAnsi="Arial"/>
                <w:sz w:val="17"/>
                <w:szCs w:val="17"/>
                <w:color w:val="auto"/>
              </w:rPr>
              <w:t>Weighted-average common shares used in computing net loss per share attributable to common</w:t>
            </w:r>
          </w:p>
        </w:tc>
        <w:tc>
          <w:tcPr>
            <w:tcW w:w="6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59,887,842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8,944,28</w:t>
            </w:r>
          </w:p>
        </w:tc>
        <w:tc>
          <w:tcPr>
            <w:tcW w:w="0" w:type="dxa"/>
            <w:vAlign w:val="bottom"/>
          </w:tcPr>
          <w:p>
            <w:pPr>
              <w:spacing w:after="0"/>
              <w:rPr>
                <w:sz w:val="1"/>
                <w:szCs w:val="1"/>
                <w:color w:val="auto"/>
              </w:rPr>
            </w:pPr>
          </w:p>
        </w:tc>
      </w:tr>
      <w:tr>
        <w:trPr>
          <w:trHeight w:val="192"/>
        </w:trPr>
        <w:tc>
          <w:tcPr>
            <w:tcW w:w="7440" w:type="dxa"/>
            <w:vAlign w:val="bottom"/>
          </w:tcPr>
          <w:p>
            <w:pPr>
              <w:ind w:left="160"/>
              <w:spacing w:after="0" w:line="193" w:lineRule="exact"/>
              <w:rPr>
                <w:sz w:val="20"/>
                <w:szCs w:val="20"/>
                <w:color w:val="auto"/>
              </w:rPr>
            </w:pPr>
            <w:r>
              <w:rPr>
                <w:rFonts w:ascii="Arial" w:cs="Arial" w:eastAsia="Arial" w:hAnsi="Arial"/>
                <w:sz w:val="17"/>
                <w:szCs w:val="17"/>
                <w:color w:val="auto"/>
              </w:rPr>
              <w:t>stockholders, basic and diluted</w:t>
            </w:r>
          </w:p>
        </w:tc>
        <w:tc>
          <w:tcPr>
            <w:tcW w:w="6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loss per share attributable to common stockholders, basic and diluted</w:t>
            </w:r>
          </w:p>
        </w:tc>
        <w:tc>
          <w:tcPr>
            <w:tcW w:w="6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1" w:name="page22"/>
    <w:bookmarkEnd w:id="21"/>
    <w:p>
      <w:pPr>
        <w:jc w:val="center"/>
        <w:ind w:right="100"/>
        <w:spacing w:after="0"/>
        <w:rPr>
          <w:sz w:val="20"/>
          <w:szCs w:val="20"/>
          <w:color w:val="auto"/>
        </w:rPr>
      </w:pPr>
      <w:r>
        <w:rPr>
          <w:rFonts w:ascii="Arial" w:cs="Arial" w:eastAsia="Arial" w:hAnsi="Arial"/>
          <w:sz w:val="17"/>
          <w:szCs w:val="17"/>
          <w:b w:val="1"/>
          <w:bCs w:val="1"/>
          <w:color w:val="auto"/>
        </w:rPr>
        <w:t>SEER,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00" w:firstLine="308"/>
        <w:spacing w:after="0" w:line="278" w:lineRule="auto"/>
        <w:rPr>
          <w:sz w:val="20"/>
          <w:szCs w:val="20"/>
          <w:color w:val="auto"/>
        </w:rPr>
      </w:pPr>
      <w:r>
        <w:rPr>
          <w:rFonts w:ascii="Arial" w:cs="Arial" w:eastAsia="Arial" w:hAnsi="Arial"/>
          <w:sz w:val="17"/>
          <w:szCs w:val="17"/>
          <w:color w:val="auto"/>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p>
      <w:pPr>
        <w:spacing w:after="0" w:line="141"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7900" w:type="dxa"/>
            <w:vAlign w:val="bottom"/>
          </w:tcPr>
          <w:p>
            <w:pPr>
              <w:spacing w:after="0"/>
              <w:rPr>
                <w:sz w:val="15"/>
                <w:szCs w:val="15"/>
                <w:color w:val="auto"/>
              </w:rPr>
            </w:pPr>
          </w:p>
        </w:tc>
        <w:tc>
          <w:tcPr>
            <w:tcW w:w="2240" w:type="dxa"/>
            <w:vAlign w:val="bottom"/>
            <w:tcBorders>
              <w:bottom w:val="single" w:sz="8" w:color="auto"/>
            </w:tcBorders>
            <w:gridSpan w:val="3"/>
          </w:tcPr>
          <w:p>
            <w:pPr>
              <w:ind w:left="148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5"/>
                <w:szCs w:val="15"/>
                <w:color w:val="auto"/>
              </w:rPr>
            </w:pPr>
          </w:p>
        </w:tc>
      </w:tr>
      <w:tr>
        <w:trPr>
          <w:trHeight w:val="178"/>
        </w:trPr>
        <w:tc>
          <w:tcPr>
            <w:tcW w:w="7900" w:type="dxa"/>
            <w:vAlign w:val="bottom"/>
          </w:tcPr>
          <w:p>
            <w:pPr>
              <w:spacing w:after="0"/>
              <w:rPr>
                <w:sz w:val="15"/>
                <w:szCs w:val="15"/>
                <w:color w:val="auto"/>
              </w:rPr>
            </w:pPr>
          </w:p>
        </w:tc>
        <w:tc>
          <w:tcPr>
            <w:tcW w:w="15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r>
      <w:tr>
        <w:trPr>
          <w:trHeight w:val="225"/>
        </w:trPr>
        <w:tc>
          <w:tcPr>
            <w:tcW w:w="79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8"/>
        </w:trPr>
        <w:tc>
          <w:tcPr>
            <w:tcW w:w="7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Convertible preferred stock</w:t>
            </w:r>
          </w:p>
        </w:tc>
        <w:tc>
          <w:tcPr>
            <w:tcW w:w="2240" w:type="dxa"/>
            <w:vAlign w:val="bottom"/>
            <w:gridSpan w:val="3"/>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22,173,216</w:t>
            </w:r>
          </w:p>
        </w:tc>
      </w:tr>
      <w:tr>
        <w:trPr>
          <w:trHeight w:val="218"/>
        </w:trPr>
        <w:tc>
          <w:tcPr>
            <w:tcW w:w="7900" w:type="dxa"/>
            <w:vAlign w:val="bottom"/>
          </w:tcPr>
          <w:p>
            <w:pPr>
              <w:spacing w:after="0"/>
              <w:rPr>
                <w:sz w:val="20"/>
                <w:szCs w:val="20"/>
                <w:color w:val="auto"/>
              </w:rPr>
            </w:pPr>
            <w:r>
              <w:rPr>
                <w:rFonts w:ascii="Arial" w:cs="Arial" w:eastAsia="Arial" w:hAnsi="Arial"/>
                <w:sz w:val="17"/>
                <w:szCs w:val="17"/>
                <w:color w:val="auto"/>
              </w:rPr>
              <w:t>Class A common stock options issued and outstanding</w:t>
            </w:r>
          </w:p>
        </w:tc>
        <w:tc>
          <w:tcPr>
            <w:tcW w:w="1580" w:type="dxa"/>
            <w:vAlign w:val="bottom"/>
          </w:tcPr>
          <w:p>
            <w:pPr>
              <w:jc w:val="right"/>
              <w:spacing w:after="0"/>
              <w:rPr>
                <w:sz w:val="20"/>
                <w:szCs w:val="20"/>
                <w:color w:val="auto"/>
              </w:rPr>
            </w:pPr>
            <w:r>
              <w:rPr>
                <w:rFonts w:ascii="Arial" w:cs="Arial" w:eastAsia="Arial" w:hAnsi="Arial"/>
                <w:sz w:val="17"/>
                <w:szCs w:val="17"/>
                <w:color w:val="auto"/>
              </w:rPr>
              <w:t>9,839,354</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5,701,527</w:t>
            </w:r>
          </w:p>
        </w:tc>
      </w:tr>
      <w:tr>
        <w:trPr>
          <w:trHeight w:val="219"/>
        </w:trPr>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Restricted common stock subject to future vesting</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652,418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2,836,759</w:t>
            </w:r>
          </w:p>
        </w:tc>
      </w:tr>
      <w:tr>
        <w:trPr>
          <w:trHeight w:val="218"/>
        </w:trPr>
        <w:tc>
          <w:tcPr>
            <w:tcW w:w="79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Restricted stock units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689,484</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7"/>
        </w:trPr>
        <w:tc>
          <w:tcPr>
            <w:tcW w:w="79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11,181,256</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30,711,502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600" w:hanging="597"/>
        <w:spacing w:after="0"/>
        <w:tabs>
          <w:tab w:leader="none" w:pos="60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70" w:lineRule="exact"/>
        <w:rPr>
          <w:sz w:val="20"/>
          <w:szCs w:val="20"/>
          <w:color w:val="auto"/>
        </w:rPr>
      </w:pPr>
    </w:p>
    <w:p>
      <w:pPr>
        <w:jc w:val="both"/>
        <w:ind w:right="580" w:firstLine="308"/>
        <w:spacing w:after="0" w:line="265" w:lineRule="auto"/>
        <w:rPr>
          <w:sz w:val="20"/>
          <w:szCs w:val="20"/>
          <w:color w:val="auto"/>
        </w:rPr>
      </w:pPr>
      <w:r>
        <w:rPr>
          <w:rFonts w:ascii="Arial" w:cs="Arial" w:eastAsia="Arial" w:hAnsi="Arial"/>
          <w:sz w:val="17"/>
          <w:szCs w:val="17"/>
          <w:color w:val="auto"/>
        </w:rPr>
        <w:t>In April 2021, the Company entered into an amendment to its existing operating lease agreement expanding its current office and laboratory facilities by approximately 25,000 square feet for approximately $160,000 per month plus operating expenses. The lease has a term of approximately 11 years years and commences in May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2" w:name="page23"/>
    <w:bookmarkEnd w:id="22"/>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70" w:lineRule="exact"/>
        <w:rPr>
          <w:sz w:val="20"/>
          <w:szCs w:val="20"/>
          <w:color w:val="auto"/>
        </w:rPr>
      </w:pPr>
    </w:p>
    <w:p>
      <w:pPr>
        <w:ind w:right="40" w:firstLine="308"/>
        <w:spacing w:after="0" w:line="258"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consolidated financial statements and related notes included in Part I, Item 1 of this Quarterly Report.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0" w:lineRule="exact"/>
        <w:rPr>
          <w:sz w:val="20"/>
          <w:szCs w:val="20"/>
          <w:color w:val="auto"/>
        </w:rPr>
      </w:pPr>
    </w:p>
    <w:p>
      <w:pPr>
        <w:ind w:firstLine="308"/>
        <w:spacing w:after="0" w:line="272" w:lineRule="auto"/>
        <w:rPr>
          <w:sz w:val="20"/>
          <w:szCs w:val="20"/>
          <w:color w:val="auto"/>
        </w:rPr>
      </w:pPr>
      <w:r>
        <w:rPr>
          <w:rFonts w:ascii="Arial" w:cs="Arial" w:eastAsia="Arial" w:hAnsi="Arial"/>
          <w:sz w:val="16"/>
          <w:szCs w:val="16"/>
          <w:color w:val="auto"/>
        </w:rPr>
        <w:t>We aim to enable exceptional scientific outcomes by commercializing transformative products for researchers to unlock deep, unbiased biological information. Our initial product, the Proteograph Product Suite (Proteograph), will leverage our proprietary engineered nanoparticle (NP) technology to provide unbiased, deep, rapid and large-scale access across the proteome. Our Proteograph Product Suite is an integrated solution that is comprised of consumables, an automation instrument and software. Our Proteograph solution provides an easy-to-use workflow, which has the potential to make proteomic profiling, and the analysis of the thousands of samples needed to characterize the complex, dynamic nature of the proteome, accessible for nearly any laboratory. 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requires large-scale, unbiased and deep interrogation of thousands of samples across time, which we believe is unavailable with the proteomic approaches available today. We believe that our Proteograph has the potential to enable researchers to perform proteomics studies at scale, similar to the manner in which next generation sequencing (NGS) technologies have transformed genomics.</w:t>
      </w:r>
    </w:p>
    <w:p>
      <w:pPr>
        <w:spacing w:after="0" w:line="125" w:lineRule="exact"/>
        <w:rPr>
          <w:sz w:val="20"/>
          <w:szCs w:val="20"/>
          <w:color w:val="auto"/>
        </w:rPr>
      </w:pPr>
    </w:p>
    <w:p>
      <w:pPr>
        <w:ind w:right="40" w:firstLine="308"/>
        <w:spacing w:after="0" w:line="265" w:lineRule="auto"/>
        <w:rPr>
          <w:sz w:val="20"/>
          <w:szCs w:val="20"/>
          <w:color w:val="auto"/>
        </w:rPr>
      </w:pPr>
      <w:r>
        <w:rPr>
          <w:rFonts w:ascii="Arial" w:cs="Arial" w:eastAsia="Arial" w:hAnsi="Arial"/>
          <w:sz w:val="17"/>
          <w:szCs w:val="17"/>
          <w:color w:val="auto"/>
        </w:rPr>
        <w:t>Since we were incorporated in 2017, we have devoted substantially all of our resources to research and development activities, including with respect to our Proteograph Product Suite, establishing and maintaining our intellectual property portfolio, hiring personnel, raising capital, building our commercial infrastructure and providing general and administrative support for these activities.</w:t>
      </w:r>
    </w:p>
    <w:p>
      <w:pPr>
        <w:spacing w:after="0" w:line="123" w:lineRule="exact"/>
        <w:rPr>
          <w:sz w:val="20"/>
          <w:szCs w:val="20"/>
          <w:color w:val="auto"/>
        </w:rPr>
      </w:pPr>
    </w:p>
    <w:p>
      <w:pPr>
        <w:ind w:right="80" w:firstLine="308"/>
        <w:spacing w:after="0" w:line="272" w:lineRule="auto"/>
        <w:rPr>
          <w:sz w:val="20"/>
          <w:szCs w:val="20"/>
          <w:color w:val="auto"/>
        </w:rPr>
      </w:pPr>
      <w:r>
        <w:rPr>
          <w:rFonts w:ascii="Arial" w:cs="Arial" w:eastAsia="Arial" w:hAnsi="Arial"/>
          <w:sz w:val="16"/>
          <w:szCs w:val="16"/>
          <w:color w:val="auto"/>
        </w:rPr>
        <w:t>Our revenue to date has been nominal and generated from research collaborations and grant-funded activities. Our initial product, the Proteograph Product Suite, has not yet been broadly commercialized, and we have not generated any revenue from product sales to date. Our ability to generate product revenue sufficient to achieve profitability, if ever, will depend on the successful commercialization of our Proteograph. We plan to commercialize our Proteograph utilizing a three phase plan that has been shown to be effective and optimal for introducing disruptive products in numerous life sciences technology markets, including NGS. We have completed the first collaboration phase, during which we signed collaboration agreements with a small number of key opinion leaders in proteomics, whose assessment and validation of products can significantly influence other researchers in their respective markets. We recently commenced the second, or limited release, phase of our commercialization plan. We plan to sell our Proteograph Product Suite to select sites performing large-scale proteomics or genomics research. We will work closely with these sites, which we expect will serve as models for the rest of the market, to exemplify applications that demonstrate the unique value proposition of our Proteograph. We expect this phase to continue through 2021 and lead into the third phase of commercialization, broad release, in early 2022.</w:t>
      </w:r>
    </w:p>
    <w:p>
      <w:pPr>
        <w:spacing w:after="0" w:line="125" w:lineRule="exact"/>
        <w:rPr>
          <w:sz w:val="20"/>
          <w:szCs w:val="20"/>
          <w:color w:val="auto"/>
        </w:rPr>
      </w:pPr>
    </w:p>
    <w:p>
      <w:pPr>
        <w:ind w:right="40" w:firstLine="308"/>
        <w:spacing w:after="0" w:line="258" w:lineRule="auto"/>
        <w:rPr>
          <w:sz w:val="20"/>
          <w:szCs w:val="20"/>
          <w:color w:val="auto"/>
        </w:rPr>
      </w:pPr>
      <w:r>
        <w:rPr>
          <w:rFonts w:ascii="Arial" w:cs="Arial" w:eastAsia="Arial" w:hAnsi="Arial"/>
          <w:sz w:val="17"/>
          <w:szCs w:val="17"/>
          <w:color w:val="auto"/>
        </w:rPr>
        <w:t>We are commercializing our Proteograph Product Suite as an integrated solution comprising consumables, an automation instrument and software. Our commercial strategy will focus on growing adoption by the research community of our Proteograph, expanding the installed base and increasing utilization to generate revenue from the purchase of our Proteograph consumables. We expect a highly efficient sales model since our Proteograph solution does not have a large capital expenditure component and our SP100 automation instrument integrates with most existing proteomics laboratories’ workflows and also complements large-scale genomics research.</w:t>
      </w:r>
    </w:p>
    <w:p>
      <w:pPr>
        <w:spacing w:after="0" w:line="131" w:lineRule="exact"/>
        <w:rPr>
          <w:sz w:val="20"/>
          <w:szCs w:val="20"/>
          <w:color w:val="auto"/>
        </w:rPr>
      </w:pPr>
    </w:p>
    <w:p>
      <w:pPr>
        <w:ind w:right="300" w:firstLine="308"/>
        <w:spacing w:after="0" w:line="278" w:lineRule="auto"/>
        <w:rPr>
          <w:sz w:val="20"/>
          <w:szCs w:val="20"/>
          <w:color w:val="auto"/>
        </w:rPr>
      </w:pPr>
      <w:r>
        <w:rPr>
          <w:rFonts w:ascii="Arial" w:cs="Arial" w:eastAsia="Arial" w:hAnsi="Arial"/>
          <w:sz w:val="17"/>
          <w:szCs w:val="17"/>
          <w:color w:val="auto"/>
        </w:rPr>
        <w:t>We intend to commercialize our Proteograph Product Suite through a direct sales channel in the United States, and through both direct and distributor sales channels in regions outside the United States. Given our stage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75" w:lineRule="exact"/>
        <w:rPr>
          <w:sz w:val="20"/>
          <w:szCs w:val="20"/>
          <w:color w:val="auto"/>
        </w:rPr>
      </w:pPr>
    </w:p>
    <w:p>
      <w:pPr>
        <w:jc w:val="both"/>
        <w:ind w:right="40"/>
        <w:spacing w:after="0" w:line="265" w:lineRule="auto"/>
        <w:rPr>
          <w:sz w:val="20"/>
          <w:szCs w:val="20"/>
          <w:color w:val="auto"/>
        </w:rPr>
      </w:pPr>
      <w:r>
        <w:rPr>
          <w:rFonts w:ascii="Arial" w:cs="Arial" w:eastAsia="Arial" w:hAnsi="Arial"/>
          <w:sz w:val="17"/>
          <w:szCs w:val="17"/>
          <w:color w:val="auto"/>
        </w:rPr>
        <w:t>commercialization, we are currently in the early stages of building sales, marketing, support and product distribution capabilities. We intend to build the necessary infrastructure for these activities in the United States, European Union, the United Kingdom, and potentially other countries and regions, including Asia-Pacific, as we execute on our three phase commercial launch strategy for our Proteograph.</w:t>
      </w:r>
    </w:p>
    <w:p>
      <w:pPr>
        <w:spacing w:after="0" w:line="123" w:lineRule="exact"/>
        <w:rPr>
          <w:sz w:val="20"/>
          <w:szCs w:val="20"/>
          <w:color w:val="auto"/>
        </w:rPr>
      </w:pPr>
    </w:p>
    <w:p>
      <w:pPr>
        <w:ind w:right="120" w:firstLine="308"/>
        <w:spacing w:after="0" w:line="273" w:lineRule="auto"/>
        <w:rPr>
          <w:sz w:val="20"/>
          <w:szCs w:val="20"/>
          <w:color w:val="auto"/>
        </w:rPr>
      </w:pPr>
      <w:r>
        <w:rPr>
          <w:rFonts w:ascii="Arial" w:cs="Arial" w:eastAsia="Arial" w:hAnsi="Arial"/>
          <w:sz w:val="16"/>
          <w:szCs w:val="16"/>
          <w:color w:val="auto"/>
        </w:rPr>
        <w:t>We leverage well-established unit operations to formulate and manufacture our NPs at our facilities in Redwood City, California. We procure some of our consumables, including components of our NPs, from third-party manufacturers, which includes the commonly-available raw materials needed for manufacturing our proprietary engineered NPs. We are currently manufacturing using our pilot line and building out our manufacturing capabilities as we ramp towards broad release. We obtain some of the reagents and components used in our Proteograph workflow from third-party suppliers. While some of these reagents and components are sourced from a single supplier, these products are readily available from numerous suppliers. While we currently handle packaging of our Proteograph assay and the related consumables, in the future, we may have our packaging outsourced to a third-party. While we currently plan to handle filling of our Proteograph assay reagents both internally and externally, in the future, we may have some of our internal filling outsourced to a third-party. We conduct vendor and component qualification for components provided by third-party suppliers and quality control tests on all of our NPs. We will need to substantially expand our NP manufacturing capabilities to enable the successful commercialization of our Proteograph.</w:t>
      </w:r>
    </w:p>
    <w:p>
      <w:pPr>
        <w:spacing w:after="0" w:line="121" w:lineRule="exact"/>
        <w:rPr>
          <w:sz w:val="20"/>
          <w:szCs w:val="20"/>
          <w:color w:val="auto"/>
        </w:rPr>
      </w:pPr>
    </w:p>
    <w:p>
      <w:pPr>
        <w:ind w:right="100" w:firstLine="308"/>
        <w:spacing w:after="0" w:line="258" w:lineRule="auto"/>
        <w:rPr>
          <w:sz w:val="20"/>
          <w:szCs w:val="20"/>
          <w:color w:val="auto"/>
        </w:rPr>
      </w:pPr>
      <w:r>
        <w:rPr>
          <w:rFonts w:ascii="Arial" w:cs="Arial" w:eastAsia="Arial" w:hAnsi="Arial"/>
          <w:sz w:val="17"/>
          <w:szCs w:val="17"/>
          <w:color w:val="auto"/>
        </w:rPr>
        <w:t>We have designed our SP100 automation instrument and have outsourced the manufacturing of our SP100 automation instrument to Hamilton Company, a leading manufacturer of automated liquid handling workstations. We have entered into a non-exclusive agreement with Hamilton that covers the manufacturing of our SP100 automation instrument and its continued supply on a purchase order basis. The agreement has an initial term that runs three years following our commercial launch. Pricing for the supply of our SP100 automation instrument is on a fixed schedule during the initial term of the agreement, with tiered pricing dependent upon the number of units purchased in a twelve-month period.</w:t>
      </w:r>
    </w:p>
    <w:p>
      <w:pPr>
        <w:spacing w:after="0" w:line="131" w:lineRule="exact"/>
        <w:rPr>
          <w:sz w:val="20"/>
          <w:szCs w:val="20"/>
          <w:color w:val="auto"/>
        </w:rPr>
      </w:pPr>
    </w:p>
    <w:p>
      <w:pPr>
        <w:ind w:right="240" w:firstLine="308"/>
        <w:spacing w:after="0" w:line="278" w:lineRule="auto"/>
        <w:rPr>
          <w:sz w:val="20"/>
          <w:szCs w:val="20"/>
          <w:color w:val="auto"/>
        </w:rPr>
      </w:pPr>
      <w:r>
        <w:rPr>
          <w:rFonts w:ascii="Arial" w:cs="Arial" w:eastAsia="Arial" w:hAnsi="Arial"/>
          <w:sz w:val="16"/>
          <w:szCs w:val="16"/>
          <w:color w:val="auto"/>
        </w:rPr>
        <w:t>On December 8, 2020, we completed our IPO, in which we sold 10,592,106 shares of Class A common stock at a price of $19.00 per share, resulting in net proceeds of $183.9 million after deducting offering costs, underwriting discounts and commissions. Concurrent with the IPO, we issued 7,105,262 shares of our common stock in a private placement for net proceeds of $130.3 million after deducting underwriting discounts and commissions. On February 1, 2021, we completed an underwritten public offering of 1,650,000 shares of our Class A common stock at a public offering price of $67.00 per share. We received net proceeds of $103.0 million after deducting offering costs, underwriting discounts and commissions of $7.6 million.</w:t>
      </w:r>
    </w:p>
    <w:p>
      <w:pPr>
        <w:spacing w:after="0" w:line="116" w:lineRule="exact"/>
        <w:rPr>
          <w:sz w:val="20"/>
          <w:szCs w:val="20"/>
          <w:color w:val="auto"/>
        </w:rPr>
      </w:pPr>
    </w:p>
    <w:p>
      <w:pPr>
        <w:ind w:firstLine="308"/>
        <w:spacing w:after="0" w:line="265" w:lineRule="auto"/>
        <w:rPr>
          <w:sz w:val="20"/>
          <w:szCs w:val="20"/>
          <w:color w:val="auto"/>
        </w:rPr>
      </w:pPr>
      <w:r>
        <w:rPr>
          <w:rFonts w:ascii="Arial" w:cs="Arial" w:eastAsia="Arial" w:hAnsi="Arial"/>
          <w:sz w:val="17"/>
          <w:szCs w:val="17"/>
          <w:color w:val="auto"/>
        </w:rPr>
        <w:t>During the three months ended March 31, 2021 and 2020, we incurred a net loss of $16.4 million and $5.5 million, respectively. As of March 31, 2021, we had an accumulated deficit of $71.8 million and cash, cash equivalents, and investments of $531.1 million. We expect to continue to incur significant and increasing losses and do not expect positive cash flows from operations for the foreseeable future.</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expect our expenses to increase significantly in connection with our ongoing activities, as we:</w:t>
      </w:r>
    </w:p>
    <w:p>
      <w:pPr>
        <w:spacing w:after="0" w:line="164" w:lineRule="exact"/>
        <w:rPr>
          <w:sz w:val="20"/>
          <w:szCs w:val="20"/>
          <w:color w:val="auto"/>
        </w:rPr>
      </w:pPr>
    </w:p>
    <w:p>
      <w:pPr>
        <w:ind w:left="620" w:hanging="309"/>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continue to develop and commercialize our Proteograph;</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attract, hire and retain qualified personnel;</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establish a sales, marketing, service, support and distribution infrastructure in advance of commercialization;</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build-out and expand our in-house NP manufacturing capabilities;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continue to engage in research and development of other products and enhancements to our Proteograph;</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implement operational, financial and management information systems;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obtain, maintain, expand, and protect our intellectual property portfolio;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spacing w:after="0" w:line="75" w:lineRule="exact"/>
        <w:rPr>
          <w:sz w:val="20"/>
          <w:szCs w:val="20"/>
          <w:color w:val="auto"/>
        </w:rPr>
      </w:pPr>
    </w:p>
    <w:p>
      <w:pPr>
        <w:ind w:left="620" w:hanging="309"/>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build the infrastructure to operate as a public company.</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PrognomIQ</w:t>
      </w:r>
    </w:p>
    <w:p>
      <w:pPr>
        <w:spacing w:after="0" w:line="164" w:lineRule="exact"/>
        <w:rPr>
          <w:sz w:val="20"/>
          <w:szCs w:val="20"/>
          <w:color w:val="auto"/>
        </w:rPr>
      </w:pPr>
    </w:p>
    <w:p>
      <w:pPr>
        <w:ind w:right="160" w:firstLine="308"/>
        <w:spacing w:after="0" w:line="261" w:lineRule="auto"/>
        <w:rPr>
          <w:sz w:val="20"/>
          <w:szCs w:val="20"/>
          <w:color w:val="auto"/>
        </w:rPr>
      </w:pPr>
      <w:r>
        <w:rPr>
          <w:rFonts w:ascii="Arial" w:cs="Arial" w:eastAsia="Arial" w:hAnsi="Arial"/>
          <w:sz w:val="17"/>
          <w:szCs w:val="17"/>
          <w:color w:val="auto"/>
        </w:rPr>
        <w:t>In August 2020, we transferred certain assets related to disease testing to PrognomIQ, Inc. (PrognomIQ), a new wholly-owned subsidiary, in exchange for all of its outstanding equity interests. Following the transfer, we completed a pro-rata distribution to our stockholders of most of the shares of capital stock of PrognomIQ. Following the distribution and a subsequent $55.0 million equity financing of PrognomIQ, we hold approximately 19% of the outstanding capital stock in PrognomIQ.</w:t>
      </w:r>
    </w:p>
    <w:p>
      <w:pPr>
        <w:spacing w:after="0" w:line="126" w:lineRule="exact"/>
        <w:rPr>
          <w:sz w:val="20"/>
          <w:szCs w:val="20"/>
          <w:color w:val="auto"/>
        </w:rPr>
      </w:pPr>
    </w:p>
    <w:p>
      <w:pPr>
        <w:ind w:right="20" w:firstLine="308"/>
        <w:spacing w:after="0" w:line="274" w:lineRule="auto"/>
        <w:rPr>
          <w:sz w:val="20"/>
          <w:szCs w:val="20"/>
          <w:color w:val="auto"/>
        </w:rPr>
      </w:pPr>
      <w:r>
        <w:rPr>
          <w:rFonts w:ascii="Arial" w:cs="Arial" w:eastAsia="Arial" w:hAnsi="Arial"/>
          <w:sz w:val="16"/>
          <w:szCs w:val="16"/>
          <w:color w:val="auto"/>
        </w:rPr>
        <w:t>The rationale for this transaction was to enable the growth of ecosystems around new applications that leverage unbiased, deep and large-scale proteomic information. The transaction allows us to remain focused on our core strategy, which is to be a provider, rather than a consumer, of proteomics solutions to all customers across these ecosystems. By focusing on our role as a provider of proteomics solutions, we are no longer potentially competing with, or creating the perception that we are competing with, our customers. Our relationship with PrognomIQ does not preclude us from selling our Proteograph Product Suite to any customer in any geography, nor does it preclude our customers from using our Proteograph in any way. PrognomIQ has indicated that it plans to combine the protein data from our Proteograph solution with genomics and other omics data, to create a multi-omics approach to health and disease testing. We believe PrognomIQ’s use of proteomics and the potential for other similar companies which use proteomics in their research and products will help us drive the adoption of our Proteograph Product Suite in these applications.</w:t>
      </w:r>
    </w:p>
    <w:p>
      <w:pPr>
        <w:spacing w:after="0" w:line="118" w:lineRule="exact"/>
        <w:rPr>
          <w:sz w:val="20"/>
          <w:szCs w:val="20"/>
          <w:color w:val="auto"/>
        </w:rPr>
      </w:pPr>
    </w:p>
    <w:p>
      <w:pPr>
        <w:ind w:right="220" w:firstLine="308"/>
        <w:spacing w:after="0" w:line="306" w:lineRule="auto"/>
        <w:rPr>
          <w:sz w:val="20"/>
          <w:szCs w:val="20"/>
          <w:color w:val="auto"/>
        </w:rPr>
      </w:pPr>
      <w:r>
        <w:rPr>
          <w:rFonts w:ascii="Arial" w:cs="Arial" w:eastAsia="Arial" w:hAnsi="Arial"/>
          <w:sz w:val="15"/>
          <w:szCs w:val="15"/>
          <w:color w:val="auto"/>
        </w:rPr>
        <w:t>Omid Farokhzad, Chief Executive Officer and Chair of our board of directors, serves as the Chair of PrognomIQ’s board of directors. Philip Ma, Ph.D., our former Chief Business Officer, serves as the Chief Executive Officer of PrognomIQ. Dr. Ma has fully transitioned to PrognomIQ and remains our consultant through April 2022. In addition, three of our other employees have also transitioned to PrognomIQ. We will be providing general transition services and support, including laboratory and office space to PrognomIQ during the transition period. We anticipate these services to continue through the first half of 2021.</w:t>
      </w:r>
    </w:p>
    <w:p>
      <w:pPr>
        <w:spacing w:after="0" w:line="97" w:lineRule="exact"/>
        <w:rPr>
          <w:sz w:val="20"/>
          <w:szCs w:val="20"/>
          <w:color w:val="auto"/>
        </w:rPr>
      </w:pPr>
    </w:p>
    <w:p>
      <w:pPr>
        <w:ind w:firstLine="308"/>
        <w:spacing w:after="0" w:line="276" w:lineRule="auto"/>
        <w:rPr>
          <w:sz w:val="20"/>
          <w:szCs w:val="20"/>
          <w:color w:val="auto"/>
        </w:rPr>
      </w:pPr>
      <w:r>
        <w:rPr>
          <w:rFonts w:ascii="Arial" w:cs="Arial" w:eastAsia="Arial" w:hAnsi="Arial"/>
          <w:sz w:val="16"/>
          <w:szCs w:val="16"/>
          <w:color w:val="auto"/>
        </w:rPr>
        <w:t>We granted PrognomIQ a non-exclusive license to certain patents and patent applications that we own and a non-exclusive sublicense to certain patent applications we exclusively licensed from BWH, in each case relating to our core technology, to develop, manufacture and commercialize licensed products for the field of human diagnostics on a worldwide basis.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agreement. We do not view these amounts to be material to our financial condition and results of operations nor do we expect these amounts to be material to us in the future.</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COVID-19 Pandemic</w:t>
      </w:r>
    </w:p>
    <w:p>
      <w:pPr>
        <w:spacing w:after="0" w:line="164" w:lineRule="exact"/>
        <w:rPr>
          <w:sz w:val="20"/>
          <w:szCs w:val="20"/>
          <w:color w:val="auto"/>
        </w:rPr>
      </w:pPr>
    </w:p>
    <w:p>
      <w:pPr>
        <w:ind w:right="60" w:firstLine="308"/>
        <w:spacing w:after="0" w:line="294" w:lineRule="auto"/>
        <w:rPr>
          <w:sz w:val="20"/>
          <w:szCs w:val="20"/>
          <w:color w:val="auto"/>
        </w:rPr>
      </w:pPr>
      <w:r>
        <w:rPr>
          <w:rFonts w:ascii="Arial" w:cs="Arial" w:eastAsia="Arial" w:hAnsi="Arial"/>
          <w:sz w:val="15"/>
          <w:szCs w:val="15"/>
          <w:color w:val="auto"/>
        </w:rPr>
        <w:t>As a result of the COVID-19 pandemic, we could experience disruptions that could severely impact our business. For example, we have experienced longer lead times from Hamilton for orders of our SP100 automation instruments and may experience delays and longer lead times from our other suppliers of critical hardware, instrumentation and consumables used for product development and manufacturing operations. Pandemic precautions and preventative measures may also impact our commercialization plans due to restrictions on our customers’ ability to access laboratories, causing delays in the delivery and installation of our Proteograph products, training such customers on our products, and their ability to conduct research. The ongoing build-out of our expansion facilities may also be delayed by COVID-related restrictions. Furthermore, COVID-19 has adversely affected the broader economy and financial markets, resulting in an economic downturn that could curtail the research and development budgets of our customers, our ability to hire additional personnel and our financing prospects. Any of the foregoing could harm our operations and we cannot anticipate all the ways in which it could be adversely impacted by health epidemics such as COVID-19.</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additional details, see the section titled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Revenue</w:t>
      </w:r>
    </w:p>
    <w:p>
      <w:pPr>
        <w:spacing w:after="0" w:line="164" w:lineRule="exact"/>
        <w:rPr>
          <w:sz w:val="20"/>
          <w:szCs w:val="20"/>
          <w:color w:val="auto"/>
        </w:rPr>
      </w:pPr>
    </w:p>
    <w:p>
      <w:pPr>
        <w:ind w:right="320" w:firstLine="308"/>
        <w:spacing w:after="0" w:line="278" w:lineRule="auto"/>
        <w:rPr>
          <w:sz w:val="20"/>
          <w:szCs w:val="20"/>
          <w:color w:val="auto"/>
        </w:rPr>
      </w:pPr>
      <w:r>
        <w:rPr>
          <w:rFonts w:ascii="Arial" w:cs="Arial" w:eastAsia="Arial" w:hAnsi="Arial"/>
          <w:sz w:val="17"/>
          <w:szCs w:val="17"/>
          <w:color w:val="auto"/>
        </w:rPr>
        <w:t>We have not generated any revenue from product sales and we may not be able to generate meaningful revenues in the near future. Our revenue to date has been generated from research collaborations and grant-funded activities.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64" w:lineRule="exact"/>
        <w:rPr>
          <w:sz w:val="20"/>
          <w:szCs w:val="20"/>
          <w:color w:val="auto"/>
        </w:rPr>
      </w:pPr>
    </w:p>
    <w:p>
      <w:pPr>
        <w:jc w:val="both"/>
        <w:ind w:firstLine="308"/>
        <w:spacing w:after="0" w:line="306" w:lineRule="auto"/>
        <w:rPr>
          <w:sz w:val="20"/>
          <w:szCs w:val="20"/>
          <w:color w:val="auto"/>
        </w:rPr>
      </w:pPr>
      <w:r>
        <w:rPr>
          <w:rFonts w:ascii="Arial" w:cs="Arial" w:eastAsia="Arial" w:hAnsi="Arial"/>
          <w:sz w:val="15"/>
          <w:szCs w:val="15"/>
          <w:color w:val="auto"/>
        </w:rPr>
        <w:t>Research and development, or R&amp;D, expenses include cost associated with performing services under research and development service contracts and research and development of our technology and product candidates. R&amp;D expenses consist primarily of employee compensation, including stock-based compensation, and related benefits, laboratory supplies used for in-house research, consulting costs, costs related to clinical studies for the collection of biological samples for research use, which relate to the assets transferred to PrognomIQ, and allocated overhead, including rent, depreciation, information technology and utilities.</w:t>
      </w:r>
    </w:p>
    <w:p>
      <w:pPr>
        <w:spacing w:after="0" w:line="97" w:lineRule="exact"/>
        <w:rPr>
          <w:sz w:val="20"/>
          <w:szCs w:val="20"/>
          <w:color w:val="auto"/>
        </w:rPr>
      </w:pPr>
    </w:p>
    <w:p>
      <w:pPr>
        <w:ind w:right="60" w:firstLine="308"/>
        <w:spacing w:after="0" w:line="261" w:lineRule="auto"/>
        <w:rPr>
          <w:sz w:val="20"/>
          <w:szCs w:val="20"/>
          <w:color w:val="auto"/>
        </w:rPr>
      </w:pPr>
      <w:r>
        <w:rPr>
          <w:rFonts w:ascii="Arial" w:cs="Arial" w:eastAsia="Arial" w:hAnsi="Arial"/>
          <w:sz w:val="17"/>
          <w:szCs w:val="17"/>
          <w:color w:val="auto"/>
        </w:rPr>
        <w:t>We plan to increase our investment in our R&amp;D efforts related to our Proteograph Product Suite, our product development pipeline and our proprietary engineered NP and other technologies. Therefore, we expect R&amp;D expenses will increase in absolute dollars in future periods as we incur expenses associated with hiring additional personnel, purchasing supplies and materials, and the allocation of facility expense associated with the ongoing build-out of our expansion facilities to support our R&amp;D efforts.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64" w:lineRule="exact"/>
        <w:rPr>
          <w:sz w:val="20"/>
          <w:szCs w:val="20"/>
          <w:color w:val="auto"/>
        </w:rPr>
      </w:pPr>
    </w:p>
    <w:p>
      <w:pPr>
        <w:ind w:right="280" w:firstLine="308"/>
        <w:spacing w:after="0" w:line="265" w:lineRule="auto"/>
        <w:rPr>
          <w:sz w:val="20"/>
          <w:szCs w:val="20"/>
          <w:color w:val="auto"/>
        </w:rPr>
      </w:pPr>
      <w:r>
        <w:rPr>
          <w:rFonts w:ascii="Arial" w:cs="Arial" w:eastAsia="Arial" w:hAnsi="Arial"/>
          <w:sz w:val="17"/>
          <w:szCs w:val="17"/>
          <w:color w:val="auto"/>
        </w:rPr>
        <w:t>Selling, general and administrative expenses consist primarily of employee compensation, including stock-based compensation, and related benefits for executive management, sales and marketing, finance, administration and human resources, legal, allocated overhead, professional service fees and other general overhead costs to support our operations.</w:t>
      </w:r>
    </w:p>
    <w:p>
      <w:pPr>
        <w:spacing w:after="0" w:line="123" w:lineRule="exact"/>
        <w:rPr>
          <w:sz w:val="20"/>
          <w:szCs w:val="20"/>
          <w:color w:val="auto"/>
        </w:rPr>
      </w:pPr>
    </w:p>
    <w:p>
      <w:pPr>
        <w:jc w:val="both"/>
        <w:ind w:right="20" w:firstLine="308"/>
        <w:spacing w:after="0" w:line="289" w:lineRule="auto"/>
        <w:rPr>
          <w:sz w:val="20"/>
          <w:szCs w:val="20"/>
          <w:color w:val="auto"/>
        </w:rPr>
      </w:pPr>
      <w:r>
        <w:rPr>
          <w:rFonts w:ascii="Arial" w:cs="Arial" w:eastAsia="Arial" w:hAnsi="Arial"/>
          <w:sz w:val="16"/>
          <w:szCs w:val="16"/>
          <w:color w:val="auto"/>
        </w:rPr>
        <w:t>We expect to incur additional selling, general and administrative expenses as we continue to invest in our personnel as we grow our commercial operations and with the additional costs incurred as a result of operating as a public company, including accounting, human resources, legal, insurance and investor relations costs. As a result, we expect selling, general and administrative expenses to increase in absolute dollars in future periods.</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Interest Income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Interest income consists of interest earned on cash, cash equivalents and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Comparisons of the Three Months Ended March 31, 2021 and 2020</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results of operations for the periods presented: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5"/>
                <w:szCs w:val="15"/>
                <w:color w:val="auto"/>
              </w:rPr>
            </w:pPr>
          </w:p>
        </w:tc>
      </w:tr>
      <w:tr>
        <w:trPr>
          <w:trHeight w:val="180"/>
        </w:trPr>
        <w:tc>
          <w:tcPr>
            <w:tcW w:w="5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3"/>
          </w:tcPr>
          <w:p>
            <w:pPr>
              <w:ind w:left="200"/>
              <w:spacing w:after="0"/>
              <w:rPr>
                <w:sz w:val="20"/>
                <w:szCs w:val="20"/>
                <w:color w:val="auto"/>
              </w:rPr>
            </w:pPr>
            <w:r>
              <w:rPr>
                <w:rFonts w:ascii="Arial" w:cs="Arial" w:eastAsia="Arial" w:hAnsi="Arial"/>
                <w:sz w:val="14"/>
                <w:szCs w:val="14"/>
                <w:b w:val="1"/>
                <w:bCs w:val="1"/>
                <w:color w:val="auto"/>
              </w:rPr>
              <w:t>Amount</w:t>
            </w:r>
          </w:p>
        </w:tc>
        <w:tc>
          <w:tcPr>
            <w:tcW w:w="1080" w:type="dxa"/>
            <w:vAlign w:val="bottom"/>
          </w:tcPr>
          <w:p>
            <w:pPr>
              <w:jc w:val="right"/>
              <w:ind w:right="616"/>
              <w:spacing w:after="0"/>
              <w:rPr>
                <w:sz w:val="20"/>
                <w:szCs w:val="20"/>
                <w:color w:val="auto"/>
              </w:rPr>
            </w:pPr>
            <w:r>
              <w:rPr>
                <w:rFonts w:ascii="Arial" w:cs="Arial" w:eastAsia="Arial" w:hAnsi="Arial"/>
                <w:sz w:val="14"/>
                <w:szCs w:val="14"/>
                <w:b w:val="1"/>
                <w:bCs w:val="1"/>
                <w:color w:val="auto"/>
              </w:rPr>
              <w:t>%</w:t>
            </w:r>
          </w:p>
        </w:tc>
      </w:tr>
      <w:tr>
        <w:trPr>
          <w:trHeight w:val="24"/>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6"/>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4"/>
        </w:trPr>
        <w:tc>
          <w:tcPr>
            <w:tcW w:w="5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20" w:type="dxa"/>
            <w:vAlign w:val="bottom"/>
            <w:gridSpan w:val="6"/>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080" w:type="dxa"/>
            <w:vAlign w:val="bottom"/>
          </w:tcPr>
          <w:p>
            <w:pPr>
              <w:spacing w:after="0"/>
              <w:rPr>
                <w:sz w:val="15"/>
                <w:szCs w:val="15"/>
                <w:color w:val="auto"/>
              </w:rPr>
            </w:pPr>
          </w:p>
        </w:tc>
      </w:tr>
      <w:tr>
        <w:trPr>
          <w:trHeight w:val="24"/>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30"/>
        </w:trPr>
        <w:tc>
          <w:tcPr>
            <w:tcW w:w="5120" w:type="dxa"/>
            <w:vAlign w:val="bottom"/>
          </w:tcPr>
          <w:p>
            <w:pPr>
              <w:ind w:left="220"/>
              <w:spacing w:after="0"/>
              <w:rPr>
                <w:sz w:val="20"/>
                <w:szCs w:val="20"/>
                <w:color w:val="auto"/>
              </w:rPr>
            </w:pPr>
            <w:r>
              <w:rPr>
                <w:rFonts w:ascii="Arial" w:cs="Arial" w:eastAsia="Arial" w:hAnsi="Arial"/>
                <w:sz w:val="17"/>
                <w:szCs w:val="17"/>
                <w:color w:val="auto"/>
              </w:rPr>
              <w:t>Research revenue</w:t>
            </w: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720"/>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720" w:type="dxa"/>
            <w:vAlign w:val="bottom"/>
            <w:gridSpan w:val="3"/>
          </w:tcPr>
          <w:p>
            <w:pPr>
              <w:jc w:val="right"/>
              <w:ind w:right="6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Grant revenue</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w:t>
            </w:r>
          </w:p>
        </w:tc>
      </w:tr>
      <w:tr>
        <w:trPr>
          <w:trHeight w:val="223"/>
        </w:trPr>
        <w:tc>
          <w:tcPr>
            <w:tcW w:w="5120" w:type="dxa"/>
            <w:vAlign w:val="bottom"/>
          </w:tcPr>
          <w:p>
            <w:pPr>
              <w:ind w:left="440"/>
              <w:spacing w:after="0"/>
              <w:rPr>
                <w:sz w:val="20"/>
                <w:szCs w:val="20"/>
                <w:color w:val="auto"/>
              </w:rPr>
            </w:pPr>
            <w:r>
              <w:rPr>
                <w:rFonts w:ascii="Arial" w:cs="Arial" w:eastAsia="Arial" w:hAnsi="Arial"/>
                <w:sz w:val="17"/>
                <w:szCs w:val="17"/>
                <w:color w:val="auto"/>
              </w:rPr>
              <w:t>Total revenue</w:t>
            </w: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177</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w:t>
            </w: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4"/>
        </w:trPr>
        <w:tc>
          <w:tcPr>
            <w:tcW w:w="5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Research and development</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6,227</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4,222</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47 %</w:t>
            </w:r>
          </w:p>
        </w:tc>
      </w:tr>
      <w:tr>
        <w:trPr>
          <w:trHeight w:val="230"/>
        </w:trPr>
        <w:tc>
          <w:tcPr>
            <w:tcW w:w="5120" w:type="dxa"/>
            <w:vAlign w:val="bottom"/>
          </w:tcPr>
          <w:p>
            <w:pPr>
              <w:ind w:left="220"/>
              <w:spacing w:after="0"/>
              <w:rPr>
                <w:sz w:val="20"/>
                <w:szCs w:val="20"/>
                <w:color w:val="auto"/>
              </w:rPr>
            </w:pPr>
            <w:r>
              <w:rPr>
                <w:rFonts w:ascii="Arial" w:cs="Arial" w:eastAsia="Arial" w:hAnsi="Arial"/>
                <w:sz w:val="17"/>
                <w:szCs w:val="17"/>
                <w:color w:val="auto"/>
              </w:rPr>
              <w:t>Selling, general and administrative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10,333</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1,780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8,553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481 %</w:t>
            </w:r>
          </w:p>
        </w:tc>
      </w:tr>
      <w:tr>
        <w:trPr>
          <w:trHeight w:val="27"/>
        </w:trPr>
        <w:tc>
          <w:tcPr>
            <w:tcW w:w="5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5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operating expenses</w:t>
            </w: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16,560</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6,002</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10,558</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176 %</w:t>
            </w:r>
          </w:p>
        </w:tc>
      </w:tr>
      <w:tr>
        <w:trPr>
          <w:trHeight w:val="244"/>
        </w:trPr>
        <w:tc>
          <w:tcPr>
            <w:tcW w:w="5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3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(16,498)</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9"/>
              </w:rPr>
              <w:t>(5,825)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(10,673)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183 %</w:t>
            </w:r>
          </w:p>
        </w:tc>
      </w:tr>
      <w:tr>
        <w:trPr>
          <w:trHeight w:val="244"/>
        </w:trPr>
        <w:tc>
          <w:tcPr>
            <w:tcW w:w="5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3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income (expense):</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30"/>
        </w:trPr>
        <w:tc>
          <w:tcPr>
            <w:tcW w:w="5120" w:type="dxa"/>
            <w:vAlign w:val="bottom"/>
          </w:tcPr>
          <w:p>
            <w:pPr>
              <w:ind w:left="220"/>
              <w:spacing w:after="0"/>
              <w:rPr>
                <w:sz w:val="20"/>
                <w:szCs w:val="20"/>
                <w:color w:val="auto"/>
              </w:rPr>
            </w:pPr>
            <w:r>
              <w:rPr>
                <w:rFonts w:ascii="Arial" w:cs="Arial" w:eastAsia="Arial" w:hAnsi="Arial"/>
                <w:sz w:val="17"/>
                <w:szCs w:val="17"/>
                <w:color w:val="auto"/>
              </w:rPr>
              <w:t>Interest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69</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332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(263)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Interest expense</w:t>
            </w: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5120" w:type="dxa"/>
            <w:vAlign w:val="bottom"/>
          </w:tcPr>
          <w:p>
            <w:pPr>
              <w:ind w:left="220"/>
              <w:spacing w:after="0"/>
              <w:rPr>
                <w:sz w:val="20"/>
                <w:szCs w:val="20"/>
                <w:color w:val="auto"/>
              </w:rPr>
            </w:pPr>
            <w:r>
              <w:rPr>
                <w:rFonts w:ascii="Arial" w:cs="Arial" w:eastAsia="Arial" w:hAnsi="Arial"/>
                <w:sz w:val="17"/>
                <w:szCs w:val="17"/>
                <w:color w:val="auto"/>
              </w:rPr>
              <w:t>Other expense</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720" w:type="dxa"/>
            <w:vAlign w:val="bottom"/>
            <w:gridSpan w:val="3"/>
          </w:tcPr>
          <w:p>
            <w:pPr>
              <w:jc w:val="right"/>
              <w:ind w:right="6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
        </w:trPr>
        <w:tc>
          <w:tcPr>
            <w:tcW w:w="5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5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other income</w:t>
            </w: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332</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w:t>
            </w:r>
          </w:p>
        </w:tc>
      </w:tr>
      <w:tr>
        <w:trPr>
          <w:trHeight w:val="244"/>
        </w:trPr>
        <w:tc>
          <w:tcPr>
            <w:tcW w:w="5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r>
      <w:tr>
        <w:trPr>
          <w:trHeight w:val="27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(16,429)</w:t>
            </w:r>
          </w:p>
        </w:tc>
        <w:tc>
          <w:tcPr>
            <w:tcW w:w="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20"/>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(5,493)</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(10,936)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320" w:right="9780" w:hanging="9"/>
        <w:spacing w:after="0" w:line="520" w:lineRule="auto"/>
        <w:tabs>
          <w:tab w:leader="none" w:pos="448" w:val="left"/>
        </w:tabs>
        <w:numPr>
          <w:ilvl w:val="0"/>
          <w:numId w:val="1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Not meaningful Revenue</w:t>
      </w:r>
    </w:p>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4380" w:type="dxa"/>
            <w:vAlign w:val="bottom"/>
          </w:tcPr>
          <w:p>
            <w:pPr>
              <w:spacing w:after="0"/>
              <w:rPr>
                <w:sz w:val="15"/>
                <w:szCs w:val="15"/>
                <w:color w:val="auto"/>
              </w:rPr>
            </w:pPr>
          </w:p>
        </w:tc>
        <w:tc>
          <w:tcPr>
            <w:tcW w:w="288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1066"/>
              <w:spacing w:after="0"/>
              <w:rPr>
                <w:sz w:val="20"/>
                <w:szCs w:val="20"/>
                <w:color w:val="auto"/>
              </w:rPr>
            </w:pPr>
            <w:r>
              <w:rPr>
                <w:rFonts w:ascii="Arial" w:cs="Arial" w:eastAsia="Arial" w:hAnsi="Arial"/>
                <w:sz w:val="14"/>
                <w:szCs w:val="14"/>
                <w:b w:val="1"/>
                <w:bCs w:val="1"/>
                <w:color w:val="auto"/>
                <w:w w:val="89"/>
              </w:rPr>
              <w:t>Change</w:t>
            </w:r>
          </w:p>
        </w:tc>
      </w:tr>
      <w:tr>
        <w:trPr>
          <w:trHeight w:val="178"/>
        </w:trPr>
        <w:tc>
          <w:tcPr>
            <w:tcW w:w="4380" w:type="dxa"/>
            <w:vAlign w:val="bottom"/>
          </w:tcPr>
          <w:p>
            <w:pPr>
              <w:spacing w:after="0"/>
              <w:rPr>
                <w:sz w:val="15"/>
                <w:szCs w:val="15"/>
                <w:color w:val="auto"/>
              </w:rPr>
            </w:pPr>
          </w:p>
        </w:tc>
        <w:tc>
          <w:tcPr>
            <w:tcW w:w="122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366"/>
              <w:spacing w:after="0"/>
              <w:rPr>
                <w:sz w:val="20"/>
                <w:szCs w:val="20"/>
                <w:color w:val="auto"/>
              </w:rPr>
            </w:pPr>
            <w:r>
              <w:rPr>
                <w:rFonts w:ascii="Arial" w:cs="Arial" w:eastAsia="Arial" w:hAnsi="Arial"/>
                <w:sz w:val="14"/>
                <w:szCs w:val="14"/>
                <w:b w:val="1"/>
                <w:bCs w:val="1"/>
                <w:color w:val="auto"/>
              </w:rPr>
              <w:t>%</w:t>
            </w:r>
          </w:p>
        </w:tc>
      </w:tr>
      <w:tr>
        <w:trPr>
          <w:trHeight w:val="171"/>
        </w:trPr>
        <w:tc>
          <w:tcPr>
            <w:tcW w:w="4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40" w:type="dxa"/>
            <w:vAlign w:val="bottom"/>
            <w:gridSpan w:val="3"/>
          </w:tcPr>
          <w:p>
            <w:pPr>
              <w:ind w:left="100"/>
              <w:spacing w:after="0"/>
              <w:rPr>
                <w:sz w:val="20"/>
                <w:szCs w:val="20"/>
                <w:color w:val="auto"/>
              </w:rPr>
            </w:pPr>
            <w:r>
              <w:rPr>
                <w:rFonts w:ascii="Arial" w:cs="Arial" w:eastAsia="Arial" w:hAnsi="Arial"/>
                <w:sz w:val="14"/>
                <w:szCs w:val="14"/>
                <w:i w:val="1"/>
                <w:iCs w:val="1"/>
                <w:color w:val="auto"/>
              </w:rPr>
              <w:t>(dollars in thousands)</w:t>
            </w:r>
          </w:p>
        </w:tc>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1"/>
        </w:trPr>
        <w:tc>
          <w:tcPr>
            <w:tcW w:w="4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Revenue</w:t>
            </w:r>
          </w:p>
        </w:tc>
        <w:tc>
          <w:tcPr>
            <w:tcW w:w="1220" w:type="dxa"/>
            <w:vAlign w:val="bottom"/>
            <w:shd w:val="clear" w:color="auto" w:fill="CCEEFF"/>
          </w:tcPr>
          <w:p>
            <w:pPr>
              <w:jc w:val="right"/>
              <w:ind w:right="746"/>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62</w:t>
            </w:r>
          </w:p>
        </w:tc>
        <w:tc>
          <w:tcPr>
            <w:tcW w:w="1120" w:type="dxa"/>
            <w:vAlign w:val="bottom"/>
            <w:shd w:val="clear" w:color="auto" w:fill="CCEEFF"/>
          </w:tcPr>
          <w:p>
            <w:pPr>
              <w:jc w:val="right"/>
              <w:ind w:right="723"/>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ind w:left="80"/>
              <w:spacing w:after="0"/>
              <w:rPr>
                <w:sz w:val="20"/>
                <w:szCs w:val="20"/>
                <w:color w:val="auto"/>
              </w:rPr>
            </w:pPr>
            <w:r>
              <w:rPr>
                <w:rFonts w:ascii="Arial" w:cs="Arial" w:eastAsia="Arial" w:hAnsi="Arial"/>
                <w:sz w:val="17"/>
                <w:szCs w:val="17"/>
                <w:color w:val="auto"/>
              </w:rPr>
              <w:t>177</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43"/>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(115)</w:t>
            </w:r>
          </w:p>
        </w:tc>
        <w:tc>
          <w:tcPr>
            <w:tcW w:w="1620" w:type="dxa"/>
            <w:vAlign w:val="bottom"/>
            <w:shd w:val="clear" w:color="auto" w:fill="CCEEFF"/>
          </w:tcPr>
          <w:p>
            <w:pPr>
              <w:jc w:val="right"/>
              <w:ind w:right="186"/>
              <w:spacing w:after="0"/>
              <w:rPr>
                <w:sz w:val="20"/>
                <w:szCs w:val="20"/>
                <w:color w:val="auto"/>
              </w:rPr>
            </w:pPr>
            <w:r>
              <w:rPr>
                <w:rFonts w:ascii="Arial" w:cs="Arial" w:eastAsia="Arial" w:hAnsi="Arial"/>
                <w:sz w:val="17"/>
                <w:szCs w:val="17"/>
                <w:color w:val="auto"/>
              </w:rPr>
              <w:t>(65)</w:t>
            </w:r>
          </w:p>
        </w:tc>
      </w:tr>
    </w:tbl>
    <w:p>
      <w:pPr>
        <w:spacing w:after="0" w:line="219" w:lineRule="exact"/>
        <w:rPr>
          <w:sz w:val="20"/>
          <w:szCs w:val="20"/>
          <w:color w:val="auto"/>
        </w:rPr>
      </w:pPr>
    </w:p>
    <w:p>
      <w:pPr>
        <w:ind w:right="300" w:firstLine="308"/>
        <w:spacing w:after="0" w:line="278" w:lineRule="auto"/>
        <w:rPr>
          <w:sz w:val="20"/>
          <w:szCs w:val="20"/>
          <w:color w:val="auto"/>
        </w:rPr>
      </w:pPr>
      <w:r>
        <w:rPr>
          <w:rFonts w:ascii="Arial" w:cs="Arial" w:eastAsia="Arial" w:hAnsi="Arial"/>
          <w:sz w:val="17"/>
          <w:szCs w:val="17"/>
          <w:color w:val="auto"/>
        </w:rPr>
        <w:t>Revenue decreased by $0.1 million, or 65%, from $0.2 million during the three months ended March 31, 2020 to $0.1 million during the three months ended March 31, 2021, due to less grant-funded activities related to our SBIR grant from the NIH.</w:t>
      </w:r>
    </w:p>
    <w:p>
      <w:pPr>
        <w:spacing w:after="0" w:line="200" w:lineRule="exact"/>
        <w:rPr>
          <w:sz w:val="20"/>
          <w:szCs w:val="20"/>
          <w:color w:val="auto"/>
        </w:rPr>
      </w:pPr>
    </w:p>
    <w:p>
      <w:pPr>
        <w:spacing w:after="0" w:line="29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4360" w:type="dxa"/>
            <w:vAlign w:val="bottom"/>
          </w:tcPr>
          <w:p>
            <w:pPr>
              <w:spacing w:after="0"/>
              <w:rPr>
                <w:sz w:val="17"/>
                <w:szCs w:val="17"/>
                <w:color w:val="auto"/>
              </w:rPr>
            </w:pPr>
          </w:p>
        </w:tc>
        <w:tc>
          <w:tcPr>
            <w:tcW w:w="286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046"/>
              <w:spacing w:after="0"/>
              <w:rPr>
                <w:sz w:val="20"/>
                <w:szCs w:val="20"/>
                <w:color w:val="auto"/>
              </w:rPr>
            </w:pPr>
            <w:r>
              <w:rPr>
                <w:rFonts w:ascii="Arial" w:cs="Arial" w:eastAsia="Arial" w:hAnsi="Arial"/>
                <w:sz w:val="14"/>
                <w:szCs w:val="14"/>
                <w:b w:val="1"/>
                <w:bCs w:val="1"/>
                <w:color w:val="auto"/>
                <w:w w:val="93"/>
              </w:rPr>
              <w:t>Change</w:t>
            </w:r>
          </w:p>
        </w:tc>
      </w:tr>
      <w:tr>
        <w:trPr>
          <w:trHeight w:val="198"/>
        </w:trPr>
        <w:tc>
          <w:tcPr>
            <w:tcW w:w="436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Amount</w:t>
            </w:r>
          </w:p>
        </w:tc>
        <w:tc>
          <w:tcPr>
            <w:tcW w:w="162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w:t>
            </w:r>
          </w:p>
        </w:tc>
      </w:tr>
      <w:tr>
        <w:trPr>
          <w:trHeight w:val="176"/>
        </w:trPr>
        <w:tc>
          <w:tcPr>
            <w:tcW w:w="4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180" w:type="dxa"/>
            <w:vAlign w:val="bottom"/>
            <w:gridSpan w:val="4"/>
          </w:tcPr>
          <w:p>
            <w:pPr>
              <w:jc w:val="right"/>
              <w:ind w:right="763"/>
              <w:spacing w:after="0"/>
              <w:rPr>
                <w:sz w:val="20"/>
                <w:szCs w:val="20"/>
                <w:color w:val="auto"/>
              </w:rPr>
            </w:pPr>
            <w:r>
              <w:rPr>
                <w:rFonts w:ascii="Arial" w:cs="Arial" w:eastAsia="Arial" w:hAnsi="Arial"/>
                <w:sz w:val="14"/>
                <w:szCs w:val="14"/>
                <w:i w:val="1"/>
                <w:iCs w:val="1"/>
                <w:color w:val="auto"/>
                <w:w w:val="98"/>
              </w:rPr>
              <w:t>(dollars in thousands)</w:t>
            </w:r>
          </w:p>
        </w:tc>
        <w:tc>
          <w:tcPr>
            <w:tcW w:w="1620" w:type="dxa"/>
            <w:vAlign w:val="bottom"/>
          </w:tcPr>
          <w:p>
            <w:pPr>
              <w:spacing w:after="0"/>
              <w:rPr>
                <w:sz w:val="15"/>
                <w:szCs w:val="15"/>
                <w:color w:val="auto"/>
              </w:rPr>
            </w:pPr>
          </w:p>
        </w:tc>
      </w:tr>
      <w:tr>
        <w:trPr>
          <w:trHeight w:val="221"/>
        </w:trPr>
        <w:tc>
          <w:tcPr>
            <w:tcW w:w="43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Research and development</w:t>
            </w:r>
          </w:p>
        </w:tc>
        <w:tc>
          <w:tcPr>
            <w:tcW w:w="1140" w:type="dxa"/>
            <w:vAlign w:val="bottom"/>
            <w:shd w:val="clear" w:color="auto" w:fill="CCEEFF"/>
          </w:tcPr>
          <w:p>
            <w:pPr>
              <w:jc w:val="right"/>
              <w:ind w:right="646"/>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93"/>
              </w:rPr>
              <w:t>6,227</w:t>
            </w:r>
          </w:p>
        </w:tc>
        <w:tc>
          <w:tcPr>
            <w:tcW w:w="1060" w:type="dxa"/>
            <w:vAlign w:val="bottom"/>
            <w:shd w:val="clear" w:color="auto" w:fill="CCEEFF"/>
          </w:tcPr>
          <w:p>
            <w:pPr>
              <w:jc w:val="right"/>
              <w:ind w:right="643"/>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w w:val="93"/>
              </w:rPr>
              <w:t>4,222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2,005</w:t>
            </w:r>
          </w:p>
        </w:tc>
        <w:tc>
          <w:tcPr>
            <w:tcW w:w="1620" w:type="dxa"/>
            <w:vAlign w:val="bottom"/>
            <w:shd w:val="clear" w:color="auto" w:fill="CCEEFF"/>
          </w:tcPr>
          <w:p>
            <w:pPr>
              <w:jc w:val="right"/>
              <w:ind w:right="226"/>
              <w:spacing w:after="0"/>
              <w:rPr>
                <w:sz w:val="20"/>
                <w:szCs w:val="20"/>
                <w:color w:val="auto"/>
              </w:rPr>
            </w:pPr>
            <w:r>
              <w:rPr>
                <w:rFonts w:ascii="Arial" w:cs="Arial" w:eastAsia="Arial" w:hAnsi="Arial"/>
                <w:sz w:val="17"/>
                <w:szCs w:val="17"/>
                <w:color w:val="auto"/>
              </w:rPr>
              <w:t>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7" w:name="page28"/>
    <w:bookmarkEnd w:id="27"/>
    <w:p>
      <w:pPr>
        <w:spacing w:after="0" w:line="75" w:lineRule="exact"/>
        <w:rPr>
          <w:sz w:val="20"/>
          <w:szCs w:val="20"/>
          <w:color w:val="auto"/>
        </w:rPr>
      </w:pPr>
    </w:p>
    <w:p>
      <w:pPr>
        <w:ind w:right="340" w:firstLine="308"/>
        <w:spacing w:after="0" w:line="276" w:lineRule="auto"/>
        <w:rPr>
          <w:sz w:val="20"/>
          <w:szCs w:val="20"/>
          <w:color w:val="auto"/>
        </w:rPr>
      </w:pPr>
      <w:r>
        <w:rPr>
          <w:rFonts w:ascii="Arial" w:cs="Arial" w:eastAsia="Arial" w:hAnsi="Arial"/>
          <w:sz w:val="16"/>
          <w:szCs w:val="16"/>
          <w:color w:val="auto"/>
        </w:rPr>
        <w:t>R&amp;D expenses increased by $2.0 million, or 47%, from $4.2 million during the three months ended March 31, 2020 to $6.2 million during the three months ended March 31, 2021. The increase was primarily due to an increase in product development efforts related to our Proteograph Product Suite including $1.7 million in employee compensation costs, stock-based compensation and other related costs due to growth in research and development personnel, $0.5 million related to the expansion of facilities and maintenance and depreciation of laboratory equipment, and $0.2 million in professional and consulting fees. This was offset by a decrease in clinical study fees of $0.3 million related to the costs associated with the ramp down of site enrollment for clinical studies related to the collection of biological samples for research use. These clinical studies are related to the assets transferred to PrognomIQ.</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43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Change</w:t>
            </w:r>
          </w:p>
        </w:tc>
      </w:tr>
      <w:tr>
        <w:trPr>
          <w:trHeight w:val="198"/>
        </w:trPr>
        <w:tc>
          <w:tcPr>
            <w:tcW w:w="43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46"/>
              <w:spacing w:after="0"/>
              <w:rPr>
                <w:sz w:val="20"/>
                <w:szCs w:val="20"/>
                <w:color w:val="auto"/>
              </w:rPr>
            </w:pPr>
            <w:r>
              <w:rPr>
                <w:rFonts w:ascii="Arial" w:cs="Arial" w:eastAsia="Arial" w:hAnsi="Arial"/>
                <w:sz w:val="14"/>
                <w:szCs w:val="14"/>
                <w:b w:val="1"/>
                <w:bCs w:val="1"/>
                <w:color w:val="auto"/>
              </w:rPr>
              <w:t>2021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Amount</w:t>
            </w:r>
          </w:p>
        </w:tc>
        <w:tc>
          <w:tcPr>
            <w:tcW w:w="16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w:t>
            </w:r>
          </w:p>
        </w:tc>
      </w:tr>
      <w:tr>
        <w:trPr>
          <w:trHeight w:val="176"/>
        </w:trPr>
        <w:tc>
          <w:tcPr>
            <w:tcW w:w="4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180" w:type="dxa"/>
            <w:vAlign w:val="bottom"/>
            <w:gridSpan w:val="4"/>
          </w:tcPr>
          <w:p>
            <w:pPr>
              <w:jc w:val="right"/>
              <w:ind w:right="783"/>
              <w:spacing w:after="0"/>
              <w:rPr>
                <w:sz w:val="20"/>
                <w:szCs w:val="20"/>
                <w:color w:val="auto"/>
              </w:rPr>
            </w:pPr>
            <w:r>
              <w:rPr>
                <w:rFonts w:ascii="Arial" w:cs="Arial" w:eastAsia="Arial" w:hAnsi="Arial"/>
                <w:sz w:val="14"/>
                <w:szCs w:val="14"/>
                <w:i w:val="1"/>
                <w:iCs w:val="1"/>
                <w:color w:val="auto"/>
                <w:w w:val="97"/>
              </w:rPr>
              <w:t>(dollars in thousands)</w:t>
            </w:r>
          </w:p>
        </w:tc>
        <w:tc>
          <w:tcPr>
            <w:tcW w:w="1620" w:type="dxa"/>
            <w:vAlign w:val="bottom"/>
          </w:tcPr>
          <w:p>
            <w:pPr>
              <w:spacing w:after="0"/>
              <w:rPr>
                <w:sz w:val="15"/>
                <w:szCs w:val="15"/>
                <w:color w:val="auto"/>
              </w:rPr>
            </w:pPr>
          </w:p>
        </w:tc>
      </w:tr>
      <w:tr>
        <w:trPr>
          <w:trHeight w:val="221"/>
        </w:trPr>
        <w:tc>
          <w:tcPr>
            <w:tcW w:w="43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Selling, general and administrative</w:t>
            </w:r>
          </w:p>
        </w:tc>
        <w:tc>
          <w:tcPr>
            <w:tcW w:w="6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66"/>
              <w:spacing w:after="0"/>
              <w:rPr>
                <w:sz w:val="20"/>
                <w:szCs w:val="20"/>
                <w:color w:val="auto"/>
              </w:rPr>
            </w:pPr>
            <w:r>
              <w:rPr>
                <w:rFonts w:ascii="Arial" w:cs="Arial" w:eastAsia="Arial" w:hAnsi="Arial"/>
                <w:sz w:val="17"/>
                <w:szCs w:val="17"/>
                <w:color w:val="auto"/>
              </w:rPr>
              <w:t>10,333</w:t>
            </w:r>
          </w:p>
        </w:tc>
        <w:tc>
          <w:tcPr>
            <w:tcW w:w="1060" w:type="dxa"/>
            <w:vAlign w:val="bottom"/>
            <w:shd w:val="clear" w:color="auto" w:fill="CCEEFF"/>
          </w:tcPr>
          <w:p>
            <w:pPr>
              <w:jc w:val="right"/>
              <w:ind w:right="663"/>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1,780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8,553</w:t>
            </w:r>
          </w:p>
        </w:tc>
        <w:tc>
          <w:tcPr>
            <w:tcW w:w="162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481</w:t>
            </w:r>
          </w:p>
        </w:tc>
      </w:tr>
    </w:tbl>
    <w:p>
      <w:pPr>
        <w:spacing w:after="0" w:line="232" w:lineRule="exact"/>
        <w:rPr>
          <w:sz w:val="20"/>
          <w:szCs w:val="20"/>
          <w:color w:val="auto"/>
        </w:rPr>
      </w:pPr>
    </w:p>
    <w:p>
      <w:pPr>
        <w:ind w:right="260" w:firstLine="308"/>
        <w:spacing w:after="0" w:line="298" w:lineRule="auto"/>
        <w:rPr>
          <w:sz w:val="20"/>
          <w:szCs w:val="20"/>
          <w:color w:val="auto"/>
        </w:rPr>
      </w:pPr>
      <w:r>
        <w:rPr>
          <w:rFonts w:ascii="Arial" w:cs="Arial" w:eastAsia="Arial" w:hAnsi="Arial"/>
          <w:sz w:val="15"/>
          <w:szCs w:val="15"/>
          <w:color w:val="auto"/>
        </w:rPr>
        <w:t>Selling, general and administrative expenses increased by $8.6 million, or 481% , from $1.8 million during the three months ended March 31, 2020 to $10.3 million during the three months ended March 31, 2021, primarily due to a $2.1 million increase in employee compensation and other related expenses, and a $4.1 million stock-based compensation increase, as a result of an increase in personnel, including the addition of key members of executive management. Other increases are attributable to $0.2 million in marketing costs related to our limited release commercial efforts, and costs related to becoming a publicly traded company including a $0.6 million increase in professional and consulting fees related to accounting and audit services, a $0.4 million increase in corporate and patent legal matters, and a $1.0 million increase in general business expenses which includes insurance premiums and state and local business taxes.</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Total Other Income</w:t>
      </w: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4340" w:type="dxa"/>
            <w:vAlign w:val="bottom"/>
          </w:tcPr>
          <w:p>
            <w:pPr>
              <w:spacing w:after="0"/>
              <w:rPr>
                <w:sz w:val="17"/>
                <w:szCs w:val="17"/>
                <w:color w:val="auto"/>
              </w:rPr>
            </w:pPr>
          </w:p>
        </w:tc>
        <w:tc>
          <w:tcPr>
            <w:tcW w:w="290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066"/>
              <w:spacing w:after="0"/>
              <w:rPr>
                <w:sz w:val="20"/>
                <w:szCs w:val="20"/>
                <w:color w:val="auto"/>
              </w:rPr>
            </w:pPr>
            <w:r>
              <w:rPr>
                <w:rFonts w:ascii="Arial" w:cs="Arial" w:eastAsia="Arial" w:hAnsi="Arial"/>
                <w:sz w:val="14"/>
                <w:szCs w:val="14"/>
                <w:b w:val="1"/>
                <w:bCs w:val="1"/>
                <w:color w:val="auto"/>
                <w:w w:val="89"/>
              </w:rPr>
              <w:t>Change</w:t>
            </w:r>
          </w:p>
        </w:tc>
      </w:tr>
      <w:tr>
        <w:trPr>
          <w:trHeight w:val="198"/>
        </w:trPr>
        <w:tc>
          <w:tcPr>
            <w:tcW w:w="4340" w:type="dxa"/>
            <w:vAlign w:val="bottom"/>
          </w:tcPr>
          <w:p>
            <w:pPr>
              <w:spacing w:after="0"/>
              <w:rPr>
                <w:sz w:val="17"/>
                <w:szCs w:val="17"/>
                <w:color w:val="auto"/>
              </w:rPr>
            </w:pPr>
          </w:p>
        </w:tc>
        <w:tc>
          <w:tcPr>
            <w:tcW w:w="124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366"/>
              <w:spacing w:after="0"/>
              <w:rPr>
                <w:sz w:val="20"/>
                <w:szCs w:val="20"/>
                <w:color w:val="auto"/>
              </w:rPr>
            </w:pPr>
            <w:r>
              <w:rPr>
                <w:rFonts w:ascii="Arial" w:cs="Arial" w:eastAsia="Arial" w:hAnsi="Arial"/>
                <w:sz w:val="14"/>
                <w:szCs w:val="14"/>
                <w:b w:val="1"/>
                <w:bCs w:val="1"/>
                <w:color w:val="auto"/>
              </w:rPr>
              <w:t>%</w:t>
            </w:r>
          </w:p>
        </w:tc>
      </w:tr>
      <w:tr>
        <w:trPr>
          <w:trHeight w:val="176"/>
        </w:trPr>
        <w:tc>
          <w:tcPr>
            <w:tcW w:w="4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740" w:type="dxa"/>
            <w:vAlign w:val="bottom"/>
            <w:gridSpan w:val="3"/>
          </w:tcPr>
          <w:p>
            <w:pPr>
              <w:ind w:left="100"/>
              <w:spacing w:after="0"/>
              <w:rPr>
                <w:sz w:val="20"/>
                <w:szCs w:val="20"/>
                <w:color w:val="auto"/>
              </w:rPr>
            </w:pPr>
            <w:r>
              <w:rPr>
                <w:rFonts w:ascii="Arial" w:cs="Arial" w:eastAsia="Arial" w:hAnsi="Arial"/>
                <w:sz w:val="14"/>
                <w:szCs w:val="14"/>
                <w:i w:val="1"/>
                <w:iCs w:val="1"/>
                <w:color w:val="auto"/>
              </w:rPr>
              <w:t>(dollars in thousands)</w:t>
            </w:r>
          </w:p>
        </w:tc>
        <w:tc>
          <w:tcPr>
            <w:tcW w:w="4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1"/>
        </w:trPr>
        <w:tc>
          <w:tcPr>
            <w:tcW w:w="43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other income</w:t>
            </w:r>
          </w:p>
        </w:tc>
        <w:tc>
          <w:tcPr>
            <w:tcW w:w="1240" w:type="dxa"/>
            <w:vAlign w:val="bottom"/>
            <w:shd w:val="clear" w:color="auto" w:fill="CCEEFF"/>
          </w:tcPr>
          <w:p>
            <w:pPr>
              <w:jc w:val="right"/>
              <w:ind w:right="746"/>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69</w:t>
            </w:r>
          </w:p>
        </w:tc>
        <w:tc>
          <w:tcPr>
            <w:tcW w:w="1120" w:type="dxa"/>
            <w:vAlign w:val="bottom"/>
            <w:shd w:val="clear" w:color="auto" w:fill="CCEEFF"/>
          </w:tcPr>
          <w:p>
            <w:pPr>
              <w:jc w:val="right"/>
              <w:ind w:right="703"/>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332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43"/>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(263)</w:t>
            </w:r>
          </w:p>
        </w:tc>
        <w:tc>
          <w:tcPr>
            <w:tcW w:w="1620" w:type="dxa"/>
            <w:vAlign w:val="bottom"/>
            <w:shd w:val="clear" w:color="auto" w:fill="CCEEFF"/>
          </w:tcPr>
          <w:p>
            <w:pPr>
              <w:jc w:val="right"/>
              <w:ind w:right="186"/>
              <w:spacing w:after="0"/>
              <w:rPr>
                <w:sz w:val="20"/>
                <w:szCs w:val="20"/>
                <w:color w:val="auto"/>
              </w:rPr>
            </w:pPr>
            <w:r>
              <w:rPr>
                <w:rFonts w:ascii="Arial" w:cs="Arial" w:eastAsia="Arial" w:hAnsi="Arial"/>
                <w:sz w:val="17"/>
                <w:szCs w:val="17"/>
                <w:color w:val="auto"/>
              </w:rPr>
              <w:t>(79)</w:t>
            </w:r>
          </w:p>
        </w:tc>
      </w:tr>
    </w:tbl>
    <w:p>
      <w:pPr>
        <w:spacing w:after="0" w:line="219" w:lineRule="exact"/>
        <w:rPr>
          <w:sz w:val="20"/>
          <w:szCs w:val="20"/>
          <w:color w:val="auto"/>
        </w:rPr>
      </w:pPr>
    </w:p>
    <w:p>
      <w:pPr>
        <w:ind w:right="100" w:firstLine="308"/>
        <w:spacing w:after="0" w:line="261" w:lineRule="auto"/>
        <w:rPr>
          <w:sz w:val="20"/>
          <w:szCs w:val="20"/>
          <w:color w:val="auto"/>
        </w:rPr>
      </w:pPr>
      <w:r>
        <w:rPr>
          <w:rFonts w:ascii="Arial" w:cs="Arial" w:eastAsia="Arial" w:hAnsi="Arial"/>
          <w:sz w:val="17"/>
          <w:szCs w:val="17"/>
          <w:color w:val="auto"/>
        </w:rPr>
        <w:t>Total other income decreased by $0.3 million, or 79%, from $0.3 million during the three months ended March 31, 2020 to $0.1 million during the three months ended March 31, 2021. Short-term interest rate yields decreased significantly during fiscal year 2020 and remained low during the first quarter of fiscal year 2021. These decreases were partially offset quantitatively by higher amounts of cash invested in money market funds and U.S. Treasury securities during fiscal year 2020 and the first quarter of fiscal year 2021 as a result of multiple private and public financing events.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0" w:lineRule="exact"/>
        <w:rPr>
          <w:sz w:val="20"/>
          <w:szCs w:val="20"/>
          <w:color w:val="auto"/>
        </w:rPr>
      </w:pPr>
    </w:p>
    <w:p>
      <w:pPr>
        <w:ind w:right="300" w:firstLine="308"/>
        <w:spacing w:after="0" w:line="306" w:lineRule="auto"/>
        <w:rPr>
          <w:sz w:val="20"/>
          <w:szCs w:val="20"/>
          <w:color w:val="auto"/>
        </w:rPr>
      </w:pPr>
      <w:r>
        <w:rPr>
          <w:rFonts w:ascii="Arial" w:cs="Arial" w:eastAsia="Arial" w:hAnsi="Arial"/>
          <w:sz w:val="15"/>
          <w:szCs w:val="15"/>
          <w:color w:val="auto"/>
        </w:rPr>
        <w:t>Since the date of our incorporation, we have not generated any revenue from product sales and have incurred significant operating losses and negative cash flows from operations. Our operations have been funded primarily through the sale and issuance of equity securities since inception. We anticipate that we will continue to incur net losses and do not expect positive cash flows from operations for the foreseeable future. However, based on our cash on hand, we believe we will have adequate liquidity over the next twelve months following the date of this Quarterly Report to operate our business and to meet our cash requirements.</w:t>
      </w:r>
    </w:p>
    <w:p>
      <w:pPr>
        <w:spacing w:after="0" w:line="97" w:lineRule="exact"/>
        <w:rPr>
          <w:sz w:val="20"/>
          <w:szCs w:val="20"/>
          <w:color w:val="auto"/>
        </w:rPr>
      </w:pPr>
    </w:p>
    <w:p>
      <w:pPr>
        <w:ind w:right="300" w:firstLine="308"/>
        <w:spacing w:after="0" w:line="289" w:lineRule="auto"/>
        <w:rPr>
          <w:sz w:val="20"/>
          <w:szCs w:val="20"/>
          <w:color w:val="auto"/>
        </w:rPr>
      </w:pPr>
      <w:r>
        <w:rPr>
          <w:rFonts w:ascii="Arial" w:cs="Arial" w:eastAsia="Arial" w:hAnsi="Arial"/>
          <w:sz w:val="16"/>
          <w:szCs w:val="16"/>
          <w:color w:val="auto"/>
        </w:rPr>
        <w:t>In connection with our IPO, we sold 10,592,106 shares of Class A common stock and received net proceeds of $183.9 million after deducting offering costs, underwriting discounts and commissions. Concurrent with the IPO, we issued 7,105,262 shares of our common stock in a private placement for net proceeds of $130.3 million after deducting underwriting discounts and commissions. On February 1, 2021, we completed an underwritten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8" w:name="page29"/>
    <w:bookmarkEnd w:id="28"/>
    <w:p>
      <w:pPr>
        <w:spacing w:after="0" w:line="75"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offering of 1,650,000 shares of our Class A common stock and received net proceeds of $103.0 million after deducting offering costs, underwriting discounts and commissions.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Cash Flows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cash flows for the periods indicated:</w:t>
      </w:r>
    </w:p>
    <w:p>
      <w:pPr>
        <w:spacing w:after="0" w:line="193"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7320" w:type="dxa"/>
            <w:vAlign w:val="bottom"/>
          </w:tcPr>
          <w:p>
            <w:pPr>
              <w:spacing w:after="0"/>
              <w:rPr>
                <w:sz w:val="15"/>
                <w:szCs w:val="15"/>
                <w:color w:val="auto"/>
              </w:rPr>
            </w:pPr>
          </w:p>
        </w:tc>
        <w:tc>
          <w:tcPr>
            <w:tcW w:w="3180" w:type="dxa"/>
            <w:vAlign w:val="bottom"/>
            <w:tcBorders>
              <w:bottom w:val="single" w:sz="8" w:color="auto"/>
            </w:tcBorders>
            <w:gridSpan w:val="4"/>
          </w:tcPr>
          <w:p>
            <w:pPr>
              <w:jc w:val="right"/>
              <w:ind w:right="118"/>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5"/>
                <w:szCs w:val="15"/>
                <w:color w:val="auto"/>
              </w:rPr>
            </w:pPr>
          </w:p>
        </w:tc>
      </w:tr>
      <w:tr>
        <w:trPr>
          <w:trHeight w:val="178"/>
        </w:trPr>
        <w:tc>
          <w:tcPr>
            <w:tcW w:w="732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r>
      <w:tr>
        <w:trPr>
          <w:trHeight w:val="171"/>
        </w:trPr>
        <w:tc>
          <w:tcPr>
            <w:tcW w:w="7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80" w:type="dxa"/>
            <w:vAlign w:val="bottom"/>
            <w:gridSpan w:val="3"/>
          </w:tcPr>
          <w:p>
            <w:pPr>
              <w:jc w:val="right"/>
              <w:ind w:right="678"/>
              <w:spacing w:after="0"/>
              <w:rPr>
                <w:sz w:val="20"/>
                <w:szCs w:val="20"/>
                <w:color w:val="auto"/>
              </w:rPr>
            </w:pPr>
            <w:r>
              <w:rPr>
                <w:rFonts w:ascii="Arial" w:cs="Arial" w:eastAsia="Arial" w:hAnsi="Arial"/>
                <w:sz w:val="14"/>
                <w:szCs w:val="14"/>
                <w:i w:val="1"/>
                <w:iCs w:val="1"/>
                <w:color w:val="auto"/>
              </w:rPr>
              <w:t>(in thousands)</w:t>
            </w:r>
          </w:p>
        </w:tc>
        <w:tc>
          <w:tcPr>
            <w:tcW w:w="520" w:type="dxa"/>
            <w:vAlign w:val="bottom"/>
          </w:tcPr>
          <w:p>
            <w:pPr>
              <w:spacing w:after="0"/>
              <w:rPr>
                <w:sz w:val="14"/>
                <w:szCs w:val="14"/>
                <w:color w:val="auto"/>
              </w:rPr>
            </w:pPr>
          </w:p>
        </w:tc>
      </w:tr>
      <w:tr>
        <w:trPr>
          <w:trHeight w:val="221"/>
        </w:trPr>
        <w:tc>
          <w:tcPr>
            <w:tcW w:w="73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cash used in operating activities</w:t>
            </w:r>
          </w:p>
        </w:tc>
        <w:tc>
          <w:tcPr>
            <w:tcW w:w="1200" w:type="dxa"/>
            <w:vAlign w:val="bottom"/>
            <w:shd w:val="clear" w:color="auto" w:fill="CCEEFF"/>
          </w:tcPr>
          <w:p>
            <w:pPr>
              <w:jc w:val="right"/>
              <w:ind w:right="723"/>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(14,872)</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58"/>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(5,074</w:t>
            </w:r>
          </w:p>
        </w:tc>
      </w:tr>
      <w:tr>
        <w:trPr>
          <w:trHeight w:val="218"/>
        </w:trPr>
        <w:tc>
          <w:tcPr>
            <w:tcW w:w="7320" w:type="dxa"/>
            <w:vAlign w:val="bottom"/>
          </w:tcPr>
          <w:p>
            <w:pPr>
              <w:ind w:left="320"/>
              <w:spacing w:after="0"/>
              <w:rPr>
                <w:sz w:val="20"/>
                <w:szCs w:val="20"/>
                <w:color w:val="auto"/>
              </w:rPr>
            </w:pPr>
            <w:r>
              <w:rPr>
                <w:rFonts w:ascii="Arial" w:cs="Arial" w:eastAsia="Arial" w:hAnsi="Arial"/>
                <w:sz w:val="17"/>
                <w:szCs w:val="17"/>
                <w:color w:val="auto"/>
              </w:rPr>
              <w:t>Net cash provided by investing activities</w:t>
            </w: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11,883</w:t>
            </w:r>
          </w:p>
        </w:tc>
        <w:tc>
          <w:tcPr>
            <w:tcW w:w="80" w:type="dxa"/>
            <w:vAlign w:val="bottom"/>
          </w:tcPr>
          <w:p>
            <w:pPr>
              <w:spacing w:after="0"/>
              <w:rPr>
                <w:sz w:val="18"/>
                <w:szCs w:val="18"/>
                <w:color w:val="auto"/>
              </w:rPr>
            </w:pPr>
          </w:p>
        </w:tc>
        <w:tc>
          <w:tcPr>
            <w:tcW w:w="1260" w:type="dxa"/>
            <w:vAlign w:val="bottom"/>
          </w:tcPr>
          <w:p>
            <w:pPr>
              <w:jc w:val="right"/>
              <w:ind w:right="758"/>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2,952</w:t>
            </w:r>
          </w:p>
        </w:tc>
      </w:tr>
      <w:tr>
        <w:trPr>
          <w:trHeight w:val="218"/>
        </w:trPr>
        <w:tc>
          <w:tcPr>
            <w:tcW w:w="73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cash provided by financing activities</w:t>
            </w:r>
          </w:p>
        </w:tc>
        <w:tc>
          <w:tcPr>
            <w:tcW w:w="1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115,167</w:t>
            </w:r>
          </w:p>
        </w:tc>
        <w:tc>
          <w:tcPr>
            <w:tcW w:w="8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r>
      <w:tr>
        <w:trPr>
          <w:trHeight w:val="212"/>
        </w:trPr>
        <w:tc>
          <w:tcPr>
            <w:tcW w:w="7320" w:type="dxa"/>
            <w:vAlign w:val="bottom"/>
          </w:tcPr>
          <w:p>
            <w:pPr>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1200" w:type="dxa"/>
            <w:vAlign w:val="bottom"/>
            <w:tcBorders>
              <w:bottom w:val="single" w:sz="8" w:color="auto"/>
            </w:tcBorders>
          </w:tcPr>
          <w:p>
            <w:pPr>
              <w:jc w:val="right"/>
              <w:ind w:right="723"/>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112,178</w:t>
            </w:r>
          </w:p>
        </w:tc>
        <w:tc>
          <w:tcPr>
            <w:tcW w:w="80" w:type="dxa"/>
            <w:vAlign w:val="bottom"/>
          </w:tcPr>
          <w:p>
            <w:pPr>
              <w:spacing w:after="0"/>
              <w:rPr>
                <w:sz w:val="18"/>
                <w:szCs w:val="18"/>
                <w:color w:val="auto"/>
              </w:rPr>
            </w:pPr>
          </w:p>
        </w:tc>
        <w:tc>
          <w:tcPr>
            <w:tcW w:w="1260" w:type="dxa"/>
            <w:vAlign w:val="bottom"/>
            <w:tcBorders>
              <w:bottom w:val="single" w:sz="8" w:color="auto"/>
            </w:tcBorders>
          </w:tcPr>
          <w:p>
            <w:pPr>
              <w:jc w:val="right"/>
              <w:ind w:right="758"/>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(2,077</w:t>
            </w:r>
          </w:p>
        </w:tc>
      </w:tr>
      <w:tr>
        <w:trPr>
          <w:trHeight w:val="20"/>
        </w:trPr>
        <w:tc>
          <w:tcPr>
            <w:tcW w:w="7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64" w:lineRule="exact"/>
        <w:rPr>
          <w:sz w:val="20"/>
          <w:szCs w:val="20"/>
          <w:color w:val="auto"/>
        </w:rPr>
      </w:pPr>
    </w:p>
    <w:p>
      <w:pPr>
        <w:ind w:right="160" w:firstLine="308"/>
        <w:spacing w:after="0" w:line="257" w:lineRule="auto"/>
        <w:rPr>
          <w:sz w:val="20"/>
          <w:szCs w:val="20"/>
          <w:color w:val="auto"/>
        </w:rPr>
      </w:pPr>
      <w:r>
        <w:rPr>
          <w:rFonts w:ascii="Arial" w:cs="Arial" w:eastAsia="Arial" w:hAnsi="Arial"/>
          <w:sz w:val="17"/>
          <w:szCs w:val="17"/>
          <w:color w:val="auto"/>
        </w:rPr>
        <w:t>During the three months ended March 31, 2021, cash used in operating activities was $14.9 million, which was attributable to a net loss of $(16.4) million and a net change in our net operating assets and liabilities of $(5.1) million, partially offset by non-cash charges of $6.7 million. Non-cash charges primarily consisted of $6.0 million in stock-based compensation, $0.5 million of depreciation and amortization and $0.2 million of net amortization of premiums on available-for-sales securities. The change in our net operating assets and liabilities was primarily due to a decrease in accrued liabilities related to employee compensation of $1.4 million, increases in inventory levels of $1.0 million and increases of $2.6 million in prepaid expenses related to being a publicly traded company such as insurance.</w:t>
      </w:r>
    </w:p>
    <w:p>
      <w:pPr>
        <w:spacing w:after="0" w:line="132" w:lineRule="exact"/>
        <w:rPr>
          <w:sz w:val="20"/>
          <w:szCs w:val="20"/>
          <w:color w:val="auto"/>
        </w:rPr>
      </w:pPr>
    </w:p>
    <w:p>
      <w:pPr>
        <w:ind w:right="240" w:firstLine="308"/>
        <w:spacing w:after="0" w:line="306" w:lineRule="auto"/>
        <w:rPr>
          <w:sz w:val="20"/>
          <w:szCs w:val="20"/>
          <w:color w:val="auto"/>
        </w:rPr>
      </w:pPr>
      <w:r>
        <w:rPr>
          <w:rFonts w:ascii="Arial" w:cs="Arial" w:eastAsia="Arial" w:hAnsi="Arial"/>
          <w:sz w:val="15"/>
          <w:szCs w:val="15"/>
          <w:color w:val="auto"/>
        </w:rPr>
        <w:t>During the three months ended March 31, 2020, cash used in operating activities was $5.1 million. which was attributable to a net loss of $(5.5) million and a net change in our net operating assets and liabilities of $(0.5) million offset by non-cash charges of $0.9 million. Non-cash charges primarily consisted of $0.6 million in stock-based compensation and $0.3 million of depreciation and amortization. The change in our net operating assets and liabilities was primarily due to decrease in accounts payable and accrued liabilities primarily related to employee compensation and increased procurement of laboratory supplies.</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64" w:lineRule="exact"/>
        <w:rPr>
          <w:sz w:val="20"/>
          <w:szCs w:val="20"/>
          <w:color w:val="auto"/>
        </w:rPr>
      </w:pPr>
    </w:p>
    <w:p>
      <w:pPr>
        <w:ind w:right="600" w:firstLine="308"/>
        <w:spacing w:after="0" w:line="310" w:lineRule="auto"/>
        <w:rPr>
          <w:sz w:val="20"/>
          <w:szCs w:val="20"/>
          <w:color w:val="auto"/>
        </w:rPr>
      </w:pPr>
      <w:r>
        <w:rPr>
          <w:rFonts w:ascii="Arial" w:cs="Arial" w:eastAsia="Arial" w:hAnsi="Arial"/>
          <w:sz w:val="16"/>
          <w:szCs w:val="16"/>
          <w:color w:val="auto"/>
        </w:rPr>
        <w:t>During the three months ended March 31, 2021, cash provided by investing activities was $11.9 million, which related to purchases of available-for-sale securities, net of proceeds from maturities of $12.7 million, offset by $(0.8) million in payments primarily for laboratory equipment.</w:t>
      </w:r>
    </w:p>
    <w:p>
      <w:pPr>
        <w:spacing w:after="0" w:line="90" w:lineRule="exact"/>
        <w:rPr>
          <w:sz w:val="20"/>
          <w:szCs w:val="20"/>
          <w:color w:val="auto"/>
        </w:rPr>
      </w:pPr>
    </w:p>
    <w:p>
      <w:pPr>
        <w:ind w:right="660" w:firstLine="308"/>
        <w:spacing w:after="0" w:line="310" w:lineRule="auto"/>
        <w:rPr>
          <w:sz w:val="20"/>
          <w:szCs w:val="20"/>
          <w:color w:val="auto"/>
        </w:rPr>
      </w:pPr>
      <w:r>
        <w:rPr>
          <w:rFonts w:ascii="Arial" w:cs="Arial" w:eastAsia="Arial" w:hAnsi="Arial"/>
          <w:sz w:val="16"/>
          <w:szCs w:val="16"/>
          <w:color w:val="auto"/>
        </w:rPr>
        <w:t>During the three months ended March 31, 2020, cash provided by investing activities was $3.0 million, which related to purchases of available-for-sale securities, net of proceeds from maturities of $4.0 million, offset by $(1.1) million in payments primarily for laboratory equipment.</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64" w:lineRule="exact"/>
        <w:rPr>
          <w:sz w:val="20"/>
          <w:szCs w:val="20"/>
          <w:color w:val="auto"/>
        </w:rPr>
      </w:pPr>
    </w:p>
    <w:p>
      <w:pPr>
        <w:ind w:right="120" w:firstLine="308"/>
        <w:spacing w:after="0" w:line="265" w:lineRule="auto"/>
        <w:rPr>
          <w:sz w:val="20"/>
          <w:szCs w:val="20"/>
          <w:color w:val="auto"/>
        </w:rPr>
      </w:pPr>
      <w:r>
        <w:rPr>
          <w:rFonts w:ascii="Arial" w:cs="Arial" w:eastAsia="Arial" w:hAnsi="Arial"/>
          <w:sz w:val="17"/>
          <w:szCs w:val="17"/>
          <w:color w:val="auto"/>
        </w:rPr>
        <w:t>During the three months ended March 31, 2021, cash provided by financing activities was $115.2 million. This was attributable to net proceeds of $103.0 million from issuance of common stock upon our follow-on offering, net of issuance costs of $7.6 million, in addition to $11.4 million in short-swing profits from a beneficial owner.</w:t>
      </w:r>
    </w:p>
    <w:p>
      <w:pPr>
        <w:spacing w:after="0" w:line="123" w:lineRule="exact"/>
        <w:rPr>
          <w:sz w:val="20"/>
          <w:szCs w:val="20"/>
          <w:color w:val="auto"/>
        </w:rPr>
      </w:pPr>
    </w:p>
    <w:p>
      <w:pPr>
        <w:ind w:right="180" w:firstLine="308"/>
        <w:spacing w:after="0" w:line="278" w:lineRule="auto"/>
        <w:rPr>
          <w:sz w:val="20"/>
          <w:szCs w:val="20"/>
          <w:color w:val="auto"/>
        </w:rPr>
      </w:pPr>
      <w:r>
        <w:rPr>
          <w:rFonts w:ascii="Arial" w:cs="Arial" w:eastAsia="Arial" w:hAnsi="Arial"/>
          <w:sz w:val="17"/>
          <w:szCs w:val="17"/>
          <w:color w:val="auto"/>
        </w:rPr>
        <w:t>During the three months ended March 31, 2020, cash provided by financing activities was approximately $45,000, which was all attributable to proceeds from stock option exercises.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9" w:name="page30"/>
    <w:bookmarkEnd w:id="29"/>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contractual obligations as of December 31, 2020:</w:t>
      </w:r>
    </w:p>
    <w:p>
      <w:pPr>
        <w:spacing w:after="0" w:line="193"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33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Payments due by period</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vMerge w:val="restart"/>
          </w:tcPr>
          <w:p>
            <w:pPr>
              <w:jc w:val="right"/>
              <w:ind w:right="543"/>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1"/>
                <w:szCs w:val="11"/>
                <w:color w:val="auto"/>
              </w:rPr>
            </w:pPr>
          </w:p>
        </w:tc>
        <w:tc>
          <w:tcPr>
            <w:tcW w:w="1100" w:type="dxa"/>
            <w:vAlign w:val="bottom"/>
          </w:tcPr>
          <w:p>
            <w:pPr>
              <w:jc w:val="right"/>
              <w:ind w:right="346"/>
              <w:spacing w:after="0" w:line="127" w:lineRule="exact"/>
              <w:rPr>
                <w:sz w:val="20"/>
                <w:szCs w:val="20"/>
                <w:color w:val="auto"/>
              </w:rPr>
            </w:pPr>
            <w:r>
              <w:rPr>
                <w:rFonts w:ascii="Arial" w:cs="Arial" w:eastAsia="Arial" w:hAnsi="Arial"/>
                <w:sz w:val="14"/>
                <w:szCs w:val="14"/>
                <w:b w:val="1"/>
                <w:bCs w:val="1"/>
                <w:color w:val="auto"/>
              </w:rPr>
              <w:t>Less than</w:t>
            </w:r>
          </w:p>
        </w:tc>
        <w:tc>
          <w:tcPr>
            <w:tcW w:w="440" w:type="dxa"/>
            <w:vAlign w:val="bottom"/>
          </w:tcPr>
          <w:p>
            <w:pPr>
              <w:spacing w:after="0"/>
              <w:rPr>
                <w:sz w:val="11"/>
                <w:szCs w:val="11"/>
                <w:color w:val="auto"/>
              </w:rPr>
            </w:pPr>
          </w:p>
        </w:tc>
        <w:tc>
          <w:tcPr>
            <w:tcW w:w="1300" w:type="dxa"/>
            <w:vAlign w:val="bottom"/>
            <w:vMerge w:val="restart"/>
          </w:tcPr>
          <w:p>
            <w:pPr>
              <w:jc w:val="center"/>
              <w:ind w:right="346"/>
              <w:spacing w:after="0"/>
              <w:rPr>
                <w:sz w:val="20"/>
                <w:szCs w:val="20"/>
                <w:color w:val="auto"/>
              </w:rPr>
            </w:pPr>
            <w:r>
              <w:rPr>
                <w:rFonts w:ascii="Arial" w:cs="Arial" w:eastAsia="Arial" w:hAnsi="Arial"/>
                <w:sz w:val="14"/>
                <w:szCs w:val="14"/>
                <w:b w:val="1"/>
                <w:bCs w:val="1"/>
                <w:color w:val="auto"/>
                <w:w w:val="85"/>
              </w:rPr>
              <w:t>1-3 years</w:t>
            </w:r>
          </w:p>
        </w:tc>
        <w:tc>
          <w:tcPr>
            <w:tcW w:w="360" w:type="dxa"/>
            <w:vAlign w:val="bottom"/>
          </w:tcPr>
          <w:p>
            <w:pPr>
              <w:spacing w:after="0"/>
              <w:rPr>
                <w:sz w:val="11"/>
                <w:szCs w:val="11"/>
                <w:color w:val="auto"/>
              </w:rPr>
            </w:pPr>
          </w:p>
        </w:tc>
        <w:tc>
          <w:tcPr>
            <w:tcW w:w="1140" w:type="dxa"/>
            <w:vAlign w:val="bottom"/>
            <w:vMerge w:val="restart"/>
          </w:tcPr>
          <w:p>
            <w:pPr>
              <w:jc w:val="right"/>
              <w:ind w:right="423"/>
              <w:spacing w:after="0"/>
              <w:rPr>
                <w:sz w:val="20"/>
                <w:szCs w:val="20"/>
                <w:color w:val="auto"/>
              </w:rPr>
            </w:pPr>
            <w:r>
              <w:rPr>
                <w:rFonts w:ascii="Arial" w:cs="Arial" w:eastAsia="Arial" w:hAnsi="Arial"/>
                <w:sz w:val="14"/>
                <w:szCs w:val="14"/>
                <w:b w:val="1"/>
                <w:bCs w:val="1"/>
                <w:color w:val="auto"/>
              </w:rPr>
              <w:t>3-5 years</w:t>
            </w:r>
          </w:p>
        </w:tc>
        <w:tc>
          <w:tcPr>
            <w:tcW w:w="400" w:type="dxa"/>
            <w:vAlign w:val="bottom"/>
          </w:tcPr>
          <w:p>
            <w:pPr>
              <w:spacing w:after="0"/>
              <w:rPr>
                <w:sz w:val="11"/>
                <w:szCs w:val="11"/>
                <w:color w:val="auto"/>
              </w:rPr>
            </w:pPr>
          </w:p>
        </w:tc>
        <w:tc>
          <w:tcPr>
            <w:tcW w:w="820" w:type="dxa"/>
            <w:vAlign w:val="bottom"/>
          </w:tcPr>
          <w:p>
            <w:pPr>
              <w:jc w:val="right"/>
              <w:ind w:right="6"/>
              <w:spacing w:after="0" w:line="127"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9"/>
        </w:trPr>
        <w:tc>
          <w:tcPr>
            <w:tcW w:w="33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06"/>
              <w:spacing w:after="0"/>
              <w:rPr>
                <w:sz w:val="20"/>
                <w:szCs w:val="20"/>
                <w:color w:val="auto"/>
              </w:rPr>
            </w:pPr>
            <w:r>
              <w:rPr>
                <w:rFonts w:ascii="Arial" w:cs="Arial" w:eastAsia="Arial" w:hAnsi="Arial"/>
                <w:sz w:val="14"/>
                <w:szCs w:val="14"/>
                <w:b w:val="1"/>
                <w:bCs w:val="1"/>
                <w:color w:val="auto"/>
                <w:w w:val="98"/>
              </w:rPr>
              <w:t>1 year</w:t>
            </w: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6"/>
              <w:spacing w:after="0"/>
              <w:rPr>
                <w:sz w:val="20"/>
                <w:szCs w:val="20"/>
                <w:color w:val="auto"/>
              </w:rPr>
            </w:pPr>
            <w:r>
              <w:rPr>
                <w:rFonts w:ascii="Arial" w:cs="Arial" w:eastAsia="Arial" w:hAnsi="Arial"/>
                <w:sz w:val="14"/>
                <w:szCs w:val="14"/>
                <w:b w:val="1"/>
                <w:bCs w:val="1"/>
                <w:color w:val="auto"/>
                <w:w w:val="95"/>
              </w:rPr>
              <w:t>5 years</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jc w:val="center"/>
              <w:ind w:right="326"/>
              <w:spacing w:after="0"/>
              <w:rPr>
                <w:sz w:val="20"/>
                <w:szCs w:val="20"/>
                <w:color w:val="auto"/>
              </w:rPr>
            </w:pPr>
            <w:r>
              <w:rPr>
                <w:rFonts w:ascii="Arial" w:cs="Arial" w:eastAsia="Arial" w:hAnsi="Arial"/>
                <w:sz w:val="14"/>
                <w:szCs w:val="14"/>
                <w:i w:val="1"/>
                <w:iCs w:val="1"/>
                <w:color w:val="auto"/>
                <w:w w:val="87"/>
              </w:rPr>
              <w:t>(in thousands)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Operating lease obligations</w:t>
            </w:r>
          </w:p>
        </w:tc>
        <w:tc>
          <w:tcPr>
            <w:tcW w:w="5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63"/>
              <w:spacing w:after="0"/>
              <w:rPr>
                <w:sz w:val="20"/>
                <w:szCs w:val="20"/>
                <w:color w:val="auto"/>
              </w:rPr>
            </w:pPr>
            <w:r>
              <w:rPr>
                <w:rFonts w:ascii="Arial" w:cs="Arial" w:eastAsia="Arial" w:hAnsi="Arial"/>
                <w:sz w:val="17"/>
                <w:szCs w:val="17"/>
                <w:color w:val="auto"/>
              </w:rPr>
              <w:t>20,367</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06"/>
              <w:spacing w:after="0"/>
              <w:rPr>
                <w:sz w:val="20"/>
                <w:szCs w:val="20"/>
                <w:color w:val="auto"/>
              </w:rPr>
            </w:pPr>
            <w:r>
              <w:rPr>
                <w:rFonts w:ascii="Arial" w:cs="Arial" w:eastAsia="Arial" w:hAnsi="Arial"/>
                <w:sz w:val="17"/>
                <w:szCs w:val="17"/>
                <w:color w:val="auto"/>
              </w:rPr>
              <w:t>795</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266"/>
              <w:spacing w:after="0"/>
              <w:rPr>
                <w:sz w:val="20"/>
                <w:szCs w:val="20"/>
                <w:color w:val="auto"/>
              </w:rPr>
            </w:pPr>
            <w:r>
              <w:rPr>
                <w:rFonts w:ascii="Arial" w:cs="Arial" w:eastAsia="Arial" w:hAnsi="Arial"/>
                <w:sz w:val="17"/>
                <w:szCs w:val="17"/>
                <w:color w:val="auto"/>
              </w:rPr>
              <w:t>3,063</w:t>
            </w:r>
          </w:p>
        </w:tc>
        <w:tc>
          <w:tcPr>
            <w:tcW w:w="3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63"/>
              <w:spacing w:after="0"/>
              <w:rPr>
                <w:sz w:val="20"/>
                <w:szCs w:val="20"/>
                <w:color w:val="auto"/>
              </w:rPr>
            </w:pPr>
            <w:r>
              <w:rPr>
                <w:rFonts w:ascii="Arial" w:cs="Arial" w:eastAsia="Arial" w:hAnsi="Arial"/>
                <w:sz w:val="17"/>
                <w:szCs w:val="17"/>
                <w:color w:val="auto"/>
              </w:rPr>
              <w:t>3,717</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right="420" w:firstLine="308"/>
        <w:spacing w:after="0" w:line="278" w:lineRule="auto"/>
        <w:rPr>
          <w:sz w:val="20"/>
          <w:szCs w:val="20"/>
          <w:color w:val="auto"/>
        </w:rPr>
      </w:pPr>
      <w:r>
        <w:rPr>
          <w:rFonts w:ascii="Arial" w:cs="Arial" w:eastAsia="Arial" w:hAnsi="Arial"/>
          <w:sz w:val="17"/>
          <w:szCs w:val="17"/>
          <w:color w:val="auto"/>
        </w:rPr>
        <w:t>In addition, we enter into agreements as a part of normal course of business with various vendors, which are generally cancellable without material penalty upon written notice. Payments associated with these agreements are not included in this table of contractual obligations.</w:t>
      </w:r>
    </w:p>
    <w:p>
      <w:pPr>
        <w:spacing w:after="0" w:line="112" w:lineRule="exact"/>
        <w:rPr>
          <w:sz w:val="20"/>
          <w:szCs w:val="20"/>
          <w:color w:val="auto"/>
        </w:rPr>
      </w:pPr>
    </w:p>
    <w:p>
      <w:pPr>
        <w:ind w:right="120" w:firstLine="308"/>
        <w:spacing w:after="0" w:line="278" w:lineRule="auto"/>
        <w:rPr>
          <w:sz w:val="20"/>
          <w:szCs w:val="20"/>
          <w:color w:val="auto"/>
        </w:rPr>
      </w:pPr>
      <w:r>
        <w:rPr>
          <w:rFonts w:ascii="Arial" w:cs="Arial" w:eastAsia="Arial" w:hAnsi="Arial"/>
          <w:sz w:val="16"/>
          <w:szCs w:val="16"/>
          <w:color w:val="auto"/>
        </w:rPr>
        <w:t>Our operating lease obligations reflect our lease obligations for our headquarters facility in Redwood City, California. In June 2020, we amended the lease agreement for this facility to expand the office and laboratory space covered by the lease, extend the lease through February 2032, and increase the annual base rent for the expanded premises. Upon occupancy of the expansion facility that is anticipated to occur in the fourth quarter of 2021, the annual base rent will be $0.9 million in the first 12 months of the lease term (subject to an abatement period of nine months), and increases on an annual basis to $1.2 million in the final 12 months of the lease term. The amendment also provides for tenant incentives in the amount of $2.4 million.</w:t>
      </w:r>
    </w:p>
    <w:p>
      <w:pPr>
        <w:spacing w:after="0" w:line="116" w:lineRule="exact"/>
        <w:rPr>
          <w:sz w:val="20"/>
          <w:szCs w:val="20"/>
          <w:color w:val="auto"/>
        </w:rPr>
      </w:pPr>
    </w:p>
    <w:p>
      <w:pPr>
        <w:jc w:val="both"/>
        <w:ind w:right="560" w:firstLine="308"/>
        <w:spacing w:after="0" w:line="265" w:lineRule="auto"/>
        <w:rPr>
          <w:sz w:val="20"/>
          <w:szCs w:val="20"/>
          <w:color w:val="auto"/>
        </w:rPr>
      </w:pPr>
      <w:r>
        <w:rPr>
          <w:rFonts w:ascii="Arial" w:cs="Arial" w:eastAsia="Arial" w:hAnsi="Arial"/>
          <w:sz w:val="17"/>
          <w:szCs w:val="17"/>
          <w:color w:val="auto"/>
        </w:rPr>
        <w:t>The above table does not include the operating lease we entered into in Redwood City, California in April 2021, which has an approximate 11-year term. Payments associated with this operating lease agreement will result in additional operating lease obligations not included in the above table of approximately $160,000 per month plus operating expenses.</w:t>
      </w:r>
    </w:p>
    <w:p>
      <w:pPr>
        <w:spacing w:after="0" w:line="123" w:lineRule="exact"/>
        <w:rPr>
          <w:sz w:val="20"/>
          <w:szCs w:val="20"/>
          <w:color w:val="auto"/>
        </w:rPr>
      </w:pPr>
    </w:p>
    <w:p>
      <w:pPr>
        <w:ind w:right="360" w:firstLine="308"/>
        <w:spacing w:after="0" w:line="258" w:lineRule="auto"/>
        <w:rPr>
          <w:sz w:val="20"/>
          <w:szCs w:val="20"/>
          <w:color w:val="auto"/>
        </w:rPr>
      </w:pPr>
      <w:r>
        <w:rPr>
          <w:rFonts w:ascii="Arial" w:cs="Arial" w:eastAsia="Arial" w:hAnsi="Arial"/>
          <w:sz w:val="17"/>
          <w:szCs w:val="17"/>
          <w:color w:val="auto"/>
        </w:rPr>
        <w:t>We have certain purchase commitments related to its inventory management with certain manufacturing suppliers wherein the Company is required to purchase the amounts forecasted in a blanket purchase order within a certain time period. The contractual obligations represent future cash commitments and liabilities under agreements with third parties and exclude orders for goods and services entered into in the normal course of business that are not enforceable or subject to change. These outstanding commitments amounted to $4.6 million as of March 31, 2021. These payments are not included in the table of contractual obligations above.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70" w:lineRule="exact"/>
        <w:rPr>
          <w:sz w:val="20"/>
          <w:szCs w:val="20"/>
          <w:color w:val="auto"/>
        </w:rPr>
      </w:pPr>
    </w:p>
    <w:p>
      <w:pPr>
        <w:ind w:right="480" w:firstLine="308"/>
        <w:spacing w:after="0" w:line="278" w:lineRule="auto"/>
        <w:rPr>
          <w:sz w:val="20"/>
          <w:szCs w:val="20"/>
          <w:color w:val="auto"/>
        </w:rPr>
      </w:pPr>
      <w:r>
        <w:rPr>
          <w:rFonts w:ascii="Arial" w:cs="Arial" w:eastAsia="Arial" w:hAnsi="Arial"/>
          <w:sz w:val="17"/>
          <w:szCs w:val="17"/>
          <w:color w:val="auto"/>
        </w:rPr>
        <w:t>Since the date of our incorporation, we have not engaged in any off-balance sheet arrangements, as such term is defined in the rules and regulations of the SEC.</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Significant Judgments and Use of Estimates</w:t>
      </w:r>
    </w:p>
    <w:p>
      <w:pPr>
        <w:spacing w:after="0" w:line="170" w:lineRule="exact"/>
        <w:rPr>
          <w:sz w:val="20"/>
          <w:szCs w:val="20"/>
          <w:color w:val="auto"/>
        </w:rPr>
      </w:pPr>
    </w:p>
    <w:p>
      <w:pPr>
        <w:ind w:right="160" w:firstLine="308"/>
        <w:spacing w:after="0" w:line="294" w:lineRule="auto"/>
        <w:rPr>
          <w:sz w:val="20"/>
          <w:szCs w:val="20"/>
          <w:color w:val="auto"/>
        </w:rPr>
      </w:pPr>
      <w:r>
        <w:rPr>
          <w:rFonts w:ascii="Arial" w:cs="Arial" w:eastAsia="Arial" w:hAnsi="Arial"/>
          <w:sz w:val="15"/>
          <w:szCs w:val="15"/>
          <w:color w:val="auto"/>
        </w:rPr>
        <w:t>The discussion and analysis of our financial condition and results of operations is based on our unaudited condensed consolidated financial statements, which have been prepared in accordance with United States generally accepted accounting principles. The preparation of these unaudited condensed consolidated financial statements requires us to make estimates and assumptions that affect the reported amounts of assets, liabilities, and the disclosure of contingent assets and liabilities at the date of the unaudited condensed consolidated financial statements, as well as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08" w:lineRule="exact"/>
        <w:rPr>
          <w:sz w:val="20"/>
          <w:szCs w:val="20"/>
          <w:color w:val="auto"/>
        </w:rPr>
      </w:pPr>
    </w:p>
    <w:p>
      <w:pPr>
        <w:ind w:right="140" w:firstLine="308"/>
        <w:spacing w:after="0" w:line="278" w:lineRule="auto"/>
        <w:rPr>
          <w:sz w:val="20"/>
          <w:szCs w:val="20"/>
          <w:color w:val="auto"/>
        </w:rPr>
      </w:pPr>
      <w:r>
        <w:rPr>
          <w:rFonts w:ascii="Arial" w:cs="Arial" w:eastAsia="Arial" w:hAnsi="Arial"/>
          <w:sz w:val="17"/>
          <w:szCs w:val="17"/>
          <w:color w:val="auto"/>
        </w:rPr>
        <w:t>There have been no significant changes in our critical accounting policies and estimates as compared to the critical accounting policies and estimates disclosed in the section titled “Management’s Discussion and Analysis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0" w:name="page31"/>
    <w:bookmarkEnd w:id="30"/>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Financial Condition and Operations” included in our Annual Report on Form 10-K for the fiscal year ended December 31, 2020.</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w:t>
      </w:r>
    </w:p>
    <w:p>
      <w:pPr>
        <w:spacing w:after="0" w:line="170" w:lineRule="exact"/>
        <w:rPr>
          <w:sz w:val="20"/>
          <w:szCs w:val="20"/>
          <w:color w:val="auto"/>
        </w:rPr>
      </w:pPr>
    </w:p>
    <w:p>
      <w:pPr>
        <w:ind w:right="20" w:firstLine="308"/>
        <w:spacing w:after="0" w:line="272" w:lineRule="auto"/>
        <w:rPr>
          <w:sz w:val="20"/>
          <w:szCs w:val="20"/>
          <w:color w:val="auto"/>
        </w:rPr>
      </w:pPr>
      <w:r>
        <w:rPr>
          <w:rFonts w:ascii="Arial" w:cs="Arial" w:eastAsia="Arial" w:hAnsi="Arial"/>
          <w:sz w:val="16"/>
          <w:szCs w:val="16"/>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Other exemptions and reduced reporting requirements under the JOBS Act for emerging growth companies include presentation of only two years audited financial statements in a registration statement for an initial public offering, an exemption from the requirement to provide an auditor’s report on internal controls over financial reporting pursuant to the Sarbanes-Oxley Act, an exemption from any requirement that may be adopted by the Public Company Accounting Oversight Board regarding mandatory audit firm rotation, and less extensive disclosure about our executive compensation arrangements. We have elected to use the extended transition period for complying with new or revised accounting standards that have different effective dates for public and private companies until the earlier of the date that (i) we are no longer an emerging growth company or (ii) we affirmatively and irrevocably opt out of the extended transition period provided in the JOBS Act. As a result, our condensed consolidated financial statements may not be comparable to companies that comply with the new or revised accounting pronouncements as of public company effective dates.</w:t>
      </w:r>
    </w:p>
    <w:p>
      <w:pPr>
        <w:spacing w:after="0" w:line="125" w:lineRule="exact"/>
        <w:rPr>
          <w:sz w:val="20"/>
          <w:szCs w:val="20"/>
          <w:color w:val="auto"/>
        </w:rPr>
      </w:pPr>
    </w:p>
    <w:p>
      <w:pPr>
        <w:ind w:right="160" w:firstLine="308"/>
        <w:spacing w:after="0" w:line="282" w:lineRule="auto"/>
        <w:rPr>
          <w:sz w:val="20"/>
          <w:szCs w:val="20"/>
          <w:color w:val="auto"/>
        </w:rPr>
      </w:pPr>
      <w:r>
        <w:rPr>
          <w:rFonts w:ascii="Arial" w:cs="Arial" w:eastAsia="Arial" w:hAnsi="Arial"/>
          <w:sz w:val="16"/>
          <w:szCs w:val="16"/>
          <w:color w:val="auto"/>
        </w:rPr>
        <w:t>We will remain an emerging growth company under the JOBS Act until the earliest of (i) the last day of our first fiscal year in which we have total annual gross revenue of $1.07 billion or more, (ii) the date on which we have issued more than $1.0 billion of non-convertible debt instruments during the previous three fiscal years or (iii) the date on which we are deemed a “large accelerated filer” under the rules of the SEC with at least $700.0 million of outstanding equity securities held by non-affiliates, or (iv) the last day of the fiscal year following the fifth anniversary of completion of our initial public offering.</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70" w:lineRule="exact"/>
        <w:rPr>
          <w:sz w:val="20"/>
          <w:szCs w:val="20"/>
          <w:color w:val="auto"/>
        </w:rPr>
      </w:pPr>
    </w:p>
    <w:p>
      <w:pPr>
        <w:jc w:val="both"/>
        <w:ind w:right="520" w:firstLine="308"/>
        <w:spacing w:after="0" w:line="265" w:lineRule="auto"/>
        <w:rPr>
          <w:sz w:val="20"/>
          <w:szCs w:val="20"/>
          <w:color w:val="auto"/>
        </w:rPr>
      </w:pPr>
      <w:r>
        <w:rPr>
          <w:rFonts w:ascii="Arial" w:cs="Arial" w:eastAsia="Arial" w:hAnsi="Arial"/>
          <w:sz w:val="17"/>
          <w:szCs w:val="17"/>
          <w:color w:val="auto"/>
        </w:rPr>
        <w:t>See Note 2 to our unaudited condensed consolidated financial statements included elsewhere in this Quarterly Report for more information about recent accounting pronouncements, the timing of their adoption, and our assessment, to the extent we have made one yet, of their potential impact on our financial condition of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64" w:lineRule="exact"/>
        <w:rPr>
          <w:sz w:val="20"/>
          <w:szCs w:val="20"/>
          <w:color w:val="auto"/>
        </w:rPr>
      </w:pPr>
    </w:p>
    <w:p>
      <w:pPr>
        <w:ind w:right="80" w:firstLine="308"/>
        <w:spacing w:after="0" w:line="289" w:lineRule="auto"/>
        <w:rPr>
          <w:sz w:val="20"/>
          <w:szCs w:val="20"/>
          <w:color w:val="auto"/>
        </w:rPr>
      </w:pPr>
      <w:r>
        <w:rPr>
          <w:rFonts w:ascii="Arial" w:cs="Arial" w:eastAsia="Arial" w:hAnsi="Arial"/>
          <w:sz w:val="16"/>
          <w:szCs w:val="16"/>
          <w:color w:val="auto"/>
        </w:rPr>
        <w:t>We have exposure to interest rate risk that relates to our cash, cash equivalents, and investments held in money market funds and U.S. Treasury securities. The goals of our investment policy are liquidity and capital preservation. We believe that we do not have any material exposure to changes in the fair value of these assets as a result of changes in interest rates due to the short-term nature of our cash, cash equivalents, and investments.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70" w:lineRule="exact"/>
        <w:rPr>
          <w:sz w:val="20"/>
          <w:szCs w:val="20"/>
          <w:color w:val="auto"/>
        </w:rPr>
      </w:pPr>
    </w:p>
    <w:p>
      <w:pPr>
        <w:ind w:firstLine="308"/>
        <w:spacing w:after="0" w:line="275"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(CEO), and Chief Financial Officer (CFO),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CEO and the CFO, to allow timely decisions regarding required disclosures. Any controls and procedures, no matter how well designed and operated, can provide only reasonable assurance of achieving the desired control objective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75"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management necessarily applies its judgment in evaluating the cost-benefit relationship of possible controls and procedures. Based on that evaluation, our CEO and CFO have concluded that our disclosure controls and procedures were not effective at a reasonable assurance level as of March 31, 2021 because of the material weakness in internal controls further discussed below. Notwithstanding the material weakness, our management, including our CEO and CFO, has concluded that our unaudited condensed consolidated financial statements, included in this Quarterly Report fairly present, in all material respects, our financial condition, results of operations and cash flows for the periods presented in conformity with generally accepted accounting principles.</w:t>
      </w:r>
    </w:p>
    <w:p>
      <w:pPr>
        <w:spacing w:after="0" w:line="116" w:lineRule="exact"/>
        <w:rPr>
          <w:sz w:val="20"/>
          <w:szCs w:val="20"/>
          <w:color w:val="auto"/>
        </w:rPr>
      </w:pPr>
    </w:p>
    <w:p>
      <w:pPr>
        <w:ind w:firstLine="308"/>
        <w:spacing w:after="0" w:line="27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a reasonable possibility exists that a material misstatement of our annual or interim financial statements would not be prevented or detected on a timely basis.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Specifically, our management determined that, as of March 31, 2021, we have material weaknesses in each of the following components of the “Internal</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Control—Integrated Framework” (2013), issued by the Committee of Sponsoring Organizations of the Treadway Commission:</w:t>
      </w:r>
    </w:p>
    <w:p>
      <w:pPr>
        <w:spacing w:after="0" w:line="153" w:lineRule="exact"/>
        <w:rPr>
          <w:sz w:val="20"/>
          <w:szCs w:val="20"/>
          <w:color w:val="auto"/>
        </w:rPr>
      </w:pPr>
    </w:p>
    <w:p>
      <w:pPr>
        <w:ind w:left="320"/>
        <w:spacing w:after="0"/>
        <w:tabs>
          <w:tab w:leader="none" w:pos="600" w:val="left"/>
          <w:tab w:leader="none" w:pos="7280" w:val="left"/>
        </w:tabs>
        <w:rPr>
          <w:sz w:val="20"/>
          <w:szCs w:val="20"/>
          <w:color w:val="auto"/>
        </w:rPr>
      </w:pPr>
      <w:r>
        <w:rPr>
          <w:rFonts w:ascii="Arial" w:cs="Arial" w:eastAsia="Arial" w:hAnsi="Arial"/>
          <w:sz w:val="17"/>
          <w:szCs w:val="17"/>
          <w:color w:val="auto"/>
        </w:rPr>
        <w:t>•</w:t>
        <w:tab/>
        <w:t>insufficient accounting personnel to enable segregation of duties relating to the general ledger,</w:t>
      </w:r>
      <w:r>
        <w:rPr>
          <w:sz w:val="20"/>
          <w:szCs w:val="20"/>
          <w:color w:val="auto"/>
        </w:rPr>
        <w:tab/>
      </w:r>
      <w:r>
        <w:rPr>
          <w:rFonts w:ascii="Arial" w:cs="Arial" w:eastAsia="Arial" w:hAnsi="Arial"/>
          <w:sz w:val="15"/>
          <w:szCs w:val="15"/>
          <w:color w:val="auto"/>
        </w:rPr>
        <w:t>disbursement, and certain accounting functions;</w:t>
      </w:r>
    </w:p>
    <w:p>
      <w:pPr>
        <w:spacing w:after="0" w:line="164" w:lineRule="exact"/>
        <w:rPr>
          <w:sz w:val="20"/>
          <w:szCs w:val="20"/>
          <w:color w:val="auto"/>
        </w:rPr>
      </w:pPr>
    </w:p>
    <w:p>
      <w:pPr>
        <w:ind w:left="620" w:right="500" w:hanging="309"/>
        <w:spacing w:after="0" w:line="310" w:lineRule="auto"/>
        <w:tabs>
          <w:tab w:leader="none" w:pos="6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 formalized processes or controls for account reconciliations, including independent review of such reconciliations, or related financial statement analysis prepared in conformity with generally accepted accounting principles in the United States (U.S. GAAP); and</w:t>
      </w:r>
    </w:p>
    <w:p>
      <w:pPr>
        <w:spacing w:after="0" w:line="90" w:lineRule="exact"/>
        <w:rPr>
          <w:rFonts w:ascii="Arial" w:cs="Arial" w:eastAsia="Arial" w:hAnsi="Arial"/>
          <w:sz w:val="16"/>
          <w:szCs w:val="16"/>
          <w:color w:val="auto"/>
        </w:rPr>
      </w:pPr>
    </w:p>
    <w:p>
      <w:pPr>
        <w:ind w:left="620" w:right="40" w:hanging="309"/>
        <w:spacing w:after="0" w:line="278" w:lineRule="auto"/>
        <w:tabs>
          <w:tab w:leader="none" w:pos="615"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insufficient complement of accounting personnel with the necessary U.S. GAAP technical expertise to timely identify and account for complex or non-routine transactions or to formalize accounting policies, memoranda, or controls for such transactions.</w:t>
      </w:r>
    </w:p>
    <w:p>
      <w:pPr>
        <w:spacing w:after="0" w:line="112" w:lineRule="exact"/>
        <w:rPr>
          <w:sz w:val="20"/>
          <w:szCs w:val="20"/>
          <w:color w:val="auto"/>
        </w:rPr>
      </w:pPr>
    </w:p>
    <w:p>
      <w:pPr>
        <w:ind w:right="400" w:firstLine="308"/>
        <w:spacing w:after="0" w:line="265" w:lineRule="auto"/>
        <w:rPr>
          <w:sz w:val="20"/>
          <w:szCs w:val="20"/>
          <w:color w:val="auto"/>
        </w:rPr>
      </w:pPr>
      <w:r>
        <w:rPr>
          <w:rFonts w:ascii="Arial" w:cs="Arial" w:eastAsia="Arial" w:hAnsi="Arial"/>
          <w:sz w:val="17"/>
          <w:szCs w:val="17"/>
          <w:color w:val="auto"/>
        </w:rPr>
        <w:t>These material weaknesses could result in a misstatement of account balances or disclosures that would result in a material misstatement of our annual or interim consolidated financial statements that may not be prevented or detected, and accordingly, it was determined that these control deficiencies constitute material weaknesses.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Remediation Plan</w:t>
      </w:r>
    </w:p>
    <w:p>
      <w:pPr>
        <w:spacing w:after="0" w:line="164" w:lineRule="exact"/>
        <w:rPr>
          <w:sz w:val="20"/>
          <w:szCs w:val="20"/>
          <w:color w:val="auto"/>
        </w:rPr>
      </w:pPr>
    </w:p>
    <w:p>
      <w:pPr>
        <w:ind w:right="20" w:firstLine="308"/>
        <w:spacing w:after="0" w:line="275" w:lineRule="auto"/>
        <w:rPr>
          <w:sz w:val="20"/>
          <w:szCs w:val="20"/>
          <w:color w:val="auto"/>
        </w:rPr>
      </w:pPr>
      <w:r>
        <w:rPr>
          <w:rFonts w:ascii="Arial" w:cs="Arial" w:eastAsia="Arial" w:hAnsi="Arial"/>
          <w:sz w:val="16"/>
          <w:szCs w:val="16"/>
          <w:color w:val="auto"/>
        </w:rPr>
        <w:t>We have begun to take certain actions to address the control deficiencies in our financial reporting, including hiring three finance department employees with appropriate expertise, including our Chief Financial Officer and our Controller, and retaining an accounting consulting firm to provide additional depth and breadth to our technical accounting and financial reporting capabilities. We have also begun to review and document our accounting and financial processes and internal controls, build out our financial management and reporting systems infrastructure, and further develop and formalize our accounting policies and financial reporting procedures, which includes ongoing senior management review and establishing our audit committee oversight. In addition, we have commenced work with a consulting firm to assist in the design effectiveness and testing of our internal controls and we plan to hire an additional four finance and accounting personnel during 2021 to assist in executing on these specific functions, of which we have hired two personnel as of March 31, 2021.</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on Effectiveness of Controls</w:t>
      </w:r>
    </w:p>
    <w:p>
      <w:pPr>
        <w:spacing w:after="0" w:line="170" w:lineRule="exact"/>
        <w:rPr>
          <w:sz w:val="20"/>
          <w:szCs w:val="20"/>
          <w:color w:val="auto"/>
        </w:rPr>
      </w:pPr>
    </w:p>
    <w:p>
      <w:pPr>
        <w:ind w:right="20" w:firstLine="308"/>
        <w:spacing w:after="0" w:line="256" w:lineRule="auto"/>
        <w:rPr>
          <w:sz w:val="20"/>
          <w:szCs w:val="20"/>
          <w:color w:val="auto"/>
        </w:rPr>
      </w:pPr>
      <w:r>
        <w:rPr>
          <w:rFonts w:ascii="Arial" w:cs="Arial" w:eastAsia="Arial" w:hAnsi="Arial"/>
          <w:sz w:val="17"/>
          <w:szCs w:val="17"/>
          <w:color w:val="auto"/>
        </w:rPr>
        <w:t>Our management, including our CEO and CFO,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70" w:lineRule="exact"/>
        <w:rPr>
          <w:sz w:val="20"/>
          <w:szCs w:val="20"/>
          <w:color w:val="auto"/>
        </w:rPr>
      </w:pPr>
    </w:p>
    <w:p>
      <w:pPr>
        <w:ind w:right="60" w:firstLine="308"/>
        <w:spacing w:after="0" w:line="265" w:lineRule="auto"/>
        <w:rPr>
          <w:sz w:val="20"/>
          <w:szCs w:val="20"/>
          <w:color w:val="auto"/>
        </w:rPr>
      </w:pPr>
      <w:r>
        <w:rPr>
          <w:rFonts w:ascii="Arial" w:cs="Arial" w:eastAsia="Arial" w:hAnsi="Arial"/>
          <w:sz w:val="17"/>
          <w:szCs w:val="17"/>
          <w:color w:val="auto"/>
        </w:rPr>
        <w:t>Except for the identification of the material weaknesses and the remediation plan described above, there were no changes in our internal control over financial reporting (as such term is defined in Rules 13a-15(f) under the Exchange Act) during the quarter ended March 31, 2021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PART II—OTHER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70" w:lineRule="exact"/>
        <w:rPr>
          <w:sz w:val="20"/>
          <w:szCs w:val="20"/>
          <w:color w:val="auto"/>
        </w:rPr>
      </w:pPr>
    </w:p>
    <w:p>
      <w:pPr>
        <w:ind w:right="20" w:firstLine="308"/>
        <w:spacing w:after="0" w:line="310" w:lineRule="auto"/>
        <w:rPr>
          <w:sz w:val="20"/>
          <w:szCs w:val="20"/>
          <w:color w:val="auto"/>
        </w:rPr>
      </w:pPr>
      <w:r>
        <w:rPr>
          <w:rFonts w:ascii="Arial" w:cs="Arial" w:eastAsia="Arial" w:hAnsi="Arial"/>
          <w:sz w:val="16"/>
          <w:szCs w:val="16"/>
          <w:color w:val="auto"/>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70" w:lineRule="exact"/>
        <w:rPr>
          <w:sz w:val="20"/>
          <w:szCs w:val="20"/>
          <w:color w:val="auto"/>
        </w:rPr>
      </w:pPr>
    </w:p>
    <w:p>
      <w:pPr>
        <w:ind w:firstLine="308"/>
        <w:spacing w:after="0" w:line="298" w:lineRule="auto"/>
        <w:rPr>
          <w:sz w:val="20"/>
          <w:szCs w:val="20"/>
          <w:color w:val="auto"/>
        </w:rPr>
      </w:pPr>
      <w:r>
        <w:rPr>
          <w:rFonts w:ascii="Arial" w:cs="Arial" w:eastAsia="Arial" w:hAnsi="Arial"/>
          <w:sz w:val="15"/>
          <w:szCs w:val="15"/>
          <w:i w:val="1"/>
          <w:iCs w:val="1"/>
          <w:color w:val="auto"/>
        </w:rPr>
        <w:t>Investing in our Class A common stock involves a high degree of risk. You should carefully consider the risks described below, as well as the other information in this Quarterly Report, including our unaudited condensed consolidated financial statements and the related notes and the section titled “Management’s Discussion and Analysis of Financial Condition and Results of Operations” in this Quarterly Report,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Risk Factor</w:t>
      </w:r>
    </w:p>
    <w:p>
      <w:pPr>
        <w:spacing w:after="0" w:line="170"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b w:val="1"/>
          <w:bCs w:val="1"/>
          <w:i w:val="1"/>
          <w:iCs w:val="1"/>
          <w:color w:val="auto"/>
        </w:rPr>
        <w:t>Our business is subject to numerous risks and uncertainties that you should consider before investing in our company, as more fully described below. The principal factors and uncertainties that make investing in our company risky include, among others:</w:t>
      </w:r>
    </w:p>
    <w:p>
      <w:pPr>
        <w:spacing w:after="0" w:line="112" w:lineRule="exact"/>
        <w:rPr>
          <w:sz w:val="20"/>
          <w:szCs w:val="20"/>
          <w:color w:val="auto"/>
        </w:rPr>
      </w:pPr>
    </w:p>
    <w:p>
      <w:pPr>
        <w:ind w:left="620" w:right="360" w:hanging="309"/>
        <w:spacing w:after="0" w:line="278" w:lineRule="auto"/>
        <w:tabs>
          <w:tab w:leader="none" w:pos="6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12" w:lineRule="exact"/>
        <w:rPr>
          <w:rFonts w:ascii="Arial" w:cs="Arial" w:eastAsia="Arial" w:hAnsi="Arial"/>
          <w:sz w:val="17"/>
          <w:szCs w:val="17"/>
          <w:color w:val="auto"/>
        </w:rPr>
      </w:pPr>
    </w:p>
    <w:p>
      <w:pPr>
        <w:ind w:left="620" w:hanging="309"/>
        <w:spacing w:after="0"/>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have a limited operating history, which may make it difficult to evaluate the prospects for our future viability and predict our future performance;</w:t>
      </w:r>
    </w:p>
    <w:p>
      <w:pPr>
        <w:spacing w:after="0" w:line="175" w:lineRule="exact"/>
        <w:rPr>
          <w:rFonts w:ascii="Arial" w:cs="Arial" w:eastAsia="Arial" w:hAnsi="Arial"/>
          <w:sz w:val="16"/>
          <w:szCs w:val="16"/>
          <w:color w:val="auto"/>
        </w:rPr>
      </w:pPr>
    </w:p>
    <w:p>
      <w:pPr>
        <w:ind w:left="620" w:right="140" w:hanging="309"/>
        <w:spacing w:after="0" w:line="278" w:lineRule="auto"/>
        <w:tabs>
          <w:tab w:leader="none" w:pos="6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2" w:lineRule="exact"/>
        <w:rPr>
          <w:rFonts w:ascii="Arial" w:cs="Arial" w:eastAsia="Arial" w:hAnsi="Arial"/>
          <w:sz w:val="17"/>
          <w:szCs w:val="17"/>
          <w:color w:val="auto"/>
        </w:rPr>
      </w:pPr>
    </w:p>
    <w:p>
      <w:pPr>
        <w:ind w:left="620" w:right="80" w:hanging="309"/>
        <w:spacing w:after="0" w:line="278" w:lineRule="auto"/>
        <w:tabs>
          <w:tab w:leader="none" w:pos="6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size of the markets for our Proteograph Product Suite may be smaller than estimated, and new market opportunities may not develop as quickly as we expect, or at all, limiting our ability to successfully sell our products;</w:t>
      </w:r>
    </w:p>
    <w:p>
      <w:pPr>
        <w:spacing w:after="0" w:line="112" w:lineRule="exact"/>
        <w:rPr>
          <w:rFonts w:ascii="Arial" w:cs="Arial" w:eastAsia="Arial" w:hAnsi="Arial"/>
          <w:sz w:val="17"/>
          <w:szCs w:val="17"/>
          <w:color w:val="auto"/>
        </w:rPr>
      </w:pPr>
    </w:p>
    <w:p>
      <w:pPr>
        <w:ind w:left="620" w:right="660" w:hanging="309"/>
        <w:spacing w:after="0" w:line="278" w:lineRule="auto"/>
        <w:tabs>
          <w:tab w:leader="none" w:pos="6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have not yet commercially launched our Proteograph Product Suite broadly, and we may not be able to successfully commercially launch our Proteograph as planned;</w:t>
      </w:r>
    </w:p>
    <w:p>
      <w:pPr>
        <w:spacing w:after="0" w:line="112" w:lineRule="exact"/>
        <w:rPr>
          <w:rFonts w:ascii="Arial" w:cs="Arial" w:eastAsia="Arial" w:hAnsi="Arial"/>
          <w:sz w:val="17"/>
          <w:szCs w:val="17"/>
          <w:color w:val="auto"/>
        </w:rPr>
      </w:pPr>
    </w:p>
    <w:p>
      <w:pPr>
        <w:ind w:left="620" w:right="40" w:hanging="309"/>
        <w:spacing w:after="0" w:line="278" w:lineRule="auto"/>
        <w:tabs>
          <w:tab w:leader="none" w:pos="6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even if we commercially launch our Proteograph Product Suite, our success depends on broad scientific and market acceptance of our Proteograph, which we may fail to achieve;</w:t>
      </w:r>
    </w:p>
    <w:p>
      <w:pPr>
        <w:spacing w:after="0" w:line="112" w:lineRule="exact"/>
        <w:rPr>
          <w:rFonts w:ascii="Arial" w:cs="Arial" w:eastAsia="Arial" w:hAnsi="Arial"/>
          <w:sz w:val="17"/>
          <w:szCs w:val="17"/>
          <w:color w:val="auto"/>
        </w:rPr>
      </w:pPr>
    </w:p>
    <w:p>
      <w:pPr>
        <w:ind w:left="620" w:right="560" w:hanging="309"/>
        <w:spacing w:after="0" w:line="278" w:lineRule="auto"/>
        <w:tabs>
          <w:tab w:leader="none" w:pos="6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even if our Proteograph Product Suite is commercialized and achieves broad scientific and market acceptance, if we fail to improve it or introduce compelling new products, our revenues and our prospects could be harmed;</w:t>
      </w:r>
    </w:p>
    <w:p>
      <w:pPr>
        <w:spacing w:after="0" w:line="112" w:lineRule="exact"/>
        <w:rPr>
          <w:rFonts w:ascii="Arial" w:cs="Arial" w:eastAsia="Arial" w:hAnsi="Arial"/>
          <w:sz w:val="17"/>
          <w:szCs w:val="17"/>
          <w:color w:val="auto"/>
        </w:rPr>
      </w:pPr>
    </w:p>
    <w:p>
      <w:pPr>
        <w:ind w:left="620" w:right="200" w:hanging="309"/>
        <w:spacing w:after="0" w:line="278" w:lineRule="auto"/>
        <w:tabs>
          <w:tab w:leader="none" w:pos="6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COVID-19 pandemic and efforts to reduce its spread have adversely impacted, and are expected to continue to materially and adversely impact, our business and operations;</w:t>
      </w:r>
    </w:p>
    <w:p>
      <w:pPr>
        <w:spacing w:after="0" w:line="112" w:lineRule="exact"/>
        <w:rPr>
          <w:rFonts w:ascii="Arial" w:cs="Arial" w:eastAsia="Arial" w:hAnsi="Arial"/>
          <w:sz w:val="17"/>
          <w:szCs w:val="17"/>
          <w:color w:val="auto"/>
        </w:rPr>
      </w:pPr>
    </w:p>
    <w:p>
      <w:pPr>
        <w:ind w:left="620" w:right="520" w:hanging="309"/>
        <w:spacing w:after="0" w:line="278" w:lineRule="auto"/>
        <w:tabs>
          <w:tab w:leader="none" w:pos="615"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we are unable to obtain and maintain sufficient intellectual property protection for our products and technology, or if the scope of the intellectual property protection obtained is not sufficiently broad,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4" w:name="page35"/>
    <w:bookmarkEnd w:id="34"/>
    <w:p>
      <w:pPr>
        <w:spacing w:after="0" w:line="75" w:lineRule="exact"/>
        <w:rPr>
          <w:sz w:val="20"/>
          <w:szCs w:val="20"/>
          <w:color w:val="auto"/>
        </w:rPr>
      </w:pPr>
    </w:p>
    <w:p>
      <w:pPr>
        <w:ind w:left="620" w:right="340"/>
        <w:spacing w:after="0" w:line="278" w:lineRule="auto"/>
        <w:rPr>
          <w:sz w:val="20"/>
          <w:szCs w:val="20"/>
          <w:color w:val="auto"/>
        </w:rPr>
      </w:pPr>
      <w:r>
        <w:rPr>
          <w:rFonts w:ascii="Arial" w:cs="Arial" w:eastAsia="Arial" w:hAnsi="Arial"/>
          <w:sz w:val="17"/>
          <w:szCs w:val="17"/>
          <w:color w:val="auto"/>
        </w:rPr>
        <w:t>competitors could develop and commercialize products similar or identical to ours, and our ability to successfully commercialize our products may be impaired; and</w:t>
      </w:r>
    </w:p>
    <w:p>
      <w:pPr>
        <w:spacing w:after="0" w:line="112" w:lineRule="exact"/>
        <w:rPr>
          <w:sz w:val="20"/>
          <w:szCs w:val="20"/>
          <w:color w:val="auto"/>
        </w:rPr>
      </w:pPr>
    </w:p>
    <w:p>
      <w:pPr>
        <w:ind w:left="620" w:hanging="309"/>
        <w:spacing w:after="0" w:line="261" w:lineRule="auto"/>
        <w:tabs>
          <w:tab w:leader="none" w:pos="6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Class A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70" w:lineRule="exact"/>
        <w:rPr>
          <w:sz w:val="20"/>
          <w:szCs w:val="20"/>
          <w:color w:val="auto"/>
        </w:rPr>
      </w:pPr>
    </w:p>
    <w:p>
      <w:pPr>
        <w:ind w:right="780"/>
        <w:spacing w:after="0" w:line="278" w:lineRule="auto"/>
        <w:rPr>
          <w:sz w:val="20"/>
          <w:szCs w:val="20"/>
          <w:color w:val="auto"/>
        </w:rPr>
      </w:pPr>
      <w:r>
        <w:rPr>
          <w:rFonts w:ascii="Arial" w:cs="Arial" w:eastAsia="Arial" w:hAnsi="Arial"/>
          <w:sz w:val="17"/>
          <w:szCs w:val="17"/>
          <w:b w:val="1"/>
          <w:bCs w:val="1"/>
          <w:i w:val="1"/>
          <w:iCs w:val="1"/>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12" w:lineRule="exact"/>
        <w:rPr>
          <w:sz w:val="20"/>
          <w:szCs w:val="20"/>
          <w:color w:val="auto"/>
        </w:rPr>
      </w:pPr>
    </w:p>
    <w:p>
      <w:pPr>
        <w:ind w:right="20" w:firstLine="308"/>
        <w:spacing w:after="0" w:line="255" w:lineRule="auto"/>
        <w:rPr>
          <w:sz w:val="20"/>
          <w:szCs w:val="20"/>
          <w:color w:val="auto"/>
        </w:rPr>
      </w:pPr>
      <w:r>
        <w:rPr>
          <w:rFonts w:ascii="Arial" w:cs="Arial" w:eastAsia="Arial" w:hAnsi="Arial"/>
          <w:sz w:val="17"/>
          <w:szCs w:val="17"/>
          <w:color w:val="auto"/>
        </w:rPr>
        <w:t>We are an early-stage life sciences technology company, and we have incurred significant losses since we were formed in 2017, and expect to continue to incur losses in the future. For the three months ended March 31, 2021 and 2020, we incurred net losses of $16.4 million and $5.5 million, respectively. As of March 31, 2021, we had an accumulated deficit of $71.8 million. These losses and accumulated deficit were primarily due to the substantial investments we have made to develop and improve our technology and our Proteograph Product Suite. Over the next several years, we expect to continue to devote substantially all of our resources towards continuing development and future commercialization of our Proteograph Product Suite and research and development efforts for products. These efforts may prove more costly than we currently anticipate. We have not generated any product revenue and we may never generate revenue sufficient to offset our expenses, or at all. In addition, as a newly public company, we will incur significant legal, accounting, administrative, insurance and other expenses that we did not incur as a private company. Accordingly, we cannot assure you that we will achieve profitability in the future or that, if we do become profitable, we will sustain profitability.</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limited operating history, which may make it difficult to evaluate the prospects for our future viability and predict our future performance.</w:t>
      </w:r>
    </w:p>
    <w:p>
      <w:pPr>
        <w:spacing w:after="0" w:line="187" w:lineRule="exact"/>
        <w:rPr>
          <w:sz w:val="20"/>
          <w:szCs w:val="20"/>
          <w:color w:val="auto"/>
        </w:rPr>
      </w:pPr>
    </w:p>
    <w:p>
      <w:pPr>
        <w:ind w:right="40" w:firstLine="308"/>
        <w:spacing w:after="0" w:line="276" w:lineRule="auto"/>
        <w:rPr>
          <w:sz w:val="20"/>
          <w:szCs w:val="20"/>
          <w:color w:val="auto"/>
        </w:rPr>
      </w:pPr>
      <w:r>
        <w:rPr>
          <w:rFonts w:ascii="Arial" w:cs="Arial" w:eastAsia="Arial" w:hAnsi="Arial"/>
          <w:sz w:val="16"/>
          <w:szCs w:val="16"/>
          <w:color w:val="auto"/>
        </w:rPr>
        <w:t>We have not yet broadly commercialized our Proteograph Product Suite or any other products, and have not generated any product revenue to date. Our operations to date have been limited to developing our technology and products. Our prospects must be considered in light of the uncertainties, risks, expenses, and difficulties frequently encountered by companies in their early stages of operations. We have not yet achieved market acceptance for our products, produced our products at scale, established a sales model, or conducted sales and marketing activities necessary for successful broad product commercialization.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18" w:lineRule="exact"/>
        <w:rPr>
          <w:sz w:val="20"/>
          <w:szCs w:val="20"/>
          <w:color w:val="auto"/>
        </w:rPr>
      </w:pPr>
    </w:p>
    <w:p>
      <w:pPr>
        <w:ind w:right="100" w:firstLine="308"/>
        <w:spacing w:after="0" w:line="298" w:lineRule="auto"/>
        <w:rPr>
          <w:sz w:val="20"/>
          <w:szCs w:val="20"/>
          <w:color w:val="auto"/>
        </w:rPr>
      </w:pPr>
      <w:r>
        <w:rPr>
          <w:rFonts w:ascii="Arial" w:cs="Arial" w:eastAsia="Arial" w:hAnsi="Arial"/>
          <w:sz w:val="15"/>
          <w:szCs w:val="15"/>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broad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75"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2" w:lineRule="exact"/>
        <w:rPr>
          <w:sz w:val="20"/>
          <w:szCs w:val="20"/>
          <w:color w:val="auto"/>
        </w:rPr>
      </w:pPr>
    </w:p>
    <w:p>
      <w:pPr>
        <w:ind w:right="80" w:firstLine="308"/>
        <w:spacing w:after="0" w:line="278" w:lineRule="auto"/>
        <w:rPr>
          <w:sz w:val="20"/>
          <w:szCs w:val="20"/>
          <w:color w:val="auto"/>
        </w:rPr>
      </w:pPr>
      <w:r>
        <w:rPr>
          <w:rFonts w:ascii="Arial" w:cs="Arial" w:eastAsia="Arial" w:hAnsi="Arial"/>
          <w:sz w:val="17"/>
          <w:szCs w:val="17"/>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12" w:lineRule="exact"/>
        <w:rPr>
          <w:sz w:val="20"/>
          <w:szCs w:val="20"/>
          <w:color w:val="auto"/>
        </w:rPr>
      </w:pPr>
    </w:p>
    <w:p>
      <w:pPr>
        <w:ind w:left="620" w:hanging="309"/>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successfully commercialize our Proteograph Product Suite on our anticipated timeline;</w:t>
      </w:r>
    </w:p>
    <w:p>
      <w:pPr>
        <w:spacing w:after="0" w:line="164" w:lineRule="exact"/>
        <w:rPr>
          <w:rFonts w:ascii="Arial" w:cs="Arial" w:eastAsia="Arial" w:hAnsi="Arial"/>
          <w:sz w:val="17"/>
          <w:szCs w:val="17"/>
          <w:color w:val="auto"/>
        </w:rPr>
      </w:pPr>
    </w:p>
    <w:p>
      <w:pPr>
        <w:ind w:left="620" w:right="220" w:hanging="309"/>
        <w:spacing w:after="0" w:line="347" w:lineRule="auto"/>
        <w:tabs>
          <w:tab w:leader="none" w:pos="615"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timing and cost of, and level of investment in, research and development and commercialization activities relating to our Proteograph Product Suite, including our SP100 automation instrument, proprietary engineered nanoparticle (NP) technology and software, which may change from time to time;</w:t>
      </w:r>
    </w:p>
    <w:p>
      <w:pPr>
        <w:spacing w:after="0" w:line="66" w:lineRule="exact"/>
        <w:rPr>
          <w:rFonts w:ascii="Arial" w:cs="Arial" w:eastAsia="Arial" w:hAnsi="Arial"/>
          <w:sz w:val="15"/>
          <w:szCs w:val="15"/>
          <w:color w:val="auto"/>
        </w:rPr>
      </w:pPr>
    </w:p>
    <w:p>
      <w:pPr>
        <w:ind w:left="620" w:right="120" w:hanging="309"/>
        <w:spacing w:after="0" w:line="278" w:lineRule="auto"/>
        <w:tabs>
          <w:tab w:leader="none" w:pos="6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level of demand for any products we are able to commercialize, particularly our Proteograph Product Suite, which may vary significantly from period to period;</w:t>
      </w:r>
    </w:p>
    <w:p>
      <w:pPr>
        <w:spacing w:after="0" w:line="112" w:lineRule="exact"/>
        <w:rPr>
          <w:rFonts w:ascii="Arial" w:cs="Arial" w:eastAsia="Arial" w:hAnsi="Arial"/>
          <w:sz w:val="17"/>
          <w:szCs w:val="17"/>
          <w:color w:val="auto"/>
        </w:rPr>
      </w:pPr>
    </w:p>
    <w:p>
      <w:pPr>
        <w:ind w:left="620" w:hanging="309"/>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drive adoption of our Proteograph in our target markets and our ability to expand into any future target markets;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prices at which we will be able to sell our Proteograph Product Suite;</w:t>
      </w:r>
    </w:p>
    <w:p>
      <w:pPr>
        <w:spacing w:after="0" w:line="164" w:lineRule="exact"/>
        <w:rPr>
          <w:rFonts w:ascii="Arial" w:cs="Arial" w:eastAsia="Arial" w:hAnsi="Arial"/>
          <w:sz w:val="17"/>
          <w:szCs w:val="17"/>
          <w:color w:val="auto"/>
        </w:rPr>
      </w:pPr>
    </w:p>
    <w:p>
      <w:pPr>
        <w:ind w:left="620" w:right="140" w:hanging="309"/>
        <w:spacing w:after="0" w:line="278" w:lineRule="auto"/>
        <w:tabs>
          <w:tab w:leader="none" w:pos="6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volume and mix of our sales between our Proteograph consumables, SP100 automation instruments and software, or changes in the manufacturing or sales costs related to our products;</w:t>
      </w:r>
    </w:p>
    <w:p>
      <w:pPr>
        <w:spacing w:after="0" w:line="112" w:lineRule="exact"/>
        <w:rPr>
          <w:rFonts w:ascii="Arial" w:cs="Arial" w:eastAsia="Arial" w:hAnsi="Arial"/>
          <w:sz w:val="17"/>
          <w:szCs w:val="17"/>
          <w:color w:val="auto"/>
        </w:rPr>
      </w:pPr>
    </w:p>
    <w:p>
      <w:pPr>
        <w:ind w:left="620" w:hanging="309"/>
        <w:spacing w:after="0" w:line="278" w:lineRule="auto"/>
        <w:tabs>
          <w:tab w:leader="none" w:pos="6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length of time of the sales cycle for purchases of our Proteograph, including lead time needed to procure SP100 automation instruments from our third-party contract manufacturer;</w:t>
      </w:r>
    </w:p>
    <w:p>
      <w:pPr>
        <w:spacing w:after="0" w:line="112" w:lineRule="exact"/>
        <w:rPr>
          <w:rFonts w:ascii="Arial" w:cs="Arial" w:eastAsia="Arial" w:hAnsi="Arial"/>
          <w:sz w:val="17"/>
          <w:szCs w:val="17"/>
          <w:color w:val="auto"/>
        </w:rPr>
      </w:pPr>
    </w:p>
    <w:p>
      <w:pPr>
        <w:ind w:left="620" w:right="40" w:hanging="309"/>
        <w:spacing w:after="0" w:line="278" w:lineRule="auto"/>
        <w:tabs>
          <w:tab w:leader="none" w:pos="6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timing and amount of expenditures that we may incur to develop, commercialize or acquire additional products and technologies or for other purposes, such as the expansion of our facilities;</w:t>
      </w:r>
    </w:p>
    <w:p>
      <w:pPr>
        <w:spacing w:after="0" w:line="112" w:lineRule="exact"/>
        <w:rPr>
          <w:rFonts w:ascii="Arial" w:cs="Arial" w:eastAsia="Arial" w:hAnsi="Arial"/>
          <w:sz w:val="17"/>
          <w:szCs w:val="17"/>
          <w:color w:val="auto"/>
        </w:rPr>
      </w:pPr>
    </w:p>
    <w:p>
      <w:pPr>
        <w:ind w:left="620" w:hanging="309"/>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governmental funding of life sciences research and development or changes that impact budgets and budget cycles;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seasonal spending patterns of our customers;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timing of when we recognize any revenues;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future accounting pronouncements or changes in our accounting policies;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outcome of any future litigation or governmental investigations involving us, our industry or both;</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higher than anticipated service, replacement and warranty costs;</w:t>
      </w:r>
    </w:p>
    <w:p>
      <w:pPr>
        <w:spacing w:after="0" w:line="164" w:lineRule="exact"/>
        <w:rPr>
          <w:rFonts w:ascii="Arial" w:cs="Arial" w:eastAsia="Arial" w:hAnsi="Arial"/>
          <w:sz w:val="17"/>
          <w:szCs w:val="17"/>
          <w:color w:val="auto"/>
        </w:rPr>
      </w:pPr>
    </w:p>
    <w:p>
      <w:pPr>
        <w:ind w:left="620" w:right="300" w:hanging="309"/>
        <w:spacing w:after="0" w:line="278" w:lineRule="auto"/>
        <w:tabs>
          <w:tab w:leader="none" w:pos="6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impact of the COVID-19 pandemic on the economy, investment in life sciences and research industries, our business operations, and resources and operations of our customers, suppliers, and distributors; and</w:t>
      </w:r>
    </w:p>
    <w:p>
      <w:pPr>
        <w:spacing w:after="0" w:line="112" w:lineRule="exact"/>
        <w:rPr>
          <w:rFonts w:ascii="Arial" w:cs="Arial" w:eastAsia="Arial" w:hAnsi="Arial"/>
          <w:sz w:val="17"/>
          <w:szCs w:val="17"/>
          <w:color w:val="auto"/>
        </w:rPr>
      </w:pPr>
    </w:p>
    <w:p>
      <w:pPr>
        <w:ind w:left="620" w:right="20" w:hanging="309"/>
        <w:spacing w:after="0" w:line="278" w:lineRule="auto"/>
        <w:tabs>
          <w:tab w:leader="none" w:pos="6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general industry, economic and market conditions and other factors, including factors unrelated to our operating performance or the operating performance of our competitors.</w:t>
      </w:r>
    </w:p>
    <w:p>
      <w:pPr>
        <w:spacing w:after="0" w:line="112" w:lineRule="exact"/>
        <w:rPr>
          <w:sz w:val="20"/>
          <w:szCs w:val="20"/>
          <w:color w:val="auto"/>
        </w:rPr>
      </w:pPr>
    </w:p>
    <w:p>
      <w:pPr>
        <w:ind w:right="120" w:firstLine="308"/>
        <w:spacing w:after="0" w:line="265" w:lineRule="auto"/>
        <w:rPr>
          <w:sz w:val="20"/>
          <w:szCs w:val="20"/>
          <w:color w:val="auto"/>
        </w:rPr>
      </w:pPr>
      <w:r>
        <w:rPr>
          <w:rFonts w:ascii="Arial" w:cs="Arial" w:eastAsia="Arial" w:hAnsi="Arial"/>
          <w:sz w:val="17"/>
          <w:szCs w:val="17"/>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23" w:lineRule="exact"/>
        <w:rPr>
          <w:sz w:val="20"/>
          <w:szCs w:val="20"/>
          <w:color w:val="auto"/>
        </w:rPr>
      </w:pPr>
    </w:p>
    <w:p>
      <w:pPr>
        <w:ind w:right="100" w:firstLine="308"/>
        <w:spacing w:after="0" w:line="261" w:lineRule="auto"/>
        <w:rPr>
          <w:sz w:val="20"/>
          <w:szCs w:val="20"/>
          <w:color w:val="auto"/>
        </w:rPr>
      </w:pPr>
      <w:r>
        <w:rPr>
          <w:rFonts w:ascii="Arial" w:cs="Arial" w:eastAsia="Arial" w:hAnsi="Arial"/>
          <w:sz w:val="17"/>
          <w:szCs w:val="17"/>
          <w:color w:val="auto"/>
        </w:rPr>
        <w:t>This variability and unpredictability could also result in our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75" w:lineRule="exact"/>
        <w:rPr>
          <w:sz w:val="20"/>
          <w:szCs w:val="20"/>
          <w:color w:val="auto"/>
        </w:rPr>
      </w:pPr>
    </w:p>
    <w:p>
      <w:pPr>
        <w:ind w:right="400"/>
        <w:spacing w:after="0" w:line="278" w:lineRule="auto"/>
        <w:rPr>
          <w:sz w:val="20"/>
          <w:szCs w:val="20"/>
          <w:color w:val="auto"/>
        </w:rPr>
      </w:pPr>
      <w:r>
        <w:rPr>
          <w:rFonts w:ascii="Arial" w:cs="Arial" w:eastAsia="Arial" w:hAnsi="Arial"/>
          <w:sz w:val="17"/>
          <w:szCs w:val="17"/>
          <w:b w:val="1"/>
          <w:bCs w:val="1"/>
          <w:i w:val="1"/>
          <w:iCs w:val="1"/>
          <w:color w:val="auto"/>
        </w:rPr>
        <w:t>The size of the markets for our Proteograph Product Suite may be smaller than estimated, and new market opportunities may not develop as quickly as we expect, or at all, limiting our ability to successfully sell our products.</w:t>
      </w:r>
    </w:p>
    <w:p>
      <w:pPr>
        <w:spacing w:after="0" w:line="112" w:lineRule="exact"/>
        <w:rPr>
          <w:sz w:val="20"/>
          <w:szCs w:val="20"/>
          <w:color w:val="auto"/>
        </w:rPr>
      </w:pPr>
    </w:p>
    <w:p>
      <w:pPr>
        <w:ind w:firstLine="308"/>
        <w:spacing w:after="0" w:line="270" w:lineRule="auto"/>
        <w:rPr>
          <w:sz w:val="20"/>
          <w:szCs w:val="20"/>
          <w:color w:val="auto"/>
        </w:rPr>
      </w:pPr>
      <w:r>
        <w:rPr>
          <w:rFonts w:ascii="Arial" w:cs="Arial" w:eastAsia="Arial" w:hAnsi="Arial"/>
          <w:sz w:val="16"/>
          <w:szCs w:val="16"/>
          <w:color w:val="auto"/>
        </w:rPr>
        <w:t>The market for proteomics and genomics technologies and products is evolving, making it difficult to predict with any accuracy the size of the markets for our current and future products, including our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and proteomics markets, the proteomics market may develop more slowly or differently. In addition, our Proteograph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29" w:lineRule="exact"/>
        <w:rPr>
          <w:sz w:val="20"/>
          <w:szCs w:val="20"/>
          <w:color w:val="auto"/>
        </w:rPr>
      </w:pPr>
    </w:p>
    <w:p>
      <w:pPr>
        <w:jc w:val="both"/>
        <w:ind w:right="40" w:firstLine="308"/>
        <w:spacing w:after="0" w:line="282" w:lineRule="auto"/>
        <w:rPr>
          <w:sz w:val="20"/>
          <w:szCs w:val="20"/>
          <w:color w:val="auto"/>
        </w:rPr>
      </w:pPr>
      <w:r>
        <w:rPr>
          <w:rFonts w:ascii="Arial" w:cs="Arial" w:eastAsia="Arial" w:hAnsi="Arial"/>
          <w:sz w:val="16"/>
          <w:szCs w:val="16"/>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12" w:lineRule="exact"/>
        <w:rPr>
          <w:sz w:val="20"/>
          <w:szCs w:val="20"/>
          <w:color w:val="auto"/>
        </w:rPr>
      </w:pPr>
    </w:p>
    <w:p>
      <w:pPr>
        <w:ind w:right="480"/>
        <w:spacing w:after="0" w:line="278" w:lineRule="auto"/>
        <w:rPr>
          <w:sz w:val="20"/>
          <w:szCs w:val="20"/>
          <w:color w:val="auto"/>
        </w:rPr>
      </w:pPr>
      <w:r>
        <w:rPr>
          <w:rFonts w:ascii="Arial" w:cs="Arial" w:eastAsia="Arial" w:hAnsi="Arial"/>
          <w:sz w:val="17"/>
          <w:szCs w:val="17"/>
          <w:b w:val="1"/>
          <w:bCs w:val="1"/>
          <w:i w:val="1"/>
          <w:iCs w:val="1"/>
          <w:color w:val="auto"/>
        </w:rPr>
        <w:t>We have not yet initiated a broad commercial launch of our Proteograph Product Suite, and we may not be able to successfully commercially launch our Proteograph Product Suite as planned.</w:t>
      </w:r>
    </w:p>
    <w:p>
      <w:pPr>
        <w:spacing w:after="0" w:line="112" w:lineRule="exact"/>
        <w:rPr>
          <w:sz w:val="20"/>
          <w:szCs w:val="20"/>
          <w:color w:val="auto"/>
        </w:rPr>
      </w:pPr>
    </w:p>
    <w:p>
      <w:pPr>
        <w:ind w:right="100" w:firstLine="308"/>
        <w:spacing w:after="0" w:line="289" w:lineRule="auto"/>
        <w:rPr>
          <w:sz w:val="20"/>
          <w:szCs w:val="20"/>
          <w:color w:val="auto"/>
        </w:rPr>
      </w:pPr>
      <w:r>
        <w:rPr>
          <w:rFonts w:ascii="Arial" w:cs="Arial" w:eastAsia="Arial" w:hAnsi="Arial"/>
          <w:sz w:val="16"/>
          <w:szCs w:val="16"/>
          <w:color w:val="auto"/>
        </w:rPr>
        <w:t>We have not yet initiated a broad commercial launch of our Proteograph Product Suite. We plan to follow a three phase launch plan to commercialize our Proteograph, which includes a collaboration phase, a limited release phase and a broad release phase. We have moved into the second phase of commercialization, the limited release phase of our commercial launch plan. Our commercial launch plan may not progress as planned due to:</w:t>
      </w:r>
    </w:p>
    <w:p>
      <w:pPr>
        <w:spacing w:after="0" w:line="106" w:lineRule="exact"/>
        <w:rPr>
          <w:sz w:val="20"/>
          <w:szCs w:val="20"/>
          <w:color w:val="auto"/>
        </w:rPr>
      </w:pPr>
    </w:p>
    <w:p>
      <w:pPr>
        <w:ind w:left="620" w:hanging="309"/>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inability to establish the capabilities and value proposition of our Proteograph Product Suite with key opinion leaders in a timely fashion;</w:t>
      </w:r>
    </w:p>
    <w:p>
      <w:pPr>
        <w:spacing w:after="0" w:line="164" w:lineRule="exact"/>
        <w:rPr>
          <w:rFonts w:ascii="Arial" w:cs="Arial" w:eastAsia="Arial" w:hAnsi="Arial"/>
          <w:sz w:val="17"/>
          <w:szCs w:val="17"/>
          <w:color w:val="auto"/>
        </w:rPr>
      </w:pPr>
    </w:p>
    <w:p>
      <w:pPr>
        <w:ind w:left="620" w:right="740" w:hanging="309"/>
        <w:spacing w:after="0" w:line="278" w:lineRule="auto"/>
        <w:tabs>
          <w:tab w:leader="none" w:pos="6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potential need or desire to modify aspects of our Proteograph solution during the second phase or prior to entering into the third phase of our commercial launch plan;</w:t>
      </w:r>
    </w:p>
    <w:p>
      <w:pPr>
        <w:spacing w:after="0" w:line="112" w:lineRule="exact"/>
        <w:rPr>
          <w:rFonts w:ascii="Arial" w:cs="Arial" w:eastAsia="Arial" w:hAnsi="Arial"/>
          <w:sz w:val="17"/>
          <w:szCs w:val="17"/>
          <w:color w:val="auto"/>
        </w:rPr>
      </w:pPr>
    </w:p>
    <w:p>
      <w:pPr>
        <w:ind w:left="620" w:hanging="309"/>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changing industry or market conditions, customer requirements or competitor offerings over the span of our commercial launch plan;</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delays in building out our sales, customer support and marketing organization as needed for each of the phases of our commercial launch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75" w:lineRule="exact"/>
        <w:rPr>
          <w:sz w:val="20"/>
          <w:szCs w:val="20"/>
          <w:color w:val="auto"/>
        </w:rPr>
      </w:pPr>
    </w:p>
    <w:p>
      <w:pPr>
        <w:ind w:left="620" w:right="440" w:hanging="309"/>
        <w:spacing w:after="0" w:line="278" w:lineRule="auto"/>
        <w:tabs>
          <w:tab w:leader="none" w:pos="6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delays in ramping up manufacturing, either internally or through our suppliers to meet the expected demand in each of the phases of our commercial launch plan; and,</w:t>
      </w:r>
    </w:p>
    <w:p>
      <w:pPr>
        <w:spacing w:after="0" w:line="112" w:lineRule="exact"/>
        <w:rPr>
          <w:rFonts w:ascii="Arial" w:cs="Arial" w:eastAsia="Arial" w:hAnsi="Arial"/>
          <w:sz w:val="17"/>
          <w:szCs w:val="17"/>
          <w:color w:val="auto"/>
        </w:rPr>
      </w:pPr>
    </w:p>
    <w:p>
      <w:pPr>
        <w:ind w:left="620" w:right="700" w:hanging="309"/>
        <w:spacing w:after="0" w:line="278" w:lineRule="auto"/>
        <w:tabs>
          <w:tab w:leader="none" w:pos="6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impact of the COVID-19 pandemic on the economy and research industries, our business operations, and resources and the operations of our customers, suppliers, and distributors.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To the extent our commercial launch plan is delayed or unsuccessful, our financial results will be adversely impacted.</w:t>
      </w:r>
    </w:p>
    <w:p>
      <w:pPr>
        <w:spacing w:after="0" w:line="164" w:lineRule="exact"/>
        <w:rPr>
          <w:sz w:val="20"/>
          <w:szCs w:val="20"/>
          <w:color w:val="auto"/>
        </w:rPr>
      </w:pPr>
    </w:p>
    <w:p>
      <w:pPr>
        <w:ind w:right="540" w:firstLine="308"/>
        <w:spacing w:after="0" w:line="278" w:lineRule="auto"/>
        <w:rPr>
          <w:sz w:val="20"/>
          <w:szCs w:val="20"/>
          <w:color w:val="auto"/>
        </w:rPr>
      </w:pPr>
      <w:r>
        <w:rPr>
          <w:rFonts w:ascii="Arial" w:cs="Arial" w:eastAsia="Arial" w:hAnsi="Arial"/>
          <w:sz w:val="17"/>
          <w:szCs w:val="17"/>
          <w:b w:val="1"/>
          <w:bCs w:val="1"/>
          <w:i w:val="1"/>
          <w:iCs w:val="1"/>
          <w:color w:val="auto"/>
        </w:rPr>
        <w:t>During the collaboration and the limited release phases of the commercial launch of our Proteograph Product Suite, our success depends on broad scientific and market acceptance of our Proteograph, which we may fail to achieve.</w:t>
      </w:r>
    </w:p>
    <w:p>
      <w:pPr>
        <w:spacing w:after="0" w:line="112" w:lineRule="exact"/>
        <w:rPr>
          <w:sz w:val="20"/>
          <w:szCs w:val="20"/>
          <w:color w:val="auto"/>
        </w:rPr>
      </w:pPr>
    </w:p>
    <w:p>
      <w:pPr>
        <w:ind w:right="100" w:firstLine="308"/>
        <w:spacing w:after="0" w:line="261" w:lineRule="auto"/>
        <w:rPr>
          <w:sz w:val="20"/>
          <w:szCs w:val="20"/>
          <w:color w:val="auto"/>
        </w:rPr>
      </w:pPr>
      <w:r>
        <w:rPr>
          <w:rFonts w:ascii="Arial" w:cs="Arial" w:eastAsia="Arial" w:hAnsi="Arial"/>
          <w:sz w:val="17"/>
          <w:szCs w:val="17"/>
          <w:color w:val="auto"/>
        </w:rPr>
        <w:t>Our ability to achieve and maintain scientific and commercial market acceptance of our Proteograph Product Suite will depend on a number of factors. We expect that our Proteograph will be subject to the market forces and adoption curves common to other new technologies. The market for proteomics and genomics technologies and products is in its early stages of development. If widespread adoption of our Proteograph takes longer than anticipated, or broad scientific and market acceptance does not occur, we will continue to experience operating losses.</w:t>
      </w:r>
    </w:p>
    <w:p>
      <w:pPr>
        <w:spacing w:after="0" w:line="126" w:lineRule="exact"/>
        <w:rPr>
          <w:sz w:val="20"/>
          <w:szCs w:val="20"/>
          <w:color w:val="auto"/>
        </w:rPr>
      </w:pPr>
    </w:p>
    <w:p>
      <w:pPr>
        <w:ind w:firstLine="308"/>
        <w:spacing w:after="0" w:line="272" w:lineRule="auto"/>
        <w:rPr>
          <w:sz w:val="20"/>
          <w:szCs w:val="20"/>
          <w:color w:val="auto"/>
        </w:rPr>
      </w:pPr>
      <w:r>
        <w:rPr>
          <w:rFonts w:ascii="Arial" w:cs="Arial" w:eastAsia="Arial" w:hAnsi="Arial"/>
          <w:sz w:val="16"/>
          <w:szCs w:val="16"/>
          <w:color w:val="auto"/>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including peer-reviewed journals. In such journal publications, the researchers will describe not only their discoveries, but also the methods, and typically the products used, to fuel such discoveries. Mentions in publications, including peer-reviewed journal publications, is a driver for the general acceptance of life sciences products, such as our Proteograph Product Suite. During the collaboration and limited release phases of our commercialization launch plan, we intend to collaborate with a small number of key opinion leaders who are highly skilled at evaluating novel technologies and whose feedback can help us solidify our commercialization plans and processes. Ensuring that early adopters and key opinion leaders publish research involving the use of our products during the collaboration and limited release phases is critical to ensuring our products gain widespread scientific acceptance. In addition, continuing collaborative relationships with such key opinion leaders will be vital to maintaining any market acceptance we achieve. If too few researchers describe the use of our products, too many researchers utilize or shift to a competing product and publish research outlining their use of that product or too many researchers negatively describe the use of our products in publications, it may drive customers away from our products and it may delay our progression towards the broad release phase of our commercialization plan.</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Other factors in achieving commercial market acceptance, include:</w:t>
      </w:r>
    </w:p>
    <w:p>
      <w:pPr>
        <w:spacing w:after="0" w:line="164" w:lineRule="exact"/>
        <w:rPr>
          <w:sz w:val="20"/>
          <w:szCs w:val="20"/>
          <w:color w:val="auto"/>
        </w:rPr>
      </w:pPr>
    </w:p>
    <w:p>
      <w:pPr>
        <w:ind w:left="620" w:hanging="309"/>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market and increase awareness of the capabilities of our Proteograph Product Suite;</w:t>
      </w:r>
    </w:p>
    <w:p>
      <w:pPr>
        <w:spacing w:after="0" w:line="164" w:lineRule="exact"/>
        <w:rPr>
          <w:rFonts w:ascii="Arial" w:cs="Arial" w:eastAsia="Arial" w:hAnsi="Arial"/>
          <w:sz w:val="17"/>
          <w:szCs w:val="17"/>
          <w:color w:val="auto"/>
        </w:rPr>
      </w:pPr>
    </w:p>
    <w:p>
      <w:pPr>
        <w:ind w:left="620" w:right="300" w:hanging="309"/>
        <w:spacing w:after="0" w:line="278" w:lineRule="auto"/>
        <w:tabs>
          <w:tab w:leader="none" w:pos="6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ability of our Proteograph Product Suite to demonstrate comparable performance in intended use applications broadly in the hands of customers as achieved in the collaboration and limited release phases of our commercialization plan;</w:t>
      </w:r>
    </w:p>
    <w:p>
      <w:pPr>
        <w:spacing w:after="0" w:line="112" w:lineRule="exact"/>
        <w:rPr>
          <w:rFonts w:ascii="Arial" w:cs="Arial" w:eastAsia="Arial" w:hAnsi="Arial"/>
          <w:sz w:val="17"/>
          <w:szCs w:val="17"/>
          <w:color w:val="auto"/>
        </w:rPr>
      </w:pPr>
    </w:p>
    <w:p>
      <w:pPr>
        <w:ind w:left="620" w:hanging="309"/>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customers’ willingness to adopt new products and workflows;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Proteograph’s ease of use and whether it reliably provides advantages over other alternative technologies;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rate of adoption of our Proteograph Product Suite by academic institutions, laboratories, biopharmaceutical companies and others;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prices we charge for our Proteograph Product Suite;</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develop new products and workflows and solutions for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75" w:lineRule="exact"/>
        <w:rPr>
          <w:sz w:val="20"/>
          <w:szCs w:val="20"/>
          <w:color w:val="auto"/>
        </w:rPr>
      </w:pPr>
    </w:p>
    <w:p>
      <w:pPr>
        <w:ind w:left="620" w:hanging="309"/>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competitors develop and commercialize products that perform similar functions as our Proteograph; and</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impact of our investments in product innovation and commercial growth.</w:t>
      </w:r>
    </w:p>
    <w:p>
      <w:pPr>
        <w:spacing w:after="0" w:line="164" w:lineRule="exact"/>
        <w:rPr>
          <w:sz w:val="20"/>
          <w:szCs w:val="20"/>
          <w:color w:val="auto"/>
        </w:rPr>
      </w:pPr>
    </w:p>
    <w:p>
      <w:pPr>
        <w:ind w:firstLine="308"/>
        <w:spacing w:after="0" w:line="265" w:lineRule="auto"/>
        <w:rPr>
          <w:sz w:val="20"/>
          <w:szCs w:val="20"/>
          <w:color w:val="auto"/>
        </w:rPr>
      </w:pPr>
      <w:r>
        <w:rPr>
          <w:rFonts w:ascii="Arial" w:cs="Arial" w:eastAsia="Arial" w:hAnsi="Arial"/>
          <w:sz w:val="17"/>
          <w:szCs w:val="17"/>
          <w:color w:val="auto"/>
        </w:rPr>
        <w:t>We cannot assure you that we will be successful in addressing each of these criteria or other criteria that might affect the market acceptance of any products we commercialize, particularly our Proteograph Product Suite. If we are unsuccessful in achieving and maintaining market acceptance of our Proteograph, our business, financial condition and results of operations would be adversely affected.</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sales and marketing capabilities, we may not be successful in commercializing our Proteograph Product Suite.</w:t>
      </w:r>
    </w:p>
    <w:p>
      <w:pPr>
        <w:spacing w:after="0" w:line="176" w:lineRule="exact"/>
        <w:rPr>
          <w:sz w:val="20"/>
          <w:szCs w:val="20"/>
          <w:color w:val="auto"/>
        </w:rPr>
      </w:pPr>
    </w:p>
    <w:p>
      <w:pPr>
        <w:ind w:right="80" w:firstLine="308"/>
        <w:spacing w:after="0" w:line="306" w:lineRule="auto"/>
        <w:rPr>
          <w:sz w:val="20"/>
          <w:szCs w:val="20"/>
          <w:color w:val="auto"/>
        </w:rPr>
      </w:pPr>
      <w:r>
        <w:rPr>
          <w:rFonts w:ascii="Arial" w:cs="Arial" w:eastAsia="Arial" w:hAnsi="Arial"/>
          <w:sz w:val="15"/>
          <w:szCs w:val="15"/>
          <w:color w:val="auto"/>
        </w:rPr>
        <w:t>We have limited experience as a company in sales and marketing and our ability to successfully commercialize depends on our being able to attract customers for our Proteograph. Although members of our management team have considerable industry experience, in the future we will be required to expand our sales, marketing, distribution and customer service and support capabilities with the appropriate technical expertise prior to the broad release of our Proteograph Product Suite. To perform sales, marketing, distribution, and customer service and support successfully, we will face a number of risks, including:</w:t>
      </w:r>
    </w:p>
    <w:p>
      <w:pPr>
        <w:spacing w:after="0" w:line="97" w:lineRule="exact"/>
        <w:rPr>
          <w:sz w:val="20"/>
          <w:szCs w:val="20"/>
          <w:color w:val="auto"/>
        </w:rPr>
      </w:pPr>
    </w:p>
    <w:p>
      <w:pPr>
        <w:ind w:left="620" w:right="700" w:hanging="309"/>
        <w:spacing w:after="0" w:line="278" w:lineRule="auto"/>
        <w:tabs>
          <w:tab w:leader="none" w:pos="6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attract, retain and manage the sales, marketing and customer service and support force necessary to commercialize and gain market acceptance for our technology;</w:t>
      </w:r>
    </w:p>
    <w:p>
      <w:pPr>
        <w:spacing w:after="0" w:line="112" w:lineRule="exact"/>
        <w:rPr>
          <w:rFonts w:ascii="Arial" w:cs="Arial" w:eastAsia="Arial" w:hAnsi="Arial"/>
          <w:sz w:val="17"/>
          <w:szCs w:val="17"/>
          <w:color w:val="auto"/>
        </w:rPr>
      </w:pPr>
    </w:p>
    <w:p>
      <w:pPr>
        <w:ind w:left="620" w:hanging="309"/>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time and cost of establishing a specialized sales, marketing and customer service and support force; and</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sales, marketing and customer service and support force may be unable to initiate and execute successful commercialization activities.</w:t>
      </w:r>
    </w:p>
    <w:p>
      <w:pPr>
        <w:spacing w:after="0" w:line="164" w:lineRule="exact"/>
        <w:rPr>
          <w:sz w:val="20"/>
          <w:szCs w:val="20"/>
          <w:color w:val="auto"/>
        </w:rPr>
      </w:pPr>
    </w:p>
    <w:p>
      <w:pPr>
        <w:ind w:right="140" w:firstLine="308"/>
        <w:spacing w:after="0" w:line="282" w:lineRule="auto"/>
        <w:rPr>
          <w:sz w:val="20"/>
          <w:szCs w:val="20"/>
          <w:color w:val="auto"/>
        </w:rPr>
      </w:pPr>
      <w:r>
        <w:rPr>
          <w:rFonts w:ascii="Arial" w:cs="Arial" w:eastAsia="Arial" w:hAnsi="Arial"/>
          <w:sz w:val="16"/>
          <w:szCs w:val="16"/>
          <w:color w:val="auto"/>
        </w:rPr>
        <w:t>We may seek to enlist one or more third parties to assist with sales, distribution and customer service and support globally or in certain regions of the world. There is no guarantee, if we do seek to enter into such arrangements, that we will be successful in attracting desirable or experienced sales or distribution partners or that we will be able to enter into such arrangements on favorable terms. If our sales and marketing efforts, or those of any third-party sales and distribution partners, are not successful, our Proteograph may not gain market acceptance, which could materially impact our business operations.</w:t>
      </w:r>
    </w:p>
    <w:p>
      <w:pPr>
        <w:spacing w:after="0" w:line="112" w:lineRule="exact"/>
        <w:rPr>
          <w:sz w:val="20"/>
          <w:szCs w:val="20"/>
          <w:color w:val="auto"/>
        </w:rPr>
      </w:pPr>
    </w:p>
    <w:p>
      <w:pPr>
        <w:ind w:right="300"/>
        <w:spacing w:after="0" w:line="278" w:lineRule="auto"/>
        <w:rPr>
          <w:sz w:val="20"/>
          <w:szCs w:val="20"/>
          <w:color w:val="auto"/>
        </w:rPr>
      </w:pPr>
      <w:r>
        <w:rPr>
          <w:rFonts w:ascii="Arial" w:cs="Arial" w:eastAsia="Arial" w:hAnsi="Arial"/>
          <w:sz w:val="17"/>
          <w:szCs w:val="17"/>
          <w:b w:val="1"/>
          <w:bCs w:val="1"/>
          <w:i w:val="1"/>
          <w:iCs w:val="1"/>
          <w:color w:val="auto"/>
        </w:rPr>
        <w:t>Even if our Proteograph Product Suite is broadly commercialized and achieves broad scientific and market acceptance, if we fail to improve it or introduce compelling new products, our revenues and our prospects could be harmed.</w:t>
      </w:r>
    </w:p>
    <w:p>
      <w:pPr>
        <w:spacing w:after="0" w:line="112" w:lineRule="exact"/>
        <w:rPr>
          <w:sz w:val="20"/>
          <w:szCs w:val="20"/>
          <w:color w:val="auto"/>
        </w:rPr>
      </w:pPr>
    </w:p>
    <w:p>
      <w:pPr>
        <w:ind w:right="60" w:firstLine="308"/>
        <w:spacing w:after="0" w:line="298" w:lineRule="auto"/>
        <w:rPr>
          <w:sz w:val="20"/>
          <w:szCs w:val="20"/>
          <w:color w:val="auto"/>
        </w:rPr>
      </w:pPr>
      <w:r>
        <w:rPr>
          <w:rFonts w:ascii="Arial" w:cs="Arial" w:eastAsia="Arial" w:hAnsi="Arial"/>
          <w:sz w:val="15"/>
          <w:szCs w:val="15"/>
          <w:color w:val="auto"/>
        </w:rPr>
        <w:t>Even if we are able to broadly commercialize our Proteograph Product Suite and achieve broad scientific and market acceptance, our ability to attract new customers and increase revenue from existing customers will depend in large part on our ability to enhance and improve our Proteograph solution and to introduce compelling new products. The success of any enhancement to our Proteograph Product Suite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our Proteograph that we develop may not be introduced in a timely or cost-effective manner, may contain defects, errors, vulnerabilities or bugs, or may not achieve the market acceptance necessary to generate significant revenue.</w:t>
      </w:r>
    </w:p>
    <w:p>
      <w:pPr>
        <w:spacing w:after="0" w:line="103" w:lineRule="exact"/>
        <w:rPr>
          <w:sz w:val="20"/>
          <w:szCs w:val="20"/>
          <w:color w:val="auto"/>
        </w:rPr>
      </w:pPr>
    </w:p>
    <w:p>
      <w:pPr>
        <w:ind w:right="240" w:firstLine="308"/>
        <w:spacing w:after="0" w:line="298" w:lineRule="auto"/>
        <w:rPr>
          <w:sz w:val="20"/>
          <w:szCs w:val="20"/>
          <w:color w:val="auto"/>
        </w:rPr>
      </w:pPr>
      <w:r>
        <w:rPr>
          <w:rFonts w:ascii="Arial" w:cs="Arial" w:eastAsia="Arial" w:hAnsi="Arial"/>
          <w:sz w:val="15"/>
          <w:szCs w:val="15"/>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Proteograph solution to meet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75" w:lineRule="exact"/>
        <w:rPr>
          <w:sz w:val="20"/>
          <w:szCs w:val="20"/>
          <w:color w:val="auto"/>
        </w:rPr>
      </w:pPr>
    </w:p>
    <w:p>
      <w:pPr>
        <w:ind w:right="380"/>
        <w:spacing w:after="0" w:line="278" w:lineRule="auto"/>
        <w:rPr>
          <w:sz w:val="20"/>
          <w:szCs w:val="20"/>
          <w:color w:val="auto"/>
        </w:rPr>
      </w:pPr>
      <w:r>
        <w:rPr>
          <w:rFonts w:ascii="Arial" w:cs="Arial" w:eastAsia="Arial" w:hAnsi="Arial"/>
          <w:sz w:val="17"/>
          <w:szCs w:val="17"/>
          <w:color w:val="auto"/>
        </w:rPr>
        <w:t>requirements, compete with alternative products, or otherwise gain and maintain market acceptance, our business, results of operations and financial condition could be harmed.</w:t>
      </w:r>
    </w:p>
    <w:p>
      <w:pPr>
        <w:spacing w:after="0" w:line="112" w:lineRule="exact"/>
        <w:rPr>
          <w:sz w:val="20"/>
          <w:szCs w:val="20"/>
          <w:color w:val="auto"/>
        </w:rPr>
      </w:pPr>
    </w:p>
    <w:p>
      <w:pPr>
        <w:ind w:right="540"/>
        <w:spacing w:after="0" w:line="278" w:lineRule="auto"/>
        <w:rPr>
          <w:sz w:val="20"/>
          <w:szCs w:val="20"/>
          <w:color w:val="auto"/>
        </w:rPr>
      </w:pPr>
      <w:r>
        <w:rPr>
          <w:rFonts w:ascii="Arial" w:cs="Arial" w:eastAsia="Arial" w:hAnsi="Arial"/>
          <w:sz w:val="17"/>
          <w:szCs w:val="17"/>
          <w:b w:val="1"/>
          <w:bCs w:val="1"/>
          <w:i w:val="1"/>
          <w:iCs w:val="1"/>
          <w:color w:val="auto"/>
        </w:rPr>
        <w:t>The COVID-19 pandemic and efforts to reduce its spread have adversely impacted, and are expected to continue to materially and adversely impact, our business and operations.</w:t>
      </w:r>
    </w:p>
    <w:p>
      <w:pPr>
        <w:spacing w:after="0" w:line="112" w:lineRule="exact"/>
        <w:rPr>
          <w:sz w:val="20"/>
          <w:szCs w:val="20"/>
          <w:color w:val="auto"/>
        </w:rPr>
      </w:pPr>
    </w:p>
    <w:p>
      <w:pPr>
        <w:ind w:firstLine="308"/>
        <w:spacing w:after="0" w:line="291" w:lineRule="auto"/>
        <w:rPr>
          <w:sz w:val="20"/>
          <w:szCs w:val="20"/>
          <w:color w:val="auto"/>
        </w:rPr>
      </w:pPr>
      <w:r>
        <w:rPr>
          <w:rFonts w:ascii="Arial" w:cs="Arial" w:eastAsia="Arial" w:hAnsi="Arial"/>
          <w:sz w:val="15"/>
          <w:szCs w:val="15"/>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third-party manufacturing facilities in the United States and other countries, and the availability or cost of materials, which would disrupt or delay our receipt of instruments, components and supplies from the third parties we rely on to, among other things, produce our SP100 automation instrument and NPs. For instance, there were standing “stay-at-home” orders in California, and specifically San Mateo County where our headquarters is located, that required businesses to implement certain social distancing protocols and other written health and safety plans and measures which affected productivity and morale. We have continued to operate within the rules applicable to our business; however, an extended implementation of these governmental mandates could further impact our ability to operate effectively and conduct ongoing research and development or other activities. The COVID-19 pandemic has also had an adverse effect on our ability to attract, recruit, interview and hire at the pace we would typically expect to support our rapidly expanding operations. To the extent that any governmental authority imposes additional regulatory requirements or changes existing laws, regulations, and policies that apply to our business and operations, such as additional workplace safety measures, our product development plans may be delayed, and we may incur further costs in bringing our business and operations into compliance with changing or new laws, regulations, and policies.</w:t>
      </w:r>
    </w:p>
    <w:p>
      <w:pPr>
        <w:spacing w:after="0" w:line="111" w:lineRule="exact"/>
        <w:rPr>
          <w:sz w:val="20"/>
          <w:szCs w:val="20"/>
          <w:color w:val="auto"/>
        </w:rPr>
      </w:pPr>
    </w:p>
    <w:p>
      <w:pPr>
        <w:ind w:firstLine="308"/>
        <w:spacing w:after="0" w:line="256" w:lineRule="auto"/>
        <w:rPr>
          <w:sz w:val="20"/>
          <w:szCs w:val="20"/>
          <w:color w:val="auto"/>
        </w:rPr>
      </w:pPr>
      <w:r>
        <w:rPr>
          <w:rFonts w:ascii="Arial" w:cs="Arial" w:eastAsia="Arial" w:hAnsi="Arial"/>
          <w:sz w:val="17"/>
          <w:szCs w:val="17"/>
          <w:color w:val="auto"/>
        </w:rPr>
        <w:t>In the near term, we expect that substantially all of our revenue will be derived from sales of our Proteograph Product Suite, including our instruments and consumables, to academic, research and commercial institutions. We have moved into the limited release phase of our commercialization plan and, as a result, in the near term, our ability to drive the adoption of our Proteograph solution will depend on our ability to visit customer sites, the ability of our customers to access laboratories, and the ability to install and train on our Proteograph Product Suite and conduct research in light of the COVID-19 pandemic. Additionally, since we have moved into the limited release phase of our commercialization plan,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has become increasingly important to the adoption of our Proteograph. All of these considerations are impacted by factors beyond our control, such as:</w:t>
      </w:r>
    </w:p>
    <w:p>
      <w:pPr>
        <w:spacing w:after="0" w:line="131" w:lineRule="exact"/>
        <w:rPr>
          <w:sz w:val="20"/>
          <w:szCs w:val="20"/>
          <w:color w:val="auto"/>
        </w:rPr>
      </w:pPr>
    </w:p>
    <w:p>
      <w:pPr>
        <w:jc w:val="both"/>
        <w:ind w:left="620" w:right="500" w:hanging="309"/>
        <w:spacing w:after="0" w:line="289" w:lineRule="auto"/>
        <w:tabs>
          <w:tab w:leader="none" w:pos="615"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06" w:lineRule="exact"/>
        <w:rPr>
          <w:rFonts w:ascii="Arial" w:cs="Arial" w:eastAsia="Arial" w:hAnsi="Arial"/>
          <w:sz w:val="16"/>
          <w:szCs w:val="16"/>
          <w:color w:val="auto"/>
        </w:rPr>
      </w:pPr>
    </w:p>
    <w:p>
      <w:pPr>
        <w:ind w:left="620" w:hanging="309"/>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decreases in government funding of research and development; and</w:t>
      </w:r>
    </w:p>
    <w:p>
      <w:pPr>
        <w:spacing w:after="0" w:line="164" w:lineRule="exact"/>
        <w:rPr>
          <w:rFonts w:ascii="Arial" w:cs="Arial" w:eastAsia="Arial" w:hAnsi="Arial"/>
          <w:sz w:val="17"/>
          <w:szCs w:val="17"/>
          <w:color w:val="auto"/>
        </w:rPr>
      </w:pPr>
    </w:p>
    <w:p>
      <w:pPr>
        <w:ind w:left="620" w:right="60" w:hanging="309"/>
        <w:spacing w:after="0" w:line="265" w:lineRule="auto"/>
        <w:tabs>
          <w:tab w:leader="none" w:pos="6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123" w:lineRule="exact"/>
        <w:rPr>
          <w:sz w:val="20"/>
          <w:szCs w:val="20"/>
          <w:color w:val="auto"/>
        </w:rPr>
      </w:pPr>
    </w:p>
    <w:p>
      <w:pPr>
        <w:ind w:right="180" w:firstLine="308"/>
        <w:spacing w:after="0" w:line="306" w:lineRule="auto"/>
        <w:rPr>
          <w:sz w:val="20"/>
          <w:szCs w:val="20"/>
          <w:color w:val="auto"/>
        </w:rPr>
      </w:pPr>
      <w:r>
        <w:rPr>
          <w:rFonts w:ascii="Arial" w:cs="Arial" w:eastAsia="Arial" w:hAnsi="Arial"/>
          <w:sz w:val="15"/>
          <w:szCs w:val="15"/>
          <w:color w:val="auto"/>
        </w:rPr>
        <w:t>Additionally, our suppliers have also been impacted by the COVID-19 pandemic. For example, our SP100 automation instrument manufacturer, Hamilton Company, has experienced a surge in demand for equipment and associated consumables used for COVID-19 diagnostics, and as a result, we have experienced longer lead times for our instruments. We have also experienced supply delays for critical hardware, instrumentation and medical and testing supplies that we use for product development, as these other components and supplies are otherwise diverted to COVID-19-related testing and other 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75" w:lineRule="exact"/>
        <w:rPr>
          <w:sz w:val="20"/>
          <w:szCs w:val="20"/>
          <w:color w:val="auto"/>
        </w:rPr>
      </w:pPr>
    </w:p>
    <w:p>
      <w:pPr>
        <w:ind w:firstLine="308"/>
        <w:spacing w:after="0" w:line="278" w:lineRule="auto"/>
        <w:rPr>
          <w:sz w:val="20"/>
          <w:szCs w:val="20"/>
          <w:color w:val="auto"/>
        </w:rPr>
      </w:pPr>
      <w:r>
        <w:rPr>
          <w:rFonts w:ascii="Arial" w:cs="Arial" w:eastAsia="Arial" w:hAnsi="Arial"/>
          <w:sz w:val="16"/>
          <w:szCs w:val="16"/>
          <w:color w:val="auto"/>
        </w:rPr>
        <w:t>The ultimate impact of the COVID-19 pandemic is highly uncertain and subject to sudden change. This impact could have a material, adverse impact on our liquidity, capital resources, operations and business and those of the third parties on which we rely, and could worsen over time. The extent to which the COVID-19 pandemic impacts our results will depend on future developments, which are highly uncertain and cannot be predicted, including new information which may emerge concerning the severity of COVID-19 and the actions to contain COVID-19 or treat its impact, among others. While we do not yet know the full extent of potential impacts on our business, any of these occurrences could significantly harm our business, results of operations and financial condition.</w:t>
      </w:r>
    </w:p>
    <w:p>
      <w:pPr>
        <w:spacing w:after="0" w:line="116"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b w:val="1"/>
          <w:bCs w:val="1"/>
          <w:i w:val="1"/>
          <w:iCs w:val="1"/>
          <w:color w:val="auto"/>
        </w:rPr>
        <w:t>Unfavorable U.S. or global economic conditions as a result of the COVID-19 pandemic, or otherwise, could adversely affect our ability to raise capital and our business, results of operations and financial condition.</w:t>
      </w:r>
    </w:p>
    <w:p>
      <w:pPr>
        <w:spacing w:after="0" w:line="112" w:lineRule="exact"/>
        <w:rPr>
          <w:sz w:val="20"/>
          <w:szCs w:val="20"/>
          <w:color w:val="auto"/>
        </w:rPr>
      </w:pPr>
    </w:p>
    <w:p>
      <w:pPr>
        <w:ind w:right="40" w:firstLine="308"/>
        <w:spacing w:after="0" w:line="274" w:lineRule="auto"/>
        <w:rPr>
          <w:sz w:val="20"/>
          <w:szCs w:val="20"/>
          <w:color w:val="auto"/>
        </w:rPr>
      </w:pPr>
      <w:r>
        <w:rPr>
          <w:rFonts w:ascii="Arial" w:cs="Arial" w:eastAsia="Arial" w:hAnsi="Arial"/>
          <w:sz w:val="16"/>
          <w:szCs w:val="16"/>
          <w:color w:val="auto"/>
        </w:rPr>
        <w:t>While the potential economic impact brought by, and the duration of, the COVID-19 pandemic is difficult to assess or predict, the COVID-19 pandemic has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Proteograph Product Suite and our ability to raise additional capital when needed on favorable terms, if at all. A weak or declining economy could strain our customers’ budgets or cause delays in their payments to us.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sustain or successfully manage our anticipated growth, our business and prospects will be harmed.</w:t>
      </w:r>
    </w:p>
    <w:p>
      <w:pPr>
        <w:spacing w:after="0" w:line="164" w:lineRule="exact"/>
        <w:rPr>
          <w:sz w:val="20"/>
          <w:szCs w:val="20"/>
          <w:color w:val="auto"/>
        </w:rPr>
      </w:pPr>
    </w:p>
    <w:p>
      <w:pPr>
        <w:ind w:firstLine="308"/>
        <w:spacing w:after="0" w:line="272" w:lineRule="auto"/>
        <w:rPr>
          <w:sz w:val="20"/>
          <w:szCs w:val="20"/>
          <w:color w:val="auto"/>
        </w:rPr>
      </w:pPr>
      <w:r>
        <w:rPr>
          <w:rFonts w:ascii="Arial" w:cs="Arial" w:eastAsia="Arial" w:hAnsi="Arial"/>
          <w:sz w:val="16"/>
          <w:szCs w:val="16"/>
          <w:color w:val="auto"/>
        </w:rPr>
        <w:t>Our anticipated growth will place significant strains on our management, operational and manufacturing systems and processes, sales and marketing team, financial systems and internal controls and other aspects of our business. Developing and commercializing our Proteograph will require us to hire and retain scientific, sales and marketing, software, manufacturing, customer service, distribution, quality assurance and other personnel. In addition, we will need to hire additional accounting, finance and other personnel in connection with our efforts to comply with the requirements of being a public company. As a newly public company, our management and other personnel will need to devote a substantial amount of time towards maintaining compliance with these requirements and effectively manage these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Our ability to successfully manage our expected growth is uncertain given the fact that we have been in operation only since 2017.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19"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b w:val="1"/>
          <w:bCs w:val="1"/>
          <w:i w:val="1"/>
          <w:iCs w:val="1"/>
          <w:color w:val="auto"/>
        </w:rPr>
        <w:t>We depend on our key personnel and other highly qualified personnel, and if we are unable to recruit, train and retain our personnel, we may not achieve our goals.</w:t>
      </w:r>
    </w:p>
    <w:p>
      <w:pPr>
        <w:spacing w:after="0" w:line="112" w:lineRule="exact"/>
        <w:rPr>
          <w:sz w:val="20"/>
          <w:szCs w:val="20"/>
          <w:color w:val="auto"/>
        </w:rPr>
      </w:pPr>
    </w:p>
    <w:p>
      <w:pPr>
        <w:ind w:right="80" w:firstLine="308"/>
        <w:spacing w:after="0" w:line="258" w:lineRule="auto"/>
        <w:rPr>
          <w:sz w:val="20"/>
          <w:szCs w:val="20"/>
          <w:color w:val="auto"/>
        </w:rPr>
      </w:pPr>
      <w:r>
        <w:rPr>
          <w:rFonts w:ascii="Arial" w:cs="Arial" w:eastAsia="Arial" w:hAnsi="Arial"/>
          <w:sz w:val="17"/>
          <w:szCs w:val="17"/>
          <w:color w:val="auto"/>
        </w:rPr>
        <w:t>Our future success depends upon our ability to recruit, train, retain and motivate key personnel. Our senior management team, including Omid Farokhzad, one of our founders and our Chief Executive Officer; Omead Ostadan, our President and Chief Operating Officer; and David Horn, our Chief Financial Officer, is critical to our vision, strategic direction, product development and commercialization efforts. The departure of one or more of our executives officers, senior management team members, or other key employees could be disruptive to our business until we are able to hire qualified successors. We do not maintain “key man” life insurance on our senior management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75" w:lineRule="exact"/>
        <w:rPr>
          <w:sz w:val="20"/>
          <w:szCs w:val="20"/>
          <w:color w:val="auto"/>
        </w:rPr>
      </w:pPr>
    </w:p>
    <w:p>
      <w:pPr>
        <w:ind w:right="20" w:firstLine="308"/>
        <w:spacing w:after="0" w:line="255" w:lineRule="auto"/>
        <w:rPr>
          <w:sz w:val="20"/>
          <w:szCs w:val="20"/>
          <w:color w:val="auto"/>
        </w:rPr>
      </w:pPr>
      <w:r>
        <w:rPr>
          <w:rFonts w:ascii="Arial" w:cs="Arial" w:eastAsia="Arial" w:hAnsi="Arial"/>
          <w:sz w:val="17"/>
          <w:szCs w:val="17"/>
          <w:color w:val="auto"/>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require significant training and, in most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we expect to continue to utilize foreign nationals to fill part of our recruiting needs. As a result, changes to United States immigration policies could restrain the flow of technical and professional talent into the United States and may inhibit our ability to hire qualified personnel.</w:t>
      </w:r>
    </w:p>
    <w:p>
      <w:pPr>
        <w:spacing w:after="0" w:line="133" w:lineRule="exact"/>
        <w:rPr>
          <w:sz w:val="20"/>
          <w:szCs w:val="20"/>
          <w:color w:val="auto"/>
        </w:rPr>
      </w:pPr>
    </w:p>
    <w:p>
      <w:pPr>
        <w:ind w:right="200" w:firstLine="308"/>
        <w:spacing w:after="0" w:line="261" w:lineRule="auto"/>
        <w:rPr>
          <w:sz w:val="20"/>
          <w:szCs w:val="20"/>
          <w:color w:val="auto"/>
        </w:rPr>
      </w:pPr>
      <w:r>
        <w:rPr>
          <w:rFonts w:ascii="Arial" w:cs="Arial" w:eastAsia="Arial" w:hAnsi="Arial"/>
          <w:sz w:val="17"/>
          <w:szCs w:val="17"/>
          <w:color w:val="auto"/>
        </w:rPr>
        <w:t>We do not maintain fixed term employment contracts with any of our employees. As a result, our employees could leave our company with little or no prior notice and would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w:t>
      </w:r>
    </w:p>
    <w:p>
      <w:pPr>
        <w:spacing w:after="0" w:line="126"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b w:val="1"/>
          <w:bCs w:val="1"/>
          <w:i w:val="1"/>
          <w:iCs w:val="1"/>
          <w:color w:val="auto"/>
        </w:rPr>
        <w:t>We expect to be dependent upon revenue generated from the sale of our Proteograph Product Suite from the time it is commercialized through the foreseeable future.</w:t>
      </w:r>
    </w:p>
    <w:p>
      <w:pPr>
        <w:spacing w:after="0" w:line="112" w:lineRule="exact"/>
        <w:rPr>
          <w:sz w:val="20"/>
          <w:szCs w:val="20"/>
          <w:color w:val="auto"/>
        </w:rPr>
      </w:pPr>
    </w:p>
    <w:p>
      <w:pPr>
        <w:ind w:firstLine="308"/>
        <w:spacing w:after="0" w:line="272" w:lineRule="auto"/>
        <w:rPr>
          <w:sz w:val="20"/>
          <w:szCs w:val="20"/>
          <w:color w:val="auto"/>
        </w:rPr>
      </w:pPr>
      <w:r>
        <w:rPr>
          <w:rFonts w:ascii="Arial" w:cs="Arial" w:eastAsia="Arial" w:hAnsi="Arial"/>
          <w:sz w:val="16"/>
          <w:szCs w:val="16"/>
          <w:color w:val="auto"/>
        </w:rPr>
        <w:t>We expect that our Proteograph Product Suite will be our first commercial product. While we have moved into the limited release phase, we do not expect to have broad release of our Proteograph until early 2022. If we are able to successfully commercialize our Proteograph, we expect that we will generate substantially all of our revenue from the sale of our Proteograph, which we expect to consist of consumables, SP100 automation instruments and software. There can be no assurance that we will be able to successfully commercialize our Proteograph, design other products that will meet the expectations of our customers or that any of our future products will become commercially viable. As technologies change in the future for life sciences research tools in general and in proteomics and genomics technologies specifically, we will be expected to upgrade or adapt our Proteograph solution keep up with the latest technology. To date, we have limited experience simultaneously designing, testing, manufacturing and selling products and there can be no assurance we will be able to do so. Our sales expectations are based in part on the assumption that our Proteograph Product Suite will increase study sizes for our future customers and their associated purchases of our consumables. If sales of our instruments fail to materialize, or our assumptions about study sizes or customer purchases of our consumables, so will the related consumable sales and associated revenue.</w:t>
      </w:r>
    </w:p>
    <w:p>
      <w:pPr>
        <w:spacing w:after="0" w:line="125" w:lineRule="exact"/>
        <w:rPr>
          <w:sz w:val="20"/>
          <w:szCs w:val="20"/>
          <w:color w:val="auto"/>
        </w:rPr>
      </w:pPr>
    </w:p>
    <w:p>
      <w:pPr>
        <w:ind w:right="260" w:firstLine="308"/>
        <w:spacing w:after="0" w:line="261" w:lineRule="auto"/>
        <w:rPr>
          <w:sz w:val="20"/>
          <w:szCs w:val="20"/>
          <w:color w:val="auto"/>
        </w:rPr>
      </w:pPr>
      <w:r>
        <w:rPr>
          <w:rFonts w:ascii="Arial" w:cs="Arial" w:eastAsia="Arial" w:hAnsi="Arial"/>
          <w:sz w:val="17"/>
          <w:szCs w:val="17"/>
          <w:color w:val="auto"/>
        </w:rPr>
        <w:t>In our development and commercialization plans for our Proteograph, we may forego other opportunities that may provide greater revenue or be more profitable. If our research and product development efforts do not result in commercially viable products within anticipated timelines, or at all, our business and results of operations will be adversely affected. Any delay or failure by us to develop and release our Proteograph Product Suite or new products or product enhancements would have a substantial adverse effect on our business and results of operations.</w:t>
      </w:r>
    </w:p>
    <w:p>
      <w:pPr>
        <w:spacing w:after="0" w:line="126"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b w:val="1"/>
          <w:bCs w:val="1"/>
          <w:i w:val="1"/>
          <w:iCs w:val="1"/>
          <w:color w:val="auto"/>
        </w:rPr>
        <w:t>Our business will depend significantly on research and development spending by academic and other research institutions, and other third parties, including commercial organizations, and any reduction in spending could limit demand for our products and adversely affect our business, results of operations, financial condition and prospects.</w:t>
      </w:r>
    </w:p>
    <w:p>
      <w:pPr>
        <w:spacing w:after="0" w:line="123" w:lineRule="exact"/>
        <w:rPr>
          <w:sz w:val="20"/>
          <w:szCs w:val="20"/>
          <w:color w:val="auto"/>
        </w:rPr>
      </w:pPr>
    </w:p>
    <w:p>
      <w:pPr>
        <w:ind w:right="120" w:firstLine="308"/>
        <w:spacing w:after="0" w:line="265" w:lineRule="auto"/>
        <w:rPr>
          <w:sz w:val="20"/>
          <w:szCs w:val="20"/>
          <w:color w:val="auto"/>
        </w:rPr>
      </w:pPr>
      <w:r>
        <w:rPr>
          <w:rFonts w:ascii="Arial" w:cs="Arial" w:eastAsia="Arial" w:hAnsi="Arial"/>
          <w:sz w:val="17"/>
          <w:szCs w:val="17"/>
          <w:color w:val="auto"/>
        </w:rPr>
        <w:t>We expect that substantially all of our sales revenue in the near term will be generated from sales to academic institutions, other research institutions and commercial companies. Certain of these customers’ funding will be, in turn, provided by various state, federal and international government agencies. As a result, the demand for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Proteograph will depend upon the research and development budgets of these customers, which are impacted by factors beyond our control, such as:</w:t>
      </w:r>
    </w:p>
    <w:p>
      <w:pPr>
        <w:spacing w:after="0" w:line="176" w:lineRule="exact"/>
        <w:rPr>
          <w:sz w:val="20"/>
          <w:szCs w:val="20"/>
          <w:color w:val="auto"/>
        </w:rPr>
      </w:pPr>
    </w:p>
    <w:p>
      <w:pPr>
        <w:ind w:left="620" w:hanging="309"/>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decreases in government funding of research and development;</w:t>
      </w:r>
    </w:p>
    <w:p>
      <w:pPr>
        <w:spacing w:after="0" w:line="164" w:lineRule="exact"/>
        <w:rPr>
          <w:rFonts w:ascii="Arial" w:cs="Arial" w:eastAsia="Arial" w:hAnsi="Arial"/>
          <w:sz w:val="17"/>
          <w:szCs w:val="17"/>
          <w:color w:val="auto"/>
        </w:rPr>
      </w:pPr>
    </w:p>
    <w:p>
      <w:pPr>
        <w:ind w:left="620" w:right="60" w:hanging="309"/>
        <w:spacing w:after="0" w:line="278" w:lineRule="auto"/>
        <w:tabs>
          <w:tab w:leader="none" w:pos="615"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to programs that provide funding to research laboratories and institutions, including changes in the amount of funds allocated to different areas of research or changes that have the effect of increasing the length of the funding process;</w:t>
      </w:r>
    </w:p>
    <w:p>
      <w:pPr>
        <w:spacing w:after="0" w:line="112" w:lineRule="exact"/>
        <w:rPr>
          <w:rFonts w:ascii="Arial" w:cs="Arial" w:eastAsia="Arial" w:hAnsi="Arial"/>
          <w:sz w:val="17"/>
          <w:szCs w:val="17"/>
          <w:color w:val="auto"/>
        </w:rPr>
      </w:pPr>
    </w:p>
    <w:p>
      <w:pPr>
        <w:ind w:left="620" w:right="260" w:hanging="309"/>
        <w:spacing w:after="0" w:line="278" w:lineRule="auto"/>
        <w:tabs>
          <w:tab w:leader="none" w:pos="615"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strategy and funding by commercial companies in the efforts around therapeutic and diagnostic product development and their adoption and use of our Proteograph Product Suite;</w:t>
      </w:r>
    </w:p>
    <w:p>
      <w:pPr>
        <w:spacing w:after="0" w:line="112" w:lineRule="exact"/>
        <w:rPr>
          <w:rFonts w:ascii="Arial" w:cs="Arial" w:eastAsia="Arial" w:hAnsi="Arial"/>
          <w:sz w:val="17"/>
          <w:szCs w:val="17"/>
          <w:color w:val="auto"/>
        </w:rPr>
      </w:pPr>
    </w:p>
    <w:p>
      <w:pPr>
        <w:ind w:left="620" w:hanging="309"/>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macroeconomic conditions;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opinions in the scientific community, including researchers’ opinions of the utility of our Proteograph;</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citation of our Proteograph Product Suite in published research;</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potential changes in the regulatory environment;</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differences in budgetary cycles, especially government- or grant-funded customers, whose cycles often coincide with government fiscal year ends;</w:t>
      </w:r>
    </w:p>
    <w:p>
      <w:pPr>
        <w:spacing w:after="0" w:line="175" w:lineRule="exact"/>
        <w:rPr>
          <w:rFonts w:ascii="Arial" w:cs="Arial" w:eastAsia="Arial" w:hAnsi="Arial"/>
          <w:sz w:val="16"/>
          <w:szCs w:val="16"/>
          <w:color w:val="auto"/>
        </w:rPr>
      </w:pPr>
    </w:p>
    <w:p>
      <w:pPr>
        <w:ind w:left="620" w:hanging="309"/>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competitor product offerings or pricing;</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market-driven pressures to consolidate operations and reduce costs; and</w:t>
      </w:r>
    </w:p>
    <w:p>
      <w:pPr>
        <w:spacing w:after="0" w:line="151" w:lineRule="exact"/>
        <w:rPr>
          <w:rFonts w:ascii="Arial" w:cs="Arial" w:eastAsia="Arial" w:hAnsi="Arial"/>
          <w:sz w:val="17"/>
          <w:szCs w:val="17"/>
          <w:color w:val="auto"/>
        </w:rPr>
      </w:pPr>
    </w:p>
    <w:p>
      <w:pPr>
        <w:ind w:left="620" w:hanging="309"/>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market acceptance of relatively new technologies, such as our Proteograph Product Suite.</w:t>
      </w:r>
    </w:p>
    <w:p>
      <w:pPr>
        <w:spacing w:after="0" w:line="164" w:lineRule="exact"/>
        <w:rPr>
          <w:sz w:val="20"/>
          <w:szCs w:val="20"/>
          <w:color w:val="auto"/>
        </w:rPr>
      </w:pPr>
    </w:p>
    <w:p>
      <w:pPr>
        <w:ind w:firstLine="308"/>
        <w:spacing w:after="0" w:line="272" w:lineRule="auto"/>
        <w:rPr>
          <w:sz w:val="20"/>
          <w:szCs w:val="20"/>
          <w:color w:val="auto"/>
        </w:rPr>
      </w:pPr>
      <w:r>
        <w:rPr>
          <w:rFonts w:ascii="Arial" w:cs="Arial" w:eastAsia="Arial" w:hAnsi="Arial"/>
          <w:sz w:val="16"/>
          <w:szCs w:val="16"/>
          <w:color w:val="auto"/>
        </w:rPr>
        <w:t>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For example, congressional appropriations to the National Institutes of Health (NIH) have generally increased year-over-year for the last 19 years, and reached a new high in 2020, but the NIH also experiences occasional year-over-year decreases in appropriations, including as recently as 2013. In addition, funding for life science research has increased more slowly during the past several years compared to previous years and has actually declined in some countries. There is no guarantee that NIH appropriations will not decrease in the future.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w:t>
      </w:r>
    </w:p>
    <w:p>
      <w:pPr>
        <w:spacing w:after="0" w:line="119" w:lineRule="exact"/>
        <w:rPr>
          <w:sz w:val="20"/>
          <w:szCs w:val="20"/>
          <w:color w:val="auto"/>
        </w:rPr>
      </w:pPr>
    </w:p>
    <w:p>
      <w:pPr>
        <w:ind w:right="460"/>
        <w:spacing w:after="0" w:line="278" w:lineRule="auto"/>
        <w:rPr>
          <w:sz w:val="20"/>
          <w:szCs w:val="20"/>
          <w:color w:val="auto"/>
        </w:rPr>
      </w:pPr>
      <w:r>
        <w:rPr>
          <w:rFonts w:ascii="Arial" w:cs="Arial" w:eastAsia="Arial" w:hAnsi="Arial"/>
          <w:sz w:val="17"/>
          <w:szCs w:val="17"/>
          <w:b w:val="1"/>
          <w:bCs w:val="1"/>
          <w:i w:val="1"/>
          <w:iCs w:val="1"/>
          <w:color w:val="auto"/>
        </w:rPr>
        <w:t>We rely on a single contract manufacturer to manufacture and supply our instruments. If this manufacturer should fail or not perform satisfactorily, our ability to commercialize and supply our instruments would be adversely affected.</w:t>
      </w:r>
    </w:p>
    <w:p>
      <w:pPr>
        <w:spacing w:after="0" w:line="112" w:lineRule="exact"/>
        <w:rPr>
          <w:sz w:val="20"/>
          <w:szCs w:val="20"/>
          <w:color w:val="auto"/>
        </w:rPr>
      </w:pPr>
    </w:p>
    <w:p>
      <w:pPr>
        <w:ind w:right="20" w:firstLine="308"/>
        <w:spacing w:after="0" w:line="258" w:lineRule="auto"/>
        <w:rPr>
          <w:sz w:val="20"/>
          <w:szCs w:val="20"/>
          <w:color w:val="auto"/>
        </w:rPr>
      </w:pPr>
      <w:r>
        <w:rPr>
          <w:rFonts w:ascii="Arial" w:cs="Arial" w:eastAsia="Arial" w:hAnsi="Arial"/>
          <w:sz w:val="17"/>
          <w:szCs w:val="17"/>
          <w:color w:val="auto"/>
        </w:rPr>
        <w:t>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 priority than ours, we may not be able to obtain adequate supplies in a timely manner or on commercially reasonable terms, and we may incur price increases from Hamilton Company. For example, due to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75"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and increased demand for Hamilton’s products, we have seen the lead time for our instruments increase significantly. Further, if Hamilton is unable to obtain critical components used in our Proteograph solution or supply our instruments on the timelines we require, our business and commercialization efforts would be harmed.</w:t>
      </w:r>
    </w:p>
    <w:p>
      <w:pPr>
        <w:spacing w:after="0" w:line="123" w:lineRule="exact"/>
        <w:rPr>
          <w:sz w:val="20"/>
          <w:szCs w:val="20"/>
          <w:color w:val="auto"/>
        </w:rPr>
      </w:pPr>
    </w:p>
    <w:p>
      <w:pPr>
        <w:ind w:right="120" w:firstLine="308"/>
        <w:spacing w:after="0" w:line="265" w:lineRule="auto"/>
        <w:rPr>
          <w:sz w:val="20"/>
          <w:szCs w:val="20"/>
          <w:color w:val="auto"/>
        </w:rPr>
      </w:pPr>
      <w:r>
        <w:rPr>
          <w:rFonts w:ascii="Arial" w:cs="Arial" w:eastAsia="Arial" w:hAnsi="Arial"/>
          <w:sz w:val="17"/>
          <w:szCs w:val="17"/>
          <w:color w:val="auto"/>
        </w:rPr>
        <w:t>In the event it becomes necessary to utilize a different contract manufacturer for our products, we would experience additional costs, delays and difficulties in doing so as a result of identifying and entering into an agreement with a new manufacturer as well as preparing such new manufacturer to meet the logistical requirements associated with manufacturing our instruments, and our business would suffer.</w:t>
      </w:r>
    </w:p>
    <w:p>
      <w:pPr>
        <w:spacing w:after="0" w:line="123" w:lineRule="exact"/>
        <w:rPr>
          <w:sz w:val="20"/>
          <w:szCs w:val="20"/>
          <w:color w:val="auto"/>
        </w:rPr>
      </w:pPr>
    </w:p>
    <w:p>
      <w:pPr>
        <w:ind w:firstLine="308"/>
        <w:spacing w:after="0" w:line="256" w:lineRule="auto"/>
        <w:rPr>
          <w:sz w:val="20"/>
          <w:szCs w:val="20"/>
          <w:color w:val="auto"/>
        </w:rPr>
      </w:pPr>
      <w:r>
        <w:rPr>
          <w:rFonts w:ascii="Arial" w:cs="Arial" w:eastAsia="Arial" w:hAnsi="Arial"/>
          <w:sz w:val="17"/>
          <w:szCs w:val="17"/>
          <w:color w:val="auto"/>
        </w:rPr>
        <w:t>In addition, certain of the components used in our instruments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 not meet specifications, or if we cannot then obtain an acceptable substitute. Our suppliers have also been impacted by the COVID-19 pandemic, and we have also experienced supply delays for critical hardware, instrumentation and medical and testing supplies that we use for product development, as these other components and supplies are otherwise diverted to COVID-19-related testing and other uses. If any of these events occur, our business, results of operations, financial condition and prospects could be harmed.</w:t>
      </w:r>
    </w:p>
    <w:p>
      <w:pPr>
        <w:spacing w:after="0" w:line="134" w:lineRule="exact"/>
        <w:rPr>
          <w:sz w:val="20"/>
          <w:szCs w:val="20"/>
          <w:color w:val="auto"/>
        </w:rPr>
      </w:pPr>
    </w:p>
    <w:p>
      <w:pPr>
        <w:ind w:right="220"/>
        <w:spacing w:after="0" w:line="265" w:lineRule="auto"/>
        <w:rPr>
          <w:sz w:val="20"/>
          <w:szCs w:val="20"/>
          <w:color w:val="auto"/>
        </w:rPr>
      </w:pPr>
      <w:r>
        <w:rPr>
          <w:rFonts w:ascii="Arial" w:cs="Arial" w:eastAsia="Arial" w:hAnsi="Arial"/>
          <w:sz w:val="17"/>
          <w:szCs w:val="17"/>
          <w:b w:val="1"/>
          <w:bCs w:val="1"/>
          <w:i w:val="1"/>
          <w:iCs w:val="1"/>
          <w:color w:val="auto"/>
        </w:rPr>
        <w:t>We have limited experience producing and supplying our products, and we may be unable to consistently manufacture or source our SP100 automation instruments and consumables to the necessary specifications or in quantities necessary to meet demand on a timely basis and at acceptable performance and cost levels.</w:t>
      </w:r>
    </w:p>
    <w:p>
      <w:pPr>
        <w:spacing w:after="0" w:line="123" w:lineRule="exact"/>
        <w:rPr>
          <w:sz w:val="20"/>
          <w:szCs w:val="20"/>
          <w:color w:val="auto"/>
        </w:rPr>
      </w:pPr>
    </w:p>
    <w:p>
      <w:pPr>
        <w:ind w:right="140" w:firstLine="308"/>
        <w:spacing w:after="0" w:line="257" w:lineRule="auto"/>
        <w:rPr>
          <w:sz w:val="20"/>
          <w:szCs w:val="20"/>
          <w:color w:val="auto"/>
        </w:rPr>
      </w:pPr>
      <w:r>
        <w:rPr>
          <w:rFonts w:ascii="Arial" w:cs="Arial" w:eastAsia="Arial" w:hAnsi="Arial"/>
          <w:sz w:val="17"/>
          <w:szCs w:val="17"/>
          <w:color w:val="auto"/>
        </w:rPr>
        <w:t>Our Proteograph Product Suite is an integrated workstation with many different components that work together. As such, a quality defect in a single component can compromise the performance of the entire solution. In order to successfully generate revenue from our Proteograph Product Suite, we need to supply our customers with products that meet their expectations for quality and functionality in accordance with established specifications on a timely basis. Our instruments are manufactured by Hamilton Company at their facility using complex processes, sophisticated equipment and strict adherence to specifications and quality systems procedures. Given the complexity of this automation instrumentation, individual units may occasionally require additional installation and service time prior to becoming available for customer use.</w:t>
      </w:r>
    </w:p>
    <w:p>
      <w:pPr>
        <w:spacing w:after="0" w:line="132" w:lineRule="exact"/>
        <w:rPr>
          <w:sz w:val="20"/>
          <w:szCs w:val="20"/>
          <w:color w:val="auto"/>
        </w:rPr>
      </w:pPr>
    </w:p>
    <w:p>
      <w:pPr>
        <w:ind w:right="40" w:firstLine="308"/>
        <w:spacing w:after="0" w:line="258" w:lineRule="auto"/>
        <w:rPr>
          <w:sz w:val="20"/>
          <w:szCs w:val="20"/>
          <w:color w:val="auto"/>
        </w:rPr>
      </w:pPr>
      <w:r>
        <w:rPr>
          <w:rFonts w:ascii="Arial" w:cs="Arial" w:eastAsia="Arial" w:hAnsi="Arial"/>
          <w:sz w:val="17"/>
          <w:szCs w:val="17"/>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These manufacturing processes are complex. As we move to towards commercial scale formulation and manufacturing of our NP panels, if we are not able to repeatably produce our NPs at commercial scale or source them from third-party suppliers, or encounter unexpected difficulties in packaging our consumables, our business will be adversely impacted.</w:t>
      </w:r>
    </w:p>
    <w:p>
      <w:pPr>
        <w:spacing w:after="0" w:line="131" w:lineRule="exact"/>
        <w:rPr>
          <w:sz w:val="20"/>
          <w:szCs w:val="20"/>
          <w:color w:val="auto"/>
        </w:rPr>
      </w:pPr>
    </w:p>
    <w:p>
      <w:pPr>
        <w:ind w:right="60" w:firstLine="308"/>
        <w:spacing w:after="0" w:line="272" w:lineRule="auto"/>
        <w:rPr>
          <w:sz w:val="20"/>
          <w:szCs w:val="20"/>
          <w:color w:val="auto"/>
        </w:rPr>
      </w:pPr>
      <w:r>
        <w:rPr>
          <w:rFonts w:ascii="Arial" w:cs="Arial" w:eastAsia="Arial" w:hAnsi="Arial"/>
          <w:sz w:val="16"/>
          <w:szCs w:val="16"/>
          <w:color w:val="auto"/>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SP100 automation instrument so that it consistently achieves the product specifications and produces results with acceptable quality. Our NPs and other consumables have a limited shelf life, after which their performance is not ensured. While we have completed accelerated stability testing for our NPs, our real-time long-term liquid stability studies are underway, but have not been completed. Shipment of consumables that effectively expire early or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our third-party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manufacturers fail to maintain ISO quality management certifications, customers might choose not to purchase products from us.</w:t>
      </w:r>
    </w:p>
    <w:p>
      <w:pPr>
        <w:spacing w:after="0" w:line="164"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In addition, as we commercialize our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w:t>
      </w:r>
    </w:p>
    <w:p>
      <w:pPr>
        <w:spacing w:after="0" w:line="131" w:lineRule="exact"/>
        <w:rPr>
          <w:sz w:val="20"/>
          <w:szCs w:val="20"/>
          <w:color w:val="auto"/>
        </w:rPr>
      </w:pPr>
    </w:p>
    <w:p>
      <w:pPr>
        <w:ind w:right="400" w:firstLine="308"/>
        <w:spacing w:after="0" w:line="310" w:lineRule="auto"/>
        <w:rPr>
          <w:sz w:val="20"/>
          <w:szCs w:val="20"/>
          <w:color w:val="auto"/>
        </w:rPr>
      </w:pPr>
      <w:r>
        <w:rPr>
          <w:rFonts w:ascii="Arial" w:cs="Arial" w:eastAsia="Arial" w:hAnsi="Arial"/>
          <w:sz w:val="16"/>
          <w:szCs w:val="16"/>
          <w:color w:val="auto"/>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spacing w:after="0" w:line="90"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b w:val="1"/>
          <w:bCs w:val="1"/>
          <w:i w:val="1"/>
          <w:iCs w:val="1"/>
          <w:color w:val="auto"/>
        </w:rPr>
        <w:t>Our products could have defects or errors, which may give rise to claims against us, adversely affect market adoption of our Proteograph Product Suite, and adversely affect our business, financial condition, and results of operations.</w:t>
      </w:r>
    </w:p>
    <w:p>
      <w:pPr>
        <w:spacing w:after="0" w:line="112" w:lineRule="exact"/>
        <w:rPr>
          <w:sz w:val="20"/>
          <w:szCs w:val="20"/>
          <w:color w:val="auto"/>
        </w:rPr>
      </w:pPr>
    </w:p>
    <w:p>
      <w:pPr>
        <w:ind w:right="320" w:firstLine="308"/>
        <w:spacing w:after="0" w:line="261" w:lineRule="auto"/>
        <w:rPr>
          <w:sz w:val="20"/>
          <w:szCs w:val="20"/>
          <w:color w:val="auto"/>
        </w:rPr>
      </w:pPr>
      <w:r>
        <w:rPr>
          <w:rFonts w:ascii="Arial" w:cs="Arial" w:eastAsia="Arial" w:hAnsi="Arial"/>
          <w:sz w:val="17"/>
          <w:szCs w:val="17"/>
          <w:color w:val="auto"/>
        </w:rPr>
        <w:t>Our Proteograph Product Suite utilizes novel and complex technology and may develop or contain undetected defects or errors. We cannot assure you that material performance problems, defects, or errors will not arise, and as we commercialize our Proteograph, these risks may increase. We expect to provide warranties that our products will meet performance expectations and will be free from defects. The costs incurred in correcting any defects or errors may be substantial and could adversely affect our operating margins.</w:t>
      </w:r>
    </w:p>
    <w:p>
      <w:pPr>
        <w:spacing w:after="0" w:line="126" w:lineRule="exact"/>
        <w:rPr>
          <w:sz w:val="20"/>
          <w:szCs w:val="20"/>
          <w:color w:val="auto"/>
        </w:rPr>
      </w:pPr>
    </w:p>
    <w:p>
      <w:pPr>
        <w:ind w:right="20" w:firstLine="308"/>
        <w:spacing w:after="0" w:line="282" w:lineRule="auto"/>
        <w:rPr>
          <w:sz w:val="20"/>
          <w:szCs w:val="20"/>
          <w:color w:val="auto"/>
        </w:rPr>
      </w:pPr>
      <w:r>
        <w:rPr>
          <w:rFonts w:ascii="Arial" w:cs="Arial" w:eastAsia="Arial" w:hAnsi="Arial"/>
          <w:sz w:val="16"/>
          <w:szCs w:val="16"/>
          <w:color w:val="auto"/>
        </w:rPr>
        <w:t>In manufacturing our Proteograph Product Suite, we depend upon third parties for the supply of our instruments and various components, many of which require a significant degree of technical expertise to produce. If our suppliers fail to produce our SP100 automation instrument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If our Proteograph Product Suite contains defects, we may experience:</w:t>
      </w:r>
    </w:p>
    <w:p>
      <w:pPr>
        <w:spacing w:after="0" w:line="164" w:lineRule="exact"/>
        <w:rPr>
          <w:sz w:val="20"/>
          <w:szCs w:val="20"/>
          <w:color w:val="auto"/>
        </w:rPr>
      </w:pPr>
    </w:p>
    <w:p>
      <w:pPr>
        <w:ind w:left="620" w:hanging="309"/>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failure to achieve market acceptance for our Proteograph or expansion of our Proteograph Product Suite sales;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loss of customer orders and delay in order fulfillment;</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damage to our brand reputation;</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increased warranty and customer service and support costs due to product repair or replacement;</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product recalls or replacements;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inability to attract new customers;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diversion of resources from our manufacturing and research and development departments to our service department; and</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176" w:lineRule="exact"/>
        <w:rPr>
          <w:sz w:val="20"/>
          <w:szCs w:val="20"/>
          <w:color w:val="auto"/>
        </w:rPr>
      </w:pPr>
    </w:p>
    <w:p>
      <w:pPr>
        <w:ind w:right="60" w:firstLine="308"/>
        <w:spacing w:after="0" w:line="261" w:lineRule="auto"/>
        <w:rPr>
          <w:sz w:val="20"/>
          <w:szCs w:val="20"/>
          <w:color w:val="auto"/>
        </w:rPr>
      </w:pPr>
      <w:r>
        <w:rPr>
          <w:rFonts w:ascii="Arial" w:cs="Arial" w:eastAsia="Arial" w:hAnsi="Arial"/>
          <w:sz w:val="17"/>
          <w:szCs w:val="17"/>
          <w:color w:val="auto"/>
        </w:rPr>
        <w:t>In addition, we expect that our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or are defective, they may not be compatible or perform as intended with our Proteograph. In such case, the reliability, results and performance of our Proteograph may be compromised.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5" w:name="page46"/>
    <w:bookmarkEnd w:id="45"/>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The occurrence of any one or more of the foregoing may have a material adverse effect on our business, results of operations, financial condition and prospects.</w:t>
      </w:r>
    </w:p>
    <w:p>
      <w:pPr>
        <w:spacing w:after="0" w:line="187"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b w:val="1"/>
          <w:bCs w:val="1"/>
          <w:i w:val="1"/>
          <w:iCs w:val="1"/>
          <w:color w:val="auto"/>
        </w:rPr>
        <w:t>If we do not successfully develop and deploy our Proteograph Analysis Suite, our commercialization efforts and therefore business and results of operations could suffer.</w:t>
      </w:r>
    </w:p>
    <w:p>
      <w:pPr>
        <w:spacing w:after="0" w:line="112" w:lineRule="exact"/>
        <w:rPr>
          <w:sz w:val="20"/>
          <w:szCs w:val="20"/>
          <w:color w:val="auto"/>
        </w:rPr>
      </w:pPr>
    </w:p>
    <w:p>
      <w:pPr>
        <w:ind w:firstLine="308"/>
        <w:spacing w:after="0" w:line="261" w:lineRule="auto"/>
        <w:rPr>
          <w:sz w:val="20"/>
          <w:szCs w:val="20"/>
          <w:color w:val="auto"/>
        </w:rPr>
      </w:pPr>
      <w:r>
        <w:rPr>
          <w:rFonts w:ascii="Arial" w:cs="Arial" w:eastAsia="Arial" w:hAnsi="Arial"/>
          <w:sz w:val="17"/>
          <w:szCs w:val="17"/>
          <w:color w:val="auto"/>
        </w:rPr>
        <w:t>The success of our Proteograph Product Suite depends, in part, on our ability to design and deploy our Proteograph Analysis Suite in a manner that enables the integration with our potential customers’ systems and accommodates our customers’ needs. Without our Proteograph Analysis Suite, the use of MS instruments can require expert knowledge and scalable high-performance computer infrastructure to run efficiently and can make it difficult for our customers to understand and evaluate the quality of their results.</w:t>
      </w:r>
    </w:p>
    <w:p>
      <w:pPr>
        <w:spacing w:after="0" w:line="126" w:lineRule="exact"/>
        <w:rPr>
          <w:sz w:val="20"/>
          <w:szCs w:val="20"/>
          <w:color w:val="auto"/>
        </w:rPr>
      </w:pPr>
    </w:p>
    <w:p>
      <w:pPr>
        <w:ind w:firstLine="308"/>
        <w:spacing w:after="0" w:line="275" w:lineRule="auto"/>
        <w:rPr>
          <w:sz w:val="20"/>
          <w:szCs w:val="20"/>
          <w:color w:val="auto"/>
        </w:rPr>
      </w:pPr>
      <w:r>
        <w:rPr>
          <w:rFonts w:ascii="Arial" w:cs="Arial" w:eastAsia="Arial" w:hAnsi="Arial"/>
          <w:sz w:val="16"/>
          <w:szCs w:val="16"/>
          <w:color w:val="auto"/>
        </w:rPr>
        <w:t>We have and will continue to spend significant amounts of effort developing our Proteograph Analysis Suite, and potential enhanced versions over time, to meet our customers’ and potential customers’ evolving needs. There is no assurance that the development or deployment of our Proteograph Analysis Suite, or any potential enhancements, will be compelling to our customers. In addition, we may experience delays in our release dates of our Proteograph Analysis Suite, and there can be no assurance that our Proteograph Analysis Suite will be released according to schedule. If our software development and deployment plan does not accurately anticipate customer demands or if we fail to develop our Proteograph Analysis Suite in a manner that satisfies customer preferences in a timely and cost-effective manner, our Proteograph may fail to gain market acceptance. The occurrence of any one or more of the foregoing could negatively affect our business, financial condition, and results of operations.</w:t>
      </w:r>
    </w:p>
    <w:p>
      <w:pPr>
        <w:spacing w:after="0" w:line="117"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b w:val="1"/>
          <w:bCs w:val="1"/>
          <w:i w:val="1"/>
          <w:iCs w:val="1"/>
          <w:color w:val="auto"/>
        </w:rPr>
        <w:t>If we commercialize our Proteograph Product Suite outside of the United States, our international business could expose us to business, regulatory, political, operational, financial, and economic risks associated with doing business outside of the United States.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Engaging in international business inherently involves a number of difficulties and risks, including:</w:t>
      </w:r>
    </w:p>
    <w:p>
      <w:pPr>
        <w:spacing w:after="0" w:line="164" w:lineRule="exact"/>
        <w:rPr>
          <w:sz w:val="20"/>
          <w:szCs w:val="20"/>
          <w:color w:val="auto"/>
        </w:rPr>
      </w:pPr>
    </w:p>
    <w:p>
      <w:pPr>
        <w:ind w:left="620" w:right="60" w:hanging="309"/>
        <w:spacing w:after="0" w:line="282" w:lineRule="auto"/>
        <w:tabs>
          <w:tab w:leader="none" w:pos="615"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spacing w:after="0" w:line="111" w:lineRule="exact"/>
        <w:rPr>
          <w:rFonts w:ascii="Arial" w:cs="Arial" w:eastAsia="Arial" w:hAnsi="Arial"/>
          <w:sz w:val="16"/>
          <w:szCs w:val="16"/>
          <w:color w:val="auto"/>
        </w:rPr>
      </w:pPr>
    </w:p>
    <w:p>
      <w:pPr>
        <w:ind w:left="620" w:right="320" w:hanging="309"/>
        <w:spacing w:after="0" w:line="278" w:lineRule="auto"/>
        <w:tabs>
          <w:tab w:leader="none" w:pos="6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required compliance with U.S. laws such as the Foreign Corrupt Practices Act, and other U.S. federal laws and regulations established by the office of Foreign Asset Control;</w:t>
      </w:r>
    </w:p>
    <w:p>
      <w:pPr>
        <w:spacing w:after="0" w:line="112" w:lineRule="exact"/>
        <w:rPr>
          <w:rFonts w:ascii="Arial" w:cs="Arial" w:eastAsia="Arial" w:hAnsi="Arial"/>
          <w:sz w:val="17"/>
          <w:szCs w:val="17"/>
          <w:color w:val="auto"/>
        </w:rPr>
      </w:pPr>
    </w:p>
    <w:p>
      <w:pPr>
        <w:ind w:left="620" w:hanging="309"/>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export requirements and import or trade restrictions;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laws and business practices favoring local companies;</w:t>
      </w:r>
    </w:p>
    <w:p>
      <w:pPr>
        <w:spacing w:after="0" w:line="164" w:lineRule="exact"/>
        <w:rPr>
          <w:rFonts w:ascii="Arial" w:cs="Arial" w:eastAsia="Arial" w:hAnsi="Arial"/>
          <w:sz w:val="17"/>
          <w:szCs w:val="17"/>
          <w:color w:val="auto"/>
        </w:rPr>
      </w:pPr>
    </w:p>
    <w:p>
      <w:pPr>
        <w:ind w:left="620" w:right="560" w:hanging="309"/>
        <w:spacing w:after="0" w:line="278" w:lineRule="auto"/>
        <w:tabs>
          <w:tab w:leader="none" w:pos="6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foreign currency exchange, longer payment cycles and difficulties in enforcing agreements and collecting receivables through certain foreign legal systems;</w:t>
      </w:r>
    </w:p>
    <w:p>
      <w:pPr>
        <w:spacing w:after="0" w:line="112" w:lineRule="exact"/>
        <w:rPr>
          <w:rFonts w:ascii="Arial" w:cs="Arial" w:eastAsia="Arial" w:hAnsi="Arial"/>
          <w:sz w:val="17"/>
          <w:szCs w:val="17"/>
          <w:color w:val="auto"/>
        </w:rPr>
      </w:pPr>
    </w:p>
    <w:p>
      <w:pPr>
        <w:ind w:left="620" w:right="320" w:hanging="309"/>
        <w:spacing w:after="0" w:line="265" w:lineRule="auto"/>
        <w:tabs>
          <w:tab w:leader="none" w:pos="6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123" w:lineRule="exact"/>
        <w:rPr>
          <w:rFonts w:ascii="Arial" w:cs="Arial" w:eastAsia="Arial" w:hAnsi="Arial"/>
          <w:sz w:val="17"/>
          <w:szCs w:val="17"/>
          <w:color w:val="auto"/>
        </w:rPr>
      </w:pPr>
    </w:p>
    <w:p>
      <w:pPr>
        <w:ind w:left="620" w:hanging="309"/>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potentially adverse tax consequences, tariffs, customs charges, bureaucratic requirements, and other trade barriers;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difficulties and costs of staffing and managing foreign operations; and</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difficulties protecting, maintaining, enforcing or procuring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75" w:lineRule="exact"/>
        <w:rPr>
          <w:sz w:val="20"/>
          <w:szCs w:val="20"/>
          <w:color w:val="auto"/>
        </w:rPr>
      </w:pPr>
    </w:p>
    <w:p>
      <w:pPr>
        <w:ind w:right="320" w:firstLine="308"/>
        <w:spacing w:after="0" w:line="278" w:lineRule="auto"/>
        <w:rPr>
          <w:sz w:val="20"/>
          <w:szCs w:val="20"/>
          <w:color w:val="auto"/>
        </w:rPr>
      </w:pPr>
      <w:r>
        <w:rPr>
          <w:rFonts w:ascii="Arial" w:cs="Arial" w:eastAsia="Arial" w:hAnsi="Arial"/>
          <w:sz w:val="17"/>
          <w:szCs w:val="17"/>
          <w:color w:val="auto"/>
        </w:rPr>
        <w:t>If one or more of these risks occurs, it could require us to dedicate significant resources to remedy such occurrence, and if we are unsuccessful in finding a solution, our financial results will suffer.</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life sciences technology market is highly competitive. If we fail to compete effectively, our business and results of operation will suffer.</w:t>
      </w:r>
    </w:p>
    <w:p>
      <w:pPr>
        <w:spacing w:after="0" w:line="176" w:lineRule="exact"/>
        <w:rPr>
          <w:sz w:val="20"/>
          <w:szCs w:val="20"/>
          <w:color w:val="auto"/>
        </w:rPr>
      </w:pPr>
    </w:p>
    <w:p>
      <w:pPr>
        <w:ind w:right="120" w:firstLine="308"/>
        <w:spacing w:after="0" w:line="258" w:lineRule="auto"/>
        <w:rPr>
          <w:sz w:val="20"/>
          <w:szCs w:val="20"/>
          <w:color w:val="auto"/>
        </w:rPr>
      </w:pPr>
      <w:r>
        <w:rPr>
          <w:rFonts w:ascii="Arial" w:cs="Arial" w:eastAsia="Arial" w:hAnsi="Arial"/>
          <w:sz w:val="17"/>
          <w:szCs w:val="17"/>
          <w:color w:val="auto"/>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Bio-Rad Laboratories, Danaher, Luminex, Merck (and its subsidiary MilliporeSigma) and Thermo Fisher Scientific. We also compete with a number of emerging growth companies that have developed, or are developing, proteomic products and solutions, such as Nautilus Biotechnology, Olink Proteomics, Quanterix and SomaLogic.</w:t>
      </w:r>
    </w:p>
    <w:p>
      <w:pPr>
        <w:spacing w:after="0" w:line="131" w:lineRule="exact"/>
        <w:rPr>
          <w:sz w:val="20"/>
          <w:szCs w:val="20"/>
          <w:color w:val="auto"/>
        </w:rPr>
      </w:pPr>
    </w:p>
    <w:p>
      <w:pPr>
        <w:ind w:right="660" w:firstLine="308"/>
        <w:spacing w:after="0" w:line="278" w:lineRule="auto"/>
        <w:rPr>
          <w:sz w:val="20"/>
          <w:szCs w:val="20"/>
          <w:color w:val="auto"/>
        </w:rPr>
      </w:pPr>
      <w:r>
        <w:rPr>
          <w:rFonts w:ascii="Arial" w:cs="Arial" w:eastAsia="Arial" w:hAnsi="Arial"/>
          <w:sz w:val="17"/>
          <w:szCs w:val="17"/>
          <w:color w:val="auto"/>
        </w:rPr>
        <w:t>Some of our current competitors are large publicly-traded companies, or are divisions of large publicly-traded companies, and may enjoy a number of competitive advantages over us, including:</w:t>
      </w:r>
    </w:p>
    <w:p>
      <w:pPr>
        <w:spacing w:after="0" w:line="112" w:lineRule="exact"/>
        <w:rPr>
          <w:sz w:val="20"/>
          <w:szCs w:val="20"/>
          <w:color w:val="auto"/>
        </w:rPr>
      </w:pPr>
    </w:p>
    <w:p>
      <w:pPr>
        <w:ind w:left="620" w:hanging="309"/>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greater name and brand recognition;</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greater financial and human resources;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broader product lines;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larger sales forces and more established distributor networks;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substantial intellectual property portfolios;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larger and more established customer bases and relationships; and</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better established, larger scale and lower cost manufacturing capabilities.</w:t>
      </w:r>
    </w:p>
    <w:p>
      <w:pPr>
        <w:spacing w:after="0" w:line="164" w:lineRule="exact"/>
        <w:rPr>
          <w:sz w:val="20"/>
          <w:szCs w:val="20"/>
          <w:color w:val="auto"/>
        </w:rPr>
      </w:pPr>
    </w:p>
    <w:p>
      <w:pPr>
        <w:jc w:val="both"/>
        <w:ind w:right="20" w:firstLine="308"/>
        <w:spacing w:after="0" w:line="258" w:lineRule="auto"/>
        <w:rPr>
          <w:sz w:val="20"/>
          <w:szCs w:val="20"/>
          <w:color w:val="auto"/>
        </w:rPr>
      </w:pPr>
      <w:r>
        <w:rPr>
          <w:rFonts w:ascii="Arial" w:cs="Arial" w:eastAsia="Arial" w:hAnsi="Arial"/>
          <w:sz w:val="17"/>
          <w:szCs w:val="17"/>
          <w:color w:val="auto"/>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spacing w:after="0" w:line="131" w:lineRule="exact"/>
        <w:rPr>
          <w:sz w:val="20"/>
          <w:szCs w:val="20"/>
          <w:color w:val="auto"/>
        </w:rPr>
      </w:pPr>
    </w:p>
    <w:p>
      <w:pPr>
        <w:ind w:right="300" w:firstLine="308"/>
        <w:spacing w:after="0" w:line="278" w:lineRule="auto"/>
        <w:rPr>
          <w:sz w:val="20"/>
          <w:szCs w:val="20"/>
          <w:color w:val="auto"/>
        </w:rPr>
      </w:pPr>
      <w:r>
        <w:rPr>
          <w:rFonts w:ascii="Arial" w:cs="Arial" w:eastAsia="Arial" w:hAnsi="Arial"/>
          <w:sz w:val="16"/>
          <w:szCs w:val="16"/>
          <w:color w:val="auto"/>
        </w:rPr>
        <w:t>We cannot assure investors that our products will compete favorably or that we will be successful in the face of increasing competition from products and technologies introduced by our existing or future competitors, companies entering our markets or developed by our customers internally. In addition, we cannot assure investors that our competitors do not have or will not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w:t>
      </w:r>
    </w:p>
    <w:p>
      <w:pPr>
        <w:spacing w:after="0" w:line="116"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Class A common stock.</w:t>
      </w:r>
    </w:p>
    <w:p>
      <w:pPr>
        <w:spacing w:after="0" w:line="126" w:lineRule="exact"/>
        <w:rPr>
          <w:sz w:val="20"/>
          <w:szCs w:val="20"/>
          <w:color w:val="auto"/>
        </w:rPr>
      </w:pPr>
    </w:p>
    <w:p>
      <w:pPr>
        <w:jc w:val="both"/>
        <w:ind w:right="100" w:firstLine="308"/>
        <w:spacing w:after="0" w:line="265" w:lineRule="auto"/>
        <w:rPr>
          <w:sz w:val="20"/>
          <w:szCs w:val="20"/>
          <w:color w:val="auto"/>
        </w:rPr>
      </w:pPr>
      <w:r>
        <w:rPr>
          <w:rFonts w:ascii="Arial" w:cs="Arial" w:eastAsia="Arial" w:hAnsi="Arial"/>
          <w:sz w:val="17"/>
          <w:szCs w:val="17"/>
          <w:color w:val="auto"/>
        </w:rPr>
        <w:t>To date, we have never conducted a review of our internal control for the purpose of providing the reports required by the Sarbanes-Oxley Act (SOX). During our review and testing, we may identify deficiencies and be unable to remediate them before we must provide the required reports. In connection with the audit of our consolidated financial statements for the year ended December 31, 2019, we and our independent registered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accounting firm identified the following material weaknesses in our internal control over financial reporting, which remain unremediated:</w:t>
      </w:r>
    </w:p>
    <w:p>
      <w:pPr>
        <w:spacing w:after="0" w:line="164" w:lineRule="exact"/>
        <w:rPr>
          <w:sz w:val="20"/>
          <w:szCs w:val="20"/>
          <w:color w:val="auto"/>
        </w:rPr>
      </w:pPr>
    </w:p>
    <w:p>
      <w:pPr>
        <w:ind w:left="620" w:hanging="309"/>
        <w:spacing w:after="0"/>
        <w:tabs>
          <w:tab w:leader="none" w:pos="6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there is insufficient accounting personnel to enable segregation of duties relating to the general ledger, disbursement, and certain accounting functions;</w:t>
      </w:r>
    </w:p>
    <w:p>
      <w:pPr>
        <w:spacing w:after="0" w:line="187" w:lineRule="exact"/>
        <w:rPr>
          <w:rFonts w:ascii="Arial" w:cs="Arial" w:eastAsia="Arial" w:hAnsi="Arial"/>
          <w:sz w:val="15"/>
          <w:szCs w:val="15"/>
          <w:color w:val="auto"/>
        </w:rPr>
      </w:pPr>
    </w:p>
    <w:p>
      <w:pPr>
        <w:ind w:left="620" w:right="520" w:hanging="309"/>
        <w:spacing w:after="0" w:line="310" w:lineRule="auto"/>
        <w:tabs>
          <w:tab w:leader="none" w:pos="61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there are not formalized processes or controls for account reconciliations, including independent review of such reconciliations, or related financial statement analysis prepared in conformity with generally accepted accounting principles in the United States (U.S. GAAP); and</w:t>
      </w:r>
    </w:p>
    <w:p>
      <w:pPr>
        <w:spacing w:after="0" w:line="90" w:lineRule="exact"/>
        <w:rPr>
          <w:rFonts w:ascii="Arial" w:cs="Arial" w:eastAsia="Arial" w:hAnsi="Arial"/>
          <w:sz w:val="16"/>
          <w:szCs w:val="16"/>
          <w:color w:val="auto"/>
        </w:rPr>
      </w:pPr>
    </w:p>
    <w:p>
      <w:pPr>
        <w:ind w:left="620" w:hanging="309"/>
        <w:spacing w:after="0" w:line="278" w:lineRule="auto"/>
        <w:tabs>
          <w:tab w:leader="none" w:pos="61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there is not a sufficient complement of accounting personnel with the necessary U.S. GAAP technical expertise to timely identify and account for complex or non-routine transactions or to formalize accounting policies, memoranda, or controls for such transactions.</w:t>
      </w:r>
    </w:p>
    <w:p>
      <w:pPr>
        <w:spacing w:after="0" w:line="112" w:lineRule="exact"/>
        <w:rPr>
          <w:sz w:val="20"/>
          <w:szCs w:val="20"/>
          <w:color w:val="auto"/>
        </w:rPr>
      </w:pPr>
    </w:p>
    <w:p>
      <w:pPr>
        <w:ind w:right="40" w:firstLine="308"/>
        <w:spacing w:after="0" w:line="27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our consolidated financial statements will not be prevented or detected on a timely basis.</w:t>
      </w:r>
    </w:p>
    <w:p>
      <w:pPr>
        <w:spacing w:after="0" w:line="112" w:lineRule="exact"/>
        <w:rPr>
          <w:sz w:val="20"/>
          <w:szCs w:val="20"/>
          <w:color w:val="auto"/>
        </w:rPr>
      </w:pPr>
    </w:p>
    <w:p>
      <w:pPr>
        <w:ind w:right="20" w:firstLine="308"/>
        <w:spacing w:after="0" w:line="271" w:lineRule="auto"/>
        <w:rPr>
          <w:sz w:val="20"/>
          <w:szCs w:val="20"/>
          <w:color w:val="auto"/>
        </w:rPr>
      </w:pPr>
      <w:r>
        <w:rPr>
          <w:rFonts w:ascii="Arial" w:cs="Arial" w:eastAsia="Arial" w:hAnsi="Arial"/>
          <w:sz w:val="16"/>
          <w:szCs w:val="16"/>
          <w:color w:val="auto"/>
        </w:rPr>
        <w:t>We have begun to take certain actions to address the control deficiencies in our financial reporting, including hiring three finance department employees with appropriate expertise, including our Chief Financial Officer and our Controller, and retaining an accounting consulting firm to provide additional depth and breadth to our technical accounting and financial reporting capabilities. We have also begun to review and document our accounting and financial processes and internal controls, build out our financial management and reporting systems infrastructure, and further develop and formalize our accounting policies and financial reporting procedures, which includes ongoing senior management review and establishing our audit committee oversight. In addition, we have commenced work with a consulting firm to assist in the design effectiveness and testing of our internal controls and we plan to hire an additional four finance and accounting personnel during 2021 to assist in executing on these specific functions, of which we have hired two personnel as of March 31, 2021. While we have begun taking measures and plan to continue to take measures to design and implement an effective control environment, we cannot assure you that the measures we have taken to date and other remediation and internal control measures we implement in the future will be sufficient to remediate our current material weaknesses or prevent future material weaknesses. We may discover additional weaknesses in our system of internal financial and accounting controls and procedures that could result in a material misstatement of our consolidated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24" w:lineRule="exact"/>
        <w:rPr>
          <w:sz w:val="20"/>
          <w:szCs w:val="20"/>
          <w:color w:val="auto"/>
        </w:rPr>
      </w:pPr>
    </w:p>
    <w:p>
      <w:pPr>
        <w:ind w:right="40" w:firstLine="308"/>
        <w:spacing w:after="0" w:line="257" w:lineRule="auto"/>
        <w:rPr>
          <w:sz w:val="20"/>
          <w:szCs w:val="20"/>
          <w:color w:val="auto"/>
        </w:rPr>
      </w:pPr>
      <w:r>
        <w:rPr>
          <w:rFonts w:ascii="Arial" w:cs="Arial" w:eastAsia="Arial" w:hAnsi="Arial"/>
          <w:sz w:val="17"/>
          <w:szCs w:val="17"/>
          <w:color w:val="auto"/>
        </w:rPr>
        <w:t>If we are unable to successfully maintain internal control over financial reporting, or identify any additional material weaknesses, the accuracy and timing of our financial reporting may be adversely affected.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materially adversely affected. Moreover, we could become subject to investigations by regulatory authorities, which could require additional financial and management resources.</w:t>
      </w:r>
    </w:p>
    <w:p>
      <w:pPr>
        <w:spacing w:after="0" w:line="132"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12" w:lineRule="exact"/>
        <w:rPr>
          <w:sz w:val="20"/>
          <w:szCs w:val="20"/>
          <w:color w:val="auto"/>
        </w:rPr>
      </w:pPr>
    </w:p>
    <w:p>
      <w:pPr>
        <w:ind w:right="20" w:firstLine="308"/>
        <w:spacing w:after="0" w:line="261"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75"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with Section 404(b) of SOX,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As discussed above, we have identified material weaknesses in the past which we are in the process of remedying. However, our efforts to remediate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spacing w:after="0" w:line="132" w:lineRule="exact"/>
        <w:rPr>
          <w:sz w:val="20"/>
          <w:szCs w:val="20"/>
          <w:color w:val="auto"/>
        </w:rPr>
      </w:pPr>
    </w:p>
    <w:p>
      <w:pPr>
        <w:ind w:right="40" w:firstLine="308"/>
        <w:spacing w:after="0" w:line="276" w:lineRule="auto"/>
        <w:rPr>
          <w:sz w:val="20"/>
          <w:szCs w:val="20"/>
          <w:color w:val="auto"/>
        </w:rPr>
      </w:pPr>
      <w:r>
        <w:rPr>
          <w:rFonts w:ascii="Arial" w:cs="Arial" w:eastAsia="Arial" w:hAnsi="Arial"/>
          <w:sz w:val="16"/>
          <w:szCs w:val="16"/>
          <w:color w:val="auto"/>
        </w:rPr>
        <w:t>We will be required to disclose material changes made in our internal controls over financing reporting and procedures on a quarterly basis and our management will be required to assess the effectiveness of these controls annually. Beginning with our second annual report on Form 10-K after becoming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However, for as long as we are an “emerging growth company” under the JOBS Act, our independent registered public accounting firm will not be required to attest to the effectiveness of our internal controls over financial reporting pursuant to Section 404(b).</w:t>
      </w:r>
    </w:p>
    <w:p>
      <w:pPr>
        <w:spacing w:after="0" w:line="118" w:lineRule="exact"/>
        <w:rPr>
          <w:sz w:val="20"/>
          <w:szCs w:val="20"/>
          <w:color w:val="auto"/>
        </w:rPr>
      </w:pPr>
    </w:p>
    <w:p>
      <w:pPr>
        <w:ind w:right="160" w:firstLine="308"/>
        <w:spacing w:after="0" w:line="258" w:lineRule="auto"/>
        <w:rPr>
          <w:sz w:val="20"/>
          <w:szCs w:val="20"/>
          <w:color w:val="auto"/>
        </w:rPr>
      </w:pPr>
      <w:r>
        <w:rPr>
          <w:rFonts w:ascii="Arial" w:cs="Arial" w:eastAsia="Arial" w:hAnsi="Arial"/>
          <w:sz w:val="17"/>
          <w:szCs w:val="17"/>
          <w:color w:val="auto"/>
        </w:rPr>
        <w:t>To achieve compliance with Section 404(a)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31" w:lineRule="exact"/>
        <w:rPr>
          <w:sz w:val="20"/>
          <w:szCs w:val="20"/>
          <w:color w:val="auto"/>
        </w:rPr>
      </w:pPr>
    </w:p>
    <w:p>
      <w:pPr>
        <w:ind w:right="640" w:firstLine="308"/>
        <w:spacing w:after="0" w:line="265" w:lineRule="auto"/>
        <w:rPr>
          <w:sz w:val="20"/>
          <w:szCs w:val="20"/>
          <w:color w:val="auto"/>
        </w:rPr>
      </w:pPr>
      <w:r>
        <w:rPr>
          <w:rFonts w:ascii="Arial" w:cs="Arial" w:eastAsia="Arial" w:hAnsi="Arial"/>
          <w:sz w:val="17"/>
          <w:szCs w:val="17"/>
          <w:color w:val="auto"/>
        </w:rPr>
        <w:t>We could be an “emerging growth company” for up to five years. 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spacing w:after="0" w:line="123"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Class A common stock.</w:t>
      </w:r>
    </w:p>
    <w:p>
      <w:pPr>
        <w:spacing w:after="0" w:line="123" w:lineRule="exact"/>
        <w:rPr>
          <w:sz w:val="20"/>
          <w:szCs w:val="20"/>
          <w:color w:val="auto"/>
        </w:rPr>
      </w:pPr>
    </w:p>
    <w:p>
      <w:pPr>
        <w:ind w:firstLine="308"/>
        <w:spacing w:after="0" w:line="272"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amounts reported in our consolidated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75"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b w:val="1"/>
          <w:bCs w:val="1"/>
          <w:i w:val="1"/>
          <w:iCs w:val="1"/>
          <w:color w:val="auto"/>
        </w:rPr>
        <w:t>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w:t>
      </w:r>
    </w:p>
    <w:p>
      <w:pPr>
        <w:spacing w:after="0" w:line="123"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Our products are currently labeled and promoted, and are, and in the near-future will be, sold as research use only (RUO) products, primarily to academic and research institutions and research companies, and are not currently designed, or intended to be used, for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spacing w:after="0" w:line="131" w:lineRule="exact"/>
        <w:rPr>
          <w:sz w:val="20"/>
          <w:szCs w:val="20"/>
          <w:color w:val="auto"/>
        </w:rPr>
      </w:pPr>
    </w:p>
    <w:p>
      <w:pPr>
        <w:ind w:right="160" w:firstLine="308"/>
        <w:spacing w:after="0" w:line="301" w:lineRule="auto"/>
        <w:rPr>
          <w:sz w:val="20"/>
          <w:szCs w:val="20"/>
          <w:color w:val="auto"/>
        </w:rPr>
      </w:pPr>
      <w:r>
        <w:rPr>
          <w:rFonts w:ascii="Arial" w:cs="Arial" w:eastAsia="Arial" w:hAnsi="Arial"/>
          <w:sz w:val="15"/>
          <w:szCs w:val="15"/>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00" w:lineRule="exact"/>
        <w:rPr>
          <w:sz w:val="20"/>
          <w:szCs w:val="20"/>
          <w:color w:val="auto"/>
        </w:rPr>
      </w:pPr>
    </w:p>
    <w:p>
      <w:pPr>
        <w:ind w:firstLine="308"/>
        <w:spacing w:after="0" w:line="271" w:lineRule="auto"/>
        <w:rPr>
          <w:sz w:val="20"/>
          <w:szCs w:val="20"/>
          <w:color w:val="auto"/>
        </w:rPr>
      </w:pPr>
      <w:r>
        <w:rPr>
          <w:rFonts w:ascii="Arial" w:cs="Arial" w:eastAsia="Arial" w:hAnsi="Arial"/>
          <w:sz w:val="16"/>
          <w:szCs w:val="16"/>
          <w:color w:val="auto"/>
        </w:rPr>
        <w:t xml:space="preserve">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24" w:lineRule="exact"/>
        <w:rPr>
          <w:sz w:val="20"/>
          <w:szCs w:val="20"/>
          <w:color w:val="auto"/>
        </w:rPr>
      </w:pPr>
    </w:p>
    <w:p>
      <w:pPr>
        <w:ind w:right="20" w:firstLine="308"/>
        <w:spacing w:after="0" w:line="296" w:lineRule="auto"/>
        <w:rPr>
          <w:sz w:val="20"/>
          <w:szCs w:val="20"/>
          <w:color w:val="auto"/>
        </w:rPr>
      </w:pPr>
      <w:r>
        <w:rPr>
          <w:rFonts w:ascii="Arial" w:cs="Arial" w:eastAsia="Arial" w:hAnsi="Arial"/>
          <w:sz w:val="15"/>
          <w:szCs w:val="15"/>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04" w:lineRule="exact"/>
        <w:rPr>
          <w:sz w:val="20"/>
          <w:szCs w:val="20"/>
          <w:color w:val="auto"/>
        </w:rPr>
      </w:pPr>
    </w:p>
    <w:p>
      <w:pPr>
        <w:ind w:right="240" w:firstLine="308"/>
        <w:spacing w:after="0" w:line="265" w:lineRule="auto"/>
        <w:rPr>
          <w:sz w:val="20"/>
          <w:szCs w:val="20"/>
          <w:color w:val="auto"/>
        </w:rPr>
      </w:pPr>
      <w:r>
        <w:rPr>
          <w:rFonts w:ascii="Arial" w:cs="Arial" w:eastAsia="Arial" w:hAnsi="Arial"/>
          <w:sz w:val="17"/>
          <w:szCs w:val="17"/>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75"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5"/>
          <w:szCs w:val="15"/>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97" w:lineRule="exact"/>
        <w:rPr>
          <w:sz w:val="20"/>
          <w:szCs w:val="20"/>
          <w:color w:val="auto"/>
        </w:rPr>
      </w:pPr>
    </w:p>
    <w:p>
      <w:pPr>
        <w:ind w:right="60" w:firstLine="308"/>
        <w:spacing w:after="0" w:line="272" w:lineRule="auto"/>
        <w:rPr>
          <w:sz w:val="20"/>
          <w:szCs w:val="20"/>
          <w:color w:val="auto"/>
        </w:rPr>
      </w:pPr>
      <w:r>
        <w:rPr>
          <w:rFonts w:ascii="Arial" w:cs="Arial" w:eastAsia="Arial" w:hAnsi="Arial"/>
          <w:sz w:val="16"/>
          <w:szCs w:val="16"/>
          <w:color w:val="auto"/>
        </w:rPr>
        <w:t>We do not currently expect our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22" w:lineRule="exact"/>
        <w:rPr>
          <w:sz w:val="20"/>
          <w:szCs w:val="20"/>
          <w:color w:val="auto"/>
        </w:rPr>
      </w:pPr>
    </w:p>
    <w:p>
      <w:pPr>
        <w:ind w:firstLine="308"/>
        <w:spacing w:after="0" w:line="273" w:lineRule="auto"/>
        <w:rPr>
          <w:sz w:val="20"/>
          <w:szCs w:val="20"/>
          <w:color w:val="auto"/>
        </w:rPr>
      </w:pPr>
      <w:r>
        <w:rPr>
          <w:rFonts w:ascii="Arial" w:cs="Arial" w:eastAsia="Arial" w:hAnsi="Arial"/>
          <w:sz w:val="16"/>
          <w:szCs w:val="16"/>
          <w:color w:val="auto"/>
        </w:rPr>
        <w:t>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manufacturers of products used for LDTs,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w:t>
      </w:r>
    </w:p>
    <w:p>
      <w:pPr>
        <w:spacing w:after="0" w:line="121" w:lineRule="exact"/>
        <w:rPr>
          <w:sz w:val="20"/>
          <w:szCs w:val="20"/>
          <w:color w:val="auto"/>
        </w:rPr>
      </w:pPr>
    </w:p>
    <w:p>
      <w:pPr>
        <w:ind w:right="40" w:firstLine="308"/>
        <w:spacing w:after="0" w:line="256" w:lineRule="auto"/>
        <w:rPr>
          <w:sz w:val="20"/>
          <w:szCs w:val="20"/>
          <w:color w:val="auto"/>
        </w:rPr>
      </w:pPr>
      <w:r>
        <w:rPr>
          <w:rFonts w:ascii="Arial" w:cs="Arial" w:eastAsia="Arial" w:hAnsi="Arial"/>
          <w:sz w:val="17"/>
          <w:szCs w:val="17"/>
          <w:color w:val="auto"/>
        </w:rPr>
        <w:t>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75" w:lineRule="exact"/>
        <w:rPr>
          <w:sz w:val="20"/>
          <w:szCs w:val="20"/>
          <w:color w:val="auto"/>
        </w:rPr>
      </w:pPr>
    </w:p>
    <w:p>
      <w:pPr>
        <w:ind w:right="300"/>
        <w:spacing w:after="0" w:line="310" w:lineRule="auto"/>
        <w:rPr>
          <w:sz w:val="20"/>
          <w:szCs w:val="20"/>
          <w:color w:val="auto"/>
        </w:rPr>
      </w:pPr>
      <w:r>
        <w:rPr>
          <w:rFonts w:ascii="Arial" w:cs="Arial" w:eastAsia="Arial" w:hAnsi="Arial"/>
          <w:sz w:val="16"/>
          <w:szCs w:val="16"/>
          <w:color w:val="auto"/>
        </w:rPr>
        <w:t>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90" w:lineRule="exact"/>
        <w:rPr>
          <w:sz w:val="20"/>
          <w:szCs w:val="20"/>
          <w:color w:val="auto"/>
        </w:rPr>
      </w:pPr>
    </w:p>
    <w:p>
      <w:pPr>
        <w:ind w:right="160" w:firstLine="308"/>
        <w:spacing w:after="0" w:line="256"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34" w:lineRule="exact"/>
        <w:rPr>
          <w:sz w:val="20"/>
          <w:szCs w:val="20"/>
          <w:color w:val="auto"/>
        </w:rPr>
      </w:pPr>
    </w:p>
    <w:p>
      <w:pPr>
        <w:ind w:right="100" w:firstLine="308"/>
        <w:spacing w:after="0" w:line="273" w:lineRule="auto"/>
        <w:rPr>
          <w:sz w:val="20"/>
          <w:szCs w:val="20"/>
          <w:color w:val="auto"/>
        </w:rPr>
      </w:pPr>
      <w:r>
        <w:rPr>
          <w:rFonts w:ascii="Arial" w:cs="Arial" w:eastAsia="Arial" w:hAnsi="Arial"/>
          <w:sz w:val="16"/>
          <w:szCs w:val="16"/>
          <w:color w:val="auto"/>
        </w:rPr>
        <w:t>In August 2020,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The impact of this HHS rescission policy, including whether or how this policy will be implemented under the current administration, as well as other legislative, executive, and agency actions of the current administration remains unclear. The Biden administration has also issued a “regulatory freeze” memorandum that directs department and agency heads to review any new or pending rules of the prior administration. Any restrictions or heightened regulatory requirements on LDTs, IVDs, or RUO products by the FDA, HHS, Congress, or state regulatory authorities may decrease the demand for our products, increase our compliance costs, and negatively impact our business and profitability. We will continue to monitor and assess the impact of changing regulatory landscape on our business.</w:t>
      </w:r>
    </w:p>
    <w:p>
      <w:pPr>
        <w:spacing w:after="0" w:line="121" w:lineRule="exact"/>
        <w:rPr>
          <w:sz w:val="20"/>
          <w:szCs w:val="20"/>
          <w:color w:val="auto"/>
        </w:rPr>
      </w:pPr>
    </w:p>
    <w:p>
      <w:pPr>
        <w:ind w:right="280"/>
        <w:spacing w:after="0" w:line="278" w:lineRule="auto"/>
        <w:rPr>
          <w:sz w:val="20"/>
          <w:szCs w:val="20"/>
          <w:color w:val="auto"/>
        </w:rPr>
      </w:pPr>
      <w:r>
        <w:rPr>
          <w:rFonts w:ascii="Arial" w:cs="Arial" w:eastAsia="Arial" w:hAnsi="Arial"/>
          <w:sz w:val="17"/>
          <w:szCs w:val="17"/>
          <w:b w:val="1"/>
          <w:bCs w:val="1"/>
          <w:i w:val="1"/>
          <w:iCs w:val="1"/>
          <w:color w:val="auto"/>
        </w:rPr>
        <w:t>We may need to raise additional capital to fund commercialization plans for our Proteograph Product Suite, including manufacturing, sales and marketing activities, expand our investments in research, and develop and commercialize new products and applications.</w:t>
      </w:r>
    </w:p>
    <w:p>
      <w:pPr>
        <w:spacing w:after="0" w:line="112"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Based on our current plans, we believe that our current cash and cash equivalents and anticipated cash flow from operations will be sufficient to meet our anticipated cash requirements for at least twelve months from the date of this Quarterly Report. If our available cash resources and anticipated cash flow from operations are insufficient to satisfy our liquidity requirements including because of lower demand for our products or the realization of other risks described in this Quarterly Report, we may be required to raise additional capital prior to such time through issuances of equity or convertible debt securities, entrance into a credit facility or another form of third-party funding or seek other debt financing.</w:t>
      </w:r>
    </w:p>
    <w:p>
      <w:pPr>
        <w:spacing w:after="0" w:line="131" w:lineRule="exact"/>
        <w:rPr>
          <w:sz w:val="20"/>
          <w:szCs w:val="20"/>
          <w:color w:val="auto"/>
        </w:rPr>
      </w:pPr>
    </w:p>
    <w:p>
      <w:pPr>
        <w:ind w:right="40" w:firstLine="308"/>
        <w:spacing w:after="0" w:line="278" w:lineRule="auto"/>
        <w:rPr>
          <w:sz w:val="20"/>
          <w:szCs w:val="20"/>
          <w:color w:val="auto"/>
        </w:rPr>
      </w:pPr>
      <w:r>
        <w:rPr>
          <w:rFonts w:ascii="Arial" w:cs="Arial" w:eastAsia="Arial" w:hAnsi="Arial"/>
          <w:sz w:val="17"/>
          <w:szCs w:val="17"/>
          <w:color w:val="auto"/>
        </w:rPr>
        <w:t>We will consider raising additional capital in the future to expand our business, to pursue strategic investments, to take advantage of financing opportunities or for other reasons, including:</w:t>
      </w:r>
    </w:p>
    <w:p>
      <w:pPr>
        <w:spacing w:after="0" w:line="112" w:lineRule="exact"/>
        <w:rPr>
          <w:sz w:val="20"/>
          <w:szCs w:val="20"/>
          <w:color w:val="auto"/>
        </w:rPr>
      </w:pPr>
    </w:p>
    <w:p>
      <w:pPr>
        <w:ind w:left="620" w:hanging="309"/>
        <w:spacing w:after="0"/>
        <w:tabs>
          <w:tab w:leader="none" w:pos="6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increasing our sales and marketing and other commercialization efforts to drive market adoption of our Proteograph Product Suite, once commercialized;</w:t>
      </w:r>
    </w:p>
    <w:p>
      <w:pPr>
        <w:spacing w:after="0" w:line="187" w:lineRule="exact"/>
        <w:rPr>
          <w:rFonts w:ascii="Arial" w:cs="Arial" w:eastAsia="Arial" w:hAnsi="Arial"/>
          <w:sz w:val="15"/>
          <w:szCs w:val="15"/>
          <w:color w:val="auto"/>
        </w:rPr>
      </w:pPr>
    </w:p>
    <w:p>
      <w:pPr>
        <w:ind w:left="620" w:hanging="309"/>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funding development and marketing efforts of our Proteograph Product Suite or any other future products;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expanding our technologies into additional markets;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acquiring, licensing or investing in technologies and other intellectual property rights;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acquiring or investing in complementary businesses or assets; and</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financing capital expenditures and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7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present and future funding requirements will depend on many factors, including:</w:t>
      </w:r>
    </w:p>
    <w:p>
      <w:pPr>
        <w:spacing w:after="0" w:line="164" w:lineRule="exact"/>
        <w:rPr>
          <w:sz w:val="20"/>
          <w:szCs w:val="20"/>
          <w:color w:val="auto"/>
        </w:rPr>
      </w:pPr>
    </w:p>
    <w:p>
      <w:pPr>
        <w:ind w:left="620" w:right="80" w:hanging="309"/>
        <w:spacing w:after="0" w:line="278" w:lineRule="auto"/>
        <w:tabs>
          <w:tab w:leader="none" w:pos="615"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rate of progress in launching and commercializing our Proteograph Product Suite and new products, and the cost of the sales and marketing activities associated with establishing adoption of our products;</w:t>
      </w:r>
    </w:p>
    <w:p>
      <w:pPr>
        <w:spacing w:after="0" w:line="112" w:lineRule="exact"/>
        <w:rPr>
          <w:rFonts w:ascii="Arial" w:cs="Arial" w:eastAsia="Arial" w:hAnsi="Arial"/>
          <w:sz w:val="17"/>
          <w:szCs w:val="17"/>
          <w:color w:val="auto"/>
        </w:rPr>
      </w:pPr>
    </w:p>
    <w:p>
      <w:pPr>
        <w:ind w:left="620" w:hanging="309"/>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rate of progress in, and cost of research and development activities associated with, products in research and development; and</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w:t>
      </w:r>
    </w:p>
    <w:p>
      <w:pPr>
        <w:spacing w:after="0" w:line="164"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31" w:lineRule="exact"/>
        <w:rPr>
          <w:sz w:val="20"/>
          <w:szCs w:val="20"/>
          <w:color w:val="auto"/>
        </w:rPr>
      </w:pPr>
    </w:p>
    <w:p>
      <w:pPr>
        <w:ind w:right="60" w:firstLine="308"/>
        <w:spacing w:after="0" w:line="265" w:lineRule="auto"/>
        <w:rPr>
          <w:sz w:val="20"/>
          <w:szCs w:val="20"/>
          <w:color w:val="auto"/>
        </w:rPr>
      </w:pPr>
      <w:r>
        <w:rPr>
          <w:rFonts w:ascii="Arial" w:cs="Arial" w:eastAsia="Arial" w:hAnsi="Arial"/>
          <w:sz w:val="17"/>
          <w:szCs w:val="17"/>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23" w:lineRule="exact"/>
        <w:rPr>
          <w:sz w:val="20"/>
          <w:szCs w:val="20"/>
          <w:color w:val="auto"/>
        </w:rPr>
      </w:pPr>
    </w:p>
    <w:p>
      <w:pPr>
        <w:ind w:right="580"/>
        <w:spacing w:after="0" w:line="278" w:lineRule="auto"/>
        <w:rPr>
          <w:sz w:val="20"/>
          <w:szCs w:val="20"/>
          <w:color w:val="auto"/>
        </w:rPr>
      </w:pPr>
      <w:r>
        <w:rPr>
          <w:rFonts w:ascii="Arial" w:cs="Arial" w:eastAsia="Arial" w:hAnsi="Arial"/>
          <w:sz w:val="17"/>
          <w:szCs w:val="17"/>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12" w:lineRule="exact"/>
        <w:rPr>
          <w:sz w:val="20"/>
          <w:szCs w:val="20"/>
          <w:color w:val="auto"/>
        </w:rPr>
      </w:pPr>
    </w:p>
    <w:p>
      <w:pPr>
        <w:ind w:right="120" w:firstLine="308"/>
        <w:spacing w:after="0" w:line="258" w:lineRule="auto"/>
        <w:rPr>
          <w:sz w:val="20"/>
          <w:szCs w:val="20"/>
          <w:color w:val="auto"/>
        </w:rPr>
      </w:pPr>
      <w:r>
        <w:rPr>
          <w:rFonts w:ascii="Arial" w:cs="Arial" w:eastAsia="Arial" w:hAnsi="Arial"/>
          <w:sz w:val="17"/>
          <w:szCs w:val="17"/>
          <w:color w:val="auto"/>
        </w:rPr>
        <w:t>We may in the future seek to acquire or invest in businesses, applications or technologies that we believe could complement or expand our Proteograph Product Suite or future products,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31" w:lineRule="exact"/>
        <w:rPr>
          <w:sz w:val="20"/>
          <w:szCs w:val="20"/>
          <w:color w:val="auto"/>
        </w:rPr>
      </w:pPr>
    </w:p>
    <w:p>
      <w:pPr>
        <w:jc w:val="both"/>
        <w:ind w:right="100" w:firstLine="308"/>
        <w:spacing w:after="0" w:line="282" w:lineRule="auto"/>
        <w:rPr>
          <w:sz w:val="20"/>
          <w:szCs w:val="20"/>
          <w:color w:val="auto"/>
        </w:rPr>
      </w:pPr>
      <w:r>
        <w:rPr>
          <w:rFonts w:ascii="Arial" w:cs="Arial" w:eastAsia="Arial" w:hAnsi="Arial"/>
          <w:sz w:val="16"/>
          <w:szCs w:val="16"/>
          <w:color w:val="auto"/>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realize the benefits of PrognomIQ as a separate healthcare company in the area of disease testing.</w:t>
      </w:r>
    </w:p>
    <w:p>
      <w:pPr>
        <w:spacing w:after="0" w:line="164" w:lineRule="exact"/>
        <w:rPr>
          <w:sz w:val="20"/>
          <w:szCs w:val="20"/>
          <w:color w:val="auto"/>
        </w:rPr>
      </w:pPr>
    </w:p>
    <w:p>
      <w:pPr>
        <w:ind w:right="420" w:firstLine="308"/>
        <w:spacing w:after="0" w:line="289" w:lineRule="auto"/>
        <w:rPr>
          <w:sz w:val="20"/>
          <w:szCs w:val="20"/>
          <w:color w:val="auto"/>
        </w:rPr>
      </w:pPr>
      <w:r>
        <w:rPr>
          <w:rFonts w:ascii="Arial" w:cs="Arial" w:eastAsia="Arial" w:hAnsi="Arial"/>
          <w:sz w:val="16"/>
          <w:szCs w:val="16"/>
          <w:color w:val="auto"/>
        </w:rPr>
        <w:t>In August 2020, we transferred certain assets to PrognomIQ, as a separate healthcare company to help enable the growth of ecosystems around new applications that leverage our Proteograph solution for unbiased, deep and large-scale proteomic information. We continue to hold approximately 19% of the outstanding capital stock of PrognomIQ. We may not realize the potential benefits of forming PrognomIQ for a variety of reasons, including:</w:t>
      </w:r>
    </w:p>
    <w:p>
      <w:pPr>
        <w:spacing w:after="0" w:line="106" w:lineRule="exact"/>
        <w:rPr>
          <w:sz w:val="20"/>
          <w:szCs w:val="20"/>
          <w:color w:val="auto"/>
        </w:rPr>
      </w:pPr>
    </w:p>
    <w:p>
      <w:pPr>
        <w:ind w:left="620" w:hanging="309"/>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PrognomIQ may be unable to successfully develop viable testing products;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PrognomIQ’s business may not help demonstrate the value of our Proteograph;</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 inability to reach agreement with PrognomIQ on future commercial arrangements;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PrognomIQ may not become a meaningful customer of ours;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PrognomIQ may need to raise additional funding in the future and be unable to do so;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3" w:name="page54"/>
    <w:bookmarkEnd w:id="53"/>
    <w:p>
      <w:pPr>
        <w:spacing w:after="0" w:line="75" w:lineRule="exact"/>
        <w:rPr>
          <w:sz w:val="20"/>
          <w:szCs w:val="20"/>
          <w:color w:val="auto"/>
        </w:rPr>
      </w:pPr>
    </w:p>
    <w:p>
      <w:pPr>
        <w:ind w:left="620" w:right="200" w:hanging="309"/>
        <w:spacing w:after="0" w:line="278" w:lineRule="auto"/>
        <w:tabs>
          <w:tab w:leader="none" w:pos="6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formation of PrognomIQ and our continuing equity position in PrognomIQ may add complexities to our business from a finance, tax and accounting perspective.</w:t>
      </w:r>
    </w:p>
    <w:p>
      <w:pPr>
        <w:spacing w:after="0" w:line="112" w:lineRule="exact"/>
        <w:rPr>
          <w:sz w:val="20"/>
          <w:szCs w:val="20"/>
          <w:color w:val="auto"/>
        </w:rPr>
      </w:pPr>
    </w:p>
    <w:p>
      <w:pPr>
        <w:ind w:right="80" w:firstLine="308"/>
        <w:spacing w:after="0" w:line="278" w:lineRule="auto"/>
        <w:rPr>
          <w:sz w:val="20"/>
          <w:szCs w:val="20"/>
          <w:color w:val="auto"/>
        </w:rPr>
      </w:pPr>
      <w:r>
        <w:rPr>
          <w:rFonts w:ascii="Arial" w:cs="Arial" w:eastAsia="Arial" w:hAnsi="Arial"/>
          <w:sz w:val="17"/>
          <w:szCs w:val="17"/>
          <w:color w:val="auto"/>
        </w:rPr>
        <w:t>Further, PrognomIQ is a separate entity, and as such, may decide over time to pursue a different business model, decide to do business with our competitors in addition to or instead of with us, be acquired by a competitor or take other actions that may not be beneficial to us.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170"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b w:val="1"/>
          <w:bCs w:val="1"/>
          <w:i w:val="1"/>
          <w:iCs w:val="1"/>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23" w:lineRule="exact"/>
        <w:rPr>
          <w:sz w:val="20"/>
          <w:szCs w:val="20"/>
          <w:color w:val="auto"/>
        </w:rPr>
      </w:pPr>
    </w:p>
    <w:p>
      <w:pPr>
        <w:ind w:right="60" w:firstLine="308"/>
        <w:spacing w:after="0" w:line="282" w:lineRule="auto"/>
        <w:rPr>
          <w:sz w:val="20"/>
          <w:szCs w:val="20"/>
          <w:color w:val="auto"/>
        </w:rPr>
      </w:pPr>
      <w:r>
        <w:rPr>
          <w:rFonts w:ascii="Arial" w:cs="Arial" w:eastAsia="Arial" w:hAnsi="Arial"/>
          <w:sz w:val="16"/>
          <w:szCs w:val="16"/>
          <w:color w:val="auto"/>
        </w:rPr>
        <w:t>We rely on patent protection as well as trademark, copyright, trade secret and other intellectual property rights protection and contractual restrictions to protect our proprietary products and technologies, all of which provide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litigation costs in our attempts to recover or restrict use of our intellectual property.</w:t>
      </w:r>
    </w:p>
    <w:p>
      <w:pPr>
        <w:spacing w:after="0" w:line="112" w:lineRule="exact"/>
        <w:rPr>
          <w:sz w:val="20"/>
          <w:szCs w:val="20"/>
          <w:color w:val="auto"/>
        </w:rPr>
      </w:pPr>
    </w:p>
    <w:p>
      <w:pPr>
        <w:ind w:right="120" w:firstLine="308"/>
        <w:spacing w:after="0" w:line="261" w:lineRule="auto"/>
        <w:rPr>
          <w:sz w:val="20"/>
          <w:szCs w:val="20"/>
          <w:color w:val="auto"/>
        </w:rPr>
      </w:pPr>
      <w:r>
        <w:rPr>
          <w:rFonts w:ascii="Arial" w:cs="Arial" w:eastAsia="Arial" w:hAnsi="Arial"/>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can be time-consuming and expensive.</w:t>
      </w:r>
    </w:p>
    <w:p>
      <w:pPr>
        <w:spacing w:after="0" w:line="126" w:lineRule="exact"/>
        <w:rPr>
          <w:sz w:val="20"/>
          <w:szCs w:val="20"/>
          <w:color w:val="auto"/>
        </w:rPr>
      </w:pPr>
    </w:p>
    <w:p>
      <w:pPr>
        <w:ind w:firstLine="308"/>
        <w:spacing w:after="0" w:line="272" w:lineRule="auto"/>
        <w:rPr>
          <w:sz w:val="20"/>
          <w:szCs w:val="20"/>
          <w:color w:val="auto"/>
        </w:rPr>
      </w:pPr>
      <w:r>
        <w:rPr>
          <w:rFonts w:ascii="Arial" w:cs="Arial" w:eastAsia="Arial" w:hAnsi="Arial"/>
          <w:sz w:val="16"/>
          <w:szCs w:val="16"/>
          <w:color w:val="auto"/>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spacing w:after="0" w:line="125" w:lineRule="exact"/>
        <w:rPr>
          <w:sz w:val="20"/>
          <w:szCs w:val="20"/>
          <w:color w:val="auto"/>
        </w:rPr>
      </w:pPr>
    </w:p>
    <w:p>
      <w:pPr>
        <w:ind w:right="60" w:firstLine="308"/>
        <w:spacing w:after="0" w:line="255" w:lineRule="auto"/>
        <w:rPr>
          <w:sz w:val="20"/>
          <w:szCs w:val="20"/>
          <w:color w:val="auto"/>
        </w:rPr>
      </w:pPr>
      <w:r>
        <w:rPr>
          <w:rFonts w:ascii="Arial" w:cs="Arial" w:eastAsia="Arial" w:hAnsi="Arial"/>
          <w:sz w:val="17"/>
          <w:szCs w:val="17"/>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licensed patents or patent applications may be challenged at a future point in time and we may not be successful in defending any such challenges made against our patents or patent applications. Any successful third-party challenge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75"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patents could result in the narrowing, unenforceability or invalidity of such patents and increased competition to our business. The outcome of patent litigation or other proceeding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12"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12" w:lineRule="exact"/>
        <w:rPr>
          <w:sz w:val="20"/>
          <w:szCs w:val="20"/>
          <w:color w:val="auto"/>
        </w:rPr>
      </w:pPr>
    </w:p>
    <w:p>
      <w:pPr>
        <w:ind w:right="40" w:firstLine="308"/>
        <w:spacing w:after="0" w:line="273" w:lineRule="auto"/>
        <w:rPr>
          <w:sz w:val="20"/>
          <w:szCs w:val="20"/>
          <w:color w:val="auto"/>
        </w:rPr>
      </w:pPr>
      <w:r>
        <w:rPr>
          <w:rFonts w:ascii="Arial" w:cs="Arial" w:eastAsia="Arial" w:hAnsi="Arial"/>
          <w:sz w:val="16"/>
          <w:szCs w:val="16"/>
          <w:color w:val="auto"/>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and derivation proceedings. The America Invents Act and its implementation could increase the uncertainties and costs surrounding the prosecution</w:t>
      </w:r>
      <w:r>
        <w:rPr>
          <w:rFonts w:ascii="Arial" w:cs="Arial" w:eastAsia="Arial" w:hAnsi="Arial"/>
          <w:sz w:val="16"/>
          <w:szCs w:val="16"/>
          <w:i w:val="1"/>
          <w:iCs w:val="1"/>
          <w:color w:val="auto"/>
        </w:rPr>
        <w:t xml:space="preserve"> </w:t>
      </w:r>
      <w:r>
        <w:rPr>
          <w:rFonts w:ascii="Arial" w:cs="Arial" w:eastAsia="Arial" w:hAnsi="Arial"/>
          <w:sz w:val="16"/>
          <w:szCs w:val="16"/>
          <w:color w:val="auto"/>
        </w:rPr>
        <w:t>of our patent applications and the enforcement or defense of our issued patents, all of which could have a material adverse effect on our business, financial condition, results of operations and prospects.</w:t>
      </w:r>
    </w:p>
    <w:p>
      <w:pPr>
        <w:spacing w:after="0" w:line="121" w:lineRule="exact"/>
        <w:rPr>
          <w:sz w:val="20"/>
          <w:szCs w:val="20"/>
          <w:color w:val="auto"/>
        </w:rPr>
      </w:pPr>
    </w:p>
    <w:p>
      <w:pPr>
        <w:ind w:firstLine="308"/>
        <w:spacing w:after="0" w:line="257" w:lineRule="auto"/>
        <w:rPr>
          <w:sz w:val="20"/>
          <w:szCs w:val="20"/>
          <w:color w:val="auto"/>
        </w:rPr>
      </w:pPr>
      <w:r>
        <w:rPr>
          <w:rFonts w:ascii="Arial" w:cs="Arial" w:eastAsia="Arial" w:hAnsi="Arial"/>
          <w:sz w:val="17"/>
          <w:szCs w:val="17"/>
          <w:color w:val="auto"/>
        </w:rPr>
        <w:t>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w:t>
      </w:r>
    </w:p>
    <w:p>
      <w:pPr>
        <w:spacing w:after="0" w:line="132" w:lineRule="exact"/>
        <w:rPr>
          <w:sz w:val="20"/>
          <w:szCs w:val="20"/>
          <w:color w:val="auto"/>
        </w:rPr>
      </w:pPr>
    </w:p>
    <w:p>
      <w:pPr>
        <w:ind w:right="260" w:firstLine="308"/>
        <w:spacing w:after="0" w:line="258" w:lineRule="auto"/>
        <w:rPr>
          <w:sz w:val="20"/>
          <w:szCs w:val="20"/>
          <w:color w:val="auto"/>
        </w:rPr>
      </w:pPr>
      <w:r>
        <w:rPr>
          <w:rFonts w:ascii="Arial" w:cs="Arial" w:eastAsia="Arial" w:hAnsi="Arial"/>
          <w:sz w:val="17"/>
          <w:szCs w:val="17"/>
          <w:color w:val="auto"/>
        </w:rPr>
        <w:t>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31" w:lineRule="exact"/>
        <w:rPr>
          <w:sz w:val="20"/>
          <w:szCs w:val="20"/>
          <w:color w:val="auto"/>
        </w:rPr>
      </w:pPr>
    </w:p>
    <w:p>
      <w:pPr>
        <w:ind w:right="80" w:firstLine="308"/>
        <w:spacing w:after="0" w:line="258" w:lineRule="auto"/>
        <w:rPr>
          <w:sz w:val="20"/>
          <w:szCs w:val="20"/>
          <w:color w:val="auto"/>
        </w:rPr>
      </w:pPr>
      <w:r>
        <w:rPr>
          <w:rFonts w:ascii="Arial" w:cs="Arial" w:eastAsia="Arial" w:hAnsi="Arial"/>
          <w:sz w:val="17"/>
          <w:szCs w:val="17"/>
          <w:color w:val="auto"/>
        </w:rPr>
        <w:t>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164" w:lineRule="exact"/>
        <w:rPr>
          <w:sz w:val="20"/>
          <w:szCs w:val="20"/>
          <w:color w:val="auto"/>
        </w:rPr>
      </w:pPr>
    </w:p>
    <w:p>
      <w:pPr>
        <w:ind w:right="280" w:firstLine="308"/>
        <w:spacing w:after="0" w:line="278" w:lineRule="auto"/>
        <w:rPr>
          <w:sz w:val="20"/>
          <w:szCs w:val="20"/>
          <w:color w:val="auto"/>
        </w:rPr>
      </w:pPr>
      <w:r>
        <w:rPr>
          <w:rFonts w:ascii="Arial" w:cs="Arial" w:eastAsia="Arial" w:hAnsi="Arial"/>
          <w:sz w:val="17"/>
          <w:szCs w:val="17"/>
          <w:color w:val="auto"/>
        </w:rPr>
        <w:t>Filing, prosecuting and defending patents on our Proteograph Product Suite in all countries throughout the world would be prohibitively expensive, and our intellectual property rights in some countries outside the United States can be less extensive than those in the United States.</w:t>
      </w:r>
    </w:p>
    <w:p>
      <w:pPr>
        <w:spacing w:after="0" w:line="112" w:lineRule="exact"/>
        <w:rPr>
          <w:sz w:val="20"/>
          <w:szCs w:val="20"/>
          <w:color w:val="auto"/>
        </w:rPr>
      </w:pPr>
    </w:p>
    <w:p>
      <w:pPr>
        <w:ind w:right="120" w:firstLine="308"/>
        <w:spacing w:after="0" w:line="278"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United States, and we and our licensor may encounter difficulties in protecting and defending such rights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75"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foreign jurisdictions. Consequently, we and our licensor may not be able to prevent third parties from practicing our inventions in some or all countries outside the United States, or from selling or importing products made using our or our licensor’s inventions in and into the United States or other jurisdictions. Competitors and other third parties may use our technologies in jurisdictions where we have not obtained patent protection to develop their own products and technologies and may also export infringing products to territories where we have patent protection, but enforcement is not as strong as that in the United States. These products may compete with our products. Our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18" w:lineRule="exact"/>
        <w:rPr>
          <w:sz w:val="20"/>
          <w:szCs w:val="20"/>
          <w:color w:val="auto"/>
        </w:rPr>
      </w:pPr>
    </w:p>
    <w:p>
      <w:pPr>
        <w:ind w:right="120" w:firstLine="308"/>
        <w:spacing w:after="0" w:line="275"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17" w:lineRule="exact"/>
        <w:rPr>
          <w:sz w:val="20"/>
          <w:szCs w:val="20"/>
          <w:color w:val="auto"/>
        </w:rPr>
      </w:pPr>
    </w:p>
    <w:p>
      <w:pPr>
        <w:ind w:firstLine="308"/>
        <w:spacing w:after="0" w:line="274" w:lineRule="auto"/>
        <w:rPr>
          <w:sz w:val="20"/>
          <w:szCs w:val="20"/>
          <w:color w:val="auto"/>
        </w:rPr>
      </w:pPr>
      <w:r>
        <w:rPr>
          <w:rFonts w:ascii="Arial" w:cs="Arial" w:eastAsia="Arial" w:hAnsi="Arial"/>
          <w:sz w:val="16"/>
          <w:szCs w:val="16"/>
          <w:color w:val="auto"/>
        </w:rPr>
        <w:t>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Issued patents covering our products could be found invalid or unenforceable if challenged.</w:t>
      </w:r>
    </w:p>
    <w:p>
      <w:pPr>
        <w:spacing w:after="0" w:line="164" w:lineRule="exact"/>
        <w:rPr>
          <w:sz w:val="20"/>
          <w:szCs w:val="20"/>
          <w:color w:val="auto"/>
        </w:rPr>
      </w:pPr>
    </w:p>
    <w:p>
      <w:pPr>
        <w:ind w:right="80" w:firstLine="308"/>
        <w:spacing w:after="0" w:line="271" w:lineRule="auto"/>
        <w:rPr>
          <w:sz w:val="20"/>
          <w:szCs w:val="20"/>
          <w:color w:val="auto"/>
        </w:rPr>
      </w:pPr>
      <w:r>
        <w:rPr>
          <w:rFonts w:ascii="Arial" w:cs="Arial" w:eastAsia="Arial" w:hAnsi="Arial"/>
          <w:sz w:val="16"/>
          <w:szCs w:val="16"/>
          <w:color w:val="auto"/>
        </w:rPr>
        <w:t xml:space="preserve">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 initiate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6" w:name="page57"/>
    <w:bookmarkEnd w:id="56"/>
    <w:p>
      <w:pPr>
        <w:spacing w:after="0" w:line="75"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respect to the validity of our patents, for example, we cannot be certain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03" w:lineRule="exact"/>
        <w:rPr>
          <w:sz w:val="20"/>
          <w:szCs w:val="20"/>
          <w:color w:val="auto"/>
        </w:rPr>
      </w:pPr>
    </w:p>
    <w:p>
      <w:pPr>
        <w:ind w:right="40" w:firstLine="308"/>
        <w:spacing w:after="0" w:line="272" w:lineRule="auto"/>
        <w:rPr>
          <w:sz w:val="20"/>
          <w:szCs w:val="20"/>
          <w:color w:val="auto"/>
        </w:rPr>
      </w:pPr>
      <w:r>
        <w:rPr>
          <w:rFonts w:ascii="Arial" w:cs="Arial" w:eastAsia="Arial" w:hAnsi="Arial"/>
          <w:sz w:val="16"/>
          <w:szCs w:val="16"/>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22"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b w:val="1"/>
          <w:bCs w:val="1"/>
          <w:i w:val="1"/>
          <w:iCs w:val="1"/>
          <w:color w:val="auto"/>
        </w:rPr>
        <w:t>If we are unable to protect the confidentiality of our trade secrets, the value of our technology could be materially adversely affected and our business could be harmed.</w:t>
      </w:r>
    </w:p>
    <w:p>
      <w:pPr>
        <w:spacing w:after="0" w:line="112" w:lineRule="exact"/>
        <w:rPr>
          <w:sz w:val="20"/>
          <w:szCs w:val="20"/>
          <w:color w:val="auto"/>
        </w:rPr>
      </w:pPr>
    </w:p>
    <w:p>
      <w:pPr>
        <w:ind w:right="20" w:firstLine="308"/>
        <w:spacing w:after="0" w:line="306" w:lineRule="auto"/>
        <w:rPr>
          <w:sz w:val="20"/>
          <w:szCs w:val="20"/>
          <w:color w:val="auto"/>
        </w:rPr>
      </w:pPr>
      <w:r>
        <w:rPr>
          <w:rFonts w:ascii="Arial" w:cs="Arial" w:eastAsia="Arial" w:hAnsi="Arial"/>
          <w:sz w:val="15"/>
          <w:szCs w:val="15"/>
          <w:color w:val="auto"/>
        </w:rPr>
        <w:t>We rely heavily on trade secrets and confidentiality agreements to protect our unpatented know-how, technology and other proprietary information, including parts of our Proteograph Product Suite,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from academic to industry scientific positions.</w:t>
      </w:r>
    </w:p>
    <w:p>
      <w:pPr>
        <w:spacing w:after="0" w:line="97" w:lineRule="exact"/>
        <w:rPr>
          <w:sz w:val="20"/>
          <w:szCs w:val="20"/>
          <w:color w:val="auto"/>
        </w:rPr>
      </w:pPr>
    </w:p>
    <w:p>
      <w:pPr>
        <w:ind w:right="40" w:firstLine="308"/>
        <w:spacing w:after="0" w:line="293" w:lineRule="auto"/>
        <w:rPr>
          <w:sz w:val="20"/>
          <w:szCs w:val="20"/>
          <w:color w:val="auto"/>
        </w:rPr>
      </w:pPr>
      <w:r>
        <w:rPr>
          <w:rFonts w:ascii="Arial" w:cs="Arial" w:eastAsia="Arial" w:hAnsi="Arial"/>
          <w:sz w:val="15"/>
          <w:szCs w:val="15"/>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09" w:lineRule="exact"/>
        <w:rPr>
          <w:sz w:val="20"/>
          <w:szCs w:val="20"/>
          <w:color w:val="auto"/>
        </w:rPr>
      </w:pPr>
    </w:p>
    <w:p>
      <w:pPr>
        <w:jc w:val="both"/>
        <w:ind w:right="20" w:firstLine="308"/>
        <w:spacing w:after="0" w:line="289" w:lineRule="auto"/>
        <w:rPr>
          <w:sz w:val="20"/>
          <w:szCs w:val="20"/>
          <w:color w:val="auto"/>
        </w:rPr>
      </w:pPr>
      <w:r>
        <w:rPr>
          <w:rFonts w:ascii="Arial" w:cs="Arial" w:eastAsia="Arial" w:hAnsi="Arial"/>
          <w:sz w:val="16"/>
          <w:szCs w:val="16"/>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75" w:lineRule="exact"/>
        <w:rPr>
          <w:sz w:val="20"/>
          <w:szCs w:val="20"/>
          <w:color w:val="auto"/>
        </w:rPr>
      </w:pPr>
    </w:p>
    <w:p>
      <w:pPr>
        <w:ind w:right="80" w:firstLine="308"/>
        <w:spacing w:after="0" w:line="274" w:lineRule="auto"/>
        <w:rPr>
          <w:sz w:val="20"/>
          <w:szCs w:val="20"/>
          <w:color w:val="auto"/>
        </w:rPr>
      </w:pPr>
      <w:r>
        <w:rPr>
          <w:rFonts w:ascii="Arial" w:cs="Arial" w:eastAsia="Arial" w:hAnsi="Arial"/>
          <w:sz w:val="16"/>
          <w:szCs w:val="16"/>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challenging the inventorship of our patents and other intellectual property.</w:t>
      </w:r>
    </w:p>
    <w:p>
      <w:pPr>
        <w:spacing w:after="0" w:line="164" w:lineRule="exact"/>
        <w:rPr>
          <w:sz w:val="20"/>
          <w:szCs w:val="20"/>
          <w:color w:val="auto"/>
        </w:rPr>
      </w:pPr>
    </w:p>
    <w:p>
      <w:pPr>
        <w:ind w:right="60" w:firstLine="308"/>
        <w:spacing w:after="0" w:line="272" w:lineRule="auto"/>
        <w:rPr>
          <w:sz w:val="20"/>
          <w:szCs w:val="20"/>
          <w:color w:val="auto"/>
        </w:rPr>
      </w:pPr>
      <w:r>
        <w:rPr>
          <w:rFonts w:ascii="Arial" w:cs="Arial" w:eastAsia="Arial" w:hAnsi="Arial"/>
          <w:sz w:val="16"/>
          <w:szCs w:val="16"/>
          <w:color w:val="auto"/>
        </w:rPr>
        <w:t>We or our licensor may be subject to claims that former employees, collaborators or other third parties have an interest in our owned or in-licensed patents, trade secrets or other intellectual property as an inventor or co-inventor. For example, we or our licensor may have inventorship disputes arise from conflicting obligations of employees, consultants or others who are involved in developing our products.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w:t>
      </w:r>
    </w:p>
    <w:p>
      <w:pPr>
        <w:spacing w:after="0" w:line="122" w:lineRule="exact"/>
        <w:rPr>
          <w:sz w:val="20"/>
          <w:szCs w:val="20"/>
          <w:color w:val="auto"/>
        </w:rPr>
      </w:pPr>
    </w:p>
    <w:p>
      <w:pPr>
        <w:ind w:right="140" w:firstLine="308"/>
        <w:spacing w:after="0" w:line="294" w:lineRule="auto"/>
        <w:rPr>
          <w:sz w:val="20"/>
          <w:szCs w:val="20"/>
          <w:color w:val="auto"/>
        </w:rPr>
      </w:pPr>
      <w:r>
        <w:rPr>
          <w:rFonts w:ascii="Arial" w:cs="Arial" w:eastAsia="Arial" w:hAnsi="Arial"/>
          <w:sz w:val="15"/>
          <w:szCs w:val="15"/>
          <w:color w:val="auto"/>
        </w:rPr>
        <w:t>Litigation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Proteograph solution,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08" w:lineRule="exact"/>
        <w:rPr>
          <w:sz w:val="20"/>
          <w:szCs w:val="20"/>
          <w:color w:val="auto"/>
        </w:rPr>
      </w:pPr>
    </w:p>
    <w:p>
      <w:pPr>
        <w:ind w:right="640"/>
        <w:spacing w:after="0" w:line="278" w:lineRule="auto"/>
        <w:rPr>
          <w:sz w:val="20"/>
          <w:szCs w:val="20"/>
          <w:color w:val="auto"/>
        </w:rPr>
      </w:pPr>
      <w:r>
        <w:rPr>
          <w:rFonts w:ascii="Arial" w:cs="Arial" w:eastAsia="Arial" w:hAnsi="Arial"/>
          <w:sz w:val="17"/>
          <w:szCs w:val="17"/>
          <w:b w:val="1"/>
          <w:bCs w:val="1"/>
          <w:i w:val="1"/>
          <w:iCs w:val="1"/>
          <w:color w:val="auto"/>
        </w:rPr>
        <w:t>We may not be able to protect and enforce our trademarks and trade names, or build name recognition in our markets of interest thereby harming our competitive position.</w:t>
      </w:r>
    </w:p>
    <w:p>
      <w:pPr>
        <w:spacing w:after="0" w:line="112" w:lineRule="exact"/>
        <w:rPr>
          <w:sz w:val="20"/>
          <w:szCs w:val="20"/>
          <w:color w:val="auto"/>
        </w:rPr>
      </w:pPr>
    </w:p>
    <w:p>
      <w:pPr>
        <w:ind w:firstLine="308"/>
        <w:spacing w:after="0" w:line="256" w:lineRule="auto"/>
        <w:rPr>
          <w:sz w:val="20"/>
          <w:szCs w:val="20"/>
          <w:color w:val="auto"/>
        </w:rPr>
      </w:pPr>
      <w:r>
        <w:rPr>
          <w:rFonts w:ascii="Arial" w:cs="Arial" w:eastAsia="Arial" w:hAnsi="Arial"/>
          <w:sz w:val="17"/>
          <w:szCs w:val="17"/>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For example, we are aware of a third party in certain jurisdictions outside of the United States that have filed to own the trademark registrations for the trademark, SEER, and have opposed our application for registration for such trademark. If they succeed in registering or developing common law rights in such trademark or any other trademarks that are similar or identical to our trademarks, and if we are not successful in challenging such rights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8" w:name="page59"/>
    <w:bookmarkEnd w:id="58"/>
    <w:p>
      <w:pPr>
        <w:spacing w:after="0" w:line="75"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auto"/>
        </w:rPr>
        <w:t>defending against challenges to our trademarks, we may not be able to use such trademarks to develop brand recognition of our technologies, products or services.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 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Proteograph Product Suite for an adequate amount of time.</w:t>
      </w:r>
    </w:p>
    <w:p>
      <w:pPr>
        <w:spacing w:after="0" w:line="164" w:lineRule="exact"/>
        <w:rPr>
          <w:sz w:val="20"/>
          <w:szCs w:val="20"/>
          <w:color w:val="auto"/>
        </w:rPr>
      </w:pPr>
    </w:p>
    <w:p>
      <w:pPr>
        <w:ind w:firstLine="308"/>
        <w:spacing w:after="0" w:line="294" w:lineRule="auto"/>
        <w:rPr>
          <w:sz w:val="20"/>
          <w:szCs w:val="20"/>
          <w:color w:val="auto"/>
        </w:rPr>
      </w:pPr>
      <w:r>
        <w:rPr>
          <w:rFonts w:ascii="Arial" w:cs="Arial" w:eastAsia="Arial" w:hAnsi="Arial"/>
          <w:sz w:val="15"/>
          <w:szCs w:val="15"/>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08" w:lineRule="exact"/>
        <w:rPr>
          <w:sz w:val="20"/>
          <w:szCs w:val="20"/>
          <w:color w:val="auto"/>
        </w:rPr>
      </w:pPr>
    </w:p>
    <w:p>
      <w:pPr>
        <w:spacing w:after="0" w:line="265" w:lineRule="auto"/>
        <w:rPr>
          <w:sz w:val="20"/>
          <w:szCs w:val="20"/>
          <w:color w:val="auto"/>
        </w:rPr>
      </w:pPr>
      <w:r>
        <w:rPr>
          <w:rFonts w:ascii="Arial" w:cs="Arial" w:eastAsia="Arial" w:hAnsi="Arial"/>
          <w:sz w:val="17"/>
          <w:szCs w:val="17"/>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23" w:lineRule="exact"/>
        <w:rPr>
          <w:sz w:val="20"/>
          <w:szCs w:val="20"/>
          <w:color w:val="auto"/>
        </w:rPr>
      </w:pPr>
    </w:p>
    <w:p>
      <w:pPr>
        <w:ind w:right="20" w:firstLine="308"/>
        <w:spacing w:after="0" w:line="292" w:lineRule="auto"/>
        <w:rPr>
          <w:sz w:val="20"/>
          <w:szCs w:val="20"/>
          <w:color w:val="auto"/>
        </w:rPr>
      </w:pPr>
      <w:r>
        <w:rPr>
          <w:rFonts w:ascii="Arial" w:cs="Arial" w:eastAsia="Arial" w:hAnsi="Arial"/>
          <w:sz w:val="15"/>
          <w:szCs w:val="15"/>
          <w:color w:val="auto"/>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spacing w:after="0" w:line="107" w:lineRule="exact"/>
        <w:rPr>
          <w:sz w:val="20"/>
          <w:szCs w:val="20"/>
          <w:color w:val="auto"/>
        </w:rPr>
      </w:pPr>
    </w:p>
    <w:p>
      <w:pPr>
        <w:jc w:val="both"/>
        <w:ind w:right="300" w:firstLine="308"/>
        <w:spacing w:after="0" w:line="289" w:lineRule="auto"/>
        <w:rPr>
          <w:sz w:val="20"/>
          <w:szCs w:val="20"/>
          <w:color w:val="auto"/>
        </w:rPr>
      </w:pPr>
      <w:r>
        <w:rPr>
          <w:rFonts w:ascii="Arial" w:cs="Arial" w:eastAsia="Arial" w:hAnsi="Arial"/>
          <w:sz w:val="16"/>
          <w:szCs w:val="16"/>
          <w:color w:val="auto"/>
        </w:rPr>
        <w:t>If third parties, including our competitors, believe that our products or technologies infringe, misappropriate or otherwise violate their intellectual property, such third parties may seek to enforce their intellectual property, including patents against us by filing an intellectual property-related lawsuit, including patent infringement lawsuit, against us. Even if we believe third-party intellectual property claims are without merit, there is no assurance that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75"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court would find in our favor on questions of infringement, validity, enforceability, or priority. For example, we are aware of a U.S. issued patent owned by a third party that is directed to a method for diagnosing a biological condition by analyzing certain types of proteomes, including through the use of nanoparticles. Such patent is expected to expire in 2026, without taking into account any possible patent term adjustments or extensions. We are also aware of pending patent applications in Europe and in the United States owned by a third party that are directed to methods of identifying biomarkers in biofluids using nanoparticles and, if issued, is projected to expire in 2037, without taking into account any possible patent term adjustments or extensions. Such patent and patent applications could be construed to cover our products and technologies, including our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or technology and we may be required to redesign such products and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 license were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 or prospects.</w:t>
      </w:r>
    </w:p>
    <w:p>
      <w:pPr>
        <w:spacing w:after="0" w:line="112" w:lineRule="exact"/>
        <w:rPr>
          <w:sz w:val="20"/>
          <w:szCs w:val="20"/>
          <w:color w:val="auto"/>
        </w:rPr>
      </w:pPr>
    </w:p>
    <w:p>
      <w:pPr>
        <w:ind w:right="20" w:firstLine="308"/>
        <w:spacing w:after="0" w:line="275" w:lineRule="auto"/>
        <w:rPr>
          <w:sz w:val="20"/>
          <w:szCs w:val="20"/>
          <w:color w:val="auto"/>
        </w:rPr>
      </w:pPr>
      <w:r>
        <w:rPr>
          <w:rFonts w:ascii="Arial" w:cs="Arial" w:eastAsia="Arial" w:hAnsi="Arial"/>
          <w:sz w:val="16"/>
          <w:szCs w:val="16"/>
          <w:color w:val="auto"/>
        </w:rPr>
        <w:t xml:space="preserve">We may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(EPO), or other foreign patent offices review the patent claims, such as in an </w:t>
      </w:r>
      <w:r>
        <w:rPr>
          <w:rFonts w:ascii="Arial" w:cs="Arial" w:eastAsia="Arial" w:hAnsi="Arial"/>
          <w:sz w:val="16"/>
          <w:szCs w:val="16"/>
          <w:i w:val="1"/>
          <w:iCs w:val="1"/>
          <w:color w:val="auto"/>
        </w:rPr>
        <w:t xml:space="preserve">ex-parte </w:t>
      </w:r>
      <w:r>
        <w:rPr>
          <w:rFonts w:ascii="Arial" w:cs="Arial" w:eastAsia="Arial" w:hAnsi="Arial"/>
          <w:sz w:val="16"/>
          <w:szCs w:val="16"/>
          <w:color w:val="auto"/>
        </w:rPr>
        <w:t>reexamination,</w:t>
      </w:r>
      <w:r>
        <w:rPr>
          <w:rFonts w:ascii="Arial" w:cs="Arial" w:eastAsia="Arial" w:hAnsi="Arial"/>
          <w:sz w:val="16"/>
          <w:szCs w:val="16"/>
          <w:i w:val="1"/>
          <w:iCs w:val="1"/>
          <w:color w:val="auto"/>
        </w:rPr>
        <w:t xml:space="preserve"> inter partes </w:t>
      </w:r>
      <w:r>
        <w:rPr>
          <w:rFonts w:ascii="Arial" w:cs="Arial" w:eastAsia="Arial" w:hAnsi="Arial"/>
          <w:sz w:val="16"/>
          <w:szCs w:val="16"/>
          <w:color w:val="auto"/>
        </w:rPr>
        <w:t>review, post-grant review proceeding or opposition proceeding. However, there can be no assurance that any such challenge by us</w:t>
      </w:r>
      <w:r>
        <w:rPr>
          <w:rFonts w:ascii="Arial" w:cs="Arial" w:eastAsia="Arial" w:hAnsi="Arial"/>
          <w:sz w:val="16"/>
          <w:szCs w:val="16"/>
          <w:i w:val="1"/>
          <w:iCs w:val="1"/>
          <w:color w:val="auto"/>
        </w:rPr>
        <w:t xml:space="preserve"> </w:t>
      </w:r>
      <w:r>
        <w:rPr>
          <w:rFonts w:ascii="Arial" w:cs="Arial" w:eastAsia="Arial" w:hAnsi="Arial"/>
          <w:sz w:val="16"/>
          <w:szCs w:val="16"/>
          <w:color w:val="auto"/>
        </w:rPr>
        <w:t>or any third party will be successful. Even if such proceedings are successful, these proceedings are expensive and may consume our time or other resources, distract our management and technical personnel, and the costs of these opposition proceedings could be substantial. There can be no assurance that our defenses of non-infringement, invalidity or unenforceability will succeed.</w:t>
      </w:r>
    </w:p>
    <w:p>
      <w:pPr>
        <w:spacing w:after="0" w:line="117" w:lineRule="exact"/>
        <w:rPr>
          <w:sz w:val="20"/>
          <w:szCs w:val="20"/>
          <w:color w:val="auto"/>
        </w:rPr>
      </w:pPr>
    </w:p>
    <w:p>
      <w:pPr>
        <w:ind w:right="200" w:firstLine="308"/>
        <w:spacing w:after="0" w:line="298" w:lineRule="auto"/>
        <w:rPr>
          <w:sz w:val="20"/>
          <w:szCs w:val="20"/>
          <w:color w:val="auto"/>
        </w:rPr>
      </w:pPr>
      <w:r>
        <w:rPr>
          <w:rFonts w:ascii="Arial" w:cs="Arial" w:eastAsia="Arial" w:hAnsi="Arial"/>
          <w:sz w:val="15"/>
          <w:szCs w:val="15"/>
          <w:color w:val="auto"/>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spacing w:after="0" w:line="103" w:lineRule="exact"/>
        <w:rPr>
          <w:sz w:val="20"/>
          <w:szCs w:val="20"/>
          <w:color w:val="auto"/>
        </w:rPr>
      </w:pPr>
    </w:p>
    <w:p>
      <w:pPr>
        <w:ind w:right="80" w:firstLine="308"/>
        <w:spacing w:after="0" w:line="256" w:lineRule="auto"/>
        <w:rPr>
          <w:sz w:val="20"/>
          <w:szCs w:val="20"/>
          <w:color w:val="auto"/>
        </w:rPr>
      </w:pPr>
      <w:r>
        <w:rPr>
          <w:rFonts w:ascii="Arial" w:cs="Arial" w:eastAsia="Arial" w:hAnsi="Arial"/>
          <w:sz w:val="17"/>
          <w:szCs w:val="17"/>
          <w:color w:val="auto"/>
        </w:rPr>
        <w:t>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unable to obtain such a license, we may be required to cease commercialization of our products and technologies, any of which could have a material adverse effect on our business, financial condition, results of operations and prospects. The outcome in any such proceedings are unpredictable.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75" w:lineRule="exact"/>
        <w:rPr>
          <w:sz w:val="20"/>
          <w:szCs w:val="20"/>
          <w:color w:val="auto"/>
        </w:rPr>
      </w:pPr>
    </w:p>
    <w:p>
      <w:pPr>
        <w:ind w:right="20" w:firstLine="308"/>
        <w:spacing w:after="0" w:line="272" w:lineRule="auto"/>
        <w:rPr>
          <w:sz w:val="20"/>
          <w:szCs w:val="20"/>
          <w:color w:val="auto"/>
        </w:rPr>
      </w:pPr>
      <w:r>
        <w:rPr>
          <w:rFonts w:ascii="Arial" w:cs="Arial" w:eastAsia="Arial" w:hAnsi="Arial"/>
          <w:sz w:val="16"/>
          <w:szCs w:val="16"/>
          <w:color w:val="auto"/>
        </w:rPr>
        <w:t>Regardless of whether we are defending against or asserting any intellectual property-related proceeding, any such intellectual property-related proceeding that may be necessary in the future, regardless of outcome, could result in substantial costs and diversion of resources and could have a material adverse effect on our business, financial condition, results of operations and prospects.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adverse effect on our business, financial condition, results of operations and prospects.</w:t>
      </w:r>
    </w:p>
    <w:p>
      <w:pPr>
        <w:spacing w:after="0" w:line="119" w:lineRule="exact"/>
        <w:rPr>
          <w:sz w:val="20"/>
          <w:szCs w:val="20"/>
          <w:color w:val="auto"/>
        </w:rPr>
      </w:pPr>
    </w:p>
    <w:p>
      <w:pPr>
        <w:ind w:right="20"/>
        <w:spacing w:after="0" w:line="389"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43" w:lineRule="exact"/>
        <w:rPr>
          <w:sz w:val="20"/>
          <w:szCs w:val="20"/>
          <w:color w:val="auto"/>
        </w:rPr>
      </w:pPr>
    </w:p>
    <w:p>
      <w:pPr>
        <w:ind w:firstLine="308"/>
        <w:spacing w:after="0" w:line="294" w:lineRule="auto"/>
        <w:rPr>
          <w:sz w:val="20"/>
          <w:szCs w:val="20"/>
          <w:color w:val="auto"/>
        </w:rPr>
      </w:pPr>
      <w:r>
        <w:rPr>
          <w:rFonts w:ascii="Arial" w:cs="Arial" w:eastAsia="Arial" w:hAnsi="Arial"/>
          <w:sz w:val="15"/>
          <w:szCs w:val="15"/>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08" w:lineRule="exact"/>
        <w:rPr>
          <w:sz w:val="20"/>
          <w:szCs w:val="20"/>
          <w:color w:val="auto"/>
        </w:rPr>
      </w:pPr>
    </w:p>
    <w:p>
      <w:pPr>
        <w:ind w:right="280"/>
        <w:spacing w:after="0" w:line="310" w:lineRule="auto"/>
        <w:rPr>
          <w:sz w:val="20"/>
          <w:szCs w:val="20"/>
          <w:color w:val="auto"/>
        </w:rPr>
      </w:pPr>
      <w:r>
        <w:rPr>
          <w:rFonts w:ascii="Arial" w:cs="Arial" w:eastAsia="Arial" w:hAnsi="Arial"/>
          <w:sz w:val="16"/>
          <w:szCs w:val="16"/>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90" w:lineRule="exact"/>
        <w:rPr>
          <w:sz w:val="20"/>
          <w:szCs w:val="20"/>
          <w:color w:val="auto"/>
        </w:rPr>
      </w:pPr>
    </w:p>
    <w:p>
      <w:pPr>
        <w:ind w:right="40" w:firstLine="308"/>
        <w:spacing w:after="0" w:line="272" w:lineRule="auto"/>
        <w:rPr>
          <w:sz w:val="20"/>
          <w:szCs w:val="20"/>
          <w:color w:val="auto"/>
        </w:rPr>
      </w:pPr>
      <w:r>
        <w:rPr>
          <w:rFonts w:ascii="Arial" w:cs="Arial" w:eastAsia="Arial" w:hAnsi="Arial"/>
          <w:sz w:val="16"/>
          <w:szCs w:val="16"/>
          <w:color w:val="auto"/>
        </w:rPr>
        <w:t>We have employed and expect to employ individuals, and engaged consultants and expect to engage consultants, who were previously employed, or consulted, at universities or other companies, including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75" w:lineRule="exact"/>
        <w:rPr>
          <w:sz w:val="20"/>
          <w:szCs w:val="20"/>
          <w:color w:val="auto"/>
        </w:rPr>
      </w:pPr>
    </w:p>
    <w:p>
      <w:pPr>
        <w:ind w:right="40" w:firstLine="308"/>
        <w:spacing w:after="0" w:line="275"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17" w:lineRule="exact"/>
        <w:rPr>
          <w:sz w:val="20"/>
          <w:szCs w:val="20"/>
          <w:color w:val="auto"/>
        </w:rPr>
      </w:pPr>
    </w:p>
    <w:p>
      <w:pPr>
        <w:ind w:right="60" w:firstLine="308"/>
        <w:spacing w:after="0" w:line="257" w:lineRule="auto"/>
        <w:rPr>
          <w:sz w:val="20"/>
          <w:szCs w:val="20"/>
          <w:color w:val="auto"/>
        </w:rPr>
      </w:pPr>
      <w:r>
        <w:rPr>
          <w:rFonts w:ascii="Arial" w:cs="Arial" w:eastAsia="Arial" w:hAnsi="Arial"/>
          <w:sz w:val="17"/>
          <w:szCs w:val="17"/>
          <w:color w:val="auto"/>
        </w:rPr>
        <w:t>Furthermore, we or our licensor may in the future be subject to claims by former employees, consultants or other third parties asserting an ownership right in our owned or licensed patents or patent applications.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32" w:lineRule="exact"/>
        <w:rPr>
          <w:sz w:val="20"/>
          <w:szCs w:val="20"/>
          <w:color w:val="auto"/>
        </w:rPr>
      </w:pPr>
    </w:p>
    <w:p>
      <w:pPr>
        <w:ind w:right="400"/>
        <w:spacing w:after="0" w:line="278" w:lineRule="auto"/>
        <w:rPr>
          <w:sz w:val="20"/>
          <w:szCs w:val="20"/>
          <w:color w:val="auto"/>
        </w:rPr>
      </w:pPr>
      <w:r>
        <w:rPr>
          <w:rFonts w:ascii="Arial" w:cs="Arial" w:eastAsia="Arial" w:hAnsi="Arial"/>
          <w:sz w:val="17"/>
          <w:szCs w:val="17"/>
          <w:b w:val="1"/>
          <w:bCs w:val="1"/>
          <w:i w:val="1"/>
          <w:iCs w:val="1"/>
          <w:color w:val="auto"/>
        </w:rPr>
        <w:t>We currently rely on a license from a third party, and in the future may rely on additional licenses from other third parties, in relation to our Proteograph Product Suite and if we lose any of these licenses, then we may be subjected to future litigation.</w:t>
      </w:r>
    </w:p>
    <w:p>
      <w:pPr>
        <w:spacing w:after="0" w:line="112" w:lineRule="exact"/>
        <w:rPr>
          <w:sz w:val="20"/>
          <w:szCs w:val="20"/>
          <w:color w:val="auto"/>
        </w:rPr>
      </w:pPr>
    </w:p>
    <w:p>
      <w:pPr>
        <w:ind w:firstLine="308"/>
        <w:spacing w:after="0" w:line="292" w:lineRule="auto"/>
        <w:rPr>
          <w:sz w:val="20"/>
          <w:szCs w:val="20"/>
          <w:color w:val="auto"/>
        </w:rPr>
      </w:pPr>
      <w:r>
        <w:rPr>
          <w:rFonts w:ascii="Arial" w:cs="Arial" w:eastAsia="Arial" w:hAnsi="Arial"/>
          <w:sz w:val="15"/>
          <w:szCs w:val="15"/>
          <w:color w:val="auto"/>
        </w:rPr>
        <w:t>We are, and may in the future become, a party to license agreements that grant us rights to use certain intellectual property, including patents and patent applications, typically in certain specified fields of use. Currently, we rely on an in-license from The Brigham and Women’s Hospital, Inc. (BWH), for patents relating to methods of using nanoparticles to measure the proteome, including the methods used in our Proteograph Product Suite and may in the future rely on licenses from other third parties with respect to our Proteograph Product Suite or other technology. Our rights to use licensed technology in our business are subject to the continuation of and compliance with the terms of this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Proteograph Product Suite. We may need to obtain additional licenses from others to advance our research, development and commercialization activities. For instance, under our license agreement with BWH, we currently in-license two patent families, one of which includes the methods used in our Proteograph Product Suite, and to the extent any additional intellectual property developed by BWH that are not included in such licensed patent families are necessary or useful for our Proteograph Product Suite, we would need to negotiate for additional licenses to such additional intellectual property. Such licenses may not be available on commercially reasonable terms or at all, or may be non-exclusive.</w:t>
      </w:r>
    </w:p>
    <w:p>
      <w:pPr>
        <w:spacing w:after="0" w:line="107" w:lineRule="exact"/>
        <w:rPr>
          <w:sz w:val="20"/>
          <w:szCs w:val="20"/>
          <w:color w:val="auto"/>
        </w:rPr>
      </w:pPr>
    </w:p>
    <w:p>
      <w:pPr>
        <w:ind w:firstLine="308"/>
        <w:spacing w:after="0" w:line="256" w:lineRule="auto"/>
        <w:rPr>
          <w:sz w:val="20"/>
          <w:szCs w:val="20"/>
          <w:color w:val="auto"/>
        </w:rPr>
      </w:pPr>
      <w:r>
        <w:rPr>
          <w:rFonts w:ascii="Arial" w:cs="Arial" w:eastAsia="Arial" w:hAnsi="Arial"/>
          <w:sz w:val="17"/>
          <w:szCs w:val="17"/>
          <w:color w:val="auto"/>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spacing w:after="0" w:line="131" w:lineRule="exact"/>
        <w:rPr>
          <w:sz w:val="20"/>
          <w:szCs w:val="20"/>
          <w:color w:val="auto"/>
        </w:rPr>
      </w:pPr>
    </w:p>
    <w:p>
      <w:pPr>
        <w:ind w:right="160" w:firstLine="308"/>
        <w:spacing w:after="0" w:line="278" w:lineRule="auto"/>
        <w:rPr>
          <w:sz w:val="20"/>
          <w:szCs w:val="20"/>
          <w:color w:val="auto"/>
        </w:rPr>
      </w:pPr>
      <w:r>
        <w:rPr>
          <w:rFonts w:ascii="Arial" w:cs="Arial" w:eastAsia="Arial" w:hAnsi="Arial"/>
          <w:sz w:val="17"/>
          <w:szCs w:val="17"/>
          <w:color w:val="auto"/>
        </w:rPr>
        <w:t>Our current license agreement imposes, and future agreements may impose, various diligence, commercialization, milestone payment, royalty, insurance and other obligations on us and require us to meet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75" w:lineRule="exact"/>
        <w:rPr>
          <w:sz w:val="20"/>
          <w:szCs w:val="20"/>
          <w:color w:val="auto"/>
        </w:rPr>
      </w:pPr>
    </w:p>
    <w:p>
      <w:pPr>
        <w:jc w:val="both"/>
        <w:ind w:right="20"/>
        <w:spacing w:after="0" w:line="261" w:lineRule="auto"/>
        <w:rPr>
          <w:sz w:val="20"/>
          <w:szCs w:val="20"/>
          <w:color w:val="auto"/>
        </w:rPr>
      </w:pPr>
      <w:r>
        <w:rPr>
          <w:rFonts w:ascii="Arial" w:cs="Arial" w:eastAsia="Arial" w:hAnsi="Arial"/>
          <w:sz w:val="17"/>
          <w:szCs w:val="17"/>
          <w:color w:val="auto"/>
        </w:rPr>
        <w:t>development timelines, or to exercise commercially reasonable efforts to develop and commercialize licensed products, in order to maintain the licenses. If we fail to comply with these obligations, our licensor(s) may have the right to terminate our license, in which event we would not be able to develop or market products or technology covered by the licensed intellectual property. Any of the foregoing could have a material adverse effect on our competitive position, business, financial conditions, results of operations and prospects.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Moreover, disputes may also arise between us and our licensor regarding intellectual property subject to a license agreement, including:</w:t>
      </w:r>
    </w:p>
    <w:p>
      <w:pPr>
        <w:spacing w:after="0" w:line="164" w:lineRule="exact"/>
        <w:rPr>
          <w:sz w:val="20"/>
          <w:szCs w:val="20"/>
          <w:color w:val="auto"/>
        </w:rPr>
      </w:pPr>
    </w:p>
    <w:p>
      <w:pPr>
        <w:ind w:left="620" w:hanging="309"/>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financial or other obligations under the license agreement;</w:t>
      </w:r>
    </w:p>
    <w:p>
      <w:pPr>
        <w:spacing w:after="0" w:line="164" w:lineRule="exact"/>
        <w:rPr>
          <w:rFonts w:ascii="Arial" w:cs="Arial" w:eastAsia="Arial" w:hAnsi="Arial"/>
          <w:sz w:val="17"/>
          <w:szCs w:val="17"/>
          <w:color w:val="auto"/>
        </w:rPr>
      </w:pPr>
    </w:p>
    <w:p>
      <w:pPr>
        <w:ind w:left="620" w:hanging="309"/>
        <w:spacing w:after="0" w:line="278" w:lineRule="auto"/>
        <w:tabs>
          <w:tab w:leader="none" w:pos="615" w:val="left"/>
        </w:tabs>
        <w:numPr>
          <w:ilvl w:val="0"/>
          <w:numId w:val="34"/>
        </w:numPr>
        <w:rPr>
          <w:rFonts w:ascii="Arial" w:cs="Arial" w:eastAsia="Arial" w:hAnsi="Arial"/>
          <w:sz w:val="17"/>
          <w:szCs w:val="17"/>
          <w:color w:val="auto"/>
        </w:rPr>
      </w:pPr>
      <w:r>
        <w:rPr>
          <w:rFonts w:ascii="Arial" w:cs="Arial" w:eastAsia="Arial" w:hAnsi="Arial"/>
          <w:sz w:val="17"/>
          <w:szCs w:val="17"/>
          <w:color w:val="auto"/>
        </w:rPr>
        <w:t>whether, and the extent to which, our products, technology and processes infringe on intellectual property of the licensor that is not subject to the licensing agreement;</w:t>
      </w:r>
    </w:p>
    <w:p>
      <w:pPr>
        <w:spacing w:after="0" w:line="112" w:lineRule="exact"/>
        <w:rPr>
          <w:rFonts w:ascii="Arial" w:cs="Arial" w:eastAsia="Arial" w:hAnsi="Arial"/>
          <w:sz w:val="17"/>
          <w:szCs w:val="17"/>
          <w:color w:val="auto"/>
        </w:rPr>
      </w:pPr>
    </w:p>
    <w:p>
      <w:pPr>
        <w:ind w:left="620" w:hanging="309"/>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inventorship and ownership of inventions and know-how resulting from the joint creation or use of intellectual property by our licensor(s); and</w:t>
      </w:r>
    </w:p>
    <w:p>
      <w:pPr>
        <w:spacing w:after="0" w:line="175" w:lineRule="exact"/>
        <w:rPr>
          <w:rFonts w:ascii="Arial" w:cs="Arial" w:eastAsia="Arial" w:hAnsi="Arial"/>
          <w:sz w:val="16"/>
          <w:szCs w:val="16"/>
          <w:color w:val="auto"/>
        </w:rPr>
      </w:pPr>
    </w:p>
    <w:p>
      <w:pPr>
        <w:ind w:left="620" w:hanging="309"/>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priority of invention of patented technology.</w:t>
      </w:r>
    </w:p>
    <w:p>
      <w:pPr>
        <w:spacing w:after="0" w:line="164" w:lineRule="exact"/>
        <w:rPr>
          <w:sz w:val="20"/>
          <w:szCs w:val="20"/>
          <w:color w:val="auto"/>
        </w:rPr>
      </w:pPr>
    </w:p>
    <w:p>
      <w:pPr>
        <w:ind w:right="40" w:firstLine="308"/>
        <w:spacing w:after="0" w:line="257" w:lineRule="auto"/>
        <w:rPr>
          <w:sz w:val="20"/>
          <w:szCs w:val="20"/>
          <w:color w:val="auto"/>
        </w:rPr>
      </w:pPr>
      <w:r>
        <w:rPr>
          <w:rFonts w:ascii="Arial" w:cs="Arial" w:eastAsia="Arial" w:hAnsi="Arial"/>
          <w:sz w:val="17"/>
          <w:szCs w:val="17"/>
          <w:color w:val="auto"/>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spacing w:after="0" w:line="132" w:lineRule="exact"/>
        <w:rPr>
          <w:sz w:val="20"/>
          <w:szCs w:val="20"/>
          <w:color w:val="auto"/>
        </w:rPr>
      </w:pPr>
    </w:p>
    <w:p>
      <w:pPr>
        <w:ind w:right="200" w:firstLine="308"/>
        <w:spacing w:after="0" w:line="275" w:lineRule="auto"/>
        <w:rPr>
          <w:sz w:val="20"/>
          <w:szCs w:val="20"/>
          <w:color w:val="auto"/>
        </w:rPr>
      </w:pPr>
      <w:r>
        <w:rPr>
          <w:rFonts w:ascii="Arial" w:cs="Arial" w:eastAsia="Arial" w:hAnsi="Arial"/>
          <w:sz w:val="16"/>
          <w:szCs w:val="16"/>
          <w:color w:val="auto"/>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spacing w:after="0" w:line="117" w:lineRule="exact"/>
        <w:rPr>
          <w:sz w:val="20"/>
          <w:szCs w:val="20"/>
          <w:color w:val="auto"/>
        </w:rPr>
      </w:pPr>
    </w:p>
    <w:p>
      <w:pPr>
        <w:ind w:right="20" w:firstLine="308"/>
        <w:spacing w:after="0" w:line="306" w:lineRule="auto"/>
        <w:rPr>
          <w:sz w:val="20"/>
          <w:szCs w:val="20"/>
          <w:color w:val="auto"/>
        </w:rPr>
      </w:pPr>
      <w:r>
        <w:rPr>
          <w:rFonts w:ascii="Arial" w:cs="Arial" w:eastAsia="Arial" w:hAnsi="Arial"/>
          <w:sz w:val="15"/>
          <w:szCs w:val="15"/>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Proteograph Product Suite, which could adversely affect our ability to offer products or services, our ability to continue operations and our business, financial condition, results of operations and prospects.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164" w:lineRule="exact"/>
        <w:rPr>
          <w:sz w:val="20"/>
          <w:szCs w:val="20"/>
          <w:color w:val="auto"/>
        </w:rPr>
      </w:pPr>
    </w:p>
    <w:p>
      <w:pPr>
        <w:ind w:right="60" w:firstLine="308"/>
        <w:spacing w:after="0" w:line="289" w:lineRule="auto"/>
        <w:rPr>
          <w:sz w:val="20"/>
          <w:szCs w:val="20"/>
          <w:color w:val="auto"/>
        </w:rPr>
      </w:pPr>
      <w:r>
        <w:rPr>
          <w:rFonts w:ascii="Arial" w:cs="Arial" w:eastAsia="Arial" w:hAnsi="Arial"/>
          <w:sz w:val="16"/>
          <w:szCs w:val="16"/>
          <w:color w:val="auto"/>
        </w:rPr>
        <w:t>We may identify third-party technology that we may need to license or acquire in order to develop or commercialize our products or technologies, including our Proteograph Product Suite. However, we may be unable to secure such licenses or acquisitions. The licensing or acquisition of third-party intellectual property rights is a competitive area, and several more established companies may pursue strategies to license or acquire third-party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3" w:name="page64"/>
    <w:bookmarkEnd w:id="63"/>
    <w:p>
      <w:pPr>
        <w:spacing w:after="0" w:line="75" w:lineRule="exact"/>
        <w:rPr>
          <w:sz w:val="20"/>
          <w:szCs w:val="20"/>
          <w:color w:val="auto"/>
        </w:rPr>
      </w:pPr>
    </w:p>
    <w:p>
      <w:pPr>
        <w:jc w:val="both"/>
        <w:ind w:right="80"/>
        <w:spacing w:after="0" w:line="265" w:lineRule="auto"/>
        <w:rPr>
          <w:sz w:val="20"/>
          <w:szCs w:val="20"/>
          <w:color w:val="auto"/>
        </w:rPr>
      </w:pPr>
      <w:r>
        <w:rPr>
          <w:rFonts w:ascii="Arial" w:cs="Arial" w:eastAsia="Arial" w:hAnsi="Arial"/>
          <w:sz w:val="17"/>
          <w:szCs w:val="17"/>
          <w:color w:val="auto"/>
        </w:rPr>
        <w:t>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123" w:lineRule="exact"/>
        <w:rPr>
          <w:sz w:val="20"/>
          <w:szCs w:val="20"/>
          <w:color w:val="auto"/>
        </w:rPr>
      </w:pPr>
    </w:p>
    <w:p>
      <w:pPr>
        <w:ind w:right="200" w:firstLine="308"/>
        <w:spacing w:after="0" w:line="256" w:lineRule="auto"/>
        <w:rPr>
          <w:sz w:val="20"/>
          <w:szCs w:val="20"/>
          <w:color w:val="auto"/>
        </w:rPr>
      </w:pPr>
      <w:r>
        <w:rPr>
          <w:rFonts w:ascii="Arial" w:cs="Arial" w:eastAsia="Arial" w:hAnsi="Arial"/>
          <w:sz w:val="17"/>
          <w:szCs w:val="17"/>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134" w:lineRule="exact"/>
        <w:rPr>
          <w:sz w:val="20"/>
          <w:szCs w:val="20"/>
          <w:color w:val="auto"/>
        </w:rPr>
      </w:pPr>
    </w:p>
    <w:p>
      <w:pPr>
        <w:ind w:right="360"/>
        <w:spacing w:after="0" w:line="389" w:lineRule="auto"/>
        <w:rPr>
          <w:sz w:val="20"/>
          <w:szCs w:val="20"/>
          <w:color w:val="auto"/>
        </w:rPr>
      </w:pPr>
      <w:r>
        <w:rPr>
          <w:rFonts w:ascii="Arial" w:cs="Arial" w:eastAsia="Arial" w:hAnsi="Arial"/>
          <w:sz w:val="14"/>
          <w:szCs w:val="14"/>
          <w:b w:val="1"/>
          <w:bCs w:val="1"/>
          <w:i w:val="1"/>
          <w:iCs w:val="1"/>
          <w:color w:val="auto"/>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spacing w:after="0" w:line="43" w:lineRule="exact"/>
        <w:rPr>
          <w:sz w:val="20"/>
          <w:szCs w:val="20"/>
          <w:color w:val="auto"/>
        </w:rPr>
      </w:pPr>
    </w:p>
    <w:p>
      <w:pPr>
        <w:ind w:firstLine="308"/>
        <w:spacing w:after="0" w:line="271" w:lineRule="auto"/>
        <w:rPr>
          <w:sz w:val="20"/>
          <w:szCs w:val="20"/>
          <w:color w:val="auto"/>
        </w:rPr>
      </w:pPr>
      <w:r>
        <w:rPr>
          <w:rFonts w:ascii="Arial" w:cs="Arial" w:eastAsia="Arial" w:hAnsi="Arial"/>
          <w:sz w:val="16"/>
          <w:szCs w:val="16"/>
          <w:color w:val="auto"/>
        </w:rPr>
        <w:t>In addition, our owned and in-licensed patents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Any failure to timely elect title to such inventions may provide the U.S. government to, at any time, take title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spacing w:after="0" w:line="126"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b w:val="1"/>
          <w:bCs w:val="1"/>
          <w:i w:val="1"/>
          <w:iCs w:val="1"/>
          <w:color w:val="auto"/>
        </w:rPr>
        <w:t>Our products contain third-party open source software components and failure to comply with the terms of the underlying open source software licenses could restrict our ability to sell our products and provide third parties access to our proprietary software.</w:t>
      </w:r>
    </w:p>
    <w:p>
      <w:pPr>
        <w:spacing w:after="0" w:line="112" w:lineRule="exact"/>
        <w:rPr>
          <w:sz w:val="20"/>
          <w:szCs w:val="20"/>
          <w:color w:val="auto"/>
        </w:rPr>
      </w:pPr>
    </w:p>
    <w:p>
      <w:pPr>
        <w:ind w:right="20" w:firstLine="308"/>
        <w:spacing w:after="0" w:line="272" w:lineRule="auto"/>
        <w:rPr>
          <w:sz w:val="20"/>
          <w:szCs w:val="20"/>
          <w:color w:val="auto"/>
        </w:rPr>
      </w:pPr>
      <w:r>
        <w:rPr>
          <w:rFonts w:ascii="Arial" w:cs="Arial" w:eastAsia="Arial" w:hAnsi="Arial"/>
          <w:sz w:val="16"/>
          <w:szCs w:val="16"/>
          <w:color w:val="auto"/>
        </w:rPr>
        <w:t>Our products contain software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75"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23" w:lineRule="exact"/>
        <w:rPr>
          <w:sz w:val="20"/>
          <w:szCs w:val="20"/>
          <w:color w:val="auto"/>
        </w:rPr>
      </w:pPr>
    </w:p>
    <w:p>
      <w:pPr>
        <w:ind w:firstLine="308"/>
        <w:spacing w:after="0" w:line="256" w:lineRule="auto"/>
        <w:rPr>
          <w:sz w:val="20"/>
          <w:szCs w:val="20"/>
          <w:color w:val="auto"/>
        </w:rPr>
      </w:pPr>
      <w:r>
        <w:rPr>
          <w:rFonts w:ascii="Arial" w:cs="Arial" w:eastAsia="Arial" w:hAnsi="Arial"/>
          <w:sz w:val="17"/>
          <w:szCs w:val="17"/>
          <w:color w:val="auto"/>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w:t>
      </w:r>
    </w:p>
    <w:p>
      <w:pPr>
        <w:spacing w:after="0" w:line="164" w:lineRule="exact"/>
        <w:rPr>
          <w:sz w:val="20"/>
          <w:szCs w:val="20"/>
          <w:color w:val="auto"/>
        </w:rPr>
      </w:pPr>
    </w:p>
    <w:p>
      <w:pPr>
        <w:ind w:right="460" w:firstLine="308"/>
        <w:spacing w:after="0" w:line="278"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2" w:lineRule="exact"/>
        <w:rPr>
          <w:sz w:val="20"/>
          <w:szCs w:val="20"/>
          <w:color w:val="auto"/>
        </w:rPr>
      </w:pPr>
    </w:p>
    <w:p>
      <w:pPr>
        <w:ind w:left="620" w:hanging="309"/>
        <w:spacing w:after="0" w:line="278" w:lineRule="auto"/>
        <w:tabs>
          <w:tab w:leader="none" w:pos="615" w:val="left"/>
        </w:tabs>
        <w:numPr>
          <w:ilvl w:val="0"/>
          <w:numId w:val="35"/>
        </w:numPr>
        <w:rPr>
          <w:rFonts w:ascii="Arial" w:cs="Arial" w:eastAsia="Arial" w:hAnsi="Arial"/>
          <w:sz w:val="17"/>
          <w:szCs w:val="17"/>
          <w:color w:val="auto"/>
        </w:rPr>
      </w:pPr>
      <w:r>
        <w:rPr>
          <w:rFonts w:ascii="Arial" w:cs="Arial" w:eastAsia="Arial" w:hAnsi="Arial"/>
          <w:sz w:val="17"/>
          <w:szCs w:val="17"/>
          <w:color w:val="auto"/>
        </w:rPr>
        <w:t>others may be able to make products that are similar to products and technologies we may develop or utilize similar technology that are not covered by the claims of the patents that we own or license now or in the future;</w:t>
      </w:r>
    </w:p>
    <w:p>
      <w:pPr>
        <w:spacing w:after="0" w:line="112" w:lineRule="exact"/>
        <w:rPr>
          <w:rFonts w:ascii="Arial" w:cs="Arial" w:eastAsia="Arial" w:hAnsi="Arial"/>
          <w:sz w:val="17"/>
          <w:szCs w:val="17"/>
          <w:color w:val="auto"/>
        </w:rPr>
      </w:pPr>
    </w:p>
    <w:p>
      <w:pPr>
        <w:ind w:left="620" w:right="220" w:hanging="309"/>
        <w:spacing w:after="0" w:line="278" w:lineRule="auto"/>
        <w:tabs>
          <w:tab w:leader="none" w:pos="615"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or our licensor(s), might not have been the first to make the inventions covered by the issued patent or pending patent application that we license or may own in the future;</w:t>
      </w:r>
    </w:p>
    <w:p>
      <w:pPr>
        <w:spacing w:after="0" w:line="112" w:lineRule="exact"/>
        <w:rPr>
          <w:rFonts w:ascii="Arial" w:cs="Arial" w:eastAsia="Arial" w:hAnsi="Arial"/>
          <w:sz w:val="17"/>
          <w:szCs w:val="17"/>
          <w:color w:val="auto"/>
        </w:rPr>
      </w:pPr>
    </w:p>
    <w:p>
      <w:pPr>
        <w:ind w:left="620" w:hanging="309"/>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or our licensor(s), might not have been the first to file patent applications covering certain of our or their inventions;</w:t>
      </w:r>
    </w:p>
    <w:p>
      <w:pPr>
        <w:spacing w:after="0" w:line="164" w:lineRule="exact"/>
        <w:rPr>
          <w:rFonts w:ascii="Arial" w:cs="Arial" w:eastAsia="Arial" w:hAnsi="Arial"/>
          <w:sz w:val="17"/>
          <w:szCs w:val="17"/>
          <w:color w:val="auto"/>
        </w:rPr>
      </w:pPr>
    </w:p>
    <w:p>
      <w:pPr>
        <w:ind w:left="620" w:right="620" w:hanging="309"/>
        <w:spacing w:after="0" w:line="278" w:lineRule="auto"/>
        <w:tabs>
          <w:tab w:leader="none" w:pos="615" w:val="left"/>
        </w:tabs>
        <w:numPr>
          <w:ilvl w:val="0"/>
          <w:numId w:val="35"/>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 without infringing, misappropriating or otherwise violating our owned or licensed intellectual property rights;</w:t>
      </w:r>
    </w:p>
    <w:p>
      <w:pPr>
        <w:spacing w:after="0" w:line="112" w:lineRule="exact"/>
        <w:rPr>
          <w:rFonts w:ascii="Arial" w:cs="Arial" w:eastAsia="Arial" w:hAnsi="Arial"/>
          <w:sz w:val="17"/>
          <w:szCs w:val="17"/>
          <w:color w:val="auto"/>
        </w:rPr>
      </w:pPr>
    </w:p>
    <w:p>
      <w:pPr>
        <w:ind w:left="620" w:hanging="309"/>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it is possible that our pending licensed patent applications or those that we may own in the future will not lead to issued patents;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64" w:lineRule="exact"/>
        <w:rPr>
          <w:rFonts w:ascii="Arial" w:cs="Arial" w:eastAsia="Arial" w:hAnsi="Arial"/>
          <w:sz w:val="17"/>
          <w:szCs w:val="17"/>
          <w:color w:val="auto"/>
        </w:rPr>
      </w:pPr>
    </w:p>
    <w:p>
      <w:pPr>
        <w:ind w:left="620" w:right="180" w:hanging="309"/>
        <w:spacing w:after="0" w:line="278" w:lineRule="auto"/>
        <w:tabs>
          <w:tab w:leader="none" w:pos="615"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12" w:lineRule="exact"/>
        <w:rPr>
          <w:rFonts w:ascii="Arial" w:cs="Arial" w:eastAsia="Arial" w:hAnsi="Arial"/>
          <w:sz w:val="17"/>
          <w:szCs w:val="17"/>
          <w:color w:val="auto"/>
        </w:rPr>
      </w:pPr>
    </w:p>
    <w:p>
      <w:pPr>
        <w:ind w:left="620" w:hanging="309"/>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patents of others may harm our business; and</w:t>
      </w:r>
    </w:p>
    <w:p>
      <w:pPr>
        <w:spacing w:after="0" w:line="164" w:lineRule="exact"/>
        <w:rPr>
          <w:rFonts w:ascii="Arial" w:cs="Arial" w:eastAsia="Arial" w:hAnsi="Arial"/>
          <w:sz w:val="17"/>
          <w:szCs w:val="17"/>
          <w:color w:val="auto"/>
        </w:rPr>
      </w:pPr>
    </w:p>
    <w:p>
      <w:pPr>
        <w:ind w:left="620" w:right="520" w:hanging="309"/>
        <w:spacing w:after="0" w:line="278" w:lineRule="auto"/>
        <w:tabs>
          <w:tab w:leader="none" w:pos="615"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may choose not to file a patent for certain trade secrets or know-how, and a third party may subsequently file a patent covering such intellectual property.</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Should any of these events occur, they could materially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5" w:name="page66"/>
    <w:bookmarkEnd w:id="65"/>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Ownership of Our Class A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trading market for our Class A common stock may not be sustained.</w:t>
      </w:r>
    </w:p>
    <w:p>
      <w:pPr>
        <w:spacing w:after="0" w:line="164" w:lineRule="exact"/>
        <w:rPr>
          <w:sz w:val="20"/>
          <w:szCs w:val="20"/>
          <w:color w:val="auto"/>
        </w:rPr>
      </w:pPr>
    </w:p>
    <w:p>
      <w:pPr>
        <w:ind w:right="60" w:firstLine="308"/>
        <w:spacing w:after="0" w:line="282" w:lineRule="auto"/>
        <w:rPr>
          <w:sz w:val="20"/>
          <w:szCs w:val="20"/>
          <w:color w:val="auto"/>
        </w:rPr>
      </w:pPr>
      <w:r>
        <w:rPr>
          <w:rFonts w:ascii="Arial" w:cs="Arial" w:eastAsia="Arial" w:hAnsi="Arial"/>
          <w:sz w:val="16"/>
          <w:szCs w:val="16"/>
          <w:color w:val="auto"/>
        </w:rPr>
        <w:t>Although our Class A common stock is traded on the Nasdaq Global Select Market under the symbol “SEER,” there is a very limited trading history and an active trading market for our Class A common stock may not be sustained. Accordingly, we cannot assure you of your ability to sell your shares of Class A common stock when desired or the prices that you may obtain for your shares. If an active market for our Class A common stock with meaningful trading volume is not sustained, the market price of our Class A common stock may decline materially and you may not be able to sell your shares.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Class A common stock may be volatile.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Some of the factors that may cause the market price of our Class A common stock to fluctuate include, but are not limited to:</w:t>
      </w:r>
    </w:p>
    <w:p>
      <w:pPr>
        <w:spacing w:after="0" w:line="164" w:lineRule="exact"/>
        <w:rPr>
          <w:sz w:val="20"/>
          <w:szCs w:val="20"/>
          <w:color w:val="auto"/>
        </w:rPr>
      </w:pPr>
    </w:p>
    <w:p>
      <w:pPr>
        <w:ind w:left="620" w:right="520" w:hanging="309"/>
        <w:spacing w:after="0" w:line="278" w:lineRule="auto"/>
        <w:tabs>
          <w:tab w:leader="none" w:pos="61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timing of our launch and commercialization of our products and degree to which such launch and commercialization meets the expectations of securities analysts and investors;</w:t>
      </w:r>
    </w:p>
    <w:p>
      <w:pPr>
        <w:spacing w:after="0" w:line="112" w:lineRule="exact"/>
        <w:rPr>
          <w:rFonts w:ascii="Arial" w:cs="Arial" w:eastAsia="Arial" w:hAnsi="Arial"/>
          <w:sz w:val="17"/>
          <w:szCs w:val="17"/>
          <w:color w:val="auto"/>
        </w:rPr>
      </w:pPr>
    </w:p>
    <w:p>
      <w:pPr>
        <w:ind w:left="620" w:hanging="309"/>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actual or anticipated fluctuations in our operating results, including fluctuations in our quarterly and annual results;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operating expenses being more than anticipated;</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failure or discontinuation of any of our product development and research programs;</w:t>
      </w:r>
    </w:p>
    <w:p>
      <w:pPr>
        <w:spacing w:after="0" w:line="164" w:lineRule="exact"/>
        <w:rPr>
          <w:rFonts w:ascii="Arial" w:cs="Arial" w:eastAsia="Arial" w:hAnsi="Arial"/>
          <w:sz w:val="17"/>
          <w:szCs w:val="17"/>
          <w:color w:val="auto"/>
        </w:rPr>
      </w:pPr>
    </w:p>
    <w:p>
      <w:pPr>
        <w:ind w:left="620" w:right="120" w:hanging="309"/>
        <w:spacing w:after="0" w:line="278" w:lineRule="auto"/>
        <w:tabs>
          <w:tab w:leader="none" w:pos="615"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the structure or funding of research at academic and research laboratories and institutions, including changes that would affect their ability to purchase our instruments or consumables;</w:t>
      </w:r>
    </w:p>
    <w:p>
      <w:pPr>
        <w:spacing w:after="0" w:line="112" w:lineRule="exact"/>
        <w:rPr>
          <w:rFonts w:ascii="Arial" w:cs="Arial" w:eastAsia="Arial" w:hAnsi="Arial"/>
          <w:sz w:val="17"/>
          <w:szCs w:val="17"/>
          <w:color w:val="auto"/>
        </w:rPr>
      </w:pPr>
    </w:p>
    <w:p>
      <w:pPr>
        <w:ind w:left="620" w:hanging="309"/>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success of existing or new competitive businesses or technologies;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announcements about new research programs or products of our competitors;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litigation and governmental investigations involving us, our industry or both;</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regulatory or legal developments in the United States and other countries;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volatility and variations in market conditions in the life sciences technology sector generally, or the proteomics or genomics sectors specifically;</w:t>
      </w:r>
    </w:p>
    <w:p>
      <w:pPr>
        <w:spacing w:after="0" w:line="175" w:lineRule="exact"/>
        <w:rPr>
          <w:rFonts w:ascii="Arial" w:cs="Arial" w:eastAsia="Arial" w:hAnsi="Arial"/>
          <w:sz w:val="16"/>
          <w:szCs w:val="16"/>
          <w:color w:val="auto"/>
        </w:rPr>
      </w:pPr>
    </w:p>
    <w:p>
      <w:pPr>
        <w:ind w:left="620" w:hanging="309"/>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investor perceptions of us or our industry;</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level of expenses related to any of our research and development programs or products;</w:t>
      </w:r>
    </w:p>
    <w:p>
      <w:pPr>
        <w:spacing w:after="0" w:line="164" w:lineRule="exact"/>
        <w:rPr>
          <w:rFonts w:ascii="Arial" w:cs="Arial" w:eastAsia="Arial" w:hAnsi="Arial"/>
          <w:sz w:val="17"/>
          <w:szCs w:val="17"/>
          <w:color w:val="auto"/>
        </w:rPr>
      </w:pPr>
    </w:p>
    <w:p>
      <w:pPr>
        <w:ind w:left="620" w:hanging="309"/>
        <w:spacing w:after="0" w:line="265" w:lineRule="auto"/>
        <w:tabs>
          <w:tab w:leader="none" w:pos="615"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spacing w:after="0" w:line="123" w:lineRule="exact"/>
        <w:rPr>
          <w:rFonts w:ascii="Arial" w:cs="Arial" w:eastAsia="Arial" w:hAnsi="Arial"/>
          <w:sz w:val="17"/>
          <w:szCs w:val="17"/>
          <w:color w:val="auto"/>
        </w:rPr>
      </w:pPr>
    </w:p>
    <w:p>
      <w:pPr>
        <w:ind w:left="620" w:hanging="309"/>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whether our financial results meet the expectations of securities analysts or investors;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announcement or expectation of additional financing efforts;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sales of our Class A common stock by us or sales of our Class A common stock or Class B common stock by our insiders or other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6" w:name="page67"/>
    <w:bookmarkEnd w:id="66"/>
    <w:p>
      <w:pPr>
        <w:spacing w:after="0" w:line="75" w:lineRule="exact"/>
        <w:rPr>
          <w:sz w:val="20"/>
          <w:szCs w:val="20"/>
          <w:color w:val="auto"/>
        </w:rPr>
      </w:pPr>
    </w:p>
    <w:p>
      <w:pPr>
        <w:ind w:left="620" w:hanging="309"/>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expiration of market standoff or lock-up agreements;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general economic, industry and market conditions; and</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COVID-19 pandemic, natural disasters or major catastrophic events.</w:t>
      </w:r>
    </w:p>
    <w:p>
      <w:pPr>
        <w:spacing w:after="0" w:line="164" w:lineRule="exact"/>
        <w:rPr>
          <w:sz w:val="20"/>
          <w:szCs w:val="20"/>
          <w:color w:val="auto"/>
        </w:rPr>
      </w:pPr>
    </w:p>
    <w:p>
      <w:pPr>
        <w:ind w:right="180" w:firstLine="308"/>
        <w:spacing w:after="0" w:line="298" w:lineRule="auto"/>
        <w:rPr>
          <w:sz w:val="20"/>
          <w:szCs w:val="20"/>
          <w:color w:val="auto"/>
        </w:rPr>
      </w:pPr>
      <w:r>
        <w:rPr>
          <w:rFonts w:ascii="Arial" w:cs="Arial" w:eastAsia="Arial" w:hAnsi="Arial"/>
          <w:sz w:val="15"/>
          <w:szCs w:val="15"/>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Class A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03" w:lineRule="exact"/>
        <w:rPr>
          <w:sz w:val="20"/>
          <w:szCs w:val="20"/>
          <w:color w:val="auto"/>
        </w:rPr>
      </w:pPr>
    </w:p>
    <w:p>
      <w:pPr>
        <w:ind w:right="340"/>
        <w:spacing w:after="0" w:line="278" w:lineRule="auto"/>
        <w:rPr>
          <w:sz w:val="20"/>
          <w:szCs w:val="20"/>
          <w:color w:val="auto"/>
        </w:rPr>
      </w:pPr>
      <w:r>
        <w:rPr>
          <w:rFonts w:ascii="Arial" w:cs="Arial" w:eastAsia="Arial" w:hAnsi="Arial"/>
          <w:sz w:val="17"/>
          <w:szCs w:val="17"/>
          <w:b w:val="1"/>
          <w:bCs w:val="1"/>
          <w:i w:val="1"/>
          <w:iCs w:val="1"/>
          <w:color w:val="auto"/>
        </w:rPr>
        <w:t>The multi-class structure of our common stock will have the effect of concentrating voting control with certain stockholders and it may depress the trading price of our Class A common stock.</w:t>
      </w:r>
    </w:p>
    <w:p>
      <w:pPr>
        <w:spacing w:after="0" w:line="112" w:lineRule="exact"/>
        <w:rPr>
          <w:sz w:val="20"/>
          <w:szCs w:val="20"/>
          <w:color w:val="auto"/>
        </w:rPr>
      </w:pPr>
    </w:p>
    <w:p>
      <w:pPr>
        <w:jc w:val="both"/>
        <w:ind w:right="80" w:firstLine="308"/>
        <w:spacing w:after="0" w:line="265" w:lineRule="auto"/>
        <w:rPr>
          <w:sz w:val="20"/>
          <w:szCs w:val="20"/>
          <w:color w:val="auto"/>
        </w:rPr>
      </w:pPr>
      <w:r>
        <w:rPr>
          <w:rFonts w:ascii="Arial" w:cs="Arial" w:eastAsia="Arial" w:hAnsi="Arial"/>
          <w:sz w:val="17"/>
          <w:szCs w:val="17"/>
          <w:color w:val="auto"/>
        </w:rPr>
        <w:t>Our Class A common stock, which is our publicly-traded class of stock, has one vote per share, and our Class B common stock has ten votes per share, except as otherwise required by law. Our Class B common stock is held by our founders and early investors. Following our February 2021 public offering, the holders of our Class B common stock hold in the aggregate 45.7% of the voting power of our capital stock.</w:t>
      </w:r>
    </w:p>
    <w:p>
      <w:pPr>
        <w:spacing w:after="0" w:line="123" w:lineRule="exact"/>
        <w:rPr>
          <w:sz w:val="20"/>
          <w:szCs w:val="20"/>
          <w:color w:val="auto"/>
        </w:rPr>
      </w:pPr>
    </w:p>
    <w:p>
      <w:pPr>
        <w:ind w:right="60" w:firstLine="308"/>
        <w:spacing w:after="0" w:line="273" w:lineRule="auto"/>
        <w:rPr>
          <w:sz w:val="20"/>
          <w:szCs w:val="20"/>
          <w:color w:val="auto"/>
        </w:rPr>
      </w:pPr>
      <w:r>
        <w:rPr>
          <w:rFonts w:ascii="Arial" w:cs="Arial" w:eastAsia="Arial" w:hAnsi="Arial"/>
          <w:sz w:val="16"/>
          <w:szCs w:val="16"/>
          <w:color w:val="auto"/>
        </w:rPr>
        <w:t>As a result, the holders of our Class B common stock collectively will continue to control a significant amount of the combined voting power of our common stock and therefore may be able to control matters submitted to our stockholders for approval. This control will limit to the stockholders’ influence over corporate matters for approximately five years following our initial public offering, including the election of directors, amendments of our organizational documents and any sale of the company or other major corporate transaction requiring stockholder approval. This may prevent or discourage unsolicited proposals to acquire the company. Future transfers by holders of Class B common stock will generally result in those shares converting to Class A common stock, subject to limited exceptions, such as certain transfers effected for estate planning purposes where sole dispositive power and exclusive voting control with respect to the shares of Class B common stock is retained by the transferring holder. The Class B common stock will also automatically convert into Class A common stock on December 8, 2025. The conversion of Class B common stock to Class A common stock will have the effect, over time, of increasing the relative voting power of those individual holders of Class B common stock who retain their shares over the long term.</w:t>
      </w:r>
    </w:p>
    <w:p>
      <w:pPr>
        <w:spacing w:after="0" w:line="121" w:lineRule="exact"/>
        <w:rPr>
          <w:sz w:val="20"/>
          <w:szCs w:val="20"/>
          <w:color w:val="auto"/>
        </w:rPr>
      </w:pPr>
    </w:p>
    <w:p>
      <w:pPr>
        <w:ind w:firstLine="308"/>
        <w:spacing w:after="0" w:line="276" w:lineRule="auto"/>
        <w:rPr>
          <w:sz w:val="20"/>
          <w:szCs w:val="20"/>
          <w:color w:val="auto"/>
        </w:rPr>
      </w:pPr>
      <w:r>
        <w:rPr>
          <w:rFonts w:ascii="Arial" w:cs="Arial" w:eastAsia="Arial" w:hAnsi="Arial"/>
          <w:sz w:val="16"/>
          <w:szCs w:val="16"/>
          <w:color w:val="auto"/>
        </w:rPr>
        <w:t>In addition, FTSE Russell and Standard &amp; Poor’s no longer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multi-class capital structure would make us ineligible for inclusion in any of these indices, and as a result, mutual funds, exchange-traded funds and other investment vehicles that attempt to passively track these indices will not be investing in our stock. It is unclear what effect, if any, exclusion from any indices has had on the valuations of the affected publicly traded companies. It is possible that such policies could depress the valuations of public companies excluded from such indices compared to those of other companies that are included.</w:t>
      </w:r>
    </w:p>
    <w:p>
      <w:pPr>
        <w:spacing w:after="0" w:line="118"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publish negative evaluations of our Class A common stock, the price of our Class A common stock could decline.</w:t>
      </w:r>
    </w:p>
    <w:p>
      <w:pPr>
        <w:spacing w:after="0" w:line="112"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The trading market for our Class A common stock relies in part on the research and reports that industry or securities analysts publish about us or our business. If no or few analysts commence or continue coverage of us, the trading price of our Class A common stock could decrease.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75" w:lineRule="exact"/>
        <w:rPr>
          <w:sz w:val="20"/>
          <w:szCs w:val="20"/>
          <w:color w:val="auto"/>
        </w:rPr>
      </w:pPr>
    </w:p>
    <w:p>
      <w:pPr>
        <w:ind w:right="500"/>
        <w:spacing w:after="0" w:line="278" w:lineRule="auto"/>
        <w:rPr>
          <w:sz w:val="20"/>
          <w:szCs w:val="20"/>
          <w:color w:val="auto"/>
        </w:rPr>
      </w:pPr>
      <w:r>
        <w:rPr>
          <w:rFonts w:ascii="Arial" w:cs="Arial" w:eastAsia="Arial" w:hAnsi="Arial"/>
          <w:sz w:val="17"/>
          <w:szCs w:val="17"/>
          <w:b w:val="1"/>
          <w:bCs w:val="1"/>
          <w:i w:val="1"/>
          <w:iCs w:val="1"/>
          <w:color w:val="auto"/>
        </w:rPr>
        <w:t>Sales of a substantial number of shares of our Class A common stock by our existing stockholders could cause the price of our Class A common stock to decline.</w:t>
      </w:r>
    </w:p>
    <w:p>
      <w:pPr>
        <w:spacing w:after="0" w:line="112" w:lineRule="exact"/>
        <w:rPr>
          <w:sz w:val="20"/>
          <w:szCs w:val="20"/>
          <w:color w:val="auto"/>
        </w:rPr>
      </w:pPr>
    </w:p>
    <w:p>
      <w:pPr>
        <w:ind w:right="340" w:firstLine="308"/>
        <w:spacing w:after="0" w:line="265" w:lineRule="auto"/>
        <w:rPr>
          <w:sz w:val="20"/>
          <w:szCs w:val="20"/>
          <w:color w:val="auto"/>
        </w:rPr>
      </w:pPr>
      <w:r>
        <w:rPr>
          <w:rFonts w:ascii="Arial" w:cs="Arial" w:eastAsia="Arial" w:hAnsi="Arial"/>
          <w:sz w:val="17"/>
          <w:szCs w:val="17"/>
          <w:color w:val="auto"/>
        </w:rPr>
        <w:t>Sales of a substantial number of shares of our Class A common stock in the public market could occur at any time following the expiration of the market standoff and lock-up agreements or the early release of these agreements or the perception in the market that the holders of a large number of shares of Class A common stock intend to sell shares and could reduce the market price of our Class A common stock.</w:t>
      </w:r>
    </w:p>
    <w:p>
      <w:pPr>
        <w:spacing w:after="0" w:line="123" w:lineRule="exact"/>
        <w:rPr>
          <w:sz w:val="20"/>
          <w:szCs w:val="20"/>
          <w:color w:val="auto"/>
        </w:rPr>
      </w:pPr>
    </w:p>
    <w:p>
      <w:pPr>
        <w:ind w:right="160" w:firstLine="308"/>
        <w:spacing w:after="0" w:line="257" w:lineRule="auto"/>
        <w:rPr>
          <w:sz w:val="20"/>
          <w:szCs w:val="20"/>
          <w:color w:val="auto"/>
        </w:rPr>
      </w:pPr>
      <w:r>
        <w:rPr>
          <w:rFonts w:ascii="Arial" w:cs="Arial" w:eastAsia="Arial" w:hAnsi="Arial"/>
          <w:sz w:val="17"/>
          <w:szCs w:val="17"/>
          <w:color w:val="auto"/>
        </w:rPr>
        <w:t>In addition to the existing lock-up agreements that were executed in connection with our initial public offering, the selling stockholders in our February 2021 public offering who sold up to 5% of their existing holdings have entered into lock-up agreements on substantially similar terms, which expire July 26, 2021, and the selling stockholders who sold greater than 5% and up to 20.8% of their existing holdings in our February 2021 public offering have entered into lock-up agreements on substantially similar terms, which expire January 27, 2022. Additionally stockholders were given the opportunity to have a portion of their stockholdings released from the lock-up agreements entered into in connection with our initial public offering if they agreed to the same additional terms as the selling stockholders in our February 2021 public offering.</w:t>
      </w:r>
    </w:p>
    <w:p>
      <w:pPr>
        <w:spacing w:after="0" w:line="132" w:lineRule="exact"/>
        <w:rPr>
          <w:sz w:val="20"/>
          <w:szCs w:val="20"/>
          <w:color w:val="auto"/>
        </w:rPr>
      </w:pPr>
    </w:p>
    <w:p>
      <w:pPr>
        <w:ind w:firstLine="308"/>
        <w:spacing w:after="0" w:line="292" w:lineRule="auto"/>
        <w:rPr>
          <w:sz w:val="20"/>
          <w:szCs w:val="20"/>
          <w:color w:val="auto"/>
        </w:rPr>
      </w:pPr>
      <w:r>
        <w:rPr>
          <w:rFonts w:ascii="Arial" w:cs="Arial" w:eastAsia="Arial" w:hAnsi="Arial"/>
          <w:sz w:val="15"/>
          <w:szCs w:val="15"/>
          <w:color w:val="auto"/>
        </w:rPr>
        <w:t>As a result, following our February 2021 public offering, 45,953,870 shares of Class A common stock and all shares of our Class B common stock (and any share of Class A common stock into which they are converted) are currently prohibited or otherwise restricted from being sold in the public market under securities laws, lock-up agreements entered into with the underwriters in connection with our initial public offering and our February 2021 public offering, market standoff agreements entered into by our stockholders with us, or lock-up agreements entered into by our stockholders; however, subject to applicable securities law restrictions and the new lock-up agreements referred to above, and excluding shares of Class A common stock issued pursuant to the early exercise of unvested stock options that will remain unvested, the shares of our Class A common stock outstanding at the time of our initial public offering will be able to be sold in the public market beginning on June 2, 2021. The representatives may, in their sole discretion, release all or some portion of the shares subject to lock-up agreements at any time and for any reason.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111"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b w:val="1"/>
          <w:bCs w:val="1"/>
          <w:i w:val="1"/>
          <w:iCs w:val="1"/>
          <w:color w:val="auto"/>
        </w:rPr>
        <w:t>We have not paid dividends in the past and do not expect to pay dividends in the future, and, as a result, any return on investment may be limited to the value of our stock.</w:t>
      </w:r>
    </w:p>
    <w:p>
      <w:pPr>
        <w:spacing w:after="0" w:line="112" w:lineRule="exact"/>
        <w:rPr>
          <w:sz w:val="20"/>
          <w:szCs w:val="20"/>
          <w:color w:val="auto"/>
        </w:rPr>
      </w:pPr>
    </w:p>
    <w:p>
      <w:pPr>
        <w:ind w:firstLine="308"/>
        <w:spacing w:after="0" w:line="257" w:lineRule="auto"/>
        <w:rPr>
          <w:sz w:val="20"/>
          <w:szCs w:val="20"/>
          <w:color w:val="auto"/>
        </w:rPr>
      </w:pPr>
      <w:r>
        <w:rPr>
          <w:rFonts w:ascii="Arial" w:cs="Arial" w:eastAsia="Arial" w:hAnsi="Arial"/>
          <w:sz w:val="17"/>
          <w:szCs w:val="17"/>
          <w:color w:val="auto"/>
        </w:rPr>
        <w:t>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w:t>
      </w:r>
    </w:p>
    <w:p>
      <w:pPr>
        <w:spacing w:after="0" w:line="132" w:lineRule="exact"/>
        <w:rPr>
          <w:sz w:val="20"/>
          <w:szCs w:val="20"/>
          <w:color w:val="auto"/>
        </w:rPr>
      </w:pPr>
    </w:p>
    <w:p>
      <w:pPr>
        <w:jc w:val="both"/>
        <w:ind w:right="160"/>
        <w:spacing w:after="0" w:line="261" w:lineRule="auto"/>
        <w:rPr>
          <w:sz w:val="20"/>
          <w:szCs w:val="20"/>
          <w:color w:val="auto"/>
        </w:rPr>
      </w:pPr>
      <w:r>
        <w:rPr>
          <w:rFonts w:ascii="Arial" w:cs="Arial" w:eastAsia="Arial" w:hAnsi="Arial"/>
          <w:sz w:val="17"/>
          <w:szCs w:val="17"/>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26" w:lineRule="exact"/>
        <w:rPr>
          <w:sz w:val="20"/>
          <w:szCs w:val="20"/>
          <w:color w:val="auto"/>
        </w:rPr>
      </w:pPr>
    </w:p>
    <w:p>
      <w:pPr>
        <w:ind w:right="60" w:firstLine="308"/>
        <w:spacing w:after="0" w:line="261" w:lineRule="auto"/>
        <w:rPr>
          <w:sz w:val="20"/>
          <w:szCs w:val="20"/>
          <w:color w:val="auto"/>
        </w:rPr>
      </w:pPr>
      <w:r>
        <w:rPr>
          <w:rFonts w:ascii="Arial" w:cs="Arial" w:eastAsia="Arial" w:hAnsi="Arial"/>
          <w:sz w:val="17"/>
          <w:szCs w:val="17"/>
          <w:color w:val="auto"/>
        </w:rPr>
        <w:t>Our amended and restated certificate of incorporation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75"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Delaware General Corporation Law, our amended and restated certificate of incorporation, or our amended and 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118" w:lineRule="exact"/>
        <w:rPr>
          <w:sz w:val="20"/>
          <w:szCs w:val="20"/>
          <w:color w:val="auto"/>
        </w:rPr>
      </w:pPr>
    </w:p>
    <w:p>
      <w:pPr>
        <w:jc w:val="both"/>
        <w:ind w:right="100" w:firstLine="308"/>
        <w:spacing w:after="0" w:line="306" w:lineRule="auto"/>
        <w:rPr>
          <w:sz w:val="20"/>
          <w:szCs w:val="20"/>
          <w:color w:val="auto"/>
        </w:rPr>
      </w:pPr>
      <w:r>
        <w:rPr>
          <w:rFonts w:ascii="Arial" w:cs="Arial" w:eastAsia="Arial" w:hAnsi="Arial"/>
          <w:sz w:val="15"/>
          <w:szCs w:val="15"/>
          <w:color w:val="auto"/>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spacing w:after="0" w:line="97" w:lineRule="exact"/>
        <w:rPr>
          <w:sz w:val="20"/>
          <w:szCs w:val="20"/>
          <w:color w:val="auto"/>
        </w:rPr>
      </w:pPr>
    </w:p>
    <w:p>
      <w:pPr>
        <w:ind w:firstLine="308"/>
        <w:spacing w:after="0" w:line="294" w:lineRule="auto"/>
        <w:rPr>
          <w:sz w:val="20"/>
          <w:szCs w:val="20"/>
          <w:color w:val="auto"/>
        </w:rPr>
      </w:pPr>
      <w:r>
        <w:rPr>
          <w:rFonts w:ascii="Arial" w:cs="Arial" w:eastAsia="Arial" w:hAnsi="Arial"/>
          <w:sz w:val="15"/>
          <w:szCs w:val="15"/>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spacing w:after="0" w:line="108" w:lineRule="exact"/>
        <w:rPr>
          <w:sz w:val="20"/>
          <w:szCs w:val="20"/>
          <w:color w:val="auto"/>
        </w:rPr>
      </w:pPr>
    </w:p>
    <w:p>
      <w:pPr>
        <w:ind w:right="160"/>
        <w:spacing w:after="0" w:line="347" w:lineRule="auto"/>
        <w:rPr>
          <w:sz w:val="20"/>
          <w:szCs w:val="20"/>
          <w:color w:val="auto"/>
        </w:rPr>
      </w:pPr>
      <w:r>
        <w:rPr>
          <w:rFonts w:ascii="Arial" w:cs="Arial" w:eastAsia="Arial" w:hAnsi="Arial"/>
          <w:sz w:val="15"/>
          <w:szCs w:val="15"/>
          <w:b w:val="1"/>
          <w:bCs w:val="1"/>
          <w:i w:val="1"/>
          <w:iCs w:val="1"/>
          <w:color w:val="auto"/>
        </w:rPr>
        <w:t>Delaware law and provisions in our amended and restated certificate of incorporation and amended and restated bylaws might discourage, delay or prevent a change in control of our company or changes in our management and, therefore, depress the trading price of our Class A common stock.</w:t>
      </w:r>
    </w:p>
    <w:p>
      <w:pPr>
        <w:spacing w:after="0" w:line="67" w:lineRule="exact"/>
        <w:rPr>
          <w:sz w:val="20"/>
          <w:szCs w:val="20"/>
          <w:color w:val="auto"/>
        </w:rPr>
      </w:pPr>
    </w:p>
    <w:p>
      <w:pPr>
        <w:ind w:right="60" w:firstLine="308"/>
        <w:spacing w:after="0" w:line="282"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12" w:lineRule="exact"/>
        <w:rPr>
          <w:sz w:val="20"/>
          <w:szCs w:val="20"/>
          <w:color w:val="auto"/>
        </w:rPr>
      </w:pPr>
    </w:p>
    <w:p>
      <w:pPr>
        <w:ind w:left="620" w:right="400" w:hanging="309"/>
        <w:spacing w:after="0" w:line="278" w:lineRule="auto"/>
        <w:tabs>
          <w:tab w:leader="none" w:pos="615"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transaction that would result in a change in control of our company requires the approval of a majority of our outstanding Class B common stock voting as a separate class;</w:t>
      </w:r>
    </w:p>
    <w:p>
      <w:pPr>
        <w:spacing w:after="0" w:line="112" w:lineRule="exact"/>
        <w:rPr>
          <w:rFonts w:ascii="Arial" w:cs="Arial" w:eastAsia="Arial" w:hAnsi="Arial"/>
          <w:sz w:val="17"/>
          <w:szCs w:val="17"/>
          <w:color w:val="auto"/>
        </w:rPr>
      </w:pPr>
    </w:p>
    <w:p>
      <w:pPr>
        <w:ind w:left="620" w:right="200" w:hanging="309"/>
        <w:spacing w:after="0" w:line="265" w:lineRule="auto"/>
        <w:tabs>
          <w:tab w:leader="none" w:pos="615"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multi-class common stock structure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spacing w:after="0" w:line="123" w:lineRule="exact"/>
        <w:rPr>
          <w:rFonts w:ascii="Arial" w:cs="Arial" w:eastAsia="Arial" w:hAnsi="Arial"/>
          <w:sz w:val="17"/>
          <w:szCs w:val="17"/>
          <w:color w:val="auto"/>
        </w:rPr>
      </w:pPr>
    </w:p>
    <w:p>
      <w:pPr>
        <w:ind w:left="620" w:right="80" w:hanging="309"/>
        <w:spacing w:after="0" w:line="310" w:lineRule="auto"/>
        <w:tabs>
          <w:tab w:leader="none" w:pos="615"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board of directors is classified into three classes of directors with staggered three-year terms and directors will only be able to be removed from office for cause by the affirmative vote of holders of at least two-thirds of the voting power of our then outstanding capital stock;</w:t>
      </w:r>
    </w:p>
    <w:p>
      <w:pPr>
        <w:spacing w:after="0" w:line="90" w:lineRule="exact"/>
        <w:rPr>
          <w:rFonts w:ascii="Arial" w:cs="Arial" w:eastAsia="Arial" w:hAnsi="Arial"/>
          <w:sz w:val="16"/>
          <w:szCs w:val="16"/>
          <w:color w:val="auto"/>
        </w:rPr>
      </w:pPr>
    </w:p>
    <w:p>
      <w:pPr>
        <w:ind w:left="620" w:right="180" w:hanging="309"/>
        <w:spacing w:after="0" w:line="278" w:lineRule="auto"/>
        <w:tabs>
          <w:tab w:leader="none" w:pos="615" w:val="left"/>
        </w:tabs>
        <w:numPr>
          <w:ilvl w:val="0"/>
          <w:numId w:val="38"/>
        </w:numPr>
        <w:rPr>
          <w:rFonts w:ascii="Arial" w:cs="Arial" w:eastAsia="Arial" w:hAnsi="Arial"/>
          <w:sz w:val="17"/>
          <w:szCs w:val="17"/>
          <w:color w:val="auto"/>
        </w:rPr>
      </w:pPr>
      <w:r>
        <w:rPr>
          <w:rFonts w:ascii="Arial" w:cs="Arial" w:eastAsia="Arial" w:hAnsi="Arial"/>
          <w:sz w:val="17"/>
          <w:szCs w:val="17"/>
          <w:color w:val="auto"/>
        </w:rPr>
        <w:t>certain amendments to our amended and restated certificate of incorporation require the approval of stockholders holding two-thirds of the voting power of our then outstanding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75" w:lineRule="exact"/>
        <w:rPr>
          <w:sz w:val="20"/>
          <w:szCs w:val="20"/>
          <w:color w:val="auto"/>
        </w:rPr>
      </w:pPr>
    </w:p>
    <w:p>
      <w:pPr>
        <w:ind w:left="620" w:right="100" w:hanging="309"/>
        <w:spacing w:after="0" w:line="278" w:lineRule="auto"/>
        <w:tabs>
          <w:tab w:leader="none" w:pos="615"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stockholder-proposed amendment to our amended and restated bylaws require the approval of stockholders holding two-thirds of the voting power of our then outstanding capital stock;</w:t>
      </w:r>
    </w:p>
    <w:p>
      <w:pPr>
        <w:spacing w:after="0" w:line="112" w:lineRule="exact"/>
        <w:rPr>
          <w:rFonts w:ascii="Arial" w:cs="Arial" w:eastAsia="Arial" w:hAnsi="Arial"/>
          <w:sz w:val="17"/>
          <w:szCs w:val="17"/>
          <w:color w:val="auto"/>
        </w:rPr>
      </w:pPr>
    </w:p>
    <w:p>
      <w:pPr>
        <w:ind w:left="620" w:hanging="309"/>
        <w:spacing w:after="0"/>
        <w:tabs>
          <w:tab w:leader="none" w:pos="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stockholders may only be able to take action at a meeting of stockholders and may not be able to take action by written consent for any matter;</w:t>
      </w:r>
    </w:p>
    <w:p>
      <w:pPr>
        <w:spacing w:after="0" w:line="175" w:lineRule="exact"/>
        <w:rPr>
          <w:rFonts w:ascii="Arial" w:cs="Arial" w:eastAsia="Arial" w:hAnsi="Arial"/>
          <w:sz w:val="16"/>
          <w:szCs w:val="16"/>
          <w:color w:val="auto"/>
        </w:rPr>
      </w:pPr>
    </w:p>
    <w:p>
      <w:pPr>
        <w:ind w:left="620" w:hanging="309"/>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stockholders are be able to act by written consent only if the action is first recommended or approved by the board of directors;</w:t>
      </w:r>
    </w:p>
    <w:p>
      <w:pPr>
        <w:spacing w:after="0" w:line="164" w:lineRule="exact"/>
        <w:rPr>
          <w:rFonts w:ascii="Arial" w:cs="Arial" w:eastAsia="Arial" w:hAnsi="Arial"/>
          <w:sz w:val="17"/>
          <w:szCs w:val="17"/>
          <w:color w:val="auto"/>
        </w:rPr>
      </w:pPr>
    </w:p>
    <w:p>
      <w:pPr>
        <w:ind w:left="620" w:hanging="309"/>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vacancies on our board of directors may be filled only by our board of directors and not by stockholders;</w:t>
      </w:r>
    </w:p>
    <w:p>
      <w:pPr>
        <w:spacing w:after="0" w:line="164" w:lineRule="exact"/>
        <w:rPr>
          <w:rFonts w:ascii="Arial" w:cs="Arial" w:eastAsia="Arial" w:hAnsi="Arial"/>
          <w:sz w:val="17"/>
          <w:szCs w:val="17"/>
          <w:color w:val="auto"/>
        </w:rPr>
      </w:pPr>
    </w:p>
    <w:p>
      <w:pPr>
        <w:ind w:left="620" w:right="840" w:hanging="309"/>
        <w:spacing w:after="0" w:line="278" w:lineRule="auto"/>
        <w:tabs>
          <w:tab w:leader="none" w:pos="615"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only the chair of the board of directors, chief executive officer or a majority of the board of directors are authorized to call a special meeting of stockholders;</w:t>
      </w:r>
    </w:p>
    <w:p>
      <w:pPr>
        <w:spacing w:after="0" w:line="112" w:lineRule="exact"/>
        <w:rPr>
          <w:rFonts w:ascii="Arial" w:cs="Arial" w:eastAsia="Arial" w:hAnsi="Arial"/>
          <w:sz w:val="17"/>
          <w:szCs w:val="17"/>
          <w:color w:val="auto"/>
        </w:rPr>
      </w:pPr>
    </w:p>
    <w:p>
      <w:pPr>
        <w:ind w:left="620" w:hanging="309"/>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certain litigation against us can only be brought in Delaware;</w:t>
      </w:r>
    </w:p>
    <w:p>
      <w:pPr>
        <w:spacing w:after="0" w:line="164" w:lineRule="exact"/>
        <w:rPr>
          <w:rFonts w:ascii="Arial" w:cs="Arial" w:eastAsia="Arial" w:hAnsi="Arial"/>
          <w:sz w:val="17"/>
          <w:szCs w:val="17"/>
          <w:color w:val="auto"/>
        </w:rPr>
      </w:pPr>
    </w:p>
    <w:p>
      <w:pPr>
        <w:ind w:left="620" w:hanging="309"/>
        <w:spacing w:after="0" w:line="278" w:lineRule="auto"/>
        <w:tabs>
          <w:tab w:leader="none" w:pos="615"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restated certificate of incorporation authorizes undesignated preferred stock, the terms of which may be established and shares of which may be issued, without the approval of the holders of our capital stock; and</w:t>
      </w:r>
    </w:p>
    <w:p>
      <w:pPr>
        <w:spacing w:after="0" w:line="112" w:lineRule="exact"/>
        <w:rPr>
          <w:rFonts w:ascii="Arial" w:cs="Arial" w:eastAsia="Arial" w:hAnsi="Arial"/>
          <w:sz w:val="17"/>
          <w:szCs w:val="17"/>
          <w:color w:val="auto"/>
        </w:rPr>
      </w:pPr>
    </w:p>
    <w:p>
      <w:pPr>
        <w:ind w:left="620" w:right="680" w:hanging="309"/>
        <w:spacing w:after="0" w:line="278" w:lineRule="auto"/>
        <w:tabs>
          <w:tab w:leader="none" w:pos="615" w:val="left"/>
        </w:tabs>
        <w:numPr>
          <w:ilvl w:val="0"/>
          <w:numId w:val="39"/>
        </w:numPr>
        <w:rPr>
          <w:rFonts w:ascii="Arial" w:cs="Arial" w:eastAsia="Arial" w:hAnsi="Arial"/>
          <w:sz w:val="17"/>
          <w:szCs w:val="17"/>
          <w:color w:val="auto"/>
        </w:rPr>
      </w:pPr>
      <w:r>
        <w:rPr>
          <w:rFonts w:ascii="Arial" w:cs="Arial" w:eastAsia="Arial" w:hAnsi="Arial"/>
          <w:sz w:val="17"/>
          <w:szCs w:val="17"/>
          <w:color w:val="auto"/>
        </w:rPr>
        <w:t>advance notice procedures apply for stockholders to nominate candidates for election as directors or to bring matters before an annual meeting of stockholders.</w:t>
      </w:r>
    </w:p>
    <w:p>
      <w:pPr>
        <w:spacing w:after="0" w:line="112" w:lineRule="exact"/>
        <w:rPr>
          <w:sz w:val="20"/>
          <w:szCs w:val="20"/>
          <w:color w:val="auto"/>
        </w:rPr>
      </w:pPr>
    </w:p>
    <w:p>
      <w:pPr>
        <w:ind w:right="40" w:firstLine="308"/>
        <w:spacing w:after="0" w:line="261"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164" w:lineRule="exact"/>
        <w:rPr>
          <w:sz w:val="20"/>
          <w:szCs w:val="20"/>
          <w:color w:val="auto"/>
        </w:rPr>
      </w:pPr>
    </w:p>
    <w:p>
      <w:pPr>
        <w:ind w:right="60" w:firstLine="308"/>
        <w:spacing w:after="0" w:line="271" w:lineRule="auto"/>
        <w:rPr>
          <w:sz w:val="20"/>
          <w:szCs w:val="20"/>
          <w:color w:val="auto"/>
        </w:rPr>
      </w:pPr>
      <w:r>
        <w:rPr>
          <w:rFonts w:ascii="Arial" w:cs="Arial" w:eastAsia="Arial" w:hAnsi="Arial"/>
          <w:sz w:val="16"/>
          <w:szCs w:val="16"/>
          <w:color w:val="auto"/>
        </w:rPr>
        <w:t>As of December 31, 2020 we had U.S. federal and state net operating loss carryforwards (NOLs) of $36.2 million and $33.0 million, respectively, which if not utilized will expire in 2031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 may have previously undergone multiple “ownership changes.”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limitation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124" w:lineRule="exact"/>
        <w:rPr>
          <w:sz w:val="20"/>
          <w:szCs w:val="20"/>
          <w:color w:val="auto"/>
        </w:rPr>
      </w:pPr>
    </w:p>
    <w:p>
      <w:pPr>
        <w:ind w:right="780"/>
        <w:spacing w:after="0" w:line="310"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and the reduced disclosure requirements applicable to emerging growth companies and smaller reporting companies may make our Class A common stock less attractive to investors.</w:t>
      </w:r>
    </w:p>
    <w:p>
      <w:pPr>
        <w:spacing w:after="0" w:line="90" w:lineRule="exact"/>
        <w:rPr>
          <w:sz w:val="20"/>
          <w:szCs w:val="20"/>
          <w:color w:val="auto"/>
        </w:rPr>
      </w:pPr>
    </w:p>
    <w:p>
      <w:pPr>
        <w:ind w:right="200" w:firstLine="308"/>
        <w:spacing w:after="0" w:line="265" w:lineRule="auto"/>
        <w:rPr>
          <w:sz w:val="20"/>
          <w:szCs w:val="20"/>
          <w:color w:val="auto"/>
        </w:rPr>
      </w:pPr>
      <w:r>
        <w:rPr>
          <w:rFonts w:ascii="Arial" w:cs="Arial" w:eastAsia="Arial" w:hAnsi="Arial"/>
          <w:sz w:val="17"/>
          <w:szCs w:val="17"/>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75"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These exemptions include not being required to comply with the auditor attestation requirements of Section 404 of the SOX, not being required to comply with any requirement that may be adopted by the Public Company Accounting Oversight Board regarding mandatory audit firm rotation or a supplement to the auditor’s report providing additional information about the audit and the consolidated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this prospectus, we have not included all of the executive compensation related information that would be required if we were not an emerging growth company. To the extent that we continue to qualify as a “smaller reporting company,” as such term is defined in Rule 12b-2 under the Securities Exchange Act of 1934, after we cease to qualify as an emerging growth company, we will continue to be permitted to make certain reduced disclosures in our periodic reports and other documents that we file with the SEC. We cannot predict whether investors will find our Class A common stock less attractive if we rely on these exemptions. If some investors find our Class A common stock less attractive as a result, there may be a less active trading market for our Class A common stock and our stock price may be more volatile.</w:t>
      </w:r>
    </w:p>
    <w:p>
      <w:pPr>
        <w:spacing w:after="0" w:line="122" w:lineRule="exact"/>
        <w:rPr>
          <w:sz w:val="20"/>
          <w:szCs w:val="20"/>
          <w:color w:val="auto"/>
        </w:rPr>
      </w:pPr>
    </w:p>
    <w:p>
      <w:pPr>
        <w:ind w:right="120" w:firstLine="308"/>
        <w:spacing w:after="0" w:line="301" w:lineRule="auto"/>
        <w:rPr>
          <w:sz w:val="20"/>
          <w:szCs w:val="20"/>
          <w:color w:val="auto"/>
        </w:rPr>
      </w:pPr>
      <w:r>
        <w:rPr>
          <w:rFonts w:ascii="Arial" w:cs="Arial" w:eastAsia="Arial" w:hAnsi="Arial"/>
          <w:sz w:val="15"/>
          <w:szCs w:val="15"/>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consolidated financial statements may not be comparable to companies that comply with new or revised accounting pronouncements as of public company effective dates.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continue to incur significant increased costs and management resources as a result of operating as a public company.</w:t>
      </w:r>
    </w:p>
    <w:p>
      <w:pPr>
        <w:spacing w:after="0" w:line="164" w:lineRule="exact"/>
        <w:rPr>
          <w:sz w:val="20"/>
          <w:szCs w:val="20"/>
          <w:color w:val="auto"/>
        </w:rPr>
      </w:pPr>
    </w:p>
    <w:p>
      <w:pPr>
        <w:ind w:right="160" w:firstLine="308"/>
        <w:spacing w:after="0" w:line="282" w:lineRule="auto"/>
        <w:rPr>
          <w:sz w:val="20"/>
          <w:szCs w:val="20"/>
          <w:color w:val="auto"/>
        </w:rPr>
      </w:pPr>
      <w:r>
        <w:rPr>
          <w:rFonts w:ascii="Arial" w:cs="Arial" w:eastAsia="Arial" w:hAnsi="Arial"/>
          <w:sz w:val="16"/>
          <w:szCs w:val="16"/>
          <w:color w:val="auto"/>
        </w:rPr>
        <w:t>As a public company, we continue to incur significant legal, accounting, compliance and other expenses that we did not incur as a private company and these expenses may increase even more after we are no longer an “emerging growth company.” Our management and other personnel need to devote a substantial amount of time and incur significant expense in connection with compliance initiatives. As a public company, we continue to bear all of the internal and external costs of preparing and distributing periodic public reports in compliance with our obligations under the securities laws.</w:t>
      </w:r>
    </w:p>
    <w:p>
      <w:pPr>
        <w:spacing w:after="0" w:line="112" w:lineRule="exact"/>
        <w:rPr>
          <w:sz w:val="20"/>
          <w:szCs w:val="20"/>
          <w:color w:val="auto"/>
        </w:rPr>
      </w:pPr>
    </w:p>
    <w:p>
      <w:pPr>
        <w:ind w:firstLine="308"/>
        <w:spacing w:after="0" w:line="255"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SOX, and the related rules and regulations implemented by the SEC and the Nasdaq Stock Market, LLC, or Nasdaq, have increased legal and financial compliance costs and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Risks</w:t>
      </w:r>
    </w:p>
    <w:p>
      <w:pPr>
        <w:spacing w:after="0" w:line="170"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b w:val="1"/>
          <w:bCs w:val="1"/>
          <w:i w:val="1"/>
          <w:iCs w:val="1"/>
          <w:color w:val="auto"/>
        </w:rPr>
        <w:t>If our facilities or our third-party manufacturers’ facilities become unavailable or inoperable, our research and development program and commercialization launch plan could be adversely impacted and manufacturing of our instruments and consumables could be interrupted.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75" w:lineRule="exact"/>
        <w:rPr>
          <w:sz w:val="20"/>
          <w:szCs w:val="20"/>
          <w:color w:val="auto"/>
        </w:rPr>
      </w:pPr>
    </w:p>
    <w:p>
      <w:pPr>
        <w:ind w:right="80" w:firstLine="308"/>
        <w:spacing w:after="0" w:line="310" w:lineRule="auto"/>
        <w:rPr>
          <w:sz w:val="20"/>
          <w:szCs w:val="20"/>
          <w:color w:val="auto"/>
        </w:rPr>
      </w:pPr>
      <w:r>
        <w:rPr>
          <w:rFonts w:ascii="Arial" w:cs="Arial" w:eastAsia="Arial" w:hAnsi="Arial"/>
          <w:sz w:val="16"/>
          <w:szCs w:val="16"/>
          <w:color w:val="auto"/>
        </w:rPr>
        <w:t>Our Redwood City, California, facilities house our corporate, research and development and quality assurance teams. Our instruments are manufactured at our third-party manufacturer’s facilities in Nevada, and our consumables are manufactured at various locations in the United States and internationally.</w:t>
      </w:r>
    </w:p>
    <w:p>
      <w:pPr>
        <w:spacing w:after="0" w:line="90" w:lineRule="exact"/>
        <w:rPr>
          <w:sz w:val="20"/>
          <w:szCs w:val="20"/>
          <w:color w:val="auto"/>
        </w:rPr>
      </w:pPr>
    </w:p>
    <w:p>
      <w:pPr>
        <w:ind w:firstLine="308"/>
        <w:spacing w:after="0" w:line="272" w:lineRule="auto"/>
        <w:rPr>
          <w:sz w:val="20"/>
          <w:szCs w:val="20"/>
          <w:color w:val="auto"/>
        </w:rPr>
      </w:pPr>
      <w:r>
        <w:rPr>
          <w:rFonts w:ascii="Arial" w:cs="Arial" w:eastAsia="Arial" w:hAnsi="Arial"/>
          <w:sz w:val="16"/>
          <w:szCs w:val="16"/>
          <w:color w:val="auto"/>
        </w:rPr>
        <w:t>Our facilities in Redwood City and those of our third-party manufacturers are vulnerable to natural disasters, public health crises, including the impact of the COVID-19 pandemic, and catastrophic events. For example, our Redwood City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our NPs are perishable and must be kept in temperature controlled storage, the loss of power to our facilities, mechanical or other issues with our storage facilities or other events that impact our temperature controlled storage could result in the loss of some or all of such NPs, and we may not be able to replace them without disruption to our customers or at all.</w:t>
      </w:r>
    </w:p>
    <w:p>
      <w:pPr>
        <w:spacing w:after="0" w:line="122" w:lineRule="exact"/>
        <w:rPr>
          <w:sz w:val="20"/>
          <w:szCs w:val="20"/>
          <w:color w:val="auto"/>
        </w:rPr>
      </w:pPr>
    </w:p>
    <w:p>
      <w:pPr>
        <w:ind w:right="60" w:firstLine="308"/>
        <w:spacing w:after="0" w:line="301" w:lineRule="auto"/>
        <w:rPr>
          <w:sz w:val="20"/>
          <w:szCs w:val="20"/>
          <w:color w:val="auto"/>
        </w:rPr>
      </w:pPr>
      <w:r>
        <w:rPr>
          <w:rFonts w:ascii="Arial" w:cs="Arial" w:eastAsia="Arial" w:hAnsi="Arial"/>
          <w:sz w:val="15"/>
          <w:szCs w:val="15"/>
          <w:color w:val="auto"/>
        </w:rPr>
        <w:t>If our research and development program or commercialization program were disrupted by a disaster or catastrophe, the launch of new products, including our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a significant disruption in our information technology systems or breaches of data security, our business could be adversely affected.</w:t>
      </w:r>
    </w:p>
    <w:p>
      <w:pPr>
        <w:spacing w:after="0" w:line="187" w:lineRule="exact"/>
        <w:rPr>
          <w:sz w:val="20"/>
          <w:szCs w:val="20"/>
          <w:color w:val="auto"/>
        </w:rPr>
      </w:pPr>
    </w:p>
    <w:p>
      <w:pPr>
        <w:ind w:right="20" w:firstLine="308"/>
        <w:spacing w:after="0" w:line="291" w:lineRule="auto"/>
        <w:rPr>
          <w:sz w:val="20"/>
          <w:szCs w:val="20"/>
          <w:color w:val="auto"/>
        </w:rPr>
      </w:pPr>
      <w:r>
        <w:rPr>
          <w:rFonts w:ascii="Arial" w:cs="Arial" w:eastAsia="Arial" w:hAnsi="Arial"/>
          <w:sz w:val="15"/>
          <w:szCs w:val="15"/>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108" w:lineRule="exact"/>
        <w:rPr>
          <w:sz w:val="20"/>
          <w:szCs w:val="20"/>
          <w:color w:val="auto"/>
        </w:rPr>
      </w:pPr>
    </w:p>
    <w:p>
      <w:pPr>
        <w:ind w:right="20" w:firstLine="308"/>
        <w:spacing w:after="0" w:line="265" w:lineRule="auto"/>
        <w:rPr>
          <w:sz w:val="20"/>
          <w:szCs w:val="20"/>
          <w:color w:val="auto"/>
        </w:rPr>
      </w:pPr>
      <w:r>
        <w:rPr>
          <w:rFonts w:ascii="Arial" w:cs="Arial" w:eastAsia="Arial" w:hAnsi="Arial"/>
          <w:sz w:val="17"/>
          <w:szCs w:val="17"/>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75" w:lineRule="exact"/>
        <w:rPr>
          <w:sz w:val="20"/>
          <w:szCs w:val="20"/>
          <w:color w:val="auto"/>
        </w:rPr>
      </w:pPr>
    </w:p>
    <w:p>
      <w:pPr>
        <w:ind w:right="60"/>
        <w:spacing w:after="0" w:line="294" w:lineRule="auto"/>
        <w:rPr>
          <w:sz w:val="20"/>
          <w:szCs w:val="20"/>
          <w:color w:val="auto"/>
        </w:rPr>
      </w:pPr>
      <w:r>
        <w:rPr>
          <w:rFonts w:ascii="Arial" w:cs="Arial" w:eastAsia="Arial" w:hAnsi="Arial"/>
          <w:sz w:val="15"/>
          <w:szCs w:val="15"/>
          <w:color w:val="auto"/>
        </w:rPr>
        <w:t>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 personal information, including sensitive personal information, of our employees, customers and others, any of which could have a material adverse effect on our business, reputation, financial condition and results of operations.</w:t>
      </w:r>
    </w:p>
    <w:p>
      <w:pPr>
        <w:spacing w:after="0" w:line="108" w:lineRule="exact"/>
        <w:rPr>
          <w:sz w:val="20"/>
          <w:szCs w:val="20"/>
          <w:color w:val="auto"/>
        </w:rPr>
      </w:pPr>
    </w:p>
    <w:p>
      <w:pPr>
        <w:ind w:right="120" w:firstLine="308"/>
        <w:spacing w:after="0" w:line="272" w:lineRule="auto"/>
        <w:rPr>
          <w:sz w:val="20"/>
          <w:szCs w:val="20"/>
          <w:color w:val="auto"/>
        </w:rPr>
      </w:pPr>
      <w:r>
        <w:rPr>
          <w:rFonts w:ascii="Arial" w:cs="Arial" w:eastAsia="Arial" w:hAnsi="Arial"/>
          <w:sz w:val="16"/>
          <w:szCs w:val="16"/>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us to incur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spacing w:after="0" w:line="119" w:lineRule="exact"/>
        <w:rPr>
          <w:sz w:val="20"/>
          <w:szCs w:val="20"/>
          <w:color w:val="auto"/>
        </w:rPr>
      </w:pPr>
    </w:p>
    <w:p>
      <w:pPr>
        <w:ind w:right="40" w:firstLine="308"/>
        <w:spacing w:after="0" w:line="272" w:lineRule="auto"/>
        <w:rPr>
          <w:sz w:val="20"/>
          <w:szCs w:val="20"/>
          <w:color w:val="auto"/>
        </w:rPr>
      </w:pPr>
      <w:r>
        <w:rPr>
          <w:rFonts w:ascii="Arial" w:cs="Arial" w:eastAsia="Arial" w:hAnsi="Arial"/>
          <w:sz w:val="16"/>
          <w:szCs w:val="16"/>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While we currently maintain cybersecurity insurance,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spacing w:after="0" w:line="125" w:lineRule="exact"/>
        <w:rPr>
          <w:sz w:val="20"/>
          <w:szCs w:val="20"/>
          <w:color w:val="auto"/>
        </w:rPr>
      </w:pPr>
    </w:p>
    <w:p>
      <w:pPr>
        <w:spacing w:after="0" w:line="316" w:lineRule="auto"/>
        <w:rPr>
          <w:sz w:val="20"/>
          <w:szCs w:val="20"/>
          <w:color w:val="auto"/>
        </w:rPr>
      </w:pPr>
      <w:r>
        <w:rPr>
          <w:rFonts w:ascii="Arial" w:cs="Arial" w:eastAsia="Arial" w:hAnsi="Arial"/>
          <w:sz w:val="15"/>
          <w:szCs w:val="15"/>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90"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75"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26" w:lineRule="exact"/>
        <w:rPr>
          <w:sz w:val="20"/>
          <w:szCs w:val="20"/>
          <w:color w:val="auto"/>
        </w:rPr>
      </w:pPr>
    </w:p>
    <w:p>
      <w:pPr>
        <w:ind w:firstLine="308"/>
        <w:spacing w:after="0" w:line="272" w:lineRule="auto"/>
        <w:rPr>
          <w:sz w:val="20"/>
          <w:szCs w:val="20"/>
          <w:color w:val="auto"/>
        </w:rPr>
      </w:pPr>
      <w:r>
        <w:rPr>
          <w:rFonts w:ascii="Arial" w:cs="Arial" w:eastAsia="Arial" w:hAnsi="Arial"/>
          <w:sz w:val="16"/>
          <w:szCs w:val="16"/>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22" w:lineRule="exact"/>
        <w:rPr>
          <w:sz w:val="20"/>
          <w:szCs w:val="20"/>
          <w:color w:val="auto"/>
        </w:rPr>
      </w:pPr>
    </w:p>
    <w:p>
      <w:pPr>
        <w:ind w:firstLine="308"/>
        <w:spacing w:after="0" w:line="272" w:lineRule="auto"/>
        <w:rPr>
          <w:sz w:val="20"/>
          <w:szCs w:val="20"/>
          <w:color w:val="auto"/>
        </w:rPr>
      </w:pPr>
      <w:r>
        <w:rPr>
          <w:rFonts w:ascii="Arial" w:cs="Arial" w:eastAsia="Arial" w:hAnsi="Arial"/>
          <w:sz w:val="16"/>
          <w:szCs w:val="16"/>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19" w:lineRule="exact"/>
        <w:rPr>
          <w:sz w:val="20"/>
          <w:szCs w:val="20"/>
          <w:color w:val="auto"/>
        </w:rPr>
      </w:pPr>
    </w:p>
    <w:p>
      <w:pPr>
        <w:ind w:firstLine="308"/>
        <w:spacing w:after="0" w:line="272" w:lineRule="auto"/>
        <w:rPr>
          <w:sz w:val="20"/>
          <w:szCs w:val="20"/>
          <w:color w:val="auto"/>
        </w:rPr>
      </w:pPr>
      <w:r>
        <w:rPr>
          <w:rFonts w:ascii="Arial" w:cs="Arial" w:eastAsia="Arial" w:hAnsi="Arial"/>
          <w:sz w:val="16"/>
          <w:szCs w:val="16"/>
          <w:color w:val="auto"/>
        </w:rPr>
        <w:t>We are in the process of evaluating compliance needs,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judgments, all of which could have a material adverse effect on our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 during the three months ended March 31, 2021.</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Proceeds from Public Offering of Common Stock</w:t>
      </w:r>
    </w:p>
    <w:p>
      <w:pPr>
        <w:spacing w:after="0" w:line="170" w:lineRule="exact"/>
        <w:rPr>
          <w:sz w:val="20"/>
          <w:szCs w:val="20"/>
          <w:color w:val="auto"/>
        </w:rPr>
      </w:pPr>
    </w:p>
    <w:p>
      <w:pPr>
        <w:ind w:firstLine="308"/>
        <w:spacing w:after="0" w:line="301" w:lineRule="auto"/>
        <w:rPr>
          <w:sz w:val="20"/>
          <w:szCs w:val="20"/>
          <w:color w:val="auto"/>
        </w:rPr>
      </w:pPr>
      <w:r>
        <w:rPr>
          <w:rFonts w:ascii="Arial" w:cs="Arial" w:eastAsia="Arial" w:hAnsi="Arial"/>
          <w:sz w:val="15"/>
          <w:szCs w:val="15"/>
          <w:color w:val="auto"/>
        </w:rPr>
        <w:t>On December 8, 2020, we closed our initial public offering, or IPO, of 10,592,106 shares of common stock (inclusive of 1,381,579 shares of common stock from the full exercise of the overallotment option of shares granted to the underwriters). The offer and sale of all of the shares in the initial public offering were registered under the Securities Act pursuant to a registration statement on Form S-1 (File Nos. 333-250035 and 333-251116), which was declared effective by the SEC on December 3, 2020. J.P. Morgan Securities LLC, Morgan Stanley &amp; Co. LLC, BofA Securities, Inc. and Cowen and Company, LLC acted as the underwriters. The public offering price of the shares sold in the offering was $19.00 per share. The total gross proceeds from the offering were $201.3 million.</w:t>
      </w:r>
    </w:p>
    <w:p>
      <w:pPr>
        <w:spacing w:after="0" w:line="100" w:lineRule="exact"/>
        <w:rPr>
          <w:sz w:val="20"/>
          <w:szCs w:val="20"/>
          <w:color w:val="auto"/>
        </w:rPr>
      </w:pPr>
    </w:p>
    <w:p>
      <w:pPr>
        <w:ind w:firstLine="308"/>
        <w:spacing w:after="0" w:line="278" w:lineRule="auto"/>
        <w:rPr>
          <w:sz w:val="20"/>
          <w:szCs w:val="20"/>
          <w:color w:val="auto"/>
        </w:rPr>
      </w:pPr>
      <w:r>
        <w:rPr>
          <w:rFonts w:ascii="Arial" w:cs="Arial" w:eastAsia="Arial" w:hAnsi="Arial"/>
          <w:sz w:val="17"/>
          <w:szCs w:val="17"/>
          <w:color w:val="auto"/>
        </w:rPr>
        <w:t>After deducting underwriting discounts and commissions of $14.1 million and offering expenses paid or payable by us of approximately $3.3 million, the net proceeds from the offering were approximately $183.9 million.</w:t>
      </w:r>
    </w:p>
    <w:p>
      <w:pPr>
        <w:spacing w:after="0" w:line="112" w:lineRule="exact"/>
        <w:rPr>
          <w:sz w:val="20"/>
          <w:szCs w:val="20"/>
          <w:color w:val="auto"/>
        </w:rPr>
      </w:pPr>
    </w:p>
    <w:p>
      <w:pPr>
        <w:jc w:val="both"/>
        <w:ind w:right="80" w:firstLine="308"/>
        <w:spacing w:after="0" w:line="265" w:lineRule="auto"/>
        <w:rPr>
          <w:sz w:val="20"/>
          <w:szCs w:val="20"/>
          <w:color w:val="auto"/>
        </w:rPr>
      </w:pPr>
      <w:r>
        <w:rPr>
          <w:rFonts w:ascii="Arial" w:cs="Arial" w:eastAsia="Arial" w:hAnsi="Arial"/>
          <w:sz w:val="17"/>
          <w:szCs w:val="17"/>
          <w:color w:val="auto"/>
        </w:rPr>
        <w:t>There has been no material change in the planned use of proceeds from our IPO as described in our final IPO prospectus filed with the SEC on December 4, 2020 pursuant to rule 424(b) of the Securities Act. We invested the funds received in short-term and long-term, interest-bearing investment-grade securities and government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75" w:name="page76"/>
    <w:bookmarkEnd w:id="75"/>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Exhibit Number</w:t>
            </w:r>
          </w:p>
        </w:tc>
        <w:tc>
          <w:tcPr>
            <w:tcW w:w="20" w:type="dxa"/>
            <w:vAlign w:val="bottom"/>
          </w:tcPr>
          <w:p>
            <w:pPr>
              <w:spacing w:after="0"/>
              <w:rPr>
                <w:sz w:val="15"/>
                <w:szCs w:val="15"/>
                <w:color w:val="auto"/>
              </w:rPr>
            </w:pPr>
          </w:p>
        </w:tc>
        <w:tc>
          <w:tcPr>
            <w:tcW w:w="4000" w:type="dxa"/>
            <w:vAlign w:val="bottom"/>
            <w:gridSpan w:val="14"/>
          </w:tcPr>
          <w:p>
            <w:pPr>
              <w:ind w:left="1660"/>
              <w:spacing w:after="0"/>
              <w:rPr>
                <w:sz w:val="20"/>
                <w:szCs w:val="20"/>
                <w:color w:val="auto"/>
              </w:rPr>
            </w:pPr>
            <w:r>
              <w:rPr>
                <w:rFonts w:ascii="Arial" w:cs="Arial" w:eastAsia="Arial" w:hAnsi="Arial"/>
                <w:sz w:val="14"/>
                <w:szCs w:val="14"/>
                <w:b w:val="1"/>
                <w:bCs w:val="1"/>
                <w:color w:val="auto"/>
              </w:rPr>
              <w:t>Description</w:t>
            </w:r>
          </w:p>
        </w:tc>
        <w:tc>
          <w:tcPr>
            <w:tcW w:w="1620" w:type="dxa"/>
            <w:vAlign w:val="bottom"/>
          </w:tcPr>
          <w:p>
            <w:pPr>
              <w:ind w:left="640"/>
              <w:spacing w:after="0"/>
              <w:rPr>
                <w:sz w:val="20"/>
                <w:szCs w:val="20"/>
                <w:color w:val="auto"/>
              </w:rPr>
            </w:pPr>
            <w:r>
              <w:rPr>
                <w:rFonts w:ascii="Arial" w:cs="Arial" w:eastAsia="Arial" w:hAnsi="Arial"/>
                <w:sz w:val="14"/>
                <w:szCs w:val="14"/>
                <w:b w:val="1"/>
                <w:bCs w:val="1"/>
                <w:color w:val="auto"/>
              </w:rPr>
              <w:t>Form</w:t>
            </w:r>
          </w:p>
        </w:tc>
        <w:tc>
          <w:tcPr>
            <w:tcW w:w="1580" w:type="dxa"/>
            <w:vAlign w:val="bottom"/>
          </w:tcPr>
          <w:p>
            <w:pPr>
              <w:ind w:left="680"/>
              <w:spacing w:after="0"/>
              <w:rPr>
                <w:sz w:val="20"/>
                <w:szCs w:val="20"/>
                <w:color w:val="auto"/>
              </w:rPr>
            </w:pPr>
            <w:r>
              <w:rPr>
                <w:rFonts w:ascii="Arial" w:cs="Arial" w:eastAsia="Arial" w:hAnsi="Arial"/>
                <w:sz w:val="14"/>
                <w:szCs w:val="14"/>
                <w:b w:val="1"/>
                <w:bCs w:val="1"/>
                <w:color w:val="auto"/>
              </w:rPr>
              <w:t>File No.</w:t>
            </w:r>
          </w:p>
        </w:tc>
        <w:tc>
          <w:tcPr>
            <w:tcW w:w="1300" w:type="dxa"/>
            <w:vAlign w:val="bottom"/>
          </w:tcPr>
          <w:p>
            <w:pPr>
              <w:ind w:left="460"/>
              <w:spacing w:after="0"/>
              <w:rPr>
                <w:sz w:val="20"/>
                <w:szCs w:val="20"/>
                <w:color w:val="auto"/>
              </w:rPr>
            </w:pPr>
            <w:r>
              <w:rPr>
                <w:rFonts w:ascii="Arial" w:cs="Arial" w:eastAsia="Arial" w:hAnsi="Arial"/>
                <w:sz w:val="14"/>
                <w:szCs w:val="14"/>
                <w:b w:val="1"/>
                <w:bCs w:val="1"/>
                <w:color w:val="auto"/>
              </w:rPr>
              <w:t>Exhibit</w:t>
            </w:r>
          </w:p>
        </w:tc>
        <w:tc>
          <w:tcPr>
            <w:tcW w:w="1040" w:type="dxa"/>
            <w:vAlign w:val="bottom"/>
          </w:tcPr>
          <w:p>
            <w:pPr>
              <w:ind w:left="380"/>
              <w:spacing w:after="0"/>
              <w:rPr>
                <w:sz w:val="20"/>
                <w:szCs w:val="20"/>
                <w:color w:val="auto"/>
              </w:rPr>
            </w:pPr>
            <w:r>
              <w:rPr>
                <w:rFonts w:ascii="Arial" w:cs="Arial" w:eastAsia="Arial" w:hAnsi="Arial"/>
                <w:sz w:val="14"/>
                <w:szCs w:val="14"/>
                <w:b w:val="1"/>
                <w:bCs w:val="1"/>
                <w:color w:val="auto"/>
                <w:w w:val="89"/>
              </w:rPr>
              <w:t>Filing Date</w:t>
            </w:r>
          </w:p>
        </w:tc>
      </w:tr>
      <w:tr>
        <w:trPr>
          <w:trHeight w:val="24"/>
        </w:trPr>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73"/>
        </w:trPr>
        <w:tc>
          <w:tcPr>
            <w:tcW w:w="1200" w:type="dxa"/>
            <w:vAlign w:val="bottom"/>
            <w:gridSpan w:val="2"/>
          </w:tcPr>
          <w:p>
            <w:pPr>
              <w:jc w:val="center"/>
              <w:ind w:right="80"/>
              <w:spacing w:after="0" w:line="173" w:lineRule="exact"/>
              <w:rPr>
                <w:sz w:val="20"/>
                <w:szCs w:val="20"/>
                <w:color w:val="auto"/>
              </w:rPr>
            </w:pPr>
            <w:r>
              <w:rPr>
                <w:rFonts w:ascii="Arial" w:cs="Arial" w:eastAsia="Arial" w:hAnsi="Arial"/>
                <w:sz w:val="16"/>
                <w:szCs w:val="16"/>
                <w:color w:val="auto"/>
                <w:w w:val="89"/>
              </w:rPr>
              <w:t>31.1†</w:t>
            </w:r>
          </w:p>
        </w:tc>
        <w:tc>
          <w:tcPr>
            <w:tcW w:w="20" w:type="dxa"/>
            <w:vAlign w:val="bottom"/>
          </w:tcPr>
          <w:p>
            <w:pPr>
              <w:spacing w:after="0"/>
              <w:rPr>
                <w:sz w:val="15"/>
                <w:szCs w:val="15"/>
                <w:color w:val="auto"/>
              </w:rPr>
            </w:pPr>
          </w:p>
        </w:tc>
        <w:tc>
          <w:tcPr>
            <w:tcW w:w="3600" w:type="dxa"/>
            <w:vAlign w:val="bottom"/>
            <w:tcBorders>
              <w:bottom w:val="single" w:sz="8" w:color="0000FF"/>
            </w:tcBorders>
            <w:gridSpan w:val="7"/>
          </w:tcPr>
          <w:p>
            <w:pPr>
              <w:spacing w:after="0" w:line="173" w:lineRule="exact"/>
              <w:rPr>
                <w:rFonts w:ascii="Arial" w:cs="Arial" w:eastAsia="Arial" w:hAnsi="Arial"/>
                <w:sz w:val="16"/>
                <w:szCs w:val="16"/>
                <w:color w:val="0000FF"/>
                <w:w w:val="94"/>
              </w:rPr>
            </w:pPr>
            <w:hyperlink w:anchor="page78">
              <w:r>
                <w:rPr>
                  <w:rFonts w:ascii="Arial" w:cs="Arial" w:eastAsia="Arial" w:hAnsi="Arial"/>
                  <w:sz w:val="16"/>
                  <w:szCs w:val="16"/>
                  <w:color w:val="0000FF"/>
                  <w:w w:val="94"/>
                </w:rPr>
                <w:t>Certification of Principal Executive Officer Pursuant to</w:t>
              </w:r>
            </w:hyperlink>
          </w:p>
        </w:tc>
        <w:tc>
          <w:tcPr>
            <w:tcW w:w="400" w:type="dxa"/>
            <w:vAlign w:val="bottom"/>
            <w:gridSpan w:val="7"/>
          </w:tcPr>
          <w:p>
            <w:pPr>
              <w:spacing w:after="0"/>
              <w:rPr>
                <w:sz w:val="15"/>
                <w:szCs w:val="15"/>
                <w:color w:val="auto"/>
              </w:rPr>
            </w:pPr>
          </w:p>
        </w:tc>
        <w:tc>
          <w:tcPr>
            <w:tcW w:w="1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40" w:type="dxa"/>
            <w:vAlign w:val="bottom"/>
            <w:tcBorders>
              <w:bottom w:val="single" w:sz="8" w:color="0000FF"/>
            </w:tcBorders>
            <w:gridSpan w:val="6"/>
          </w:tcPr>
          <w:p>
            <w:pPr>
              <w:spacing w:after="0" w:line="173" w:lineRule="exact"/>
              <w:rPr>
                <w:rFonts w:ascii="Arial" w:cs="Arial" w:eastAsia="Arial" w:hAnsi="Arial"/>
                <w:sz w:val="16"/>
                <w:szCs w:val="16"/>
                <w:color w:val="0000FF"/>
                <w:w w:val="90"/>
              </w:rPr>
            </w:pPr>
            <w:hyperlink w:anchor="page78">
              <w:r>
                <w:rPr>
                  <w:rFonts w:ascii="Arial" w:cs="Arial" w:eastAsia="Arial" w:hAnsi="Arial"/>
                  <w:sz w:val="16"/>
                  <w:szCs w:val="16"/>
                  <w:color w:val="0000FF"/>
                  <w:w w:val="90"/>
                </w:rPr>
                <w:t>Rules 13a-14(a) and 15d-14(a) under the Securities</w:t>
              </w:r>
            </w:hyperlink>
          </w:p>
        </w:tc>
        <w:tc>
          <w:tcPr>
            <w:tcW w:w="660" w:type="dxa"/>
            <w:vAlign w:val="bottom"/>
            <w:gridSpan w:val="8"/>
          </w:tcPr>
          <w:p>
            <w:pPr>
              <w:spacing w:after="0"/>
              <w:rPr>
                <w:sz w:val="15"/>
                <w:szCs w:val="15"/>
                <w:color w:val="auto"/>
              </w:rPr>
            </w:pPr>
          </w:p>
        </w:tc>
        <w:tc>
          <w:tcPr>
            <w:tcW w:w="1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0" w:type="dxa"/>
            <w:vAlign w:val="bottom"/>
            <w:gridSpan w:val="14"/>
          </w:tcPr>
          <w:p>
            <w:pPr>
              <w:spacing w:after="0" w:line="173" w:lineRule="exact"/>
              <w:rPr>
                <w:rFonts w:ascii="Arial" w:cs="Arial" w:eastAsia="Arial" w:hAnsi="Arial"/>
                <w:sz w:val="16"/>
                <w:szCs w:val="16"/>
                <w:color w:val="0000FF"/>
                <w:w w:val="94"/>
              </w:rPr>
            </w:pPr>
            <w:hyperlink w:anchor="page78">
              <w:r>
                <w:rPr>
                  <w:rFonts w:ascii="Arial" w:cs="Arial" w:eastAsia="Arial" w:hAnsi="Arial"/>
                  <w:sz w:val="16"/>
                  <w:szCs w:val="16"/>
                  <w:color w:val="0000FF"/>
                  <w:w w:val="94"/>
                </w:rPr>
                <w:t>Exchange Act of 1934, as Adopted Pursuant to Section 302</w:t>
              </w:r>
            </w:hyperlink>
          </w:p>
        </w:tc>
        <w:tc>
          <w:tcPr>
            <w:tcW w:w="1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60" w:type="dxa"/>
            <w:vAlign w:val="bottom"/>
            <w:tcBorders>
              <w:top w:val="single" w:sz="8" w:color="0000FF"/>
            </w:tcBorders>
            <w:gridSpan w:val="10"/>
          </w:tcPr>
          <w:p>
            <w:pPr>
              <w:spacing w:after="0" w:line="173" w:lineRule="exact"/>
              <w:rPr>
                <w:rFonts w:ascii="Arial" w:cs="Arial" w:eastAsia="Arial" w:hAnsi="Arial"/>
                <w:sz w:val="16"/>
                <w:szCs w:val="16"/>
                <w:color w:val="0000FF"/>
              </w:rPr>
            </w:pPr>
            <w:hyperlink w:anchor="page78">
              <w:r>
                <w:rPr>
                  <w:rFonts w:ascii="Arial" w:cs="Arial" w:eastAsia="Arial" w:hAnsi="Arial"/>
                  <w:sz w:val="16"/>
                  <w:szCs w:val="16"/>
                  <w:color w:val="0000FF"/>
                </w:rPr>
                <w:t>of the Sarbanes-Oxley Act of 2002.</w:t>
              </w:r>
            </w:hyperlink>
          </w:p>
        </w:tc>
        <w:tc>
          <w:tcPr>
            <w:tcW w:w="140" w:type="dxa"/>
            <w:vAlign w:val="bottom"/>
            <w:gridSpan w:val="4"/>
          </w:tcPr>
          <w:p>
            <w:pPr>
              <w:spacing w:after="0"/>
              <w:rPr>
                <w:sz w:val="15"/>
                <w:szCs w:val="15"/>
                <w:color w:val="auto"/>
              </w:rPr>
            </w:pPr>
          </w:p>
        </w:tc>
        <w:tc>
          <w:tcPr>
            <w:tcW w:w="1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30"/>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31.2†</w:t>
            </w:r>
          </w:p>
        </w:tc>
        <w:tc>
          <w:tcPr>
            <w:tcW w:w="20" w:type="dxa"/>
            <w:vAlign w:val="bottom"/>
          </w:tcPr>
          <w:p>
            <w:pPr>
              <w:spacing w:after="0"/>
              <w:rPr>
                <w:sz w:val="24"/>
                <w:szCs w:val="24"/>
                <w:color w:val="auto"/>
              </w:rPr>
            </w:pPr>
          </w:p>
        </w:tc>
        <w:tc>
          <w:tcPr>
            <w:tcW w:w="4000" w:type="dxa"/>
            <w:vAlign w:val="bottom"/>
            <w:gridSpan w:val="14"/>
          </w:tcPr>
          <w:p>
            <w:pPr>
              <w:spacing w:after="0"/>
              <w:rPr>
                <w:rFonts w:ascii="Arial" w:cs="Arial" w:eastAsia="Arial" w:hAnsi="Arial"/>
                <w:sz w:val="16"/>
                <w:szCs w:val="16"/>
                <w:color w:val="0000FF"/>
                <w:w w:val="94"/>
              </w:rPr>
            </w:pPr>
            <w:hyperlink w:anchor="page80">
              <w:r>
                <w:rPr>
                  <w:rFonts w:ascii="Arial" w:cs="Arial" w:eastAsia="Arial" w:hAnsi="Arial"/>
                  <w:sz w:val="16"/>
                  <w:szCs w:val="16"/>
                  <w:color w:val="0000FF"/>
                  <w:w w:val="94"/>
                </w:rPr>
                <w:t>Certification of Principal Financial Officer Pursuant to Rules</w:t>
              </w:r>
            </w:hyperlink>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80" w:type="dxa"/>
            <w:vAlign w:val="bottom"/>
            <w:tcBorders>
              <w:top w:val="single" w:sz="8" w:color="0000FF"/>
              <w:bottom w:val="single" w:sz="8" w:color="0000FF"/>
            </w:tcBorders>
            <w:gridSpan w:val="11"/>
          </w:tcPr>
          <w:p>
            <w:pPr>
              <w:spacing w:after="0" w:line="173" w:lineRule="exact"/>
              <w:rPr>
                <w:rFonts w:ascii="Arial" w:cs="Arial" w:eastAsia="Arial" w:hAnsi="Arial"/>
                <w:sz w:val="16"/>
                <w:szCs w:val="16"/>
                <w:color w:val="0000FF"/>
                <w:w w:val="90"/>
              </w:rPr>
            </w:pPr>
            <w:hyperlink w:anchor="page80">
              <w:r>
                <w:rPr>
                  <w:rFonts w:ascii="Arial" w:cs="Arial" w:eastAsia="Arial" w:hAnsi="Arial"/>
                  <w:sz w:val="16"/>
                  <w:szCs w:val="16"/>
                  <w:color w:val="0000FF"/>
                  <w:w w:val="90"/>
                </w:rPr>
                <w:t>13a-14(a) and 15d-14(a) under the Securities Exchange Act</w:t>
              </w:r>
            </w:hyperlink>
          </w:p>
        </w:tc>
        <w:tc>
          <w:tcPr>
            <w:tcW w:w="80" w:type="dxa"/>
            <w:vAlign w:val="bottom"/>
            <w:tcBorders>
              <w:top w:val="single" w:sz="8" w:color="0000FF"/>
            </w:tcBorders>
            <w:gridSpan w:val="2"/>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20" w:type="dxa"/>
            <w:vAlign w:val="bottom"/>
            <w:tcBorders>
              <w:bottom w:val="single" w:sz="8" w:color="0000FF"/>
            </w:tcBorders>
            <w:gridSpan w:val="5"/>
          </w:tcPr>
          <w:p>
            <w:pPr>
              <w:spacing w:after="0" w:line="173" w:lineRule="exact"/>
              <w:rPr>
                <w:rFonts w:ascii="Arial" w:cs="Arial" w:eastAsia="Arial" w:hAnsi="Arial"/>
                <w:sz w:val="16"/>
                <w:szCs w:val="16"/>
                <w:color w:val="0000FF"/>
                <w:w w:val="90"/>
              </w:rPr>
            </w:pPr>
            <w:hyperlink w:anchor="page80">
              <w:r>
                <w:rPr>
                  <w:rFonts w:ascii="Arial" w:cs="Arial" w:eastAsia="Arial" w:hAnsi="Arial"/>
                  <w:sz w:val="16"/>
                  <w:szCs w:val="16"/>
                  <w:color w:val="0000FF"/>
                  <w:w w:val="90"/>
                </w:rPr>
                <w:t>of 1934, as Adopted Pursuant to Section 302 of the</w:t>
              </w:r>
            </w:hyperlink>
          </w:p>
        </w:tc>
        <w:tc>
          <w:tcPr>
            <w:tcW w:w="680" w:type="dxa"/>
            <w:vAlign w:val="bottom"/>
            <w:gridSpan w:val="9"/>
          </w:tcPr>
          <w:p>
            <w:pPr>
              <w:spacing w:after="0"/>
              <w:rPr>
                <w:sz w:val="15"/>
                <w:szCs w:val="15"/>
                <w:color w:val="auto"/>
              </w:rPr>
            </w:pPr>
          </w:p>
        </w:tc>
        <w:tc>
          <w:tcPr>
            <w:tcW w:w="1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00" w:type="dxa"/>
            <w:vAlign w:val="bottom"/>
            <w:tcBorders>
              <w:bottom w:val="single" w:sz="8" w:color="0000FF"/>
            </w:tcBorders>
          </w:tcPr>
          <w:p>
            <w:pPr>
              <w:spacing w:after="0" w:line="173" w:lineRule="exact"/>
              <w:rPr>
                <w:rFonts w:ascii="Arial" w:cs="Arial" w:eastAsia="Arial" w:hAnsi="Arial"/>
                <w:sz w:val="16"/>
                <w:szCs w:val="16"/>
                <w:color w:val="0000FF"/>
                <w:w w:val="91"/>
              </w:rPr>
            </w:pPr>
            <w:hyperlink w:anchor="page80">
              <w:r>
                <w:rPr>
                  <w:rFonts w:ascii="Arial" w:cs="Arial" w:eastAsia="Arial" w:hAnsi="Arial"/>
                  <w:sz w:val="16"/>
                  <w:szCs w:val="16"/>
                  <w:color w:val="0000FF"/>
                  <w:w w:val="91"/>
                </w:rPr>
                <w:t>Sarbanes-Oxley Act of 2002.</w:t>
              </w:r>
            </w:hyperlink>
          </w:p>
        </w:tc>
        <w:tc>
          <w:tcPr>
            <w:tcW w:w="2100" w:type="dxa"/>
            <w:vAlign w:val="bottom"/>
            <w:gridSpan w:val="13"/>
          </w:tcPr>
          <w:p>
            <w:pPr>
              <w:spacing w:after="0"/>
              <w:rPr>
                <w:sz w:val="15"/>
                <w:szCs w:val="15"/>
                <w:color w:val="auto"/>
              </w:rPr>
            </w:pPr>
          </w:p>
        </w:tc>
        <w:tc>
          <w:tcPr>
            <w:tcW w:w="1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430"/>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32.1†</w:t>
            </w:r>
          </w:p>
        </w:tc>
        <w:tc>
          <w:tcPr>
            <w:tcW w:w="20" w:type="dxa"/>
            <w:vAlign w:val="bottom"/>
          </w:tcPr>
          <w:p>
            <w:pPr>
              <w:spacing w:after="0"/>
              <w:rPr>
                <w:sz w:val="24"/>
                <w:szCs w:val="24"/>
                <w:color w:val="auto"/>
              </w:rPr>
            </w:pPr>
          </w:p>
        </w:tc>
        <w:tc>
          <w:tcPr>
            <w:tcW w:w="3800" w:type="dxa"/>
            <w:vAlign w:val="bottom"/>
            <w:tcBorders>
              <w:bottom w:val="single" w:sz="8" w:color="0000FF"/>
            </w:tcBorders>
            <w:gridSpan w:val="9"/>
          </w:tcPr>
          <w:p>
            <w:pPr>
              <w:spacing w:after="0"/>
              <w:rPr>
                <w:rFonts w:ascii="Arial" w:cs="Arial" w:eastAsia="Arial" w:hAnsi="Arial"/>
                <w:sz w:val="16"/>
                <w:szCs w:val="16"/>
                <w:color w:val="0000FF"/>
                <w:w w:val="94"/>
              </w:rPr>
            </w:pPr>
            <w:hyperlink w:anchor="page82">
              <w:r>
                <w:rPr>
                  <w:rFonts w:ascii="Arial" w:cs="Arial" w:eastAsia="Arial" w:hAnsi="Arial"/>
                  <w:sz w:val="16"/>
                  <w:szCs w:val="16"/>
                  <w:color w:val="0000FF"/>
                  <w:w w:val="94"/>
                </w:rPr>
                <w:t>Certification of Principal Executive Officer Pursuant to 18</w:t>
              </w:r>
            </w:hyperlink>
          </w:p>
        </w:tc>
        <w:tc>
          <w:tcPr>
            <w:tcW w:w="200" w:type="dxa"/>
            <w:vAlign w:val="bottom"/>
            <w:gridSpan w:val="5"/>
          </w:tcPr>
          <w:p>
            <w:pPr>
              <w:spacing w:after="0"/>
              <w:rPr>
                <w:sz w:val="24"/>
                <w:szCs w:val="24"/>
                <w:color w:val="auto"/>
              </w:rPr>
            </w:pP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20" w:type="dxa"/>
            <w:vAlign w:val="bottom"/>
            <w:tcBorders>
              <w:bottom w:val="single" w:sz="8" w:color="0000FF"/>
            </w:tcBorders>
            <w:gridSpan w:val="12"/>
          </w:tcPr>
          <w:p>
            <w:pPr>
              <w:spacing w:after="0" w:line="173" w:lineRule="exact"/>
              <w:rPr>
                <w:rFonts w:ascii="Arial" w:cs="Arial" w:eastAsia="Arial" w:hAnsi="Arial"/>
                <w:sz w:val="16"/>
                <w:szCs w:val="16"/>
                <w:color w:val="0000FF"/>
                <w:w w:val="91"/>
              </w:rPr>
            </w:pPr>
            <w:hyperlink w:anchor="page82">
              <w:r>
                <w:rPr>
                  <w:rFonts w:ascii="Arial" w:cs="Arial" w:eastAsia="Arial" w:hAnsi="Arial"/>
                  <w:sz w:val="16"/>
                  <w:szCs w:val="16"/>
                  <w:color w:val="0000FF"/>
                  <w:w w:val="91"/>
                </w:rPr>
                <w:t>U.S.C. Section 1350, as Adopted Pursuant to Section 906 of</w:t>
              </w:r>
            </w:hyperlink>
          </w:p>
        </w:tc>
        <w:tc>
          <w:tcPr>
            <w:tcW w:w="80" w:type="dxa"/>
            <w:vAlign w:val="bottom"/>
            <w:gridSpan w:val="2"/>
          </w:tcPr>
          <w:p>
            <w:pPr>
              <w:spacing w:after="0"/>
              <w:rPr>
                <w:sz w:val="15"/>
                <w:szCs w:val="15"/>
                <w:color w:val="auto"/>
              </w:rPr>
            </w:pPr>
          </w:p>
        </w:tc>
        <w:tc>
          <w:tcPr>
            <w:tcW w:w="1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60" w:type="dxa"/>
            <w:vAlign w:val="bottom"/>
            <w:tcBorders>
              <w:bottom w:val="single" w:sz="8" w:color="0000FF"/>
            </w:tcBorders>
            <w:gridSpan w:val="3"/>
          </w:tcPr>
          <w:p>
            <w:pPr>
              <w:spacing w:after="0" w:line="173" w:lineRule="exact"/>
              <w:rPr>
                <w:rFonts w:ascii="Arial" w:cs="Arial" w:eastAsia="Arial" w:hAnsi="Arial"/>
                <w:sz w:val="16"/>
                <w:szCs w:val="16"/>
                <w:color w:val="0000FF"/>
                <w:w w:val="92"/>
              </w:rPr>
            </w:pPr>
            <w:hyperlink w:anchor="page82">
              <w:r>
                <w:rPr>
                  <w:rFonts w:ascii="Arial" w:cs="Arial" w:eastAsia="Arial" w:hAnsi="Arial"/>
                  <w:sz w:val="16"/>
                  <w:szCs w:val="16"/>
                  <w:color w:val="0000FF"/>
                  <w:w w:val="92"/>
                </w:rPr>
                <w:t>the Sarbanes-Oxley Act of 2002.</w:t>
              </w:r>
            </w:hyperlink>
          </w:p>
        </w:tc>
        <w:tc>
          <w:tcPr>
            <w:tcW w:w="1840" w:type="dxa"/>
            <w:vAlign w:val="bottom"/>
            <w:gridSpan w:val="11"/>
          </w:tcPr>
          <w:p>
            <w:pPr>
              <w:spacing w:after="0"/>
              <w:rPr>
                <w:sz w:val="15"/>
                <w:szCs w:val="15"/>
                <w:color w:val="auto"/>
              </w:rPr>
            </w:pPr>
          </w:p>
        </w:tc>
        <w:tc>
          <w:tcPr>
            <w:tcW w:w="1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430"/>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32.2†</w:t>
            </w:r>
          </w:p>
        </w:tc>
        <w:tc>
          <w:tcPr>
            <w:tcW w:w="20" w:type="dxa"/>
            <w:vAlign w:val="bottom"/>
          </w:tcPr>
          <w:p>
            <w:pPr>
              <w:spacing w:after="0"/>
              <w:rPr>
                <w:sz w:val="24"/>
                <w:szCs w:val="24"/>
                <w:color w:val="auto"/>
              </w:rPr>
            </w:pPr>
          </w:p>
        </w:tc>
        <w:tc>
          <w:tcPr>
            <w:tcW w:w="3760" w:type="dxa"/>
            <w:vAlign w:val="bottom"/>
            <w:tcBorders>
              <w:bottom w:val="single" w:sz="8" w:color="0000FF"/>
            </w:tcBorders>
            <w:gridSpan w:val="8"/>
          </w:tcPr>
          <w:p>
            <w:pPr>
              <w:spacing w:after="0"/>
              <w:rPr>
                <w:rFonts w:ascii="Arial" w:cs="Arial" w:eastAsia="Arial" w:hAnsi="Arial"/>
                <w:sz w:val="16"/>
                <w:szCs w:val="16"/>
                <w:color w:val="0000FF"/>
                <w:w w:val="94"/>
              </w:rPr>
            </w:pPr>
            <w:hyperlink w:anchor="page83">
              <w:r>
                <w:rPr>
                  <w:rFonts w:ascii="Arial" w:cs="Arial" w:eastAsia="Arial" w:hAnsi="Arial"/>
                  <w:sz w:val="16"/>
                  <w:szCs w:val="16"/>
                  <w:color w:val="0000FF"/>
                  <w:w w:val="94"/>
                </w:rPr>
                <w:t>Certification of Principal Financial Officer Pursuant to 18</w:t>
              </w:r>
            </w:hyperlink>
          </w:p>
        </w:tc>
        <w:tc>
          <w:tcPr>
            <w:tcW w:w="240" w:type="dxa"/>
            <w:vAlign w:val="bottom"/>
            <w:gridSpan w:val="6"/>
          </w:tcPr>
          <w:p>
            <w:pPr>
              <w:spacing w:after="0"/>
              <w:rPr>
                <w:sz w:val="24"/>
                <w:szCs w:val="24"/>
                <w:color w:val="auto"/>
              </w:rPr>
            </w:pP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20" w:type="dxa"/>
            <w:vAlign w:val="bottom"/>
            <w:tcBorders>
              <w:bottom w:val="single" w:sz="8" w:color="0000FF"/>
            </w:tcBorders>
            <w:gridSpan w:val="12"/>
          </w:tcPr>
          <w:p>
            <w:pPr>
              <w:spacing w:after="0" w:line="173" w:lineRule="exact"/>
              <w:rPr>
                <w:rFonts w:ascii="Arial" w:cs="Arial" w:eastAsia="Arial" w:hAnsi="Arial"/>
                <w:sz w:val="16"/>
                <w:szCs w:val="16"/>
                <w:color w:val="0000FF"/>
                <w:w w:val="91"/>
              </w:rPr>
            </w:pPr>
            <w:hyperlink w:anchor="page83">
              <w:r>
                <w:rPr>
                  <w:rFonts w:ascii="Arial" w:cs="Arial" w:eastAsia="Arial" w:hAnsi="Arial"/>
                  <w:sz w:val="16"/>
                  <w:szCs w:val="16"/>
                  <w:color w:val="0000FF"/>
                  <w:w w:val="91"/>
                </w:rPr>
                <w:t>U.S.C. Section 1350, as Adopted Pursuant to Section 906 of</w:t>
              </w:r>
            </w:hyperlink>
          </w:p>
        </w:tc>
        <w:tc>
          <w:tcPr>
            <w:tcW w:w="80" w:type="dxa"/>
            <w:vAlign w:val="bottom"/>
            <w:gridSpan w:val="2"/>
          </w:tcPr>
          <w:p>
            <w:pPr>
              <w:spacing w:after="0"/>
              <w:rPr>
                <w:sz w:val="15"/>
                <w:szCs w:val="15"/>
                <w:color w:val="auto"/>
              </w:rPr>
            </w:pPr>
          </w:p>
        </w:tc>
        <w:tc>
          <w:tcPr>
            <w:tcW w:w="1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40" w:type="dxa"/>
            <w:vAlign w:val="bottom"/>
            <w:tcBorders>
              <w:bottom w:val="single" w:sz="8" w:color="0000FF"/>
            </w:tcBorders>
            <w:gridSpan w:val="2"/>
          </w:tcPr>
          <w:p>
            <w:pPr>
              <w:spacing w:after="0" w:line="173" w:lineRule="exact"/>
              <w:rPr>
                <w:rFonts w:ascii="Arial" w:cs="Arial" w:eastAsia="Arial" w:hAnsi="Arial"/>
                <w:sz w:val="16"/>
                <w:szCs w:val="16"/>
                <w:color w:val="0000FF"/>
                <w:w w:val="91"/>
              </w:rPr>
            </w:pPr>
            <w:hyperlink w:anchor="page83">
              <w:r>
                <w:rPr>
                  <w:rFonts w:ascii="Arial" w:cs="Arial" w:eastAsia="Arial" w:hAnsi="Arial"/>
                  <w:sz w:val="16"/>
                  <w:szCs w:val="16"/>
                  <w:color w:val="0000FF"/>
                  <w:w w:val="91"/>
                </w:rPr>
                <w:t>the Sarbanes-Oxley Act of 2002.</w:t>
              </w:r>
            </w:hyperlink>
          </w:p>
        </w:tc>
        <w:tc>
          <w:tcPr>
            <w:tcW w:w="1860" w:type="dxa"/>
            <w:vAlign w:val="bottom"/>
            <w:gridSpan w:val="12"/>
          </w:tcPr>
          <w:p>
            <w:pPr>
              <w:spacing w:after="0"/>
              <w:rPr>
                <w:sz w:val="15"/>
                <w:szCs w:val="15"/>
                <w:color w:val="auto"/>
              </w:rPr>
            </w:pPr>
          </w:p>
        </w:tc>
        <w:tc>
          <w:tcPr>
            <w:tcW w:w="1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465"/>
        </w:trPr>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101.INS</w:t>
            </w:r>
          </w:p>
        </w:tc>
        <w:tc>
          <w:tcPr>
            <w:tcW w:w="20" w:type="dxa"/>
            <w:vAlign w:val="bottom"/>
          </w:tcPr>
          <w:p>
            <w:pPr>
              <w:spacing w:after="0"/>
              <w:rPr>
                <w:sz w:val="24"/>
                <w:szCs w:val="24"/>
                <w:color w:val="auto"/>
              </w:rPr>
            </w:pPr>
          </w:p>
        </w:tc>
        <w:tc>
          <w:tcPr>
            <w:tcW w:w="4000" w:type="dxa"/>
            <w:vAlign w:val="bottom"/>
            <w:gridSpan w:val="14"/>
          </w:tcPr>
          <w:p>
            <w:pPr>
              <w:spacing w:after="0"/>
              <w:rPr>
                <w:sz w:val="20"/>
                <w:szCs w:val="20"/>
                <w:color w:val="auto"/>
              </w:rPr>
            </w:pPr>
            <w:r>
              <w:rPr>
                <w:rFonts w:ascii="Arial" w:cs="Arial" w:eastAsia="Arial" w:hAnsi="Arial"/>
                <w:sz w:val="16"/>
                <w:szCs w:val="16"/>
                <w:color w:val="auto"/>
              </w:rPr>
              <w:t>XBRL Instance Document</w:t>
            </w: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6"/>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92"/>
              </w:rPr>
              <w:t>101.SCH</w:t>
            </w:r>
          </w:p>
        </w:tc>
        <w:tc>
          <w:tcPr>
            <w:tcW w:w="20" w:type="dxa"/>
            <w:vAlign w:val="bottom"/>
          </w:tcPr>
          <w:p>
            <w:pPr>
              <w:spacing w:after="0"/>
              <w:rPr>
                <w:sz w:val="24"/>
                <w:szCs w:val="24"/>
                <w:color w:val="auto"/>
              </w:rPr>
            </w:pPr>
          </w:p>
        </w:tc>
        <w:tc>
          <w:tcPr>
            <w:tcW w:w="4000" w:type="dxa"/>
            <w:vAlign w:val="bottom"/>
            <w:gridSpan w:val="14"/>
          </w:tcPr>
          <w:p>
            <w:pPr>
              <w:spacing w:after="0"/>
              <w:rPr>
                <w:sz w:val="20"/>
                <w:szCs w:val="20"/>
                <w:color w:val="auto"/>
              </w:rPr>
            </w:pPr>
            <w:r>
              <w:rPr>
                <w:rFonts w:ascii="Arial" w:cs="Arial" w:eastAsia="Arial" w:hAnsi="Arial"/>
                <w:sz w:val="16"/>
                <w:szCs w:val="16"/>
                <w:color w:val="auto"/>
              </w:rPr>
              <w:t>XBRL Taxonomy Extension Schema Document</w:t>
            </w: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1"/>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101.CAL</w:t>
            </w:r>
          </w:p>
        </w:tc>
        <w:tc>
          <w:tcPr>
            <w:tcW w:w="20" w:type="dxa"/>
            <w:vAlign w:val="bottom"/>
          </w:tcPr>
          <w:p>
            <w:pPr>
              <w:spacing w:after="0"/>
              <w:rPr>
                <w:sz w:val="24"/>
                <w:szCs w:val="24"/>
                <w:color w:val="auto"/>
              </w:rPr>
            </w:pPr>
          </w:p>
        </w:tc>
        <w:tc>
          <w:tcPr>
            <w:tcW w:w="4000" w:type="dxa"/>
            <w:vAlign w:val="bottom"/>
            <w:gridSpan w:val="14"/>
          </w:tcPr>
          <w:p>
            <w:pPr>
              <w:spacing w:after="0"/>
              <w:rPr>
                <w:sz w:val="20"/>
                <w:szCs w:val="20"/>
                <w:color w:val="auto"/>
              </w:rPr>
            </w:pPr>
            <w:r>
              <w:rPr>
                <w:rFonts w:ascii="Arial" w:cs="Arial" w:eastAsia="Arial" w:hAnsi="Arial"/>
                <w:sz w:val="16"/>
                <w:szCs w:val="16"/>
                <w:color w:val="auto"/>
              </w:rPr>
              <w:t>XBRL Taxonomy Extension Calculation Linkbase</w:t>
            </w: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7"/>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gridSpan w:val="14"/>
          </w:tcPr>
          <w:p>
            <w:pPr>
              <w:spacing w:after="0"/>
              <w:rPr>
                <w:sz w:val="20"/>
                <w:szCs w:val="20"/>
                <w:color w:val="auto"/>
              </w:rPr>
            </w:pPr>
            <w:r>
              <w:rPr>
                <w:rFonts w:ascii="Arial" w:cs="Arial" w:eastAsia="Arial" w:hAnsi="Arial"/>
                <w:sz w:val="16"/>
                <w:szCs w:val="16"/>
                <w:color w:val="auto"/>
              </w:rPr>
              <w:t>Document</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96"/>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101.DEF</w:t>
            </w:r>
          </w:p>
        </w:tc>
        <w:tc>
          <w:tcPr>
            <w:tcW w:w="20" w:type="dxa"/>
            <w:vAlign w:val="bottom"/>
          </w:tcPr>
          <w:p>
            <w:pPr>
              <w:spacing w:after="0"/>
              <w:rPr>
                <w:sz w:val="24"/>
                <w:szCs w:val="24"/>
                <w:color w:val="auto"/>
              </w:rPr>
            </w:pPr>
          </w:p>
        </w:tc>
        <w:tc>
          <w:tcPr>
            <w:tcW w:w="4000" w:type="dxa"/>
            <w:vAlign w:val="bottom"/>
            <w:gridSpan w:val="14"/>
          </w:tcPr>
          <w:p>
            <w:pPr>
              <w:spacing w:after="0"/>
              <w:rPr>
                <w:sz w:val="20"/>
                <w:szCs w:val="20"/>
                <w:color w:val="auto"/>
              </w:rPr>
            </w:pPr>
            <w:r>
              <w:rPr>
                <w:rFonts w:ascii="Arial" w:cs="Arial" w:eastAsia="Arial" w:hAnsi="Arial"/>
                <w:sz w:val="16"/>
                <w:szCs w:val="16"/>
                <w:color w:val="auto"/>
                <w:w w:val="96"/>
              </w:rPr>
              <w:t>XBRL Taxonomy Extension Definition Linkbase Document</w:t>
            </w: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96"/>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97"/>
              </w:rPr>
              <w:t>101.LAB</w:t>
            </w:r>
          </w:p>
        </w:tc>
        <w:tc>
          <w:tcPr>
            <w:tcW w:w="20" w:type="dxa"/>
            <w:vAlign w:val="bottom"/>
          </w:tcPr>
          <w:p>
            <w:pPr>
              <w:spacing w:after="0"/>
              <w:rPr>
                <w:sz w:val="24"/>
                <w:szCs w:val="24"/>
                <w:color w:val="auto"/>
              </w:rPr>
            </w:pPr>
          </w:p>
        </w:tc>
        <w:tc>
          <w:tcPr>
            <w:tcW w:w="4000" w:type="dxa"/>
            <w:vAlign w:val="bottom"/>
            <w:gridSpan w:val="14"/>
          </w:tcPr>
          <w:p>
            <w:pPr>
              <w:spacing w:after="0"/>
              <w:rPr>
                <w:sz w:val="20"/>
                <w:szCs w:val="20"/>
                <w:color w:val="auto"/>
              </w:rPr>
            </w:pPr>
            <w:r>
              <w:rPr>
                <w:rFonts w:ascii="Arial" w:cs="Arial" w:eastAsia="Arial" w:hAnsi="Arial"/>
                <w:sz w:val="16"/>
                <w:szCs w:val="16"/>
                <w:color w:val="auto"/>
              </w:rPr>
              <w:t>XBRL Taxonomy Extension Label Linkbase Document</w:t>
            </w: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1"/>
        </w:trPr>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101.PRE</w:t>
            </w:r>
          </w:p>
        </w:tc>
        <w:tc>
          <w:tcPr>
            <w:tcW w:w="20" w:type="dxa"/>
            <w:vAlign w:val="bottom"/>
          </w:tcPr>
          <w:p>
            <w:pPr>
              <w:spacing w:after="0"/>
              <w:rPr>
                <w:sz w:val="24"/>
                <w:szCs w:val="24"/>
                <w:color w:val="auto"/>
              </w:rPr>
            </w:pPr>
          </w:p>
        </w:tc>
        <w:tc>
          <w:tcPr>
            <w:tcW w:w="4000" w:type="dxa"/>
            <w:vAlign w:val="bottom"/>
            <w:gridSpan w:val="14"/>
          </w:tcPr>
          <w:p>
            <w:pPr>
              <w:spacing w:after="0"/>
              <w:rPr>
                <w:sz w:val="20"/>
                <w:szCs w:val="20"/>
                <w:color w:val="auto"/>
              </w:rPr>
            </w:pPr>
            <w:r>
              <w:rPr>
                <w:rFonts w:ascii="Arial" w:cs="Arial" w:eastAsia="Arial" w:hAnsi="Arial"/>
                <w:sz w:val="16"/>
                <w:szCs w:val="16"/>
                <w:color w:val="auto"/>
              </w:rPr>
              <w:t>XBRL Taxonomy Extension Presentation Linkbase</w:t>
            </w: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7"/>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gridSpan w:val="14"/>
          </w:tcPr>
          <w:p>
            <w:pPr>
              <w:spacing w:after="0"/>
              <w:rPr>
                <w:sz w:val="20"/>
                <w:szCs w:val="20"/>
                <w:color w:val="auto"/>
              </w:rPr>
            </w:pPr>
            <w:r>
              <w:rPr>
                <w:rFonts w:ascii="Arial" w:cs="Arial" w:eastAsia="Arial" w:hAnsi="Arial"/>
                <w:sz w:val="16"/>
                <w:szCs w:val="16"/>
                <w:color w:val="auto"/>
              </w:rPr>
              <w:t>Document</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__________</w:t>
      </w:r>
    </w:p>
    <w:p>
      <w:pPr>
        <w:spacing w:after="0" w:line="16" w:lineRule="exact"/>
        <w:rPr>
          <w:sz w:val="20"/>
          <w:szCs w:val="20"/>
          <w:color w:val="auto"/>
        </w:rPr>
      </w:pPr>
    </w:p>
    <w:p>
      <w:pPr>
        <w:ind w:left="320" w:hanging="317"/>
        <w:spacing w:after="0" w:line="257" w:lineRule="auto"/>
        <w:tabs>
          <w:tab w:leader="none" w:pos="114"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certifications attached as Exhibit 31.1, 31.2,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164465</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69"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SIGNATURES</w:t>
      </w:r>
    </w:p>
    <w:p>
      <w:pPr>
        <w:spacing w:after="0" w:line="170" w:lineRule="exact"/>
        <w:rPr>
          <w:sz w:val="20"/>
          <w:szCs w:val="20"/>
          <w:color w:val="auto"/>
        </w:rPr>
      </w:pPr>
    </w:p>
    <w:p>
      <w:pPr>
        <w:ind w:firstLine="308"/>
        <w:spacing w:after="0" w:line="27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3" w:lineRule="exact"/>
        <w:rPr>
          <w:sz w:val="20"/>
          <w:szCs w:val="20"/>
          <w:color w:val="auto"/>
        </w:rPr>
      </w:pPr>
    </w:p>
    <w:p>
      <w:pPr>
        <w:ind w:left="5860"/>
        <w:spacing w:after="0"/>
        <w:rPr>
          <w:sz w:val="20"/>
          <w:szCs w:val="20"/>
          <w:color w:val="auto"/>
        </w:rPr>
      </w:pPr>
      <w:r>
        <w:rPr>
          <w:rFonts w:ascii="Arial" w:cs="Arial" w:eastAsia="Arial" w:hAnsi="Arial"/>
          <w:sz w:val="17"/>
          <w:szCs w:val="17"/>
          <w:b w:val="1"/>
          <w:bCs w:val="1"/>
          <w:color w:val="auto"/>
        </w:rPr>
        <w:t>SEER, INC.</w:t>
      </w:r>
    </w:p>
    <w:p>
      <w:pPr>
        <w:spacing w:after="0" w:line="324" w:lineRule="exact"/>
        <w:rPr>
          <w:sz w:val="20"/>
          <w:szCs w:val="20"/>
          <w:color w:val="auto"/>
        </w:rPr>
      </w:pPr>
    </w:p>
    <w:p>
      <w:pPr>
        <w:ind w:left="20"/>
        <w:spacing w:after="0"/>
        <w:tabs>
          <w:tab w:leader="none" w:pos="5840" w:val="left"/>
          <w:tab w:leader="none" w:pos="6420" w:val="left"/>
        </w:tabs>
        <w:rPr>
          <w:sz w:val="20"/>
          <w:szCs w:val="20"/>
          <w:color w:val="auto"/>
        </w:rPr>
      </w:pPr>
      <w:r>
        <w:rPr>
          <w:rFonts w:ascii="Arial" w:cs="Arial" w:eastAsia="Arial" w:hAnsi="Arial"/>
          <w:sz w:val="17"/>
          <w:szCs w:val="17"/>
          <w:color w:val="auto"/>
        </w:rPr>
        <w:t>Date: May 11,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4081145</wp:posOffset>
            </wp:positionH>
            <wp:positionV relativeFrom="paragraph">
              <wp:posOffset>30480</wp:posOffset>
            </wp:positionV>
            <wp:extent cx="30594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059430" cy="8255"/>
                    </a:xfrm>
                    <a:prstGeom prst="rect">
                      <a:avLst/>
                    </a:prstGeom>
                    <a:noFill/>
                  </pic:spPr>
                </pic:pic>
              </a:graphicData>
            </a:graphic>
          </wp:anchor>
        </w:drawing>
      </w:r>
    </w:p>
    <w:p>
      <w:pPr>
        <w:spacing w:after="0" w:line="54"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Omid Farokhzad, M.D.</w:t>
      </w:r>
    </w:p>
    <w:p>
      <w:pPr>
        <w:spacing w:after="0" w:line="61"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Chief Executive Officer and</w:t>
      </w:r>
    </w:p>
    <w:p>
      <w:pPr>
        <w:spacing w:after="0" w:line="21"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Chair of the Board of Directors</w:t>
      </w:r>
    </w:p>
    <w:p>
      <w:pPr>
        <w:spacing w:after="0" w:line="50"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5840" w:val="left"/>
          <w:tab w:leader="none" w:pos="6420" w:val="left"/>
        </w:tabs>
        <w:rPr>
          <w:sz w:val="20"/>
          <w:szCs w:val="20"/>
          <w:color w:val="auto"/>
        </w:rPr>
      </w:pPr>
      <w:r>
        <w:rPr>
          <w:rFonts w:ascii="Arial" w:cs="Arial" w:eastAsia="Arial" w:hAnsi="Arial"/>
          <w:sz w:val="17"/>
          <w:szCs w:val="17"/>
          <w:color w:val="auto"/>
        </w:rPr>
        <w:t>Date: May 11,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David R.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4081145</wp:posOffset>
            </wp:positionH>
            <wp:positionV relativeFrom="paragraph">
              <wp:posOffset>30480</wp:posOffset>
            </wp:positionV>
            <wp:extent cx="30594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059430" cy="8255"/>
                    </a:xfrm>
                    <a:prstGeom prst="rect">
                      <a:avLst/>
                    </a:prstGeom>
                    <a:noFill/>
                  </pic:spPr>
                </pic:pic>
              </a:graphicData>
            </a:graphic>
          </wp:anchor>
        </w:drawing>
      </w:r>
    </w:p>
    <w:p>
      <w:pPr>
        <w:spacing w:after="0" w:line="54"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David R. Horn</w:t>
      </w:r>
    </w:p>
    <w:p>
      <w:pPr>
        <w:spacing w:after="0" w:line="61"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Chief Financial Officer</w:t>
      </w:r>
    </w:p>
    <w:p>
      <w:pPr>
        <w:spacing w:after="0" w:line="61"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 and Accounting Officer</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0960"/>
          </w:cols>
          <w:pgMar w:left="320" w:top="1440" w:right="61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color w:val="auto"/>
        </w:rPr>
        <w:t>Ex.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line="285" w:lineRule="auto"/>
        <w:rPr>
          <w:sz w:val="20"/>
          <w:szCs w:val="20"/>
          <w:color w:val="auto"/>
        </w:rPr>
      </w:pPr>
      <w:r>
        <w:rPr>
          <w:rFonts w:ascii="Arial" w:cs="Arial" w:eastAsia="Arial" w:hAnsi="Arial"/>
          <w:sz w:val="17"/>
          <w:szCs w:val="17"/>
          <w:b w:val="1"/>
          <w:bCs w:val="1"/>
          <w:color w:val="auto"/>
        </w:rPr>
        <w:t>CERTIFICATION PURSUANT TO RULES 13a-14(a) AND 15d-14(a) UNDER THE SECURITIES EXCHANGE ACT OF 1934, 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 Omid Farokhzad, certify that:</w:t>
      </w:r>
    </w:p>
    <w:p>
      <w:pPr>
        <w:spacing w:after="0" w:line="241" w:lineRule="exact"/>
        <w:rPr>
          <w:sz w:val="20"/>
          <w:szCs w:val="20"/>
          <w:color w:val="auto"/>
        </w:rPr>
      </w:pPr>
    </w:p>
    <w:p>
      <w:pPr>
        <w:ind w:left="620" w:hanging="309"/>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Seer, Inc.;</w:t>
      </w:r>
    </w:p>
    <w:p>
      <w:pPr>
        <w:spacing w:after="0" w:line="241" w:lineRule="exact"/>
        <w:rPr>
          <w:rFonts w:ascii="Arial" w:cs="Arial" w:eastAsia="Arial" w:hAnsi="Arial"/>
          <w:sz w:val="17"/>
          <w:szCs w:val="17"/>
          <w:color w:val="auto"/>
        </w:rPr>
      </w:pPr>
    </w:p>
    <w:p>
      <w:pPr>
        <w:ind w:left="620" w:right="180" w:hanging="309"/>
        <w:spacing w:after="0" w:line="347" w:lineRule="auto"/>
        <w:tabs>
          <w:tab w:leader="none" w:pos="6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5"/>
          <w:szCs w:val="15"/>
          <w:color w:val="auto"/>
        </w:rPr>
      </w:pPr>
    </w:p>
    <w:p>
      <w:pPr>
        <w:ind w:left="620" w:right="620" w:hanging="309"/>
        <w:spacing w:after="0" w:line="310" w:lineRule="auto"/>
        <w:tabs>
          <w:tab w:leader="none" w:pos="6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Arial" w:cs="Arial" w:eastAsia="Arial" w:hAnsi="Arial"/>
          <w:sz w:val="16"/>
          <w:szCs w:val="16"/>
          <w:color w:val="auto"/>
        </w:rPr>
      </w:pPr>
    </w:p>
    <w:p>
      <w:pPr>
        <w:ind w:left="620" w:right="120" w:hanging="309"/>
        <w:spacing w:after="0" w:line="265" w:lineRule="auto"/>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ind w:left="920" w:right="100" w:hanging="300"/>
        <w:spacing w:after="0" w:line="265" w:lineRule="auto"/>
        <w:tabs>
          <w:tab w:leader="none" w:pos="917"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920" w:right="100" w:hanging="300"/>
        <w:spacing w:after="0" w:line="265" w:lineRule="auto"/>
        <w:tabs>
          <w:tab w:leader="none" w:pos="914"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ind w:left="920" w:right="140" w:hanging="300"/>
        <w:spacing w:after="0" w:line="310" w:lineRule="auto"/>
        <w:tabs>
          <w:tab w:leader="none" w:pos="917"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Arial" w:cs="Arial" w:eastAsia="Arial" w:hAnsi="Arial"/>
          <w:sz w:val="16"/>
          <w:szCs w:val="16"/>
          <w:color w:val="auto"/>
        </w:rPr>
      </w:pPr>
    </w:p>
    <w:p>
      <w:pPr>
        <w:ind w:left="920" w:hanging="300"/>
        <w:spacing w:after="0" w:line="265" w:lineRule="auto"/>
        <w:tabs>
          <w:tab w:leader="none" w:pos="914" w:val="left"/>
        </w:tabs>
        <w:numPr>
          <w:ilvl w:val="1"/>
          <w:numId w:val="4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620" w:right="560" w:hanging="309"/>
        <w:spacing w:after="0" w:line="310" w:lineRule="auto"/>
        <w:tabs>
          <w:tab w:leader="none" w:pos="6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8" w:lineRule="exact"/>
        <w:rPr>
          <w:rFonts w:ascii="Arial" w:cs="Arial" w:eastAsia="Arial" w:hAnsi="Arial"/>
          <w:sz w:val="16"/>
          <w:szCs w:val="16"/>
          <w:color w:val="auto"/>
        </w:rPr>
      </w:pPr>
    </w:p>
    <w:p>
      <w:pPr>
        <w:ind w:left="920" w:right="80" w:hanging="300"/>
        <w:spacing w:after="0" w:line="278" w:lineRule="auto"/>
        <w:tabs>
          <w:tab w:leader="none" w:pos="917"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7"/>
          <w:szCs w:val="17"/>
          <w:color w:val="auto"/>
        </w:rPr>
      </w:pPr>
    </w:p>
    <w:p>
      <w:pPr>
        <w:ind w:left="920" w:right="120" w:hanging="300"/>
        <w:spacing w:after="0" w:line="278" w:lineRule="auto"/>
        <w:tabs>
          <w:tab w:leader="none" w:pos="914" w:val="left"/>
        </w:tabs>
        <w:numPr>
          <w:ilvl w:val="1"/>
          <w:numId w:val="4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Date: May 11, 2021</w:t>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color w:val="auto"/>
        </w:rPr>
        <w:t>Ex.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By: /s/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-9525</wp:posOffset>
            </wp:positionV>
            <wp:extent cx="1482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1"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Omid Farokhzad</w:t>
      </w:r>
    </w:p>
    <w:p>
      <w:pPr>
        <w:spacing w:after="0" w:line="10" w:lineRule="exact"/>
        <w:rPr>
          <w:sz w:val="20"/>
          <w:szCs w:val="20"/>
          <w:color w:val="auto"/>
        </w:rPr>
      </w:pPr>
    </w:p>
    <w:p>
      <w:pPr>
        <w:ind w:left="4480"/>
        <w:spacing w:after="0"/>
        <w:rPr>
          <w:sz w:val="20"/>
          <w:szCs w:val="20"/>
          <w:color w:val="auto"/>
        </w:rPr>
      </w:pPr>
      <w:r>
        <w:rPr>
          <w:rFonts w:ascii="Arial" w:cs="Arial" w:eastAsia="Arial" w:hAnsi="Arial"/>
          <w:sz w:val="15"/>
          <w:szCs w:val="15"/>
          <w:color w:val="auto"/>
        </w:rPr>
        <w:t>Chief Executive Officer and Chair of the Board of Directors</w:t>
      </w:r>
    </w:p>
    <w:p>
      <w:pPr>
        <w:spacing w:after="0" w:line="33"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0139"/>
          </w:cols>
          <w:pgMar w:left="320" w:top="121" w:right="1440"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color w:val="auto"/>
        </w:rPr>
        <w:t>Ex.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line="285" w:lineRule="auto"/>
        <w:rPr>
          <w:sz w:val="20"/>
          <w:szCs w:val="20"/>
          <w:color w:val="auto"/>
        </w:rPr>
      </w:pPr>
      <w:r>
        <w:rPr>
          <w:rFonts w:ascii="Arial" w:cs="Arial" w:eastAsia="Arial" w:hAnsi="Arial"/>
          <w:sz w:val="17"/>
          <w:szCs w:val="17"/>
          <w:b w:val="1"/>
          <w:bCs w:val="1"/>
          <w:color w:val="auto"/>
        </w:rPr>
        <w:t>CERTIFICATION PURSUANT TO RULES 13a-14(a) AND 15d-14(a) UNDER THE SECURITIES EXCHANGE ACT OF 1934, 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 David Horn, certify that:</w:t>
      </w:r>
    </w:p>
    <w:p>
      <w:pPr>
        <w:spacing w:after="0" w:line="241" w:lineRule="exact"/>
        <w:rPr>
          <w:sz w:val="20"/>
          <w:szCs w:val="20"/>
          <w:color w:val="auto"/>
        </w:rPr>
      </w:pPr>
    </w:p>
    <w:p>
      <w:pPr>
        <w:ind w:left="620" w:hanging="309"/>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Seer, Inc.;</w:t>
      </w:r>
    </w:p>
    <w:p>
      <w:pPr>
        <w:spacing w:after="0" w:line="241" w:lineRule="exact"/>
        <w:rPr>
          <w:rFonts w:ascii="Arial" w:cs="Arial" w:eastAsia="Arial" w:hAnsi="Arial"/>
          <w:sz w:val="17"/>
          <w:szCs w:val="17"/>
          <w:color w:val="auto"/>
        </w:rPr>
      </w:pPr>
    </w:p>
    <w:p>
      <w:pPr>
        <w:ind w:left="620" w:right="180" w:hanging="309"/>
        <w:spacing w:after="0" w:line="347" w:lineRule="auto"/>
        <w:tabs>
          <w:tab w:leader="none" w:pos="6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5"/>
          <w:szCs w:val="15"/>
          <w:color w:val="auto"/>
        </w:rPr>
      </w:pPr>
    </w:p>
    <w:p>
      <w:pPr>
        <w:ind w:left="620" w:right="620" w:hanging="309"/>
        <w:spacing w:after="0" w:line="310" w:lineRule="auto"/>
        <w:tabs>
          <w:tab w:leader="none" w:pos="6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Arial" w:cs="Arial" w:eastAsia="Arial" w:hAnsi="Arial"/>
          <w:sz w:val="16"/>
          <w:szCs w:val="16"/>
          <w:color w:val="auto"/>
        </w:rPr>
      </w:pPr>
    </w:p>
    <w:p>
      <w:pPr>
        <w:ind w:left="620" w:right="120" w:hanging="309"/>
        <w:spacing w:after="0" w:line="265" w:lineRule="auto"/>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ind w:left="920" w:right="100" w:hanging="300"/>
        <w:spacing w:after="0" w:line="265" w:lineRule="auto"/>
        <w:tabs>
          <w:tab w:leader="none" w:pos="917"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920" w:right="100" w:hanging="300"/>
        <w:spacing w:after="0" w:line="265" w:lineRule="auto"/>
        <w:tabs>
          <w:tab w:leader="none" w:pos="914"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ind w:left="920" w:right="140" w:hanging="300"/>
        <w:spacing w:after="0" w:line="310" w:lineRule="auto"/>
        <w:tabs>
          <w:tab w:leader="none" w:pos="917"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Arial" w:cs="Arial" w:eastAsia="Arial" w:hAnsi="Arial"/>
          <w:sz w:val="16"/>
          <w:szCs w:val="16"/>
          <w:color w:val="auto"/>
        </w:rPr>
      </w:pPr>
    </w:p>
    <w:p>
      <w:pPr>
        <w:ind w:left="920" w:hanging="300"/>
        <w:spacing w:after="0" w:line="265" w:lineRule="auto"/>
        <w:tabs>
          <w:tab w:leader="none" w:pos="914" w:val="left"/>
        </w:tabs>
        <w:numPr>
          <w:ilvl w:val="1"/>
          <w:numId w:val="4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620" w:right="560" w:hanging="309"/>
        <w:spacing w:after="0" w:line="310" w:lineRule="auto"/>
        <w:tabs>
          <w:tab w:leader="none" w:pos="6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8" w:lineRule="exact"/>
        <w:rPr>
          <w:rFonts w:ascii="Arial" w:cs="Arial" w:eastAsia="Arial" w:hAnsi="Arial"/>
          <w:sz w:val="16"/>
          <w:szCs w:val="16"/>
          <w:color w:val="auto"/>
        </w:rPr>
      </w:pPr>
    </w:p>
    <w:p>
      <w:pPr>
        <w:ind w:left="920" w:right="80" w:hanging="300"/>
        <w:spacing w:after="0" w:line="278" w:lineRule="auto"/>
        <w:tabs>
          <w:tab w:leader="none" w:pos="917"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7"/>
          <w:szCs w:val="17"/>
          <w:color w:val="auto"/>
        </w:rPr>
      </w:pPr>
    </w:p>
    <w:p>
      <w:pPr>
        <w:ind w:left="920" w:right="120" w:hanging="300"/>
        <w:spacing w:after="0" w:line="278" w:lineRule="auto"/>
        <w:tabs>
          <w:tab w:leader="none" w:pos="914" w:val="left"/>
        </w:tabs>
        <w:numPr>
          <w:ilvl w:val="1"/>
          <w:numId w:val="4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b w:val="1"/>
          <w:bCs w:val="1"/>
          <w:color w:val="auto"/>
        </w:rPr>
        <w:t>Ex.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Date: May 11, 2021</w:t>
      </w:r>
    </w:p>
    <w:p>
      <w:pPr>
        <w:spacing w:after="0" w:line="21"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By: /s/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-16510</wp:posOffset>
            </wp:positionV>
            <wp:extent cx="12655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65555" cy="8255"/>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7"/>
          <w:szCs w:val="17"/>
          <w:color w:val="auto"/>
        </w:rPr>
        <w:t>David Horn</w:t>
      </w:r>
    </w:p>
    <w:p>
      <w:pPr>
        <w:spacing w:after="0" w:line="10"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Chief Financial Officer</w:t>
      </w:r>
    </w:p>
    <w:p>
      <w:pPr>
        <w:spacing w:after="0" w:line="10"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0139"/>
          </w:cols>
          <w:pgMar w:left="320" w:top="121" w:right="1440"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color w:val="auto"/>
        </w:rPr>
        <w:t>Ex.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85" w:lineRule="auto"/>
        <w:rPr>
          <w:sz w:val="20"/>
          <w:szCs w:val="20"/>
          <w:color w:val="auto"/>
        </w:rPr>
      </w:pPr>
      <w:r>
        <w:rPr>
          <w:rFonts w:ascii="Arial" w:cs="Arial" w:eastAsia="Arial" w:hAnsi="Arial"/>
          <w:sz w:val="17"/>
          <w:szCs w:val="17"/>
          <w:b w:val="1"/>
          <w:bCs w:val="1"/>
          <w:color w:val="auto"/>
        </w:rPr>
        <w:t>CERTIFICATION OF PRINCIPAL EXECUTIVE OFFICER PURSUANT TO 18 U.S.C. SECTION 1350, AS ADOPTED PURSUANT TO SECTION 906 OF THE SARBANES-OXLEY ACT OF 2002</w:t>
      </w:r>
    </w:p>
    <w:p>
      <w:pPr>
        <w:spacing w:after="0" w:line="184"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In connection with the Quarterly Report of Seer, Inc. (the “Company”) on Form 10-Q for the period ended March 31, 2021 as filed with the Securities and Exchange Commission on the date hereof (the “Report”), I, Omid Farokhzad, hereby certify, pursuant to 18 U.S.C. § 1350, as adopted pursuant to § 906 of the Sarbanes-Oxley Act of 2002, that:</w:t>
      </w:r>
    </w:p>
    <w:p>
      <w:pPr>
        <w:spacing w:after="0" w:line="200" w:lineRule="exact"/>
        <w:rPr>
          <w:sz w:val="20"/>
          <w:szCs w:val="20"/>
          <w:color w:val="auto"/>
        </w:rPr>
      </w:pPr>
    </w:p>
    <w:p>
      <w:pPr>
        <w:ind w:left="620" w:hanging="309"/>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41" w:lineRule="exact"/>
        <w:rPr>
          <w:rFonts w:ascii="Arial" w:cs="Arial" w:eastAsia="Arial" w:hAnsi="Arial"/>
          <w:sz w:val="17"/>
          <w:szCs w:val="17"/>
          <w:color w:val="auto"/>
        </w:rPr>
      </w:pPr>
    </w:p>
    <w:p>
      <w:pPr>
        <w:ind w:left="620" w:hanging="309"/>
        <w:spacing w:after="0"/>
        <w:tabs>
          <w:tab w:leader="none" w:pos="6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Date: May 11, 2021</w:t>
      </w:r>
    </w:p>
    <w:p>
      <w:pPr>
        <w:spacing w:after="0" w:line="21"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By: /s/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-16510</wp:posOffset>
            </wp:positionV>
            <wp:extent cx="14827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7"/>
          <w:szCs w:val="17"/>
          <w:color w:val="auto"/>
        </w:rPr>
        <w:t>Omid Farokhzad</w:t>
      </w:r>
    </w:p>
    <w:p>
      <w:pPr>
        <w:spacing w:after="0" w:line="10"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Chief Executive Officer and Chair of the Board of Directors</w:t>
      </w:r>
    </w:p>
    <w:p>
      <w:pPr>
        <w:spacing w:after="0" w:line="10"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0960"/>
          </w:cols>
          <w:pgMar w:left="320" w:top="121" w:right="619" w:bottom="1440" w:gutter="0" w:footer="0" w:header="0"/>
        </w:sectPr>
      </w:pPr>
    </w:p>
    <w:bookmarkStart w:id="82" w:name="page83"/>
    <w:bookmarkEnd w:id="82"/>
    <w:p>
      <w:pPr>
        <w:spacing w:after="0"/>
        <w:rPr>
          <w:sz w:val="20"/>
          <w:szCs w:val="20"/>
          <w:color w:val="auto"/>
        </w:rPr>
      </w:pPr>
      <w:r>
        <w:rPr>
          <w:rFonts w:ascii="Arial" w:cs="Arial" w:eastAsia="Arial" w:hAnsi="Arial"/>
          <w:sz w:val="17"/>
          <w:szCs w:val="17"/>
          <w:b w:val="1"/>
          <w:bCs w:val="1"/>
          <w:color w:val="auto"/>
        </w:rPr>
        <w:t>Ex.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85" w:lineRule="auto"/>
        <w:rPr>
          <w:sz w:val="20"/>
          <w:szCs w:val="20"/>
          <w:color w:val="auto"/>
        </w:rPr>
      </w:pPr>
      <w:r>
        <w:rPr>
          <w:rFonts w:ascii="Arial" w:cs="Arial" w:eastAsia="Arial" w:hAnsi="Arial"/>
          <w:sz w:val="17"/>
          <w:szCs w:val="17"/>
          <w:b w:val="1"/>
          <w:bCs w:val="1"/>
          <w:color w:val="auto"/>
        </w:rPr>
        <w:t>CERTIFICATION OF PRINCIPAL FINANCIAL OFFICER PURSUANT TO 18 U.S.C. SECTION 1350, AS ADOPTED PURSUANT TO SECTION 906 OF THE SARBANES-OXLEY ACT OF 2002</w:t>
      </w:r>
    </w:p>
    <w:p>
      <w:pPr>
        <w:spacing w:after="0" w:line="184" w:lineRule="exact"/>
        <w:rPr>
          <w:sz w:val="20"/>
          <w:szCs w:val="20"/>
          <w:color w:val="auto"/>
        </w:rPr>
      </w:pPr>
    </w:p>
    <w:p>
      <w:pPr>
        <w:jc w:val="both"/>
        <w:ind w:right="640"/>
        <w:spacing w:after="0" w:line="265" w:lineRule="auto"/>
        <w:rPr>
          <w:sz w:val="20"/>
          <w:szCs w:val="20"/>
          <w:color w:val="auto"/>
        </w:rPr>
      </w:pPr>
      <w:r>
        <w:rPr>
          <w:rFonts w:ascii="Arial" w:cs="Arial" w:eastAsia="Arial" w:hAnsi="Arial"/>
          <w:sz w:val="17"/>
          <w:szCs w:val="17"/>
          <w:color w:val="auto"/>
        </w:rPr>
        <w:t>In connection with the Quarterly Report of Seer, Inc. (the “Company”) on Form 10-Q for the period ended March 31, 2021 as filed with the Securities and Exchange Commission on the date hereof (the “Report”), I, David Horn, hereby certify, pursuant to 18 U.S.C. § 1350, as adopted pursuant to § 906 of the Sarbanes-Oxley Act of 2002, that:</w:t>
      </w:r>
    </w:p>
    <w:p>
      <w:pPr>
        <w:spacing w:after="0" w:line="200" w:lineRule="exact"/>
        <w:rPr>
          <w:sz w:val="20"/>
          <w:szCs w:val="20"/>
          <w:color w:val="auto"/>
        </w:rPr>
      </w:pPr>
    </w:p>
    <w:p>
      <w:pPr>
        <w:ind w:left="620" w:hanging="309"/>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41" w:lineRule="exact"/>
        <w:rPr>
          <w:rFonts w:ascii="Arial" w:cs="Arial" w:eastAsia="Arial" w:hAnsi="Arial"/>
          <w:sz w:val="17"/>
          <w:szCs w:val="17"/>
          <w:color w:val="auto"/>
        </w:rPr>
      </w:pPr>
    </w:p>
    <w:p>
      <w:pPr>
        <w:ind w:left="620" w:hanging="309"/>
        <w:spacing w:after="0"/>
        <w:tabs>
          <w:tab w:leader="none" w:pos="6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Date: May 11, 2021</w:t>
      </w:r>
    </w:p>
    <w:p>
      <w:pPr>
        <w:spacing w:after="0" w:line="21"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By: /s/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-16510</wp:posOffset>
            </wp:positionV>
            <wp:extent cx="12655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65555" cy="8255"/>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7"/>
          <w:szCs w:val="17"/>
          <w:color w:val="auto"/>
        </w:rPr>
        <w:t>David Horn</w:t>
      </w:r>
    </w:p>
    <w:p>
      <w:pPr>
        <w:spacing w:after="0" w:line="10"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Chief Financial Officer</w:t>
      </w:r>
    </w:p>
    <w:p>
      <w:pPr>
        <w:spacing w:after="0" w:line="10"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(Principal Financial Officer and Accounting Officer)</w:t>
      </w:r>
    </w:p>
    <w:sectPr>
      <w:pgSz w:w="11900" w:h="16838" w:orient="portrait"/>
      <w:cols w:equalWidth="0" w:num="1">
        <w:col w:w="11220"/>
      </w:cols>
      <w:pgMar w:left="320" w:top="1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decimal"/>
      <w:start w:val="1"/>
    </w:lvl>
  </w:abstractNum>
  <w:abstractNum w:abstractNumId="2">
    <w:nsid w:val="6763845E"/>
    <w:multiLevelType w:val="hybridMultilevel"/>
    <w:lvl w:ilvl="0">
      <w:lvlJc w:val="left"/>
      <w:lvlText w:val="%1."/>
      <w:numFmt w:val="decimal"/>
      <w:start w:val="2"/>
    </w:lvl>
  </w:abstractNum>
  <w:abstractNum w:abstractNumId="3">
    <w:nsid w:val="75A2A8D4"/>
    <w:multiLevelType w:val="hybridMultilevel"/>
    <w:lvl w:ilvl="0">
      <w:lvlJc w:val="left"/>
      <w:lvlText w:val="%1."/>
      <w:numFmt w:val="decimal"/>
      <w:start w:val="3"/>
    </w:lvl>
  </w:abstractNum>
  <w:abstractNum w:abstractNumId="4">
    <w:nsid w:val="8EDBDAB"/>
    <w:multiLevelType w:val="hybridMultilevel"/>
    <w:lvl w:ilvl="0">
      <w:lvlJc w:val="left"/>
      <w:lvlText w:val="%1."/>
      <w:numFmt w:val="decimal"/>
      <w:start w:val="5"/>
    </w:lvl>
  </w:abstractNum>
  <w:abstractNum w:abstractNumId="5">
    <w:nsid w:val="79838CB2"/>
    <w:multiLevelType w:val="hybridMultilevel"/>
    <w:lvl w:ilvl="0">
      <w:lvlJc w:val="left"/>
      <w:lvlText w:val="%1."/>
      <w:numFmt w:val="decimal"/>
      <w:start w:val="6"/>
    </w:lvl>
  </w:abstractNum>
  <w:abstractNum w:abstractNumId="6">
    <w:nsid w:val="4353D0CD"/>
    <w:multiLevelType w:val="hybridMultilevel"/>
    <w:lvl w:ilvl="0">
      <w:lvlJc w:val="left"/>
      <w:lvlText w:val="%1."/>
      <w:numFmt w:val="decimal"/>
      <w:start w:val="7"/>
    </w:lvl>
  </w:abstractNum>
  <w:abstractNum w:abstractNumId="7">
    <w:nsid w:val="B03E0C6"/>
    <w:multiLevelType w:val="hybridMultilevel"/>
    <w:lvl w:ilvl="0">
      <w:lvlJc w:val="left"/>
      <w:lvlText w:val="%1."/>
      <w:numFmt w:val="decimal"/>
      <w:start w:val="8"/>
    </w:lvl>
  </w:abstractNum>
  <w:abstractNum w:abstractNumId="8">
    <w:nsid w:val="189A769B"/>
    <w:multiLevelType w:val="hybridMultilevel"/>
    <w:lvl w:ilvl="0">
      <w:lvlJc w:val="left"/>
      <w:lvlText w:val="%1."/>
      <w:numFmt w:val="decimal"/>
      <w:start w:val="9"/>
    </w:lvl>
  </w:abstractNum>
  <w:abstractNum w:abstractNumId="9">
    <w:nsid w:val="54E49EB4"/>
    <w:multiLevelType w:val="hybridMultilevel"/>
    <w:lvl w:ilvl="0">
      <w:lvlJc w:val="left"/>
      <w:lvlText w:val="%1."/>
      <w:numFmt w:val="decimal"/>
      <w:start w:val="10"/>
    </w:lvl>
  </w:abstractNum>
  <w:abstractNum w:abstractNumId="10">
    <w:nsid w:val="71F32454"/>
    <w:multiLevelType w:val="hybridMultilevel"/>
    <w:lvl w:ilvl="0">
      <w:lvlJc w:val="left"/>
      <w:lvlText w:val="%1."/>
      <w:numFmt w:val="decimal"/>
      <w:start w:val="1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2021-05-11T05:18:55Z</dcterms:created>
  <dcterms:modified xsi:type="dcterms:W3CDTF">2021-05-11T05:18:55Z</dcterms:modified>
</cp:coreProperties>
</file>