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997585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1031875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2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54"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65405</wp:posOffset>
            </wp:positionV>
            <wp:extent cx="2297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67"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40005</wp:posOffset>
            </wp:positionV>
            <wp:extent cx="2297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99"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62230</wp:posOffset>
            </wp:positionV>
            <wp:extent cx="2297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49"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31750</wp:posOffset>
            </wp:positionV>
            <wp:extent cx="2297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4"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001-39747</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0"/>
              </w:rPr>
              <w:t>82-1153150</w:t>
            </w:r>
          </w:p>
        </w:tc>
      </w:tr>
      <w:tr>
        <w:trPr>
          <w:trHeight w:val="203"/>
        </w:trPr>
        <w:tc>
          <w:tcPr>
            <w:tcW w:w="3020" w:type="dxa"/>
            <w:vAlign w:val="bottom"/>
          </w:tcPr>
          <w:p>
            <w:pPr>
              <w:jc w:val="center"/>
              <w:ind w:right="1148"/>
              <w:spacing w:after="0"/>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(Commission</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File Number)</w:t>
            </w:r>
          </w:p>
        </w:tc>
        <w:tc>
          <w:tcPr>
            <w:tcW w:w="2540" w:type="dxa"/>
            <w:vAlign w:val="bottom"/>
          </w:tcPr>
          <w:p>
            <w:pPr>
              <w:jc w:val="center"/>
              <w:ind w:left="1348"/>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2406015</wp:posOffset>
            </wp:positionH>
            <wp:positionV relativeFrom="paragraph">
              <wp:posOffset>30480</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75"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14" w:hanging="314"/>
        <w:spacing w:after="0"/>
        <w:tabs>
          <w:tab w:leader="none" w:pos="31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4"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3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4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r>
    </w:tbl>
    <w:p>
      <w:pPr>
        <w:spacing w:after="0" w:line="188" w:lineRule="exact"/>
        <w:rPr>
          <w:sz w:val="24"/>
          <w:szCs w:val="24"/>
          <w:color w:val="auto"/>
        </w:rPr>
      </w:pPr>
    </w:p>
    <w:p>
      <w:pPr>
        <w:ind w:left="634" w:right="100"/>
        <w:spacing w:after="0" w:line="29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21" w:lineRule="exact"/>
        <w:rPr>
          <w:sz w:val="24"/>
          <w:szCs w:val="24"/>
          <w:color w:val="auto"/>
        </w:rPr>
      </w:pPr>
    </w:p>
    <w:p>
      <w:pPr>
        <w:ind w:left="634" w:right="160"/>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1151255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15240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49530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8, 2023, Seer, Inc. (the “Company”) issued a press release (the “Press Release”) announcing results for the quarter ended June 30, 2023. A copy of the Press Release is attached as Exhibit 99.1 to this current report on Form 8-K and is incorporated by reference herein.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6269990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7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83"/>
        </w:trPr>
        <w:tc>
          <w:tcPr>
            <w:tcW w:w="1440" w:type="dxa"/>
            <w:vAlign w:val="bottom"/>
          </w:tcPr>
          <w:p>
            <w:pPr>
              <w:ind w:left="460"/>
              <w:spacing w:after="0"/>
              <w:rPr>
                <w:sz w:val="20"/>
                <w:szCs w:val="20"/>
                <w:color w:val="auto"/>
              </w:rPr>
            </w:pPr>
            <w:r>
              <w:rPr>
                <w:rFonts w:ascii="Arial" w:cs="Arial" w:eastAsia="Arial" w:hAnsi="Arial"/>
                <w:sz w:val="18"/>
                <w:szCs w:val="18"/>
                <w:b w:val="1"/>
                <w:bCs w:val="1"/>
                <w:color w:val="auto"/>
              </w:rPr>
              <w:t>Exhibit No.</w:t>
            </w:r>
          </w:p>
        </w:tc>
        <w:tc>
          <w:tcPr>
            <w:tcW w:w="700" w:type="dxa"/>
            <w:vAlign w:val="bottom"/>
          </w:tcPr>
          <w:p>
            <w:pPr>
              <w:spacing w:after="0"/>
              <w:rPr>
                <w:sz w:val="24"/>
                <w:szCs w:val="24"/>
                <w:color w:val="auto"/>
              </w:rPr>
            </w:pPr>
          </w:p>
        </w:tc>
        <w:tc>
          <w:tcPr>
            <w:tcW w:w="908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Description</w:t>
            </w:r>
          </w:p>
        </w:tc>
      </w:tr>
    </w:tbl>
    <w:p>
      <w:pPr>
        <w:spacing w:after="0" w:line="294"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color w:val="auto"/>
        </w:rPr>
        <w:t>Press Release, dated August 8, 2023</w:t>
      </w:r>
    </w:p>
    <w:p>
      <w:pPr>
        <w:ind w:left="6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6884035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SEER, INC.</w:t>
      </w:r>
    </w:p>
    <w:p>
      <w:pPr>
        <w:spacing w:after="0" w:line="310" w:lineRule="exact"/>
        <w:rPr>
          <w:sz w:val="20"/>
          <w:szCs w:val="20"/>
          <w:color w:val="auto"/>
        </w:rPr>
      </w:pPr>
    </w:p>
    <w:p>
      <w:pPr>
        <w:ind w:left="3080"/>
        <w:spacing w:after="0"/>
        <w:tabs>
          <w:tab w:leader="none" w:pos="5760" w:val="left"/>
          <w:tab w:leader="none" w:pos="67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8803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Seer Reports Second Quarter 2023 Financial Results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Launched Proteograph XT Assay Kit, enabling rapid proteomics and large-scale studies</w:t>
      </w:r>
    </w:p>
    <w:p>
      <w:pPr>
        <w:spacing w:after="0" w:line="200" w:lineRule="exact"/>
        <w:rPr>
          <w:sz w:val="20"/>
          <w:szCs w:val="20"/>
          <w:color w:val="auto"/>
        </w:rPr>
      </w:pPr>
    </w:p>
    <w:p>
      <w:pPr>
        <w:spacing w:after="0" w:line="313" w:lineRule="exact"/>
        <w:rPr>
          <w:sz w:val="20"/>
          <w:szCs w:val="20"/>
          <w:color w:val="auto"/>
        </w:rPr>
      </w:pPr>
    </w:p>
    <w:p>
      <w:pPr>
        <w:spacing w:after="0" w:line="350"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August 8, 2023 –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today reported financial results for the second quarter ended June 30, 2023.</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9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Achieved revenue of $4.0 million for the second quarter of 2023, an increase of 11% over the prior year period</w:t>
      </w:r>
    </w:p>
    <w:p>
      <w:pPr>
        <w:spacing w:after="0" w:line="216" w:lineRule="exact"/>
        <w:rPr>
          <w:rFonts w:ascii="Arial" w:cs="Arial" w:eastAsia="Arial" w:hAnsi="Arial"/>
          <w:sz w:val="22"/>
          <w:szCs w:val="22"/>
          <w:color w:val="auto"/>
        </w:rPr>
      </w:pPr>
    </w:p>
    <w:p>
      <w:pPr>
        <w:ind w:left="340" w:hanging="332"/>
        <w:spacing w:after="0" w:line="300"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18"/>
          <w:szCs w:val="18"/>
          <w:color w:val="auto"/>
        </w:rPr>
        <w:t>Launched the Proteograph XT Assay Kit, enabling rapid proteomics across a range of sample types and species with unprecedented resolution and more than doubling the throughput without compromising performance</w:t>
      </w:r>
    </w:p>
    <w:p>
      <w:pPr>
        <w:spacing w:after="0" w:line="140" w:lineRule="exact"/>
        <w:rPr>
          <w:rFonts w:ascii="Arial" w:cs="Arial" w:eastAsia="Arial" w:hAnsi="Arial"/>
          <w:sz w:val="22"/>
          <w:szCs w:val="22"/>
          <w:color w:val="auto"/>
        </w:rPr>
      </w:pPr>
    </w:p>
    <w:p>
      <w:pPr>
        <w:ind w:left="340" w:hanging="332"/>
        <w:spacing w:after="0" w:line="31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18"/>
          <w:szCs w:val="18"/>
          <w:color w:val="auto"/>
        </w:rPr>
        <w:t>Introduced the Seer Technology Access Center, or STAC, providing mass spec services and end-to-end solutions for customers seeking access to deep, unbiased proteomics insights</w:t>
      </w:r>
    </w:p>
    <w:p>
      <w:pPr>
        <w:spacing w:after="0" w:line="109" w:lineRule="exact"/>
        <w:rPr>
          <w:rFonts w:ascii="Arial" w:cs="Arial" w:eastAsia="Arial" w:hAnsi="Arial"/>
          <w:sz w:val="22"/>
          <w:szCs w:val="22"/>
          <w:color w:val="auto"/>
        </w:rPr>
      </w:pPr>
    </w:p>
    <w:p>
      <w:pPr>
        <w:ind w:left="340" w:hanging="332"/>
        <w:spacing w:after="0" w:line="31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18"/>
          <w:szCs w:val="18"/>
          <w:color w:val="auto"/>
        </w:rPr>
        <w:t>Expanded collaboration with Thermo Fisher Scientific to develop and optimize proteomics and proteogenomics workflows and enable population scale studies using the Proteograph XT Assay Kit in combination with the Orbitrap Astral Mass Spectrometer</w:t>
      </w:r>
    </w:p>
    <w:p>
      <w:pPr>
        <w:spacing w:after="0" w:line="85" w:lineRule="exact"/>
        <w:rPr>
          <w:rFonts w:ascii="Arial" w:cs="Arial" w:eastAsia="Arial" w:hAnsi="Arial"/>
          <w:sz w:val="22"/>
          <w:szCs w:val="22"/>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18"/>
          <w:szCs w:val="18"/>
          <w:color w:val="auto"/>
        </w:rPr>
        <w:t>Ended the quarter with $396 million of cash, cash equivalents and investments</w:t>
      </w:r>
    </w:p>
    <w:p>
      <w:pPr>
        <w:spacing w:after="0" w:line="200" w:lineRule="exact"/>
        <w:rPr>
          <w:sz w:val="20"/>
          <w:szCs w:val="20"/>
          <w:color w:val="auto"/>
        </w:rPr>
      </w:pPr>
    </w:p>
    <w:p>
      <w:pPr>
        <w:spacing w:after="0" w:line="219"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“While we have faced significant headwinds in the quarter, we continue to firmly believe in the long-term opportunity for our differentiated proteomics technology. We are encouraged by the strong interest we have received on our recent launches of the Proteograph XT Assay Kit and STAC and by the data we continue to see our customers generating,” said Omid Farokhzad, CEO and President. “Additionally, we are taking actions to lower barriers to adoption and navigate headwinds. We are focused on laying the foundation for long-term growth and I continue to be bullish about our present and future opportunities.”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181"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Revenue was $4.0 million for the three months ended June 30, 2023, an 11% increase from $3.6 million for the three months ended June 30, 2022. The increase was primarily due to increased sales of consumable kits related to the Proteograph Product Suite. Product-related revenue for the second quarter of 2023 was $3.0 million, including $1.4 million of related party revenue, and consisted of sales of SP100 instruments, consumable kits and platform evaluations. Service revenue was $467 thousand and grant and other revenue was $538 thousand.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$2.3 million and gross margin was 57% for the second quarter of 2023.</w:t>
      </w:r>
    </w:p>
    <w:p>
      <w:pPr>
        <w:spacing w:after="0" w:line="306"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Operating expenses were $30.2 million for the second quarter of 2023, including $9.8 million of stock-based compensation, an increase of 21%, as compared to $25.0 million, including $8.4 million of stock-based compensation, for the corresponding prior year period. The increase in expenses was driven by increased employee compensation and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0" w:right="339" w:bottom="1440" w:gutter="0" w:footer="0" w:header="0"/>
        </w:sectPr>
      </w:pPr>
    </w:p>
    <w:bookmarkStart w:id="5" w:name="page6"/>
    <w:bookmarkEnd w:id="5"/>
    <w:p>
      <w:pPr>
        <w:spacing w:after="0" w:line="10"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other related expenses, including stock-based compensation, product development efforts related to the Proteograph Product Suite, and expenses associated with build-out of expansion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Net loss was $23.4 million for the second quarter of 2023, as compared to $22.8 million for the corresponding prior year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$396 million as of June 30, 2023.</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222" w:lineRule="exact"/>
        <w:rPr>
          <w:sz w:val="20"/>
          <w:szCs w:val="20"/>
          <w:color w:val="auto"/>
        </w:rPr>
      </w:pPr>
    </w:p>
    <w:p>
      <w:pPr>
        <w:ind w:right="200"/>
        <w:spacing w:after="0" w:line="385" w:lineRule="auto"/>
        <w:rPr>
          <w:sz w:val="20"/>
          <w:szCs w:val="20"/>
          <w:color w:val="auto"/>
        </w:rPr>
      </w:pPr>
      <w:r>
        <w:rPr>
          <w:rFonts w:ascii="Arial" w:cs="Arial" w:eastAsia="Arial" w:hAnsi="Arial"/>
          <w:sz w:val="18"/>
          <w:szCs w:val="18"/>
          <w:color w:val="auto"/>
        </w:rPr>
        <w:t>Seer now expects full year 2023 revenue to be in the range of $16 million to $18 million, representing growth of 10% at the mid-point of the range over full year 2022. This compares to the prior range of $23 million to $25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81"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 xml:space="preserve">Seer will host a conference call to discuss the second quarter 2023 financial results on Tuesday, August 8, 2023 at 1:30 pm Pacific Time / 4:30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208" w:lineRule="exact"/>
        <w:rPr>
          <w:sz w:val="20"/>
          <w:szCs w:val="20"/>
          <w:color w:val="auto"/>
        </w:rPr>
      </w:pPr>
    </w:p>
    <w:p>
      <w:pPr>
        <w:ind w:right="100"/>
        <w:spacing w:after="0" w:line="368" w:lineRule="auto"/>
        <w:rPr>
          <w:sz w:val="20"/>
          <w:szCs w:val="20"/>
          <w:color w:val="auto"/>
        </w:rPr>
      </w:pPr>
      <w:r>
        <w:rPr>
          <w:rFonts w:ascii="Arial" w:cs="Arial" w:eastAsia="Arial" w:hAnsi="Arial"/>
          <w:sz w:val="18"/>
          <w:szCs w:val="18"/>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8"/>
          <w:szCs w:val="18"/>
          <w:u w:val="single" w:color="auto"/>
          <w:color w:val="0032A0"/>
        </w:rPr>
        <w:t>www.seer.bio</w:t>
      </w:r>
      <w:r>
        <w:rPr>
          <w:rFonts w:ascii="Arial" w:cs="Arial" w:eastAsia="Arial" w:hAnsi="Arial"/>
          <w:sz w:val="18"/>
          <w:szCs w:val="18"/>
          <w:color w:val="212132"/>
          <w:highlight w:val="white"/>
        </w:rPr>
        <w: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1"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2023. These and other risks are described more fully in the Company’s filings with the Securities and Exchange Commission (“SEC”), including the Company’s Quarterly Report on Form 10-Q,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pr@seer.bio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1409" w:right="1440" w:bottom="1440" w:gutter="0" w:footer="0" w:header="0"/>
        </w:sectPr>
      </w:pPr>
    </w:p>
    <w:bookmarkStart w:id="7" w:name="page8"/>
    <w:bookmarkEnd w:id="7"/>
    <w:p>
      <w:pPr>
        <w:spacing w:after="0" w:line="5"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Seer, Inc.</w:t>
      </w:r>
    </w:p>
    <w:p>
      <w:pPr>
        <w:spacing w:after="0" w:line="59"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86"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800" w:type="dxa"/>
            <w:vAlign w:val="bottom"/>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June 30,</w:t>
            </w:r>
          </w:p>
        </w:tc>
        <w:tc>
          <w:tcPr>
            <w:tcW w:w="80" w:type="dxa"/>
            <w:vAlign w:val="bottom"/>
          </w:tcPr>
          <w:p>
            <w:pPr>
              <w:spacing w:after="0"/>
              <w:rPr>
                <w:sz w:val="18"/>
                <w:szCs w:val="18"/>
                <w:color w:val="auto"/>
              </w:rPr>
            </w:pPr>
          </w:p>
        </w:tc>
        <w:tc>
          <w:tcPr>
            <w:tcW w:w="2940" w:type="dxa"/>
            <w:vAlign w:val="bottom"/>
            <w:gridSpan w:val="6"/>
          </w:tcPr>
          <w:p>
            <w:pPr>
              <w:ind w:left="52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18"/>
                <w:szCs w:val="18"/>
                <w:color w:val="auto"/>
              </w:rPr>
            </w:pPr>
          </w:p>
        </w:tc>
        <w:tc>
          <w:tcPr>
            <w:tcW w:w="138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20" w:type="dxa"/>
            <w:vAlign w:val="bottom"/>
            <w:gridSpan w:val="3"/>
          </w:tcPr>
          <w:p>
            <w:pPr>
              <w:ind w:left="600"/>
              <w:spacing w:after="0"/>
              <w:rPr>
                <w:sz w:val="20"/>
                <w:szCs w:val="20"/>
                <w:color w:val="auto"/>
              </w:rPr>
            </w:pPr>
            <w:r>
              <w:rPr>
                <w:rFonts w:ascii="Arial" w:cs="Arial" w:eastAsia="Arial" w:hAnsi="Arial"/>
                <w:sz w:val="16"/>
                <w:szCs w:val="16"/>
                <w:b w:val="1"/>
                <w:bCs w:val="1"/>
                <w:color w:val="auto"/>
              </w:rPr>
              <w:t>2022</w:t>
            </w:r>
          </w:p>
        </w:tc>
        <w:tc>
          <w:tcPr>
            <w:tcW w:w="1460" w:type="dxa"/>
            <w:vAlign w:val="bottom"/>
            <w:gridSpan w:val="3"/>
          </w:tcPr>
          <w:p>
            <w:pPr>
              <w:ind w:left="600"/>
              <w:spacing w:after="0"/>
              <w:rPr>
                <w:sz w:val="20"/>
                <w:szCs w:val="20"/>
                <w:color w:val="auto"/>
              </w:rPr>
            </w:pPr>
            <w:r>
              <w:rPr>
                <w:rFonts w:ascii="Arial" w:cs="Arial" w:eastAsia="Arial" w:hAnsi="Arial"/>
                <w:sz w:val="16"/>
                <w:szCs w:val="16"/>
                <w:b w:val="1"/>
                <w:bCs w:val="1"/>
                <w:color w:val="auto"/>
              </w:rPr>
              <w:t>2023</w:t>
            </w:r>
          </w:p>
        </w:tc>
        <w:tc>
          <w:tcPr>
            <w:tcW w:w="14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tcPr>
          <w:p>
            <w:pPr>
              <w:ind w:left="220"/>
              <w:spacing w:after="0"/>
              <w:rPr>
                <w:sz w:val="20"/>
                <w:szCs w:val="20"/>
                <w:color w:val="auto"/>
              </w:rPr>
            </w:pPr>
            <w:r>
              <w:rPr>
                <w:rFonts w:ascii="Arial" w:cs="Arial" w:eastAsia="Arial" w:hAnsi="Arial"/>
                <w:sz w:val="16"/>
                <w:szCs w:val="16"/>
                <w:color w:val="auto"/>
              </w:rPr>
              <w:t>Product</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$ 1,645</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$ 2,406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$ 3,988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Service</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tcPr>
          <w:p>
            <w:pPr>
              <w:ind w:left="220"/>
              <w:spacing w:after="0"/>
              <w:rPr>
                <w:sz w:val="20"/>
                <w:szCs w:val="20"/>
                <w:color w:val="auto"/>
              </w:rPr>
            </w:pPr>
            <w:r>
              <w:rPr>
                <w:rFonts w:ascii="Arial" w:cs="Arial" w:eastAsia="Arial" w:hAnsi="Arial"/>
                <w:sz w:val="16"/>
                <w:szCs w:val="16"/>
                <w:color w:val="auto"/>
              </w:rPr>
              <w:t>Related party</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Grant and other</w:t>
            </w: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4,008</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3,621</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8,061</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20"/>
              <w:spacing w:after="0"/>
              <w:rPr>
                <w:sz w:val="20"/>
                <w:szCs w:val="20"/>
                <w:color w:val="auto"/>
              </w:rPr>
            </w:pPr>
            <w:r>
              <w:rPr>
                <w:rFonts w:ascii="Arial" w:cs="Arial" w:eastAsia="Arial" w:hAnsi="Arial"/>
                <w:sz w:val="16"/>
                <w:szCs w:val="16"/>
                <w:color w:val="auto"/>
              </w:rPr>
              <w:t>Product</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1,118</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1,643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2,554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Service</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tcPr>
          <w:p>
            <w:pPr>
              <w:ind w:left="220"/>
              <w:spacing w:after="0"/>
              <w:rPr>
                <w:sz w:val="20"/>
                <w:szCs w:val="20"/>
                <w:color w:val="auto"/>
              </w:rPr>
            </w:pPr>
            <w:r>
              <w:rPr>
                <w:rFonts w:ascii="Arial" w:cs="Arial" w:eastAsia="Arial" w:hAnsi="Arial"/>
                <w:sz w:val="16"/>
                <w:szCs w:val="16"/>
                <w:color w:val="auto"/>
              </w:rPr>
              <w:t>Related party</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Grant and other</w:t>
            </w: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80" w:type="dxa"/>
            <w:vAlign w:val="bottom"/>
          </w:tcPr>
          <w:p>
            <w:pPr>
              <w:ind w:left="440"/>
              <w:spacing w:after="0"/>
              <w:rPr>
                <w:sz w:val="20"/>
                <w:szCs w:val="20"/>
                <w:color w:val="auto"/>
              </w:rPr>
            </w:pPr>
            <w:r>
              <w:rPr>
                <w:rFonts w:ascii="Arial" w:cs="Arial" w:eastAsia="Arial" w:hAnsi="Arial"/>
                <w:sz w:val="16"/>
                <w:szCs w:val="16"/>
                <w:color w:val="auto"/>
              </w:rPr>
              <w:t>Total cost of revenue</w:t>
            </w: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1,727</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3,712</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180" w:type="dxa"/>
            <w:vAlign w:val="bottom"/>
          </w:tcPr>
          <w:p>
            <w:pPr>
              <w:spacing w:after="0"/>
              <w:rPr>
                <w:sz w:val="20"/>
                <w:szCs w:val="20"/>
                <w:color w:val="auto"/>
              </w:rPr>
            </w:pPr>
            <w:r>
              <w:rPr>
                <w:rFonts w:ascii="Arial" w:cs="Arial" w:eastAsia="Arial" w:hAnsi="Arial"/>
                <w:sz w:val="16"/>
                <w:szCs w:val="16"/>
                <w:color w:val="auto"/>
              </w:rPr>
              <w:t>Operating expenses:</w:t>
            </w: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14,148</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28,622</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16,074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14,172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31,113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25,043</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59,735</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6"/>
                <w:szCs w:val="16"/>
                <w:color w:val="auto"/>
              </w:rPr>
              <w:t>Loss from operations</w:t>
            </w: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(27,941)</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(23,434)</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(55,386)</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4,560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8,277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expense</w:t>
            </w: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180" w:type="dxa"/>
            <w:vAlign w:val="bottom"/>
          </w:tcPr>
          <w:p>
            <w:pPr>
              <w:ind w:left="440"/>
              <w:spacing w:after="0"/>
              <w:rPr>
                <w:sz w:val="20"/>
                <w:szCs w:val="20"/>
                <w:color w:val="auto"/>
              </w:rPr>
            </w:pPr>
            <w:r>
              <w:rPr>
                <w:rFonts w:ascii="Arial" w:cs="Arial" w:eastAsia="Arial" w:hAnsi="Arial"/>
                <w:sz w:val="16"/>
                <w:szCs w:val="16"/>
                <w:color w:val="auto"/>
              </w:rPr>
              <w:t>Total other income</w:t>
            </w: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4,510</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7,996</w:t>
            </w: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(23,431)</w:t>
            </w:r>
          </w:p>
        </w:tc>
        <w:tc>
          <w:tcPr>
            <w:tcW w:w="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(22,815)</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(47,390)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7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3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on available-for-sale</w:t>
            </w:r>
          </w:p>
        </w:tc>
        <w:tc>
          <w:tcPr>
            <w:tcW w:w="7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securities</w:t>
            </w:r>
          </w:p>
        </w:tc>
        <w:tc>
          <w:tcPr>
            <w:tcW w:w="7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0"/>
                <w:szCs w:val="20"/>
                <w:color w:val="auto"/>
              </w:rPr>
            </w:pPr>
            <w:r>
              <w:rPr>
                <w:rFonts w:ascii="Arial" w:cs="Arial" w:eastAsia="Arial" w:hAnsi="Arial"/>
                <w:sz w:val="16"/>
                <w:szCs w:val="16"/>
                <w:color w:val="auto"/>
              </w:rPr>
              <w:t>Comprehensive loss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(24,870)</w:t>
            </w:r>
          </w:p>
        </w:tc>
        <w:tc>
          <w:tcPr>
            <w:tcW w:w="80" w:type="dxa"/>
            <w:vAlign w:val="bottom"/>
          </w:tcPr>
          <w:p>
            <w:pPr>
              <w:spacing w:after="0"/>
              <w:rPr>
                <w:sz w:val="21"/>
                <w:szCs w:val="21"/>
                <w:color w:val="auto"/>
              </w:rPr>
            </w:pPr>
          </w:p>
        </w:tc>
        <w:tc>
          <w:tcPr>
            <w:tcW w:w="6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(23,701)</w:t>
            </w:r>
          </w:p>
        </w:tc>
        <w:tc>
          <w:tcPr>
            <w:tcW w:w="8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(47,671)</w:t>
            </w:r>
          </w:p>
        </w:tc>
        <w:tc>
          <w:tcPr>
            <w:tcW w:w="8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(49,038)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common</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stockholders, basic and diluted</w:t>
            </w:r>
          </w:p>
        </w:tc>
        <w:tc>
          <w:tcPr>
            <w:tcW w:w="7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(0.37)</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(0.37)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(0.74)</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(0.75)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92"/>
              </w:rPr>
              <w:t>Weighted-average common shares outstanding,</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60"/>
              <w:spacing w:after="0"/>
              <w:rPr>
                <w:sz w:val="20"/>
                <w:szCs w:val="20"/>
                <w:color w:val="auto"/>
              </w:rPr>
            </w:pPr>
            <w:r>
              <w:rPr>
                <w:rFonts w:ascii="Arial" w:cs="Arial" w:eastAsia="Arial" w:hAnsi="Arial"/>
                <w:sz w:val="16"/>
                <w:szCs w:val="16"/>
                <w:color w:val="auto"/>
              </w:rPr>
              <w:t>basic and diluted</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63,762,625</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62,376,571</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63,654,348</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62,191,068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259"/>
          </w:cols>
          <w:pgMar w:left="1200" w:top="1440" w:right="1440" w:bottom="1440" w:gutter="0" w:footer="0" w:header="0"/>
        </w:sectPr>
      </w:pPr>
    </w:p>
    <w:bookmarkStart w:id="8" w:name="page9"/>
    <w:bookmarkEnd w:id="8"/>
    <w:p>
      <w:pPr>
        <w:spacing w:after="0" w:line="5"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Seer, Inc.</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229"/>
        </w:trPr>
        <w:tc>
          <w:tcPr>
            <w:tcW w:w="6400" w:type="dxa"/>
            <w:vAlign w:val="bottom"/>
          </w:tcPr>
          <w:p>
            <w:pPr>
              <w:spacing w:after="0"/>
              <w:rPr>
                <w:sz w:val="19"/>
                <w:szCs w:val="19"/>
                <w:color w:val="auto"/>
              </w:rPr>
            </w:pPr>
          </w:p>
        </w:tc>
        <w:tc>
          <w:tcPr>
            <w:tcW w:w="800" w:type="dxa"/>
            <w:vAlign w:val="bottom"/>
          </w:tcPr>
          <w:p>
            <w:pPr>
              <w:jc w:val="center"/>
              <w:ind w:left="428"/>
              <w:spacing w:after="0"/>
              <w:rPr>
                <w:sz w:val="20"/>
                <w:szCs w:val="20"/>
                <w:color w:val="auto"/>
              </w:rPr>
            </w:pPr>
            <w:r>
              <w:rPr>
                <w:rFonts w:ascii="Arial" w:cs="Arial" w:eastAsia="Arial" w:hAnsi="Arial"/>
                <w:sz w:val="14"/>
                <w:szCs w:val="14"/>
                <w:b w:val="1"/>
                <w:bCs w:val="1"/>
                <w:color w:val="auto"/>
                <w:w w:val="96"/>
              </w:rPr>
              <w:t>2023</w:t>
            </w:r>
          </w:p>
        </w:tc>
        <w:tc>
          <w:tcPr>
            <w:tcW w:w="5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
        </w:trPr>
        <w:tc>
          <w:tcPr>
            <w:tcW w:w="640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8"/>
        </w:trPr>
        <w:tc>
          <w:tcPr>
            <w:tcW w:w="640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64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56,404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40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263,805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368,031</w:t>
            </w:r>
          </w:p>
        </w:tc>
        <w:tc>
          <w:tcPr>
            <w:tcW w:w="100" w:type="dxa"/>
            <w:vAlign w:val="bottom"/>
          </w:tcPr>
          <w:p>
            <w:pPr>
              <w:spacing w:after="0"/>
              <w:rPr>
                <w:sz w:val="17"/>
                <w:szCs w:val="17"/>
                <w:color w:val="auto"/>
              </w:rPr>
            </w:pPr>
          </w:p>
        </w:tc>
      </w:tr>
      <w:tr>
        <w:trPr>
          <w:trHeight w:val="39"/>
        </w:trPr>
        <w:tc>
          <w:tcPr>
            <w:tcW w:w="6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400" w:type="dxa"/>
            <w:vAlign w:val="bottom"/>
          </w:tcPr>
          <w:p>
            <w:pPr>
              <w:ind w:left="240"/>
              <w:spacing w:after="0"/>
              <w:rPr>
                <w:sz w:val="20"/>
                <w:szCs w:val="20"/>
                <w:color w:val="auto"/>
              </w:rPr>
            </w:pPr>
            <w:r>
              <w:rPr>
                <w:rFonts w:ascii="Arial" w:cs="Arial" w:eastAsia="Arial" w:hAnsi="Arial"/>
                <w:sz w:val="14"/>
                <w:szCs w:val="14"/>
                <w:color w:val="auto"/>
              </w:rPr>
              <w:t>Related party receivables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1,804</w:t>
            </w:r>
          </w:p>
        </w:tc>
        <w:tc>
          <w:tcPr>
            <w:tcW w:w="100" w:type="dxa"/>
            <w:vAlign w:val="bottom"/>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receivables</w:t>
            </w: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4"/>
        </w:trPr>
        <w:tc>
          <w:tcPr>
            <w:tcW w:w="640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5,263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4,627</w:t>
            </w:r>
          </w:p>
        </w:tc>
        <w:tc>
          <w:tcPr>
            <w:tcW w:w="100" w:type="dxa"/>
            <w:vAlign w:val="bottom"/>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3,610</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3"/>
        </w:trPr>
        <w:tc>
          <w:tcPr>
            <w:tcW w:w="64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335,381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434,982</w:t>
            </w:r>
          </w:p>
        </w:tc>
        <w:tc>
          <w:tcPr>
            <w:tcW w:w="100" w:type="dxa"/>
            <w:vAlign w:val="bottom"/>
          </w:tcPr>
          <w:p>
            <w:pPr>
              <w:spacing w:after="0"/>
              <w:rPr>
                <w:sz w:val="17"/>
                <w:szCs w:val="17"/>
                <w:color w:val="auto"/>
              </w:rPr>
            </w:pPr>
          </w:p>
        </w:tc>
      </w:tr>
      <w:tr>
        <w:trPr>
          <w:trHeight w:val="39"/>
        </w:trPr>
        <w:tc>
          <w:tcPr>
            <w:tcW w:w="6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75,806</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26,363</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27,003</w:t>
            </w:r>
          </w:p>
        </w:tc>
        <w:tc>
          <w:tcPr>
            <w:tcW w:w="100" w:type="dxa"/>
            <w:vAlign w:val="bottom"/>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22,124</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7"/>
                <w:szCs w:val="17"/>
                <w:color w:val="auto"/>
              </w:rPr>
            </w:pPr>
          </w:p>
        </w:tc>
      </w:tr>
      <w:tr>
        <w:trPr>
          <w:trHeight w:val="26"/>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6"/>
        </w:trPr>
        <w:tc>
          <w:tcPr>
            <w:tcW w:w="64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461,195</w:t>
            </w: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487,929</w:t>
            </w:r>
          </w:p>
        </w:tc>
        <w:tc>
          <w:tcPr>
            <w:tcW w:w="100" w:type="dxa"/>
            <w:vAlign w:val="bottom"/>
          </w:tcPr>
          <w:p>
            <w:pPr>
              <w:spacing w:after="0"/>
              <w:rPr>
                <w:sz w:val="20"/>
                <w:szCs w:val="20"/>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69"/>
        </w:trPr>
        <w:tc>
          <w:tcPr>
            <w:tcW w:w="640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 AND STOCKHOLDERS’ EQUITY</w:t>
            </w:r>
          </w:p>
        </w:tc>
        <w:tc>
          <w:tcPr>
            <w:tcW w:w="8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
        </w:trPr>
        <w:tc>
          <w:tcPr>
            <w:tcW w:w="6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9"/>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40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7,929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8,298</w:t>
            </w:r>
          </w:p>
        </w:tc>
        <w:tc>
          <w:tcPr>
            <w:tcW w:w="100" w:type="dxa"/>
            <w:vAlign w:val="bottom"/>
          </w:tcPr>
          <w:p>
            <w:pPr>
              <w:spacing w:after="0"/>
              <w:rPr>
                <w:sz w:val="17"/>
                <w:szCs w:val="17"/>
                <w:color w:val="auto"/>
              </w:rPr>
            </w:pPr>
          </w:p>
        </w:tc>
      </w:tr>
      <w:tr>
        <w:trPr>
          <w:trHeight w:val="25"/>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4"/>
        </w:trPr>
        <w:tc>
          <w:tcPr>
            <w:tcW w:w="640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2,249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7"/>
                <w:szCs w:val="17"/>
                <w:color w:val="auto"/>
              </w:rPr>
            </w:pPr>
          </w:p>
        </w:tc>
      </w:tr>
      <w:tr>
        <w:trPr>
          <w:trHeight w:val="25"/>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8"/>
        </w:trPr>
        <w:tc>
          <w:tcPr>
            <w:tcW w:w="6400" w:type="dxa"/>
            <w:vAlign w:val="bottom"/>
            <w:tcBorders>
              <w:top w:val="single" w:sz="8" w:color="CCEEFF"/>
            </w:tcBorders>
          </w:tcPr>
          <w:p>
            <w:pPr>
              <w:ind w:left="440"/>
              <w:spacing w:after="0"/>
              <w:rPr>
                <w:sz w:val="20"/>
                <w:szCs w:val="20"/>
                <w:color w:val="auto"/>
              </w:rPr>
            </w:pPr>
            <w:r>
              <w:rPr>
                <w:rFonts w:ascii="Arial" w:cs="Arial" w:eastAsia="Arial" w:hAnsi="Arial"/>
                <w:sz w:val="14"/>
                <w:szCs w:val="14"/>
                <w:color w:val="auto"/>
              </w:rPr>
              <w:t>Total current liabilities</w:t>
            </w:r>
          </w:p>
        </w:tc>
        <w:tc>
          <w:tcPr>
            <w:tcW w:w="8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15,805</w:t>
            </w:r>
          </w:p>
        </w:tc>
        <w:tc>
          <w:tcPr>
            <w:tcW w:w="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12,584</w:t>
            </w:r>
          </w:p>
        </w:tc>
        <w:tc>
          <w:tcPr>
            <w:tcW w:w="100" w:type="dxa"/>
            <w:vAlign w:val="bottom"/>
            <w:tcBorders>
              <w:top w:val="single" w:sz="8" w:color="CCEEFF"/>
            </w:tcBorders>
          </w:tcPr>
          <w:p>
            <w:pPr>
              <w:spacing w:after="0"/>
              <w:rPr>
                <w:sz w:val="17"/>
                <w:szCs w:val="17"/>
                <w:color w:val="auto"/>
              </w:rPr>
            </w:pPr>
          </w:p>
        </w:tc>
      </w:tr>
      <w:tr>
        <w:trPr>
          <w:trHeight w:val="39"/>
        </w:trPr>
        <w:tc>
          <w:tcPr>
            <w:tcW w:w="6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1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27,096</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r>
      <w:tr>
        <w:trPr>
          <w:trHeight w:val="25"/>
        </w:trPr>
        <w:tc>
          <w:tcPr>
            <w:tcW w:w="6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40,936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4"/>
        </w:trPr>
        <w:tc>
          <w:tcPr>
            <w:tcW w:w="640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8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84"/>
        </w:trPr>
        <w:tc>
          <w:tcPr>
            <w:tcW w:w="6400" w:type="dxa"/>
            <w:vAlign w:val="bottom"/>
          </w:tcPr>
          <w:p>
            <w:pPr>
              <w:ind w:left="240"/>
              <w:spacing w:after="0"/>
              <w:rPr>
                <w:sz w:val="20"/>
                <w:szCs w:val="20"/>
                <w:color w:val="auto"/>
              </w:rPr>
            </w:pPr>
            <w:r>
              <w:rPr>
                <w:rFonts w:ascii="Arial" w:cs="Arial" w:eastAsia="Arial" w:hAnsi="Arial"/>
                <w:sz w:val="14"/>
                <w:szCs w:val="14"/>
                <w:color w:val="auto"/>
                <w:w w:val="93"/>
              </w:rPr>
              <w:t>Preferred stock, $0.00001 par value; 5,000,000 shares authorized as of June 30, 2023 and December 31,</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6400" w:type="dxa"/>
            <w:vAlign w:val="bottom"/>
          </w:tcPr>
          <w:p>
            <w:pPr>
              <w:ind w:left="400"/>
              <w:spacing w:after="0"/>
              <w:rPr>
                <w:sz w:val="20"/>
                <w:szCs w:val="20"/>
                <w:color w:val="auto"/>
              </w:rPr>
            </w:pPr>
            <w:r>
              <w:rPr>
                <w:rFonts w:ascii="Arial" w:cs="Arial" w:eastAsia="Arial" w:hAnsi="Arial"/>
                <w:sz w:val="14"/>
                <w:szCs w:val="14"/>
                <w:color w:val="auto"/>
              </w:rPr>
              <w:t>2022; zero shares issued and outstanding as of June 30, 2023 and December 31, 2022</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39"/>
        </w:trPr>
        <w:tc>
          <w:tcPr>
            <w:tcW w:w="6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45"/>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 $0.00001 par value; 94,000,000 shares authorized as of June 30, 2023 and</w:t>
            </w: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64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December 31, 2022; 59,884,629 and 59,366,077 shares issued and outstanding as of June 30, 2023 and</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2"/>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December 31, 2022, respectively</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84"/>
        </w:trPr>
        <w:tc>
          <w:tcPr>
            <w:tcW w:w="6400" w:type="dxa"/>
            <w:vAlign w:val="bottom"/>
          </w:tcPr>
          <w:p>
            <w:pPr>
              <w:ind w:left="240"/>
              <w:spacing w:after="0"/>
              <w:rPr>
                <w:sz w:val="20"/>
                <w:szCs w:val="20"/>
                <w:color w:val="auto"/>
              </w:rPr>
            </w:pPr>
            <w:r>
              <w:rPr>
                <w:rFonts w:ascii="Arial" w:cs="Arial" w:eastAsia="Arial" w:hAnsi="Arial"/>
                <w:sz w:val="14"/>
                <w:szCs w:val="14"/>
                <w:color w:val="auto"/>
              </w:rPr>
              <w:t>Class B common stock, $0.00001 par value; 6,000,000 shares authorized as of June 30, 2023 and</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0"/>
        </w:trPr>
        <w:tc>
          <w:tcPr>
            <w:tcW w:w="6400" w:type="dxa"/>
            <w:vAlign w:val="bottom"/>
          </w:tcPr>
          <w:p>
            <w:pPr>
              <w:ind w:left="400"/>
              <w:spacing w:after="0" w:line="141" w:lineRule="exact"/>
              <w:rPr>
                <w:sz w:val="20"/>
                <w:szCs w:val="20"/>
                <w:color w:val="auto"/>
              </w:rPr>
            </w:pPr>
            <w:r>
              <w:rPr>
                <w:rFonts w:ascii="Arial" w:cs="Arial" w:eastAsia="Arial" w:hAnsi="Arial"/>
                <w:sz w:val="14"/>
                <w:szCs w:val="14"/>
                <w:color w:val="auto"/>
                <w:w w:val="94"/>
              </w:rPr>
              <w:t>December 31, 2022; 4,044,969 shares issued and outstanding as of June 30, 2023 and December 31,</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4"/>
        </w:trPr>
        <w:tc>
          <w:tcPr>
            <w:tcW w:w="6400" w:type="dxa"/>
            <w:vAlign w:val="bottom"/>
          </w:tcPr>
          <w:p>
            <w:pPr>
              <w:ind w:left="400"/>
              <w:spacing w:after="0"/>
              <w:rPr>
                <w:sz w:val="20"/>
                <w:szCs w:val="20"/>
                <w:color w:val="auto"/>
              </w:rPr>
            </w:pPr>
            <w:r>
              <w:rPr>
                <w:rFonts w:ascii="Arial" w:cs="Arial" w:eastAsia="Arial" w:hAnsi="Arial"/>
                <w:sz w:val="14"/>
                <w:szCs w:val="14"/>
                <w:color w:val="auto"/>
              </w:rPr>
              <w:t>2022</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5"/>
        </w:trPr>
        <w:tc>
          <w:tcPr>
            <w:tcW w:w="6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686,537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667,739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40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(1,532)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17"/>
                <w:szCs w:val="17"/>
                <w:color w:val="auto"/>
              </w:rPr>
            </w:pPr>
          </w:p>
        </w:tc>
      </w:tr>
      <w:tr>
        <w:trPr>
          <w:trHeight w:val="39"/>
        </w:trPr>
        <w:tc>
          <w:tcPr>
            <w:tcW w:w="640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r>
      <w:tr>
        <w:trPr>
          <w:trHeight w:val="234"/>
        </w:trPr>
        <w:tc>
          <w:tcPr>
            <w:tcW w:w="6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(266,886)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(219,496)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7"/>
        </w:trPr>
        <w:tc>
          <w:tcPr>
            <w:tcW w:w="6400" w:type="dxa"/>
            <w:vAlign w:val="bottom"/>
            <w:tcBorders>
              <w:top w:val="single" w:sz="8" w:color="CCEEFF"/>
            </w:tcBorders>
          </w:tcPr>
          <w:p>
            <w:pPr>
              <w:ind w:left="440"/>
              <w:spacing w:after="0"/>
              <w:rPr>
                <w:sz w:val="20"/>
                <w:szCs w:val="20"/>
                <w:color w:val="auto"/>
              </w:rPr>
            </w:pPr>
            <w:r>
              <w:rPr>
                <w:rFonts w:ascii="Arial" w:cs="Arial" w:eastAsia="Arial" w:hAnsi="Arial"/>
                <w:sz w:val="14"/>
                <w:szCs w:val="14"/>
                <w:color w:val="auto"/>
              </w:rPr>
              <w:t>Total stockholders’ equity</w:t>
            </w:r>
          </w:p>
        </w:tc>
        <w:tc>
          <w:tcPr>
            <w:tcW w:w="8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418,120</w:t>
            </w: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446,993</w:t>
            </w:r>
          </w:p>
        </w:tc>
        <w:tc>
          <w:tcPr>
            <w:tcW w:w="100" w:type="dxa"/>
            <w:vAlign w:val="bottom"/>
            <w:tcBorders>
              <w:top w:val="single" w:sz="8" w:color="CCEEFF"/>
            </w:tcBorders>
          </w:tcPr>
          <w:p>
            <w:pPr>
              <w:spacing w:after="0"/>
              <w:rPr>
                <w:sz w:val="18"/>
                <w:szCs w:val="18"/>
                <w:color w:val="auto"/>
              </w:rPr>
            </w:pPr>
          </w:p>
        </w:tc>
      </w:tr>
      <w:tr>
        <w:trPr>
          <w:trHeight w:val="256"/>
        </w:trPr>
        <w:tc>
          <w:tcPr>
            <w:tcW w:w="64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461,195</w:t>
            </w: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487,929</w:t>
            </w:r>
          </w:p>
        </w:tc>
        <w:tc>
          <w:tcPr>
            <w:tcW w:w="100" w:type="dxa"/>
            <w:vAlign w:val="bottom"/>
            <w:shd w:val="clear" w:color="auto" w:fill="CCEEFF"/>
          </w:tcPr>
          <w:p>
            <w:pPr>
              <w:spacing w:after="0"/>
              <w:rPr>
                <w:sz w:val="22"/>
                <w:szCs w:val="22"/>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w:t>
      </w:r>
    </w:p>
    <w:sectPr>
      <w:pgSz w:w="11900" w:h="16838" w:orient="portrait"/>
      <w:cols w:equalWidth="0" w:num="1">
        <w:col w:w="9479"/>
      </w:cols>
      <w:pgMar w:left="98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2023-08-08T15:28:32Z</dcterms:created>
  <dcterms:modified xsi:type="dcterms:W3CDTF">2023-08-08T15:28:32Z</dcterms:modified>
</cp:coreProperties>
</file>