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13G/A</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(Name of Issuer)</w:t>
      </w: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81578P106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88265</wp:posOffset>
            </wp:positionV>
            <wp:extent cx="42862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(CUSIP Number)</w:t>
      </w: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88265</wp:posOffset>
            </wp:positionV>
            <wp:extent cx="4286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233" w:lineRule="exact"/>
        <w:rPr>
          <w:sz w:val="24"/>
          <w:szCs w:val="24"/>
          <w:color w:val="auto"/>
        </w:rPr>
      </w:pPr>
    </w:p>
    <w:p>
      <w:pPr>
        <w:ind w:left="3240"/>
        <w:spacing w:after="0"/>
        <w:rPr>
          <w:sz w:val="20"/>
          <w:szCs w:val="20"/>
          <w:color w:val="auto"/>
        </w:rPr>
      </w:pPr>
      <w:r>
        <w:rPr>
          <w:rFonts w:ascii="Arial" w:cs="Arial" w:eastAsia="Arial" w:hAnsi="Arial"/>
          <w:sz w:val="22"/>
          <w:szCs w:val="22"/>
          <w:color w:val="auto"/>
        </w:rPr>
        <w:t>(Date of Event which Requires Filing of this Statement)</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ind w:left="760" w:hanging="242"/>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87" w:lineRule="exact"/>
        <w:rPr>
          <w:rFonts w:ascii="MS PGothic" w:cs="MS PGothic" w:eastAsia="MS PGothic" w:hAnsi="MS PGothic"/>
          <w:sz w:val="22"/>
          <w:szCs w:val="22"/>
          <w:color w:val="auto"/>
        </w:rPr>
      </w:pPr>
    </w:p>
    <w:p>
      <w:pPr>
        <w:ind w:left="760" w:hanging="242"/>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87" w:lineRule="exact"/>
        <w:rPr>
          <w:sz w:val="24"/>
          <w:szCs w:val="24"/>
          <w:color w:val="auto"/>
        </w:rPr>
      </w:pPr>
    </w:p>
    <w:p>
      <w:pPr>
        <w:ind w:left="760" w:hanging="242"/>
        <w:spacing w:after="0"/>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87" w:lineRule="exact"/>
        <w:rPr>
          <w:sz w:val="24"/>
          <w:szCs w:val="24"/>
          <w:color w:val="auto"/>
        </w:rPr>
      </w:pPr>
    </w:p>
    <w:p>
      <w:pPr>
        <w:spacing w:after="0" w:line="266" w:lineRule="auto"/>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w:t>
            </w:r>
          </w:p>
        </w:tc>
        <w:tc>
          <w:tcPr>
            <w:tcW w:w="96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81578P106</w:t>
            </w:r>
          </w:p>
        </w:tc>
        <w:tc>
          <w:tcPr>
            <w:tcW w:w="2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w:t>
            </w:r>
          </w:p>
        </w:tc>
        <w:tc>
          <w:tcPr>
            <w:tcW w:w="9660" w:type="dxa"/>
            <w:vAlign w:val="bottom"/>
            <w:gridSpan w:val="3"/>
          </w:tcPr>
          <w:p>
            <w:pPr>
              <w:spacing w:after="0"/>
              <w:rPr>
                <w:sz w:val="20"/>
                <w:szCs w:val="20"/>
                <w:color w:val="auto"/>
              </w:rPr>
            </w:pPr>
            <w:r>
              <w:rPr>
                <w:rFonts w:ascii="Arial" w:cs="Arial" w:eastAsia="Arial" w:hAnsi="Arial"/>
                <w:sz w:val="18"/>
                <w:szCs w:val="18"/>
                <w:color w:val="auto"/>
              </w:rPr>
              <w:t>Names of Reporting Persons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aMoon Growth Fund Limited Partnership</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3</w:t>
            </w:r>
          </w:p>
        </w:tc>
        <w:tc>
          <w:tcPr>
            <w:tcW w:w="9660" w:type="dxa"/>
            <w:vAlign w:val="bottom"/>
            <w:gridSpan w:val="3"/>
            <w:shd w:val="clear" w:color="auto" w:fill="BFBFBF"/>
          </w:tcPr>
          <w:p>
            <w:pPr>
              <w:spacing w:after="0"/>
              <w:rPr>
                <w:sz w:val="20"/>
                <w:szCs w:val="20"/>
                <w:color w:val="auto"/>
              </w:rPr>
            </w:pPr>
            <w:r>
              <w:rPr>
                <w:rFonts w:ascii="Arial" w:cs="Arial" w:eastAsia="Arial" w:hAnsi="Arial"/>
                <w:sz w:val="18"/>
                <w:szCs w:val="18"/>
                <w:color w:val="auto"/>
              </w:rPr>
              <w:t>SEC Use Only</w:t>
            </w:r>
          </w:p>
        </w:tc>
        <w:tc>
          <w:tcPr>
            <w:tcW w:w="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74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2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74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96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Cayman Islands</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5</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6</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4,112,235</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98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7</w:t>
            </w:r>
          </w:p>
        </w:tc>
        <w:tc>
          <w:tcPr>
            <w:tcW w:w="8980" w:type="dxa"/>
            <w:vAlign w:val="bottom"/>
            <w:gridSpan w:val="2"/>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380" w:type="dxa"/>
            <w:vAlign w:val="bottom"/>
            <w:tcBorders>
              <w:left w:val="single" w:sz="8" w:color="auto"/>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680" w:type="dxa"/>
            <w:vAlign w:val="bottom"/>
            <w:tcBorders>
              <w:right w:val="single" w:sz="8" w:color="auto"/>
            </w:tcBorders>
            <w:vMerge w:val="continue"/>
          </w:tcPr>
          <w:p>
            <w:pPr>
              <w:spacing w:after="0"/>
              <w:rPr>
                <w:sz w:val="11"/>
                <w:szCs w:val="11"/>
                <w:color w:val="auto"/>
              </w:rPr>
            </w:pPr>
          </w:p>
        </w:tc>
        <w:tc>
          <w:tcPr>
            <w:tcW w:w="8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80" w:type="dxa"/>
            <w:vAlign w:val="bottom"/>
            <w:tcBorders>
              <w:left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8</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4,112,235</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96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4,112,235</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8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11</w:t>
            </w:r>
          </w:p>
        </w:tc>
        <w:tc>
          <w:tcPr>
            <w:tcW w:w="96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6.7%</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12</w:t>
            </w:r>
          </w:p>
        </w:tc>
        <w:tc>
          <w:tcPr>
            <w:tcW w:w="966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PN</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7"/>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w:t>
            </w:r>
          </w:p>
        </w:tc>
        <w:tc>
          <w:tcPr>
            <w:tcW w:w="96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81578P106</w:t>
            </w:r>
          </w:p>
        </w:tc>
        <w:tc>
          <w:tcPr>
            <w:tcW w:w="2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w:t>
            </w:r>
          </w:p>
        </w:tc>
        <w:tc>
          <w:tcPr>
            <w:tcW w:w="9660" w:type="dxa"/>
            <w:vAlign w:val="bottom"/>
            <w:gridSpan w:val="3"/>
          </w:tcPr>
          <w:p>
            <w:pPr>
              <w:spacing w:after="0"/>
              <w:rPr>
                <w:sz w:val="20"/>
                <w:szCs w:val="20"/>
                <w:color w:val="auto"/>
              </w:rPr>
            </w:pPr>
            <w:r>
              <w:rPr>
                <w:rFonts w:ascii="Arial" w:cs="Arial" w:eastAsia="Arial" w:hAnsi="Arial"/>
                <w:sz w:val="18"/>
                <w:szCs w:val="18"/>
                <w:color w:val="auto"/>
              </w:rPr>
              <w:t>Names of Reporting Persons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aMoon Co-Investment SPV I, L.P.</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3</w:t>
            </w:r>
          </w:p>
        </w:tc>
        <w:tc>
          <w:tcPr>
            <w:tcW w:w="9660" w:type="dxa"/>
            <w:vAlign w:val="bottom"/>
            <w:gridSpan w:val="3"/>
            <w:shd w:val="clear" w:color="auto" w:fill="BFBFBF"/>
          </w:tcPr>
          <w:p>
            <w:pPr>
              <w:spacing w:after="0"/>
              <w:rPr>
                <w:sz w:val="20"/>
                <w:szCs w:val="20"/>
                <w:color w:val="auto"/>
              </w:rPr>
            </w:pPr>
            <w:r>
              <w:rPr>
                <w:rFonts w:ascii="Arial" w:cs="Arial" w:eastAsia="Arial" w:hAnsi="Arial"/>
                <w:sz w:val="18"/>
                <w:szCs w:val="18"/>
                <w:color w:val="auto"/>
              </w:rPr>
              <w:t>SEC Use Only</w:t>
            </w:r>
          </w:p>
        </w:tc>
        <w:tc>
          <w:tcPr>
            <w:tcW w:w="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74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2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74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96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Cayman Islands</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5</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6</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810,961</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98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7</w:t>
            </w:r>
          </w:p>
        </w:tc>
        <w:tc>
          <w:tcPr>
            <w:tcW w:w="8980" w:type="dxa"/>
            <w:vAlign w:val="bottom"/>
            <w:gridSpan w:val="2"/>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380" w:type="dxa"/>
            <w:vAlign w:val="bottom"/>
            <w:tcBorders>
              <w:left w:val="single" w:sz="8" w:color="auto"/>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680" w:type="dxa"/>
            <w:vAlign w:val="bottom"/>
            <w:tcBorders>
              <w:right w:val="single" w:sz="8" w:color="auto"/>
            </w:tcBorders>
            <w:vMerge w:val="continue"/>
          </w:tcPr>
          <w:p>
            <w:pPr>
              <w:spacing w:after="0"/>
              <w:rPr>
                <w:sz w:val="11"/>
                <w:szCs w:val="11"/>
                <w:color w:val="auto"/>
              </w:rPr>
            </w:pPr>
          </w:p>
        </w:tc>
        <w:tc>
          <w:tcPr>
            <w:tcW w:w="8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80" w:type="dxa"/>
            <w:vAlign w:val="bottom"/>
            <w:tcBorders>
              <w:left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8</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810,961</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96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8"/>
              </w:rPr>
              <w:t>810,961</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8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11</w:t>
            </w:r>
          </w:p>
        </w:tc>
        <w:tc>
          <w:tcPr>
            <w:tcW w:w="96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1.3%</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12</w:t>
            </w:r>
          </w:p>
        </w:tc>
        <w:tc>
          <w:tcPr>
            <w:tcW w:w="966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PN</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7"/>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w:t>
            </w:r>
          </w:p>
        </w:tc>
        <w:tc>
          <w:tcPr>
            <w:tcW w:w="96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81578P106</w:t>
            </w:r>
          </w:p>
        </w:tc>
        <w:tc>
          <w:tcPr>
            <w:tcW w:w="2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w:t>
            </w:r>
          </w:p>
        </w:tc>
        <w:tc>
          <w:tcPr>
            <w:tcW w:w="9660" w:type="dxa"/>
            <w:vAlign w:val="bottom"/>
            <w:gridSpan w:val="3"/>
          </w:tcPr>
          <w:p>
            <w:pPr>
              <w:spacing w:after="0"/>
              <w:rPr>
                <w:sz w:val="20"/>
                <w:szCs w:val="20"/>
                <w:color w:val="auto"/>
              </w:rPr>
            </w:pPr>
            <w:r>
              <w:rPr>
                <w:rFonts w:ascii="Arial" w:cs="Arial" w:eastAsia="Arial" w:hAnsi="Arial"/>
                <w:sz w:val="18"/>
                <w:szCs w:val="18"/>
                <w:color w:val="auto"/>
              </w:rPr>
              <w:t>Names of Reporting Persons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aMoon Growth Fund G.P. Limited Partnership</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3</w:t>
            </w:r>
          </w:p>
        </w:tc>
        <w:tc>
          <w:tcPr>
            <w:tcW w:w="9660" w:type="dxa"/>
            <w:vAlign w:val="bottom"/>
            <w:gridSpan w:val="3"/>
            <w:shd w:val="clear" w:color="auto" w:fill="BFBFBF"/>
          </w:tcPr>
          <w:p>
            <w:pPr>
              <w:spacing w:after="0"/>
              <w:rPr>
                <w:sz w:val="20"/>
                <w:szCs w:val="20"/>
                <w:color w:val="auto"/>
              </w:rPr>
            </w:pPr>
            <w:r>
              <w:rPr>
                <w:rFonts w:ascii="Arial" w:cs="Arial" w:eastAsia="Arial" w:hAnsi="Arial"/>
                <w:sz w:val="18"/>
                <w:szCs w:val="18"/>
                <w:color w:val="auto"/>
              </w:rPr>
              <w:t>SEC Use Only</w:t>
            </w:r>
          </w:p>
        </w:tc>
        <w:tc>
          <w:tcPr>
            <w:tcW w:w="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74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2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74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96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Israel</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5</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6</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4,923,196</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98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7</w:t>
            </w:r>
          </w:p>
        </w:tc>
        <w:tc>
          <w:tcPr>
            <w:tcW w:w="8980" w:type="dxa"/>
            <w:vAlign w:val="bottom"/>
            <w:gridSpan w:val="2"/>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380" w:type="dxa"/>
            <w:vAlign w:val="bottom"/>
            <w:tcBorders>
              <w:left w:val="single" w:sz="8" w:color="auto"/>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680" w:type="dxa"/>
            <w:vAlign w:val="bottom"/>
            <w:tcBorders>
              <w:right w:val="single" w:sz="8" w:color="auto"/>
            </w:tcBorders>
            <w:vMerge w:val="continue"/>
          </w:tcPr>
          <w:p>
            <w:pPr>
              <w:spacing w:after="0"/>
              <w:rPr>
                <w:sz w:val="11"/>
                <w:szCs w:val="11"/>
                <w:color w:val="auto"/>
              </w:rPr>
            </w:pPr>
          </w:p>
        </w:tc>
        <w:tc>
          <w:tcPr>
            <w:tcW w:w="8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80" w:type="dxa"/>
            <w:vAlign w:val="bottom"/>
            <w:tcBorders>
              <w:left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8</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4,923,196</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96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4,923,196</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8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11</w:t>
            </w:r>
          </w:p>
        </w:tc>
        <w:tc>
          <w:tcPr>
            <w:tcW w:w="96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8.0%</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12</w:t>
            </w:r>
          </w:p>
        </w:tc>
        <w:tc>
          <w:tcPr>
            <w:tcW w:w="966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PN</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7"/>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w:t>
            </w:r>
          </w:p>
        </w:tc>
        <w:tc>
          <w:tcPr>
            <w:tcW w:w="96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81578P106</w:t>
            </w:r>
          </w:p>
        </w:tc>
        <w:tc>
          <w:tcPr>
            <w:tcW w:w="2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w:t>
            </w:r>
          </w:p>
        </w:tc>
        <w:tc>
          <w:tcPr>
            <w:tcW w:w="9660" w:type="dxa"/>
            <w:vAlign w:val="bottom"/>
            <w:gridSpan w:val="3"/>
          </w:tcPr>
          <w:p>
            <w:pPr>
              <w:spacing w:after="0"/>
              <w:rPr>
                <w:sz w:val="20"/>
                <w:szCs w:val="20"/>
                <w:color w:val="auto"/>
              </w:rPr>
            </w:pPr>
            <w:r>
              <w:rPr>
                <w:rFonts w:ascii="Arial" w:cs="Arial" w:eastAsia="Arial" w:hAnsi="Arial"/>
                <w:sz w:val="18"/>
                <w:szCs w:val="18"/>
                <w:color w:val="auto"/>
              </w:rPr>
              <w:t>Names of Reporting Persons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aMoon General Partner Ltd.</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3</w:t>
            </w:r>
          </w:p>
        </w:tc>
        <w:tc>
          <w:tcPr>
            <w:tcW w:w="9660" w:type="dxa"/>
            <w:vAlign w:val="bottom"/>
            <w:gridSpan w:val="3"/>
            <w:shd w:val="clear" w:color="auto" w:fill="BFBFBF"/>
          </w:tcPr>
          <w:p>
            <w:pPr>
              <w:spacing w:after="0"/>
              <w:rPr>
                <w:sz w:val="20"/>
                <w:szCs w:val="20"/>
                <w:color w:val="auto"/>
              </w:rPr>
            </w:pPr>
            <w:r>
              <w:rPr>
                <w:rFonts w:ascii="Arial" w:cs="Arial" w:eastAsia="Arial" w:hAnsi="Arial"/>
                <w:sz w:val="18"/>
                <w:szCs w:val="18"/>
                <w:color w:val="auto"/>
              </w:rPr>
              <w:t>SEC Use Only</w:t>
            </w:r>
          </w:p>
        </w:tc>
        <w:tc>
          <w:tcPr>
            <w:tcW w:w="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74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2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74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96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Israel</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5</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6</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4,923,196</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98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7</w:t>
            </w:r>
          </w:p>
        </w:tc>
        <w:tc>
          <w:tcPr>
            <w:tcW w:w="8980" w:type="dxa"/>
            <w:vAlign w:val="bottom"/>
            <w:gridSpan w:val="2"/>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380" w:type="dxa"/>
            <w:vAlign w:val="bottom"/>
            <w:tcBorders>
              <w:left w:val="single" w:sz="8" w:color="auto"/>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680" w:type="dxa"/>
            <w:vAlign w:val="bottom"/>
            <w:tcBorders>
              <w:right w:val="single" w:sz="8" w:color="auto"/>
            </w:tcBorders>
            <w:vMerge w:val="continue"/>
          </w:tcPr>
          <w:p>
            <w:pPr>
              <w:spacing w:after="0"/>
              <w:rPr>
                <w:sz w:val="11"/>
                <w:szCs w:val="11"/>
                <w:color w:val="auto"/>
              </w:rPr>
            </w:pPr>
          </w:p>
        </w:tc>
        <w:tc>
          <w:tcPr>
            <w:tcW w:w="8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80" w:type="dxa"/>
            <w:vAlign w:val="bottom"/>
            <w:tcBorders>
              <w:left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8</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4,923,196</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96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4,923,196</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8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11</w:t>
            </w:r>
          </w:p>
        </w:tc>
        <w:tc>
          <w:tcPr>
            <w:tcW w:w="96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8.0%</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12</w:t>
            </w:r>
          </w:p>
        </w:tc>
        <w:tc>
          <w:tcPr>
            <w:tcW w:w="966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CO</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7"/>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w:t>
            </w:r>
          </w:p>
        </w:tc>
        <w:tc>
          <w:tcPr>
            <w:tcW w:w="96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81578P106</w:t>
            </w:r>
          </w:p>
        </w:tc>
        <w:tc>
          <w:tcPr>
            <w:tcW w:w="2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w:t>
            </w:r>
          </w:p>
        </w:tc>
        <w:tc>
          <w:tcPr>
            <w:tcW w:w="9660" w:type="dxa"/>
            <w:vAlign w:val="bottom"/>
            <w:gridSpan w:val="3"/>
          </w:tcPr>
          <w:p>
            <w:pPr>
              <w:spacing w:after="0"/>
              <w:rPr>
                <w:sz w:val="20"/>
                <w:szCs w:val="20"/>
                <w:color w:val="auto"/>
              </w:rPr>
            </w:pPr>
            <w:r>
              <w:rPr>
                <w:rFonts w:ascii="Arial" w:cs="Arial" w:eastAsia="Arial" w:hAnsi="Arial"/>
                <w:sz w:val="18"/>
                <w:szCs w:val="18"/>
                <w:color w:val="auto"/>
              </w:rPr>
              <w:t>Names of Reporting Persons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Dr. Yair C. Schindel</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3</w:t>
            </w:r>
          </w:p>
        </w:tc>
        <w:tc>
          <w:tcPr>
            <w:tcW w:w="9660" w:type="dxa"/>
            <w:vAlign w:val="bottom"/>
            <w:gridSpan w:val="3"/>
            <w:shd w:val="clear" w:color="auto" w:fill="BFBFBF"/>
          </w:tcPr>
          <w:p>
            <w:pPr>
              <w:spacing w:after="0"/>
              <w:rPr>
                <w:sz w:val="20"/>
                <w:szCs w:val="20"/>
                <w:color w:val="auto"/>
              </w:rPr>
            </w:pPr>
            <w:r>
              <w:rPr>
                <w:rFonts w:ascii="Arial" w:cs="Arial" w:eastAsia="Arial" w:hAnsi="Arial"/>
                <w:sz w:val="18"/>
                <w:szCs w:val="18"/>
                <w:color w:val="auto"/>
              </w:rPr>
              <w:t>SEC Use Only</w:t>
            </w:r>
          </w:p>
        </w:tc>
        <w:tc>
          <w:tcPr>
            <w:tcW w:w="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740" w:type="dxa"/>
            <w:vAlign w:val="bottom"/>
            <w:shd w:val="clear" w:color="auto" w:fill="BFBFBF"/>
          </w:tcPr>
          <w:p>
            <w:pPr>
              <w:spacing w:after="0"/>
              <w:rPr>
                <w:sz w:val="24"/>
                <w:szCs w:val="24"/>
                <w:color w:val="auto"/>
              </w:rPr>
            </w:pPr>
          </w:p>
        </w:tc>
        <w:tc>
          <w:tcPr>
            <w:tcW w:w="240" w:type="dxa"/>
            <w:vAlign w:val="bottom"/>
            <w:shd w:val="clear" w:color="auto" w:fill="BFBFBF"/>
          </w:tcPr>
          <w:p>
            <w:pPr>
              <w:spacing w:after="0"/>
              <w:rPr>
                <w:sz w:val="24"/>
                <w:szCs w:val="24"/>
                <w:color w:val="auto"/>
              </w:rPr>
            </w:pPr>
          </w:p>
        </w:tc>
        <w:tc>
          <w:tcPr>
            <w:tcW w:w="2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74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tcBorders>
            <w:shd w:val="clear" w:color="auto" w:fill="BFBFBF"/>
          </w:tcPr>
          <w:p>
            <w:pPr>
              <w:spacing w:after="0"/>
              <w:rPr>
                <w:sz w:val="23"/>
                <w:szCs w:val="23"/>
                <w:color w:val="auto"/>
              </w:rPr>
            </w:pPr>
          </w:p>
        </w:tc>
        <w:tc>
          <w:tcPr>
            <w:tcW w:w="2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966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Israel</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5</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6</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4,923,196</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98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7</w:t>
            </w:r>
          </w:p>
        </w:tc>
        <w:tc>
          <w:tcPr>
            <w:tcW w:w="8980" w:type="dxa"/>
            <w:vAlign w:val="bottom"/>
            <w:gridSpan w:val="2"/>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380" w:type="dxa"/>
            <w:vAlign w:val="bottom"/>
            <w:tcBorders>
              <w:left w:val="single" w:sz="8" w:color="auto"/>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vMerge w:val="continue"/>
          </w:tcPr>
          <w:p>
            <w:pPr>
              <w:spacing w:after="0"/>
              <w:rPr>
                <w:sz w:val="18"/>
                <w:szCs w:val="18"/>
                <w:color w:val="auto"/>
              </w:rPr>
            </w:pPr>
          </w:p>
        </w:tc>
        <w:tc>
          <w:tcPr>
            <w:tcW w:w="87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680" w:type="dxa"/>
            <w:vAlign w:val="bottom"/>
            <w:tcBorders>
              <w:right w:val="single" w:sz="8" w:color="auto"/>
            </w:tcBorders>
            <w:vMerge w:val="continue"/>
          </w:tcPr>
          <w:p>
            <w:pPr>
              <w:spacing w:after="0"/>
              <w:rPr>
                <w:sz w:val="11"/>
                <w:szCs w:val="11"/>
                <w:color w:val="auto"/>
              </w:rPr>
            </w:pPr>
          </w:p>
        </w:tc>
        <w:tc>
          <w:tcPr>
            <w:tcW w:w="8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38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380" w:type="dxa"/>
            <w:vAlign w:val="bottom"/>
            <w:tcBorders>
              <w:left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680" w:type="dxa"/>
            <w:vAlign w:val="bottom"/>
            <w:tcBorders>
              <w:right w:val="single" w:sz="8" w:color="auto"/>
            </w:tcBorders>
            <w:vMerge w:val="restart"/>
          </w:tcPr>
          <w:p>
            <w:pPr>
              <w:ind w:left="240"/>
              <w:spacing w:after="0"/>
              <w:rPr>
                <w:sz w:val="20"/>
                <w:szCs w:val="20"/>
                <w:color w:val="auto"/>
              </w:rPr>
            </w:pPr>
            <w:r>
              <w:rPr>
                <w:rFonts w:ascii="Arial" w:cs="Arial" w:eastAsia="Arial" w:hAnsi="Arial"/>
                <w:sz w:val="32"/>
                <w:szCs w:val="32"/>
                <w:color w:val="auto"/>
              </w:rPr>
              <w:t>8</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40" w:type="dxa"/>
            <w:vAlign w:val="bottom"/>
          </w:tcPr>
          <w:p>
            <w:pPr>
              <w:ind w:left="40"/>
              <w:spacing w:after="0"/>
              <w:rPr>
                <w:sz w:val="20"/>
                <w:szCs w:val="20"/>
                <w:color w:val="auto"/>
              </w:rPr>
            </w:pPr>
            <w:r>
              <w:rPr>
                <w:rFonts w:ascii="Arial" w:cs="Arial" w:eastAsia="Arial" w:hAnsi="Arial"/>
                <w:sz w:val="18"/>
                <w:szCs w:val="18"/>
                <w:color w:val="auto"/>
              </w:rPr>
              <w:t>4,923,196</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96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4,923,196</w:t>
            </w: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9660" w:type="dxa"/>
            <w:vAlign w:val="bottom"/>
            <w:gridSpan w:val="3"/>
          </w:tcPr>
          <w:p>
            <w:pPr>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8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11</w:t>
            </w:r>
          </w:p>
        </w:tc>
        <w:tc>
          <w:tcPr>
            <w:tcW w:w="96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8.0%</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12</w:t>
            </w:r>
          </w:p>
        </w:tc>
        <w:tc>
          <w:tcPr>
            <w:tcW w:w="9660" w:type="dxa"/>
            <w:vAlign w:val="bottom"/>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IN</w:t>
            </w:r>
          </w:p>
        </w:tc>
        <w:tc>
          <w:tcPr>
            <w:tcW w:w="8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211" w:lineRule="exact"/>
        <w:rPr>
          <w:sz w:val="20"/>
          <w:szCs w:val="20"/>
          <w:color w:val="auto"/>
        </w:rPr>
      </w:pPr>
    </w:p>
    <w:p>
      <w:pPr>
        <w:sectPr>
          <w:pgSz w:w="11900" w:h="16838" w:orient="portrait"/>
          <w:cols w:equalWidth="0" w:num="2">
            <w:col w:w="720" w:space="580"/>
            <w:col w:w="9900"/>
          </w:cols>
          <w:pgMar w:left="320" w:top="661" w:right="379" w:bottom="1440" w:gutter="0" w:footer="0" w:header="0"/>
        </w:sectPr>
      </w:pPr>
    </w:p>
    <w:p>
      <w:pPr>
        <w:spacing w:after="0" w:line="10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Seer, Inc. (the “Issuer”).</w:t>
      </w:r>
    </w:p>
    <w:p>
      <w:pPr>
        <w:sectPr>
          <w:pgSz w:w="11900" w:h="16838" w:orient="portrait"/>
          <w:cols w:equalWidth="0" w:num="1">
            <w:col w:w="11200"/>
          </w:cols>
          <w:pgMar w:left="320" w:top="661" w:right="379" w:bottom="1440" w:gutter="0" w:footer="0" w:header="0"/>
          <w:type w:val="continuous"/>
        </w:sect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211" w:lineRule="exact"/>
        <w:rPr>
          <w:sz w:val="20"/>
          <w:szCs w:val="20"/>
          <w:color w:val="auto"/>
        </w:rPr>
      </w:pPr>
    </w:p>
    <w:p>
      <w:pPr>
        <w:sectPr>
          <w:pgSz w:w="11900" w:h="16838" w:orient="portrait"/>
          <w:cols w:equalWidth="0" w:num="2">
            <w:col w:w="720" w:space="580"/>
            <w:col w:w="9900"/>
          </w:cols>
          <w:pgMar w:left="320" w:top="661" w:right="379" w:bottom="1440" w:gutter="0" w:footer="0" w:header="0"/>
          <w:type w:val="continuous"/>
        </w:sectPr>
      </w:pPr>
    </w:p>
    <w:p>
      <w:pPr>
        <w:spacing w:after="0" w:line="1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3800 Bridge Parkway, Suite 102, Redwood City, California 94065</w:t>
      </w:r>
    </w:p>
    <w:p>
      <w:pPr>
        <w:spacing w:after="0" w:line="2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2(a)-(b)</w:t>
      </w:r>
      <w:r>
        <w:rPr>
          <w:sz w:val="20"/>
          <w:szCs w:val="20"/>
          <w:color w:val="auto"/>
        </w:rPr>
        <w:tab/>
      </w:r>
      <w:r>
        <w:rPr>
          <w:rFonts w:ascii="Arial" w:cs="Arial" w:eastAsia="Arial" w:hAnsi="Arial"/>
          <w:sz w:val="15"/>
          <w:szCs w:val="15"/>
          <w:b w:val="1"/>
          <w:bCs w:val="1"/>
          <w:color w:val="auto"/>
        </w:rPr>
        <w:t>Name of Person Filing; Address of Principal Business Office or, if none, Residence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1.</w:t>
            </w:r>
          </w:p>
        </w:tc>
        <w:tc>
          <w:tcPr>
            <w:tcW w:w="9580" w:type="dxa"/>
            <w:vAlign w:val="bottom"/>
            <w:gridSpan w:val="2"/>
          </w:tcPr>
          <w:p>
            <w:pPr>
              <w:spacing w:after="0"/>
              <w:rPr>
                <w:sz w:val="20"/>
                <w:szCs w:val="20"/>
                <w:color w:val="auto"/>
              </w:rPr>
            </w:pPr>
            <w:r>
              <w:rPr>
                <w:rFonts w:ascii="Arial" w:cs="Arial" w:eastAsia="Arial" w:hAnsi="Arial"/>
                <w:sz w:val="18"/>
                <w:szCs w:val="18"/>
                <w:color w:val="auto"/>
                <w:w w:val="97"/>
              </w:rPr>
              <w:t>aMoon Growth Fund Limited Partnership (“aMoon”), 34 Yerushalaim Rd, Beit Gamla, 6th Floor, Ra’anana, 4350110, Israel.</w:t>
            </w:r>
          </w:p>
        </w:tc>
      </w:tr>
      <w:tr>
        <w:trPr>
          <w:trHeight w:val="486"/>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2.</w:t>
            </w:r>
          </w:p>
        </w:tc>
        <w:tc>
          <w:tcPr>
            <w:tcW w:w="9580" w:type="dxa"/>
            <w:vAlign w:val="bottom"/>
            <w:gridSpan w:val="2"/>
          </w:tcPr>
          <w:p>
            <w:pPr>
              <w:spacing w:after="0"/>
              <w:rPr>
                <w:sz w:val="20"/>
                <w:szCs w:val="20"/>
                <w:color w:val="auto"/>
              </w:rPr>
            </w:pPr>
            <w:r>
              <w:rPr>
                <w:rFonts w:ascii="Arial" w:cs="Arial" w:eastAsia="Arial" w:hAnsi="Arial"/>
                <w:sz w:val="18"/>
                <w:szCs w:val="18"/>
                <w:color w:val="auto"/>
                <w:w w:val="91"/>
              </w:rPr>
              <w:t>aMoon Co-Investment SPV I, L.P. (“aMoon Co-Investment”), 34 Yerushalaim Rd, Beit Gamla, 6th Floor, Ra’anana, 4350110, Israel.</w:t>
            </w:r>
          </w:p>
        </w:tc>
      </w:tr>
      <w:tr>
        <w:trPr>
          <w:trHeight w:val="472"/>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3.</w:t>
            </w:r>
          </w:p>
        </w:tc>
        <w:tc>
          <w:tcPr>
            <w:tcW w:w="9580" w:type="dxa"/>
            <w:vAlign w:val="bottom"/>
            <w:gridSpan w:val="2"/>
          </w:tcPr>
          <w:p>
            <w:pPr>
              <w:spacing w:after="0"/>
              <w:rPr>
                <w:sz w:val="20"/>
                <w:szCs w:val="20"/>
                <w:color w:val="auto"/>
              </w:rPr>
            </w:pPr>
            <w:r>
              <w:rPr>
                <w:rFonts w:ascii="Arial" w:cs="Arial" w:eastAsia="Arial" w:hAnsi="Arial"/>
                <w:sz w:val="18"/>
                <w:szCs w:val="18"/>
                <w:color w:val="auto"/>
                <w:w w:val="95"/>
              </w:rPr>
              <w:t>aMoon Growth Fund G.P. Limited Partnership (“aMoon G.P.”), 34 Yerushalaim Rd, Beit Gamla, 6th Floor, Ra’anana, 4350110,</w:t>
            </w:r>
          </w:p>
        </w:tc>
      </w:tr>
      <w:tr>
        <w:trPr>
          <w:trHeight w:val="230"/>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486"/>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4.</w:t>
            </w:r>
          </w:p>
        </w:tc>
        <w:tc>
          <w:tcPr>
            <w:tcW w:w="9580" w:type="dxa"/>
            <w:vAlign w:val="bottom"/>
            <w:gridSpan w:val="2"/>
          </w:tcPr>
          <w:p>
            <w:pPr>
              <w:spacing w:after="0"/>
              <w:rPr>
                <w:sz w:val="20"/>
                <w:szCs w:val="20"/>
                <w:color w:val="auto"/>
              </w:rPr>
            </w:pPr>
            <w:r>
              <w:rPr>
                <w:rFonts w:ascii="Arial" w:cs="Arial" w:eastAsia="Arial" w:hAnsi="Arial"/>
                <w:sz w:val="18"/>
                <w:szCs w:val="18"/>
                <w:color w:val="auto"/>
              </w:rPr>
              <w:t>aMoon General Partner Ltd. (“aMoon Ltd.”), 34 Yerushalaim Rd, Beit Gamla, 6th Floor, Ra’anana, 4350110, Israel.</w:t>
            </w:r>
          </w:p>
        </w:tc>
      </w:tr>
      <w:tr>
        <w:trPr>
          <w:trHeight w:val="486"/>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5.</w:t>
            </w:r>
          </w:p>
        </w:tc>
        <w:tc>
          <w:tcPr>
            <w:tcW w:w="9580" w:type="dxa"/>
            <w:vAlign w:val="bottom"/>
            <w:gridSpan w:val="2"/>
          </w:tcPr>
          <w:p>
            <w:pPr>
              <w:spacing w:after="0"/>
              <w:rPr>
                <w:sz w:val="20"/>
                <w:szCs w:val="20"/>
                <w:color w:val="auto"/>
              </w:rPr>
            </w:pPr>
            <w:r>
              <w:rPr>
                <w:rFonts w:ascii="Arial" w:cs="Arial" w:eastAsia="Arial" w:hAnsi="Arial"/>
                <w:sz w:val="18"/>
                <w:szCs w:val="18"/>
                <w:color w:val="auto"/>
              </w:rPr>
              <w:t>Dr. Yair C. Schindel (“Schindel”), 34 Yerushalaim Rd, Beit Gamla, 6th Floor, Ra’anana, 4350110, Israel.</w:t>
            </w:r>
          </w:p>
        </w:tc>
      </w:tr>
      <w:tr>
        <w:trPr>
          <w:trHeight w:val="537"/>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Arial" w:cs="Arial" w:eastAsia="Arial" w:hAnsi="Arial"/>
                <w:sz w:val="22"/>
                <w:szCs w:val="22"/>
                <w:color w:val="auto"/>
              </w:rPr>
              <w:t>The foregoing persons are hereinafter collectively referred to as the “Reporting Persons”.</w:t>
            </w:r>
          </w:p>
        </w:tc>
      </w:tr>
      <w:tr>
        <w:trPr>
          <w:trHeight w:val="48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00" w:type="dxa"/>
            <w:vAlign w:val="bottom"/>
            <w:gridSpan w:val="3"/>
          </w:tcPr>
          <w:p>
            <w:pPr>
              <w:ind w:left="300"/>
              <w:spacing w:after="0"/>
              <w:rPr>
                <w:sz w:val="20"/>
                <w:szCs w:val="20"/>
                <w:color w:val="auto"/>
              </w:rPr>
            </w:pPr>
            <w:r>
              <w:rPr>
                <w:rFonts w:ascii="Arial" w:cs="Arial" w:eastAsia="Arial" w:hAnsi="Arial"/>
                <w:sz w:val="18"/>
                <w:szCs w:val="18"/>
                <w:b w:val="1"/>
                <w:bCs w:val="1"/>
                <w:color w:val="auto"/>
              </w:rPr>
              <w:t>Citizenship</w:t>
            </w:r>
          </w:p>
        </w:tc>
      </w:tr>
      <w:tr>
        <w:trPr>
          <w:trHeight w:val="532"/>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Arial" w:cs="Arial" w:eastAsia="Arial" w:hAnsi="Arial"/>
                <w:sz w:val="22"/>
                <w:szCs w:val="22"/>
                <w:color w:val="auto"/>
                <w:w w:val="90"/>
              </w:rPr>
              <w:t>aMoon is a Cayman Islands exempted limited partnership; aMoon Co-Investment is a Cayman Islands exempted</w:t>
            </w:r>
          </w:p>
        </w:tc>
      </w:tr>
      <w:tr>
        <w:trPr>
          <w:trHeight w:val="270"/>
        </w:trPr>
        <w:tc>
          <w:tcPr>
            <w:tcW w:w="1000" w:type="dxa"/>
            <w:vAlign w:val="bottom"/>
          </w:tcPr>
          <w:p>
            <w:pPr>
              <w:spacing w:after="0"/>
              <w:rPr>
                <w:sz w:val="23"/>
                <w:szCs w:val="23"/>
                <w:color w:val="auto"/>
              </w:rPr>
            </w:pPr>
          </w:p>
        </w:tc>
        <w:tc>
          <w:tcPr>
            <w:tcW w:w="10200" w:type="dxa"/>
            <w:vAlign w:val="bottom"/>
            <w:gridSpan w:val="3"/>
          </w:tcPr>
          <w:p>
            <w:pPr>
              <w:ind w:left="300"/>
              <w:spacing w:after="0"/>
              <w:rPr>
                <w:sz w:val="20"/>
                <w:szCs w:val="20"/>
                <w:color w:val="auto"/>
              </w:rPr>
            </w:pPr>
            <w:r>
              <w:rPr>
                <w:rFonts w:ascii="Arial" w:cs="Arial" w:eastAsia="Arial" w:hAnsi="Arial"/>
                <w:sz w:val="22"/>
                <w:szCs w:val="22"/>
                <w:color w:val="auto"/>
                <w:w w:val="90"/>
              </w:rPr>
              <w:t>limited partnership; aMoon G.P. is an Israeli limited partnership; aMoon Ltd. is an Israeli company; and Schindel</w:t>
            </w:r>
          </w:p>
        </w:tc>
      </w:tr>
      <w:tr>
        <w:trPr>
          <w:trHeight w:val="274"/>
        </w:trPr>
        <w:tc>
          <w:tcPr>
            <w:tcW w:w="1000" w:type="dxa"/>
            <w:vAlign w:val="bottom"/>
          </w:tcPr>
          <w:p>
            <w:pPr>
              <w:spacing w:after="0"/>
              <w:rPr>
                <w:sz w:val="23"/>
                <w:szCs w:val="23"/>
                <w:color w:val="auto"/>
              </w:rPr>
            </w:pPr>
          </w:p>
        </w:tc>
        <w:tc>
          <w:tcPr>
            <w:tcW w:w="10200" w:type="dxa"/>
            <w:vAlign w:val="bottom"/>
            <w:gridSpan w:val="3"/>
          </w:tcPr>
          <w:p>
            <w:pPr>
              <w:ind w:left="300"/>
              <w:spacing w:after="0"/>
              <w:rPr>
                <w:sz w:val="20"/>
                <w:szCs w:val="20"/>
                <w:color w:val="auto"/>
              </w:rPr>
            </w:pPr>
            <w:r>
              <w:rPr>
                <w:rFonts w:ascii="Arial" w:cs="Arial" w:eastAsia="Arial" w:hAnsi="Arial"/>
                <w:sz w:val="22"/>
                <w:szCs w:val="22"/>
                <w:color w:val="auto"/>
              </w:rPr>
              <w:t>is an Israeli citizen.</w:t>
            </w:r>
          </w:p>
        </w:tc>
      </w:tr>
      <w:tr>
        <w:trPr>
          <w:trHeight w:val="48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00" w:type="dxa"/>
            <w:vAlign w:val="bottom"/>
            <w:gridSpan w:val="3"/>
          </w:tcPr>
          <w:p>
            <w:pPr>
              <w:ind w:left="300"/>
              <w:spacing w:after="0"/>
              <w:rPr>
                <w:sz w:val="20"/>
                <w:szCs w:val="20"/>
                <w:color w:val="auto"/>
              </w:rPr>
            </w:pPr>
            <w:r>
              <w:rPr>
                <w:rFonts w:ascii="Arial" w:cs="Arial" w:eastAsia="Arial" w:hAnsi="Arial"/>
                <w:sz w:val="18"/>
                <w:szCs w:val="18"/>
                <w:b w:val="1"/>
                <w:bCs w:val="1"/>
                <w:color w:val="auto"/>
              </w:rPr>
              <w:t>Title of Class of Securities</w:t>
            </w:r>
          </w:p>
        </w:tc>
      </w:tr>
      <w:tr>
        <w:trPr>
          <w:trHeight w:val="537"/>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Arial" w:cs="Arial" w:eastAsia="Arial" w:hAnsi="Arial"/>
                <w:sz w:val="22"/>
                <w:szCs w:val="22"/>
                <w:color w:val="auto"/>
              </w:rPr>
              <w:t>Class A Common Stock, par value $0.001 per share</w:t>
            </w:r>
          </w:p>
        </w:tc>
      </w:tr>
      <w:tr>
        <w:trPr>
          <w:trHeight w:val="490"/>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00" w:type="dxa"/>
            <w:vAlign w:val="bottom"/>
            <w:gridSpan w:val="3"/>
          </w:tcPr>
          <w:p>
            <w:pPr>
              <w:ind w:left="300"/>
              <w:spacing w:after="0"/>
              <w:rPr>
                <w:sz w:val="20"/>
                <w:szCs w:val="20"/>
                <w:color w:val="auto"/>
              </w:rPr>
            </w:pPr>
            <w:r>
              <w:rPr>
                <w:rFonts w:ascii="Arial" w:cs="Arial" w:eastAsia="Arial" w:hAnsi="Arial"/>
                <w:sz w:val="18"/>
                <w:szCs w:val="18"/>
                <w:b w:val="1"/>
                <w:bCs w:val="1"/>
                <w:color w:val="auto"/>
              </w:rPr>
              <w:t>CUSIP Number</w:t>
            </w:r>
          </w:p>
        </w:tc>
      </w:tr>
      <w:tr>
        <w:trPr>
          <w:trHeight w:val="536"/>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Arial" w:cs="Arial" w:eastAsia="Arial" w:hAnsi="Arial"/>
                <w:sz w:val="22"/>
                <w:szCs w:val="22"/>
                <w:color w:val="auto"/>
              </w:rPr>
              <w:t>81578P106</w:t>
            </w:r>
          </w:p>
        </w:tc>
      </w:tr>
      <w:tr>
        <w:trPr>
          <w:trHeight w:val="490"/>
        </w:trPr>
        <w:tc>
          <w:tcPr>
            <w:tcW w:w="10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00" w:type="dxa"/>
            <w:vAlign w:val="bottom"/>
            <w:gridSpan w:val="3"/>
          </w:tcPr>
          <w:p>
            <w:pPr>
              <w:ind w:left="300"/>
              <w:spacing w:after="0"/>
              <w:rPr>
                <w:sz w:val="20"/>
                <w:szCs w:val="20"/>
                <w:color w:val="auto"/>
              </w:rPr>
            </w:pPr>
            <w:r>
              <w:rPr>
                <w:rFonts w:ascii="Arial" w:cs="Arial" w:eastAsia="Arial" w:hAnsi="Arial"/>
                <w:sz w:val="18"/>
                <w:szCs w:val="18"/>
                <w:b w:val="1"/>
                <w:bCs w:val="1"/>
                <w:color w:val="auto"/>
              </w:rPr>
              <w:t>If this Statement is Filed Pursuant to Rule 13d-1(b), or 13d-2(b) or (c), Check Whether the Person Filing is a:</w:t>
            </w:r>
          </w:p>
        </w:tc>
      </w:tr>
      <w:tr>
        <w:trPr>
          <w:trHeight w:val="536"/>
        </w:trPr>
        <w:tc>
          <w:tcPr>
            <w:tcW w:w="100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22"/>
                <w:szCs w:val="22"/>
                <w:color w:val="auto"/>
              </w:rPr>
              <w:t>Not applicable.</w:t>
            </w:r>
          </w:p>
        </w:tc>
      </w:tr>
      <w:tr>
        <w:trPr>
          <w:trHeight w:val="490"/>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200" w:type="dxa"/>
            <w:vAlign w:val="bottom"/>
            <w:gridSpan w:val="3"/>
          </w:tcPr>
          <w:p>
            <w:pPr>
              <w:ind w:left="300"/>
              <w:spacing w:after="0"/>
              <w:rPr>
                <w:sz w:val="20"/>
                <w:szCs w:val="20"/>
                <w:color w:val="auto"/>
              </w:rPr>
            </w:pPr>
            <w:r>
              <w:rPr>
                <w:rFonts w:ascii="Arial" w:cs="Arial" w:eastAsia="Arial" w:hAnsi="Arial"/>
                <w:sz w:val="18"/>
                <w:szCs w:val="18"/>
                <w:b w:val="1"/>
                <w:bCs w:val="1"/>
                <w:color w:val="auto"/>
              </w:rPr>
              <w:t>Ownership</w:t>
            </w:r>
          </w:p>
        </w:tc>
      </w:tr>
      <w:tr>
        <w:trPr>
          <w:trHeight w:val="536"/>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Arial" w:cs="Arial" w:eastAsia="Arial" w:hAnsi="Arial"/>
                <w:sz w:val="22"/>
                <w:szCs w:val="22"/>
                <w:i w:val="1"/>
                <w:iCs w:val="1"/>
                <w:color w:val="auto"/>
              </w:rPr>
              <w:t>aMoon Growth Fund Limited Partnership</w:t>
            </w:r>
          </w:p>
        </w:tc>
      </w:tr>
      <w:tr>
        <w:trPr>
          <w:trHeight w:val="449"/>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rPr>
              <w:t>(a)</w:t>
            </w:r>
          </w:p>
        </w:tc>
        <w:tc>
          <w:tcPr>
            <w:tcW w:w="9580" w:type="dxa"/>
            <w:vAlign w:val="bottom"/>
            <w:gridSpan w:val="2"/>
          </w:tcPr>
          <w:p>
            <w:pPr>
              <w:spacing w:after="0"/>
              <w:rPr>
                <w:sz w:val="20"/>
                <w:szCs w:val="20"/>
                <w:color w:val="auto"/>
              </w:rPr>
            </w:pPr>
            <w:r>
              <w:rPr>
                <w:rFonts w:ascii="Arial" w:cs="Arial" w:eastAsia="Arial" w:hAnsi="Arial"/>
                <w:sz w:val="18"/>
                <w:szCs w:val="18"/>
                <w:color w:val="auto"/>
              </w:rPr>
              <w:t>Amount beneficially owned: 4,112,235 shares of Class A Common Stock.</w:t>
            </w: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553"/>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22"/>
                <w:szCs w:val="22"/>
                <w:color w:val="auto"/>
                <w:w w:val="93"/>
              </w:rPr>
              <w:t>All share percentage calculation are based on 61,708,464 shares of Class A Common Stock and Class B</w:t>
            </w:r>
          </w:p>
        </w:tc>
      </w:tr>
      <w:tr>
        <w:trPr>
          <w:trHeight w:val="270"/>
        </w:trPr>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580" w:type="dxa"/>
            <w:vAlign w:val="bottom"/>
            <w:gridSpan w:val="2"/>
          </w:tcPr>
          <w:p>
            <w:pPr>
              <w:spacing w:after="0"/>
              <w:rPr>
                <w:sz w:val="20"/>
                <w:szCs w:val="20"/>
                <w:color w:val="auto"/>
              </w:rPr>
            </w:pPr>
            <w:r>
              <w:rPr>
                <w:rFonts w:ascii="Arial" w:cs="Arial" w:eastAsia="Arial" w:hAnsi="Arial"/>
                <w:sz w:val="22"/>
                <w:szCs w:val="22"/>
                <w:color w:val="auto"/>
                <w:w w:val="90"/>
              </w:rPr>
              <w:t>Common Stock outstanding as of November 5, 2021, as reported by the Issuer to the SEC on Form 10-Q on</w:t>
            </w:r>
          </w:p>
        </w:tc>
      </w:tr>
      <w:tr>
        <w:trPr>
          <w:trHeight w:val="274"/>
        </w:trPr>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580" w:type="dxa"/>
            <w:vAlign w:val="bottom"/>
            <w:gridSpan w:val="2"/>
          </w:tcPr>
          <w:p>
            <w:pPr>
              <w:spacing w:after="0"/>
              <w:rPr>
                <w:sz w:val="20"/>
                <w:szCs w:val="20"/>
                <w:color w:val="auto"/>
              </w:rPr>
            </w:pPr>
            <w:r>
              <w:rPr>
                <w:rFonts w:ascii="Arial" w:cs="Arial" w:eastAsia="Arial" w:hAnsi="Arial"/>
                <w:sz w:val="22"/>
                <w:szCs w:val="22"/>
                <w:color w:val="auto"/>
              </w:rPr>
              <w:t>November 9, 2021.</w:t>
            </w:r>
          </w:p>
        </w:tc>
      </w:tr>
    </w:tbl>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Page 7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type w:val="continuous"/>
        </w:sectPr>
      </w:pPr>
    </w:p>
    <w:bookmarkStart w:id="7" w:name="page8"/>
    <w:bookmarkEnd w:id="7"/>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6.7%</w:t>
      </w:r>
    </w:p>
    <w:p>
      <w:pPr>
        <w:spacing w:after="0" w:line="27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the person has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160" w:hanging="65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4,112,235 shares of Class A Common Stock</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4,112,235 shares of Class A Common Stock</w:t>
      </w:r>
    </w:p>
    <w:p>
      <w:pPr>
        <w:spacing w:after="0" w:line="271"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aMoon Co-Investment SPV I, L.P.</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975,683 shares of Class A Common Stock.</w:t>
      </w:r>
    </w:p>
    <w:p>
      <w:pPr>
        <w:spacing w:after="0" w:line="285" w:lineRule="exact"/>
        <w:rPr>
          <w:sz w:val="20"/>
          <w:szCs w:val="20"/>
          <w:color w:val="auto"/>
        </w:rPr>
      </w:pPr>
    </w:p>
    <w:p>
      <w:pPr>
        <w:ind w:left="500" w:right="300"/>
        <w:spacing w:after="0" w:line="266" w:lineRule="auto"/>
        <w:rPr>
          <w:sz w:val="20"/>
          <w:szCs w:val="20"/>
          <w:color w:val="auto"/>
        </w:rPr>
      </w:pPr>
      <w:r>
        <w:rPr>
          <w:rFonts w:ascii="Arial" w:cs="Arial" w:eastAsia="Arial" w:hAnsi="Arial"/>
          <w:sz w:val="22"/>
          <w:szCs w:val="22"/>
          <w:color w:val="auto"/>
        </w:rPr>
        <w:t>All share percentage calculation are based on 61,708,464 shares of Class A Common Stock and Class B Common Stock outstanding as of November 5, 2021, as reported by the Issuer to the SEC on Form 10-Q on November 9, 2021.</w:t>
      </w:r>
    </w:p>
    <w:p>
      <w:pPr>
        <w:spacing w:after="0" w:line="233" w:lineRule="exact"/>
        <w:rPr>
          <w:sz w:val="20"/>
          <w:szCs w:val="20"/>
          <w:color w:val="auto"/>
        </w:rPr>
      </w:pPr>
    </w:p>
    <w:p>
      <w:pPr>
        <w:ind w:left="500" w:hanging="31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1.3%</w:t>
      </w:r>
    </w:p>
    <w:p>
      <w:pPr>
        <w:spacing w:after="0" w:line="279" w:lineRule="exact"/>
        <w:rPr>
          <w:rFonts w:ascii="Arial" w:cs="Arial" w:eastAsia="Arial" w:hAnsi="Arial"/>
          <w:sz w:val="18"/>
          <w:szCs w:val="18"/>
          <w:color w:val="auto"/>
        </w:rPr>
      </w:pPr>
    </w:p>
    <w:p>
      <w:pPr>
        <w:ind w:left="500" w:hanging="31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the person has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160" w:hanging="652"/>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810,961 shares of Class A Common Stock</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810,961 shares of Class A Common Stock</w:t>
      </w:r>
    </w:p>
    <w:p>
      <w:pPr>
        <w:spacing w:after="0" w:line="271"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aMoon Growth Fund G.P. Limited Partnership</w:t>
      </w:r>
    </w:p>
    <w:p>
      <w:pPr>
        <w:spacing w:after="0" w:line="281" w:lineRule="exact"/>
        <w:rPr>
          <w:sz w:val="20"/>
          <w:szCs w:val="20"/>
          <w:color w:val="auto"/>
        </w:rPr>
      </w:pPr>
    </w:p>
    <w:p>
      <w:pPr>
        <w:ind w:left="500" w:hanging="316"/>
        <w:spacing w:after="0" w:line="286"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Amount beneficially owned</w:t>
      </w:r>
      <w:r>
        <w:rPr>
          <w:rFonts w:ascii="Arial" w:cs="Arial" w:eastAsia="Arial" w:hAnsi="Arial"/>
          <w:sz w:val="17"/>
          <w:szCs w:val="17"/>
          <w:color w:val="auto"/>
        </w:rPr>
        <w:t>: 4,923,196 shares of Class A Common Stock. aMoon G.P. is the sole general partner of aMoon and aMoon Co-Investment. By virtue of such relationship, aMoon G.P. may be deemed to have shared voting and investment power with respect to the shares of Class A Common Stock of the Issuer held by aMoon and aMoon Co-Investment.</w:t>
      </w:r>
    </w:p>
    <w:p>
      <w:pPr>
        <w:spacing w:after="0" w:line="226" w:lineRule="exact"/>
        <w:rPr>
          <w:sz w:val="20"/>
          <w:szCs w:val="20"/>
          <w:color w:val="auto"/>
        </w:rPr>
      </w:pPr>
    </w:p>
    <w:p>
      <w:pPr>
        <w:jc w:val="both"/>
        <w:ind w:left="500" w:right="560"/>
        <w:spacing w:after="0" w:line="266" w:lineRule="auto"/>
        <w:rPr>
          <w:sz w:val="20"/>
          <w:szCs w:val="20"/>
          <w:color w:val="auto"/>
        </w:rPr>
      </w:pPr>
      <w:r>
        <w:rPr>
          <w:rFonts w:ascii="Arial" w:cs="Arial" w:eastAsia="Arial" w:hAnsi="Arial"/>
          <w:sz w:val="22"/>
          <w:szCs w:val="22"/>
          <w:color w:val="auto"/>
        </w:rPr>
        <w:t>All share percentage calculation are based on 61,708,464 shares of Class A Common Stock and Class B Common Stock outstanding as of November 5, 2021, as reported by the Issuer to the SEC Form 10-Q on November 9, 2021.</w:t>
      </w:r>
    </w:p>
    <w:p>
      <w:pPr>
        <w:spacing w:after="0" w:line="233" w:lineRule="exact"/>
        <w:rPr>
          <w:sz w:val="20"/>
          <w:szCs w:val="20"/>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8.0%</w:t>
      </w:r>
    </w:p>
    <w:p>
      <w:pPr>
        <w:spacing w:after="0" w:line="279"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the person has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160" w:hanging="652"/>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4,923,196 shares of Class A Common Stock</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160" w:hanging="652"/>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4,923,196 shares of Class A Common Stock</w:t>
      </w:r>
    </w:p>
    <w:p>
      <w:pPr>
        <w:spacing w:after="0" w:line="271"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aMoon General Partner Ltd.</w:t>
      </w:r>
    </w:p>
    <w:p>
      <w:pPr>
        <w:spacing w:after="0" w:line="281" w:lineRule="exact"/>
        <w:rPr>
          <w:sz w:val="20"/>
          <w:szCs w:val="20"/>
          <w:color w:val="auto"/>
        </w:rPr>
      </w:pPr>
    </w:p>
    <w:p>
      <w:pPr>
        <w:ind w:left="500" w:hanging="316"/>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4,923,196 shares of Class A Common Stock. aMoon Ltd. is the sole general partner of aMoon G.P. By virtue of such relationships, aMoon Ltd. may be deemed to have shared voting and investment power with respect to the shares of Class A Common Stock of the Issuer held by aMoon and aMoon Co-Investment.</w:t>
      </w:r>
    </w:p>
    <w:p>
      <w:pPr>
        <w:spacing w:after="0" w:line="244" w:lineRule="exact"/>
        <w:rPr>
          <w:sz w:val="20"/>
          <w:szCs w:val="20"/>
          <w:color w:val="auto"/>
        </w:rPr>
      </w:pPr>
    </w:p>
    <w:p>
      <w:pPr>
        <w:ind w:left="500" w:right="300"/>
        <w:spacing w:after="0" w:line="266" w:lineRule="auto"/>
        <w:rPr>
          <w:sz w:val="20"/>
          <w:szCs w:val="20"/>
          <w:color w:val="auto"/>
        </w:rPr>
      </w:pPr>
      <w:r>
        <w:rPr>
          <w:rFonts w:ascii="Arial" w:cs="Arial" w:eastAsia="Arial" w:hAnsi="Arial"/>
          <w:sz w:val="22"/>
          <w:szCs w:val="22"/>
          <w:color w:val="auto"/>
        </w:rPr>
        <w:t>All share percentage calculation are based on 61,708,464 shares of Class A Common Stock and Class B Common Stock outstanding as of November 5, 2021, as reported by the Issuer to the SEC on Form 10-Q on November 9, 2021.</w:t>
      </w:r>
    </w:p>
    <w:p>
      <w:pPr>
        <w:sectPr>
          <w:pgSz w:w="11900" w:h="16838" w:orient="portrait"/>
          <w:cols w:equalWidth="0" w:num="1">
            <w:col w:w="10120"/>
          </w:cols>
          <w:pgMar w:left="1440" w:top="39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Page 8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95"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10300" w:type="dxa"/>
            <w:vAlign w:val="bottom"/>
            <w:gridSpan w:val="6"/>
          </w:tcPr>
          <w:p>
            <w:pPr>
              <w:ind w:left="360"/>
              <w:spacing w:after="0"/>
              <w:rPr>
                <w:sz w:val="20"/>
                <w:szCs w:val="20"/>
                <w:color w:val="auto"/>
              </w:rPr>
            </w:pPr>
            <w:r>
              <w:rPr>
                <w:rFonts w:ascii="Arial" w:cs="Arial" w:eastAsia="Arial" w:hAnsi="Arial"/>
                <w:sz w:val="18"/>
                <w:szCs w:val="18"/>
                <w:color w:val="auto"/>
              </w:rPr>
              <w:t>(b) Percent of Class: 8.0%</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Arial" w:cs="Arial" w:eastAsia="Arial" w:hAnsi="Arial"/>
                <w:sz w:val="18"/>
                <w:szCs w:val="18"/>
                <w:color w:val="auto"/>
              </w:rPr>
              <w:t>(c)  Number of shares as to which the person has:</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22"/>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Sole power to vote or direct the vote: 0</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(ii)</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Shared power to vote or to direct the vote: 4,923,196 shares of Class A Common Stock</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(iii)</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Sole power to dispose or to direct the disposition of: 0</w:t>
            </w:r>
          </w:p>
        </w:tc>
      </w:tr>
      <w:tr>
        <w:trPr>
          <w:trHeight w:val="230"/>
        </w:trPr>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(iv)</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Shared power to dispose or to direct the disposition of: 4,923,196 shares of Class A Common Stock</w:t>
            </w:r>
          </w:p>
        </w:tc>
      </w:tr>
      <w:tr>
        <w:trPr>
          <w:trHeight w:val="537"/>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Arial" w:cs="Arial" w:eastAsia="Arial" w:hAnsi="Arial"/>
                <w:sz w:val="22"/>
                <w:szCs w:val="22"/>
                <w:i w:val="1"/>
                <w:iCs w:val="1"/>
                <w:color w:val="auto"/>
              </w:rPr>
              <w:t>Dr. Yair C. Schindel</w:t>
            </w:r>
          </w:p>
        </w:tc>
      </w:tr>
      <w:tr>
        <w:trPr>
          <w:trHeight w:val="449"/>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Arial" w:cs="Arial" w:eastAsia="Arial" w:hAnsi="Arial"/>
                <w:sz w:val="18"/>
                <w:szCs w:val="18"/>
                <w:color w:val="auto"/>
                <w:w w:val="93"/>
              </w:rPr>
              <w:t>(a)  Amount beneficially owned: 4,923,196 shares of Class A Common Stock. Schindel is the sole shareholder of aMoon Ltd. By virtue</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3"/>
            <w:shd w:val="clear" w:color="auto" w:fill="000000"/>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r>
      <w:tr>
        <w:trPr>
          <w:trHeight w:val="222"/>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20" w:type="dxa"/>
            <w:vAlign w:val="bottom"/>
            <w:gridSpan w:val="5"/>
          </w:tcPr>
          <w:p>
            <w:pPr>
              <w:spacing w:after="0"/>
              <w:rPr>
                <w:sz w:val="20"/>
                <w:szCs w:val="20"/>
                <w:color w:val="auto"/>
              </w:rPr>
            </w:pPr>
            <w:r>
              <w:rPr>
                <w:rFonts w:ascii="Arial" w:cs="Arial" w:eastAsia="Arial" w:hAnsi="Arial"/>
                <w:sz w:val="18"/>
                <w:szCs w:val="18"/>
                <w:color w:val="auto"/>
                <w:w w:val="92"/>
              </w:rPr>
              <w:t>of such relationships, Schindel may be deemed to have shared voting and investment power with respect to the shares of Class A</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20" w:type="dxa"/>
            <w:vAlign w:val="bottom"/>
            <w:gridSpan w:val="5"/>
          </w:tcPr>
          <w:p>
            <w:pPr>
              <w:spacing w:after="0"/>
              <w:rPr>
                <w:sz w:val="20"/>
                <w:szCs w:val="20"/>
                <w:color w:val="auto"/>
              </w:rPr>
            </w:pPr>
            <w:r>
              <w:rPr>
                <w:rFonts w:ascii="Arial" w:cs="Arial" w:eastAsia="Arial" w:hAnsi="Arial"/>
                <w:sz w:val="18"/>
                <w:szCs w:val="18"/>
                <w:color w:val="auto"/>
                <w:w w:val="93"/>
              </w:rPr>
              <w:t>Common Stock of the Issuer held by aMoon and aMoon Co-Investment. Schindel disclaims beneficial ownership of the shares of</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20" w:type="dxa"/>
            <w:vAlign w:val="bottom"/>
            <w:gridSpan w:val="5"/>
          </w:tcPr>
          <w:p>
            <w:pPr>
              <w:spacing w:after="0"/>
              <w:rPr>
                <w:sz w:val="20"/>
                <w:szCs w:val="20"/>
                <w:color w:val="auto"/>
              </w:rPr>
            </w:pPr>
            <w:r>
              <w:rPr>
                <w:rFonts w:ascii="Arial" w:cs="Arial" w:eastAsia="Arial" w:hAnsi="Arial"/>
                <w:sz w:val="18"/>
                <w:szCs w:val="18"/>
                <w:color w:val="auto"/>
                <w:w w:val="90"/>
              </w:rPr>
              <w:t>Class A Common Stock of the Issuer held by aMoon, aMoon Co-Investment, aMoon G.P. and aMoon Ltd., except to the extent of his</w:t>
            </w:r>
          </w:p>
        </w:tc>
      </w:tr>
      <w:tr>
        <w:trPr>
          <w:trHeight w:val="230"/>
        </w:trPr>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20" w:type="dxa"/>
            <w:vAlign w:val="bottom"/>
            <w:gridSpan w:val="5"/>
          </w:tcPr>
          <w:p>
            <w:pPr>
              <w:spacing w:after="0"/>
              <w:rPr>
                <w:sz w:val="20"/>
                <w:szCs w:val="20"/>
                <w:color w:val="auto"/>
              </w:rPr>
            </w:pPr>
            <w:r>
              <w:rPr>
                <w:rFonts w:ascii="Arial" w:cs="Arial" w:eastAsia="Arial" w:hAnsi="Arial"/>
                <w:sz w:val="18"/>
                <w:szCs w:val="18"/>
                <w:color w:val="auto"/>
              </w:rPr>
              <w:t>pecuniary interest therein, if any.</w:t>
            </w:r>
          </w:p>
        </w:tc>
      </w:tr>
      <w:tr>
        <w:trPr>
          <w:trHeight w:val="532"/>
        </w:trPr>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20" w:type="dxa"/>
            <w:vAlign w:val="bottom"/>
            <w:gridSpan w:val="5"/>
          </w:tcPr>
          <w:p>
            <w:pPr>
              <w:spacing w:after="0"/>
              <w:rPr>
                <w:sz w:val="20"/>
                <w:szCs w:val="20"/>
                <w:color w:val="auto"/>
              </w:rPr>
            </w:pPr>
            <w:r>
              <w:rPr>
                <w:rFonts w:ascii="Arial" w:cs="Arial" w:eastAsia="Arial" w:hAnsi="Arial"/>
                <w:sz w:val="22"/>
                <w:szCs w:val="22"/>
                <w:color w:val="auto"/>
                <w:w w:val="93"/>
              </w:rPr>
              <w:t>All share percentage calculation are based on 61,708,464 shares of Class A Common Stock and Class B</w:t>
            </w:r>
          </w:p>
        </w:tc>
      </w:tr>
      <w:tr>
        <w:trPr>
          <w:trHeight w:val="270"/>
        </w:trPr>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20" w:type="dxa"/>
            <w:vAlign w:val="bottom"/>
            <w:gridSpan w:val="5"/>
          </w:tcPr>
          <w:p>
            <w:pPr>
              <w:spacing w:after="0"/>
              <w:rPr>
                <w:sz w:val="20"/>
                <w:szCs w:val="20"/>
                <w:color w:val="auto"/>
              </w:rPr>
            </w:pPr>
            <w:r>
              <w:rPr>
                <w:rFonts w:ascii="Arial" w:cs="Arial" w:eastAsia="Arial" w:hAnsi="Arial"/>
                <w:sz w:val="22"/>
                <w:szCs w:val="22"/>
                <w:color w:val="auto"/>
                <w:w w:val="91"/>
              </w:rPr>
              <w:t>Common Stock outstanding as of November 5, 2021, as reported by the Issuer to the SEC on Form 10-Q on</w:t>
            </w:r>
          </w:p>
        </w:tc>
      </w:tr>
      <w:tr>
        <w:trPr>
          <w:trHeight w:val="274"/>
        </w:trPr>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20" w:type="dxa"/>
            <w:vAlign w:val="bottom"/>
            <w:gridSpan w:val="5"/>
          </w:tcPr>
          <w:p>
            <w:pPr>
              <w:spacing w:after="0"/>
              <w:rPr>
                <w:sz w:val="20"/>
                <w:szCs w:val="20"/>
                <w:color w:val="auto"/>
              </w:rPr>
            </w:pPr>
            <w:r>
              <w:rPr>
                <w:rFonts w:ascii="Arial" w:cs="Arial" w:eastAsia="Arial" w:hAnsi="Arial"/>
                <w:sz w:val="22"/>
                <w:szCs w:val="22"/>
                <w:color w:val="auto"/>
              </w:rPr>
              <w:t>November 9, 2021.</w:t>
            </w:r>
          </w:p>
        </w:tc>
      </w:tr>
      <w:tr>
        <w:trPr>
          <w:trHeight w:val="449"/>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Arial" w:cs="Arial" w:eastAsia="Arial" w:hAnsi="Arial"/>
                <w:sz w:val="18"/>
                <w:szCs w:val="18"/>
                <w:color w:val="auto"/>
              </w:rPr>
              <w:t>(b) Percent of Class: 8.0%</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8440" w:type="dxa"/>
            <w:vAlign w:val="bottom"/>
            <w:gridSpan w:val="3"/>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Arial" w:cs="Arial" w:eastAsia="Arial" w:hAnsi="Arial"/>
                <w:sz w:val="18"/>
                <w:szCs w:val="18"/>
                <w:color w:val="auto"/>
              </w:rPr>
              <w:t>(c)  Number of shares as to which the person has:</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740" w:type="dxa"/>
            <w:vAlign w:val="bottom"/>
            <w:gridSpan w:val="3"/>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22"/>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Sole power to vote or direct the vote: 0</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(ii)</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Shared power to vote or to direct the vote: 4,923,196 shares of Class A Common Stock</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(iii)</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Sole power to dispose or to direct the disposition of: 0</w:t>
            </w:r>
          </w:p>
        </w:tc>
      </w:tr>
      <w:tr>
        <w:trPr>
          <w:trHeight w:val="230"/>
        </w:trPr>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(iv)</w:t>
            </w:r>
          </w:p>
        </w:tc>
        <w:tc>
          <w:tcPr>
            <w:tcW w:w="9080" w:type="dxa"/>
            <w:vAlign w:val="bottom"/>
            <w:gridSpan w:val="4"/>
          </w:tcPr>
          <w:p>
            <w:pPr>
              <w:ind w:left="120"/>
              <w:spacing w:after="0"/>
              <w:rPr>
                <w:sz w:val="20"/>
                <w:szCs w:val="20"/>
                <w:color w:val="auto"/>
              </w:rPr>
            </w:pPr>
            <w:r>
              <w:rPr>
                <w:rFonts w:ascii="Arial" w:cs="Arial" w:eastAsia="Arial" w:hAnsi="Arial"/>
                <w:sz w:val="18"/>
                <w:szCs w:val="18"/>
                <w:color w:val="auto"/>
              </w:rPr>
              <w:t>Shared power to dispose or to direct the disposition of: 4,923,196 shares of Class A Common Stock</w:t>
            </w:r>
          </w:p>
        </w:tc>
      </w:tr>
      <w:tr>
        <w:trPr>
          <w:trHeight w:val="486"/>
        </w:trPr>
        <w:tc>
          <w:tcPr>
            <w:tcW w:w="9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00" w:type="dxa"/>
            <w:vAlign w:val="bottom"/>
            <w:gridSpan w:val="6"/>
          </w:tcPr>
          <w:p>
            <w:pPr>
              <w:ind w:left="3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537"/>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Arial" w:cs="Arial" w:eastAsia="Arial" w:hAnsi="Arial"/>
                <w:sz w:val="22"/>
                <w:szCs w:val="22"/>
                <w:color w:val="auto"/>
              </w:rPr>
              <w:t>Not applicable.</w:t>
            </w:r>
          </w:p>
        </w:tc>
      </w:tr>
      <w:tr>
        <w:trPr>
          <w:trHeight w:val="490"/>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gridSpan w:val="6"/>
          </w:tcPr>
          <w:p>
            <w:pPr>
              <w:ind w:left="3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536"/>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Arial" w:cs="Arial" w:eastAsia="Arial" w:hAnsi="Arial"/>
                <w:sz w:val="22"/>
                <w:szCs w:val="22"/>
                <w:color w:val="auto"/>
              </w:rPr>
              <w:t>Not applicable.</w:t>
            </w:r>
          </w:p>
        </w:tc>
      </w:tr>
      <w:tr>
        <w:trPr>
          <w:trHeight w:val="471"/>
        </w:trPr>
        <w:tc>
          <w:tcPr>
            <w:tcW w:w="9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00" w:type="dxa"/>
            <w:vAlign w:val="bottom"/>
            <w:gridSpan w:val="6"/>
          </w:tcPr>
          <w:p>
            <w:pPr>
              <w:ind w:left="36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34"/>
        </w:trPr>
        <w:tc>
          <w:tcPr>
            <w:tcW w:w="940" w:type="dxa"/>
            <w:vAlign w:val="bottom"/>
          </w:tcPr>
          <w:p>
            <w:pPr>
              <w:spacing w:after="0"/>
              <w:rPr>
                <w:sz w:val="20"/>
                <w:szCs w:val="20"/>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Company</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537"/>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Arial" w:cs="Arial" w:eastAsia="Arial" w:hAnsi="Arial"/>
                <w:sz w:val="22"/>
                <w:szCs w:val="22"/>
                <w:color w:val="auto"/>
              </w:rPr>
              <w:t>Not applicable.</w:t>
            </w:r>
          </w:p>
        </w:tc>
      </w:tr>
      <w:tr>
        <w:trPr>
          <w:trHeight w:val="489"/>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gridSpan w:val="6"/>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537"/>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Arial" w:cs="Arial" w:eastAsia="Arial" w:hAnsi="Arial"/>
                <w:sz w:val="22"/>
                <w:szCs w:val="22"/>
                <w:color w:val="auto"/>
              </w:rPr>
              <w:t>Incorporated by reference to Items 2 and 4 of this Schedule 13G.</w:t>
            </w:r>
          </w:p>
        </w:tc>
      </w:tr>
      <w:tr>
        <w:trPr>
          <w:trHeight w:val="490"/>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00" w:type="dxa"/>
            <w:vAlign w:val="bottom"/>
            <w:gridSpan w:val="6"/>
          </w:tcPr>
          <w:p>
            <w:pPr>
              <w:ind w:left="360"/>
              <w:spacing w:after="0"/>
              <w:rPr>
                <w:sz w:val="20"/>
                <w:szCs w:val="20"/>
                <w:color w:val="auto"/>
              </w:rPr>
            </w:pPr>
            <w:r>
              <w:rPr>
                <w:rFonts w:ascii="Arial" w:cs="Arial" w:eastAsia="Arial" w:hAnsi="Arial"/>
                <w:sz w:val="18"/>
                <w:szCs w:val="18"/>
                <w:b w:val="1"/>
                <w:bCs w:val="1"/>
                <w:color w:val="auto"/>
              </w:rPr>
              <w:t>Notice of Dissolution of Group</w:t>
            </w:r>
          </w:p>
        </w:tc>
      </w:tr>
      <w:tr>
        <w:trPr>
          <w:trHeight w:val="536"/>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Arial" w:cs="Arial" w:eastAsia="Arial" w:hAnsi="Arial"/>
                <w:sz w:val="22"/>
                <w:szCs w:val="22"/>
                <w:color w:val="auto"/>
              </w:rPr>
              <w:t>Not applicable.</w:t>
            </w:r>
          </w:p>
        </w:tc>
      </w:tr>
      <w:tr>
        <w:trPr>
          <w:trHeight w:val="490"/>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300" w:type="dxa"/>
            <w:vAlign w:val="bottom"/>
            <w:gridSpan w:val="6"/>
          </w:tcPr>
          <w:p>
            <w:pPr>
              <w:ind w:left="360"/>
              <w:spacing w:after="0"/>
              <w:rPr>
                <w:sz w:val="20"/>
                <w:szCs w:val="20"/>
                <w:color w:val="auto"/>
              </w:rPr>
            </w:pPr>
            <w:r>
              <w:rPr>
                <w:rFonts w:ascii="Arial" w:cs="Arial" w:eastAsia="Arial" w:hAnsi="Arial"/>
                <w:sz w:val="18"/>
                <w:szCs w:val="18"/>
                <w:b w:val="1"/>
                <w:bCs w:val="1"/>
                <w:color w:val="auto"/>
              </w:rPr>
              <w:t>Certification</w:t>
            </w:r>
          </w:p>
        </w:tc>
      </w:tr>
      <w:tr>
        <w:trPr>
          <w:trHeight w:val="536"/>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Arial" w:cs="Arial" w:eastAsia="Arial" w:hAnsi="Arial"/>
                <w:sz w:val="22"/>
                <w:szCs w:val="22"/>
                <w:color w:val="auto"/>
              </w:rPr>
              <w:t>Not applicable.</w:t>
            </w:r>
          </w:p>
        </w:tc>
      </w:tr>
    </w:tbl>
    <w:p>
      <w:pPr>
        <w:spacing w:after="0" w:line="200" w:lineRule="exact"/>
        <w:rPr>
          <w:sz w:val="20"/>
          <w:szCs w:val="20"/>
          <w:color w:val="auto"/>
        </w:rPr>
      </w:pPr>
    </w:p>
    <w:p>
      <w:pPr>
        <w:sectPr>
          <w:pgSz w:w="11900" w:h="16838" w:orient="portrait"/>
          <w:cols w:equalWidth="0" w:num="1">
            <w:col w:w="11240"/>
          </w:cols>
          <w:pgMar w:left="320" w:top="378" w:right="3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type w:val="continuous"/>
        </w:sectPr>
      </w:pPr>
    </w:p>
    <w:bookmarkStart w:id="9" w:name="page10"/>
    <w:bookmarkEnd w:id="9"/>
    <w:p>
      <w:pPr>
        <w:jc w:val="center"/>
        <w:ind w:right="-779"/>
        <w:spacing w:after="0"/>
        <w:rPr>
          <w:sz w:val="20"/>
          <w:szCs w:val="20"/>
          <w:color w:val="auto"/>
        </w:rPr>
      </w:pPr>
      <w:r>
        <w:rPr>
          <w:rFonts w:ascii="Arial" w:cs="Arial" w:eastAsia="Arial" w:hAnsi="Arial"/>
          <w:sz w:val="22"/>
          <w:szCs w:val="22"/>
          <w:b w:val="1"/>
          <w:bCs w:val="1"/>
          <w:color w:val="auto"/>
        </w:rPr>
        <w:t>Signature</w:t>
      </w:r>
    </w:p>
    <w:p>
      <w:pPr>
        <w:spacing w:after="0" w:line="29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Dated: January 24, 2022</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AMOON GROWTH FUND LIMITED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GROWTH FUND G.P.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LIMITED PARTNERSHIP, ITS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9456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Name:Dr. Yair C. Schindel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AMOON CO-INVESTMENT SPV,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GROWTH FUND G.P.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LIMITED PARTNERSHIP, ITS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9456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Name:Dr. Yair C. Schindel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AMOON GROWTH FUND G.P. LIMITED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AMOON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9456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Name:Dr. Yair C. Schindel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AMOON GENERAL PARTNER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9456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Name:Dr. Yair C. Schindel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6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 YAIR C. SCHINDEL</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9202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Page 10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480"/>
      </w:cols>
      <w:pgMar w:left="320" w:top="126"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2"/>
    </w:lvl>
    <w:lvl w:ilvl="1">
      <w:lvlJc w:val="left"/>
      <w:lvlText w:val="(%2)"/>
      <w:numFmt w:val="lowerRoman"/>
      <w:start w:val="1"/>
    </w:lvl>
  </w:abstractNum>
  <w:abstractNum w:abstractNumId="3">
    <w:nsid w:val="3D1B58BA"/>
    <w:multiLevelType w:val="hybridMultilevel"/>
    <w:lvl w:ilvl="0">
      <w:lvlJc w:val="left"/>
      <w:lvlText w:val="(%1)"/>
      <w:numFmt w:val="lowerLetter"/>
      <w:start w:val="2"/>
    </w:lvl>
    <w:lvl w:ilvl="1">
      <w:lvlJc w:val="left"/>
      <w:lvlText w:val="(%2)"/>
      <w:numFmt w:val="lowerRoman"/>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lvl w:ilvl="1">
      <w:lvlJc w:val="left"/>
      <w:lvlText w:val="(%2)"/>
      <w:numFmt w:val="lowerRoman"/>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2022-01-24T05:11:47Z</dcterms:created>
  <dcterms:modified xsi:type="dcterms:W3CDTF">2022-01-24T05:11:47Z</dcterms:modified>
</cp:coreProperties>
</file>