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2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5"/>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Maverick Capital Ventures, LLC</w:t>
              </w:r>
            </w:hyperlink>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20" w:type="dxa"/>
            <w:vAlign w:val="bottom"/>
            <w:gridSpan w:val="6"/>
          </w:tcPr>
          <w:p>
            <w:pPr>
              <w:ind w:left="80"/>
              <w:spacing w:after="0" w:line="103"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Seer,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SEER</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56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6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13"/>
                <w:szCs w:val="13"/>
                <w:color w:val="auto"/>
              </w:rPr>
            </w:pPr>
          </w:p>
        </w:tc>
        <w:tc>
          <w:tcPr>
            <w:tcW w:w="32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440" w:type="dxa"/>
            <w:vAlign w:val="bottom"/>
            <w:gridSpan w:val="5"/>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7"/>
                <w:szCs w:val="7"/>
                <w:color w:val="auto"/>
              </w:rPr>
            </w:pPr>
          </w:p>
        </w:tc>
        <w:tc>
          <w:tcPr>
            <w:tcW w:w="1440" w:type="dxa"/>
            <w:vAlign w:val="bottom"/>
            <w:gridSpan w:val="5"/>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144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3"/>
                <w:szCs w:val="13"/>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20" w:type="dxa"/>
            <w:vAlign w:val="bottom"/>
            <w:gridSpan w:val="8"/>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MAVERICK CAPITAL</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4"/>
          </w:tcPr>
          <w:p>
            <w:pPr>
              <w:ind w:left="100"/>
              <w:spacing w:after="0"/>
              <w:rPr>
                <w:sz w:val="20"/>
                <w:szCs w:val="20"/>
                <w:color w:val="auto"/>
              </w:rPr>
            </w:pPr>
            <w:r>
              <w:rPr>
                <w:rFonts w:ascii="Arial" w:cs="Arial" w:eastAsia="Arial" w:hAnsi="Arial"/>
                <w:sz w:val="17"/>
                <w:szCs w:val="17"/>
                <w:color w:val="0000FF"/>
              </w:rPr>
              <w:t>12/03/2020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60" w:type="dxa"/>
            <w:vAlign w:val="bottom"/>
            <w:gridSpan w:val="5"/>
            <w:vMerge w:val="restart"/>
          </w:tcPr>
          <w:p>
            <w:pPr>
              <w:ind w:left="20"/>
              <w:spacing w:after="0"/>
              <w:rPr>
                <w:sz w:val="20"/>
                <w:szCs w:val="20"/>
                <w:color w:val="auto"/>
              </w:rPr>
            </w:pPr>
            <w:r>
              <w:rPr>
                <w:rFonts w:ascii="Arial" w:cs="Arial" w:eastAsia="Arial" w:hAnsi="Arial"/>
                <w:sz w:val="17"/>
                <w:szCs w:val="17"/>
                <w:color w:val="0000FF"/>
              </w:rPr>
              <w:t>1900 N. PEARL STREET, 20TH FLOOR</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56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5"/>
                <w:szCs w:val="5"/>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0" w:type="dxa"/>
            <w:vAlign w:val="bottom"/>
            <w:gridSpan w:val="9"/>
            <w:vMerge w:val="continue"/>
          </w:tcPr>
          <w:p>
            <w:pPr>
              <w:spacing w:after="0"/>
              <w:rPr>
                <w:sz w:val="12"/>
                <w:szCs w:val="12"/>
                <w:color w:val="auto"/>
              </w:rPr>
            </w:pPr>
          </w:p>
        </w:tc>
        <w:tc>
          <w:tcPr>
            <w:tcW w:w="240" w:type="dxa"/>
            <w:vAlign w:val="bottom"/>
          </w:tcPr>
          <w:p>
            <w:pPr>
              <w:spacing w:after="0"/>
              <w:rPr>
                <w:sz w:val="12"/>
                <w:szCs w:val="12"/>
                <w:color w:val="auto"/>
              </w:rPr>
            </w:pPr>
          </w:p>
        </w:tc>
        <w:tc>
          <w:tcPr>
            <w:tcW w:w="340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gridSpan w:val="2"/>
          </w:tcPr>
          <w:p>
            <w:pPr>
              <w:ind w:left="60"/>
              <w:spacing w:after="0" w:line="116" w:lineRule="exact"/>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0"/>
                <w:szCs w:val="10"/>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DALLAS</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TX</w:t>
            </w:r>
          </w:p>
        </w:tc>
        <w:tc>
          <w:tcPr>
            <w:tcW w:w="1100" w:type="dxa"/>
            <w:vAlign w:val="bottom"/>
            <w:vMerge w:val="restart"/>
          </w:tcPr>
          <w:p>
            <w:pPr>
              <w:spacing w:after="0"/>
              <w:rPr>
                <w:sz w:val="20"/>
                <w:szCs w:val="20"/>
                <w:color w:val="auto"/>
              </w:rPr>
            </w:pPr>
            <w:r>
              <w:rPr>
                <w:rFonts w:ascii="Arial" w:cs="Arial" w:eastAsia="Arial" w:hAnsi="Arial"/>
                <w:sz w:val="17"/>
                <w:szCs w:val="17"/>
                <w:color w:val="0000FF"/>
              </w:rPr>
              <w:t>75201</w:t>
            </w: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gridSpan w:val="3"/>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3"/>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9"/>
          </w:tcPr>
          <w:p>
            <w:pPr>
              <w:ind w:left="8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40" w:type="dxa"/>
            <w:vAlign w:val="bottom"/>
            <w:tcBorders>
              <w:bottom w:val="single" w:sz="8" w:color="2C2C2C"/>
            </w:tcBorders>
            <w:gridSpan w:val="5"/>
          </w:tcPr>
          <w:p>
            <w:pPr>
              <w:spacing w:after="0"/>
              <w:rPr>
                <w:sz w:val="4"/>
                <w:szCs w:val="4"/>
                <w:color w:val="auto"/>
              </w:rPr>
            </w:pPr>
          </w:p>
        </w:tc>
        <w:tc>
          <w:tcPr>
            <w:tcW w:w="1720" w:type="dxa"/>
            <w:vAlign w:val="bottom"/>
            <w:tcBorders>
              <w:bottom w:val="single" w:sz="8" w:color="2C2C2C"/>
            </w:tcBorders>
            <w:gridSpan w:val="5"/>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6"/>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20" w:type="dxa"/>
            <w:vAlign w:val="bottom"/>
            <w:gridSpan w:val="6"/>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20" w:type="dxa"/>
            <w:vAlign w:val="bottom"/>
            <w:tcBorders>
              <w:bottom w:val="single" w:sz="8" w:color="2C2C2C"/>
            </w:tcBorders>
            <w:gridSpan w:val="6"/>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gridSpan w:val="3"/>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760" w:type="dxa"/>
            <w:vAlign w:val="bottom"/>
            <w:tcBorders>
              <w:bottom w:val="single" w:sz="8" w:color="2C2C2C"/>
            </w:tcBorders>
            <w:gridSpan w:val="3"/>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7280" w:type="dxa"/>
            <w:vAlign w:val="bottom"/>
            <w:tcBorders>
              <w:top w:val="single" w:sz="8" w:color="2C2C2C"/>
            </w:tcBorders>
            <w:gridSpan w:val="19"/>
          </w:tcPr>
          <w:p>
            <w:pPr>
              <w:ind w:left="10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1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74"/>
              </w:rPr>
              <w:t>8)</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vMerge w:val="restart"/>
          </w:tcPr>
          <w:p>
            <w:pPr>
              <w:ind w:left="100"/>
              <w:spacing w:after="0"/>
              <w:rPr>
                <w:sz w:val="20"/>
                <w:szCs w:val="20"/>
                <w:color w:val="auto"/>
              </w:rPr>
            </w:pPr>
            <w:r>
              <w:rPr>
                <w:rFonts w:ascii="Arial" w:cs="Arial" w:eastAsia="Arial" w:hAnsi="Arial"/>
                <w:sz w:val="13"/>
                <w:szCs w:val="13"/>
                <w:color w:val="0000FF"/>
              </w:rPr>
              <w:t>Class A</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gridSpan w:val="4"/>
            <w:vMerge w:val="restart"/>
          </w:tcPr>
          <w:p>
            <w:pPr>
              <w:ind w:left="1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25"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gridSpan w:val="2"/>
            <w:vMerge w:val="restart"/>
          </w:tcPr>
          <w:p>
            <w:pPr>
              <w:jc w:val="right"/>
              <w:ind w:right="258"/>
              <w:spacing w:after="0"/>
              <w:rPr>
                <w:sz w:val="20"/>
                <w:szCs w:val="20"/>
                <w:color w:val="auto"/>
              </w:rPr>
            </w:pPr>
            <w:r>
              <w:rPr>
                <w:rFonts w:ascii="Arial" w:cs="Arial" w:eastAsia="Arial" w:hAnsi="Arial"/>
                <w:sz w:val="11"/>
                <w:szCs w:val="11"/>
                <w:color w:val="008000"/>
                <w:w w:val="88"/>
              </w:rPr>
              <w:t>(1)</w:t>
            </w: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restart"/>
          </w:tcPr>
          <w:p>
            <w:pPr>
              <w:spacing w:after="0" w:line="189" w:lineRule="exact"/>
              <w:rPr>
                <w:sz w:val="20"/>
                <w:szCs w:val="20"/>
                <w:color w:val="auto"/>
              </w:rPr>
            </w:pPr>
            <w:r>
              <w:rPr>
                <w:rFonts w:ascii="Arial" w:cs="Arial" w:eastAsia="Arial" w:hAnsi="Arial"/>
                <w:sz w:val="17"/>
                <w:szCs w:val="17"/>
                <w:color w:val="0000FF"/>
                <w:w w:val="99"/>
              </w:rPr>
              <w:t>37,383</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19</w:t>
            </w:r>
          </w:p>
        </w:tc>
        <w:tc>
          <w:tcPr>
            <w:tcW w:w="120" w:type="dxa"/>
            <w:vAlign w:val="bottom"/>
          </w:tcPr>
          <w:p>
            <w:pPr>
              <w:spacing w:after="0"/>
              <w:rPr>
                <w:sz w:val="5"/>
                <w:szCs w:val="5"/>
                <w:color w:val="auto"/>
              </w:rPr>
            </w:pPr>
          </w:p>
        </w:tc>
        <w:tc>
          <w:tcPr>
            <w:tcW w:w="1100" w:type="dxa"/>
            <w:vAlign w:val="bottom"/>
            <w:vMerge w:val="restart"/>
          </w:tcPr>
          <w:p>
            <w:pPr>
              <w:ind w:left="280"/>
              <w:spacing w:after="0" w:line="142" w:lineRule="exact"/>
              <w:rPr>
                <w:sz w:val="20"/>
                <w:szCs w:val="20"/>
                <w:color w:val="auto"/>
              </w:rPr>
            </w:pPr>
            <w:r>
              <w:rPr>
                <w:rFonts w:ascii="Arial" w:cs="Arial" w:eastAsia="Arial" w:hAnsi="Arial"/>
                <w:sz w:val="13"/>
                <w:szCs w:val="13"/>
                <w:color w:val="0000FF"/>
              </w:rPr>
              <w:t>12/03/2020</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vMerge w:val="restart"/>
          </w:tcPr>
          <w:p>
            <w:pPr>
              <w:ind w:left="20"/>
              <w:spacing w:after="0"/>
              <w:rPr>
                <w:sz w:val="20"/>
                <w:szCs w:val="20"/>
                <w:color w:val="auto"/>
              </w:rPr>
            </w:pPr>
            <w:r>
              <w:rPr>
                <w:rFonts w:ascii="Arial" w:cs="Arial" w:eastAsia="Arial" w:hAnsi="Arial"/>
                <w:sz w:val="5"/>
                <w:szCs w:val="5"/>
                <w:color w:val="0000FF"/>
                <w:w w:val="78"/>
              </w:rPr>
              <w:t>J</w:t>
            </w:r>
          </w:p>
        </w:tc>
        <w:tc>
          <w:tcPr>
            <w:tcW w:w="4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37,383</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restart"/>
          </w:tcPr>
          <w:p>
            <w:pPr>
              <w:ind w:left="40"/>
              <w:spacing w:after="0" w:line="142" w:lineRule="exact"/>
              <w:rPr>
                <w:sz w:val="20"/>
                <w:szCs w:val="20"/>
                <w:color w:val="auto"/>
              </w:rPr>
            </w:pPr>
            <w:r>
              <w:rPr>
                <w:rFonts w:ascii="Arial" w:cs="Arial" w:eastAsia="Arial" w:hAnsi="Arial"/>
                <w:sz w:val="13"/>
                <w:szCs w:val="13"/>
                <w:color w:val="0000FF"/>
                <w:w w:val="98"/>
              </w:rPr>
              <w:t>12/03/2020</w:t>
            </w: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20"/>
              <w:spacing w:after="0" w:line="142" w:lineRule="exact"/>
              <w:rPr>
                <w:sz w:val="20"/>
                <w:szCs w:val="20"/>
                <w:color w:val="auto"/>
              </w:rPr>
            </w:pPr>
            <w:r>
              <w:rPr>
                <w:rFonts w:ascii="Arial" w:cs="Arial" w:eastAsia="Arial" w:hAnsi="Arial"/>
                <w:sz w:val="13"/>
                <w:szCs w:val="13"/>
                <w:color w:val="0000FF"/>
                <w:w w:val="85"/>
              </w:rPr>
              <w:t>37,383</w:t>
            </w:r>
          </w:p>
        </w:tc>
        <w:tc>
          <w:tcPr>
            <w:tcW w:w="320" w:type="dxa"/>
            <w:vAlign w:val="bottom"/>
          </w:tcPr>
          <w:p>
            <w:pPr>
              <w:spacing w:after="0"/>
              <w:rPr>
                <w:sz w:val="5"/>
                <w:szCs w:val="5"/>
                <w:color w:val="auto"/>
              </w:rPr>
            </w:pPr>
          </w:p>
        </w:tc>
        <w:tc>
          <w:tcPr>
            <w:tcW w:w="620" w:type="dxa"/>
            <w:vAlign w:val="bottom"/>
            <w:vMerge w:val="restart"/>
          </w:tcPr>
          <w:p>
            <w:pPr>
              <w:ind w:left="300"/>
              <w:spacing w:after="0" w:line="142" w:lineRule="exact"/>
              <w:rPr>
                <w:sz w:val="20"/>
                <w:szCs w:val="20"/>
                <w:color w:val="auto"/>
              </w:rPr>
            </w:pPr>
            <w:r>
              <w:rPr>
                <w:rFonts w:ascii="Arial" w:cs="Arial" w:eastAsia="Arial" w:hAnsi="Arial"/>
                <w:sz w:val="13"/>
                <w:szCs w:val="13"/>
                <w:color w:val="0000FF"/>
              </w:rPr>
              <w:t>I</w:t>
            </w:r>
          </w:p>
        </w:tc>
        <w:tc>
          <w:tcPr>
            <w:tcW w:w="8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gridSpan w:val="2"/>
          </w:tcPr>
          <w:p>
            <w:pPr>
              <w:ind w:left="60"/>
              <w:spacing w:after="0" w:line="65" w:lineRule="exact"/>
              <w:rPr>
                <w:sz w:val="20"/>
                <w:szCs w:val="20"/>
                <w:color w:val="auto"/>
              </w:rPr>
            </w:pPr>
            <w:r>
              <w:rPr>
                <w:rFonts w:ascii="Arial" w:cs="Arial" w:eastAsia="Arial" w:hAnsi="Arial"/>
                <w:sz w:val="6"/>
                <w:szCs w:val="6"/>
                <w:color w:val="0000FF"/>
              </w:rPr>
              <w:t>(right to</w:t>
            </w: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20" w:type="dxa"/>
            <w:vAlign w:val="bottom"/>
            <w:gridSpan w:val="4"/>
          </w:tcPr>
          <w:p>
            <w:pPr>
              <w:ind w:left="140"/>
              <w:spacing w:after="0" w:line="65"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808080"/>
            </w:tcBorders>
          </w:tcPr>
          <w:p>
            <w:pPr>
              <w:spacing w:after="0"/>
              <w:rPr>
                <w:sz w:val="20"/>
                <w:szCs w:val="20"/>
                <w:color w:val="auto"/>
              </w:rPr>
            </w:pPr>
          </w:p>
        </w:tc>
        <w:tc>
          <w:tcPr>
            <w:tcW w:w="2540" w:type="dxa"/>
            <w:vAlign w:val="bottom"/>
            <w:tcBorders>
              <w:top w:val="single" w:sz="8" w:color="2C2C2C"/>
            </w:tcBorders>
            <w:gridSpan w:val="5"/>
          </w:tcPr>
          <w:p>
            <w:pPr>
              <w:ind w:left="60"/>
              <w:spacing w:after="0" w:line="235"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60" w:type="dxa"/>
            <w:vAlign w:val="bottom"/>
            <w:gridSpan w:val="5"/>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Maverick Capital Ventures, LLC</w:t>
              </w:r>
            </w:hyperlink>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tcPr>
          <w:p>
            <w:pPr>
              <w:ind w:left="36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60" w:type="dxa"/>
            <w:vAlign w:val="bottom"/>
            <w:gridSpan w:val="4"/>
          </w:tcPr>
          <w:p>
            <w:pPr>
              <w:ind w:left="20"/>
              <w:spacing w:after="0"/>
              <w:rPr>
                <w:sz w:val="20"/>
                <w:szCs w:val="20"/>
                <w:color w:val="auto"/>
              </w:rPr>
            </w:pPr>
            <w:r>
              <w:rPr>
                <w:rFonts w:ascii="Arial" w:cs="Arial" w:eastAsia="Arial" w:hAnsi="Arial"/>
                <w:sz w:val="17"/>
                <w:szCs w:val="17"/>
                <w:color w:val="0000FF"/>
              </w:rPr>
              <w:t>C/O MAVERICK CAPITAL</w:t>
            </w: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60" w:type="dxa"/>
            <w:vAlign w:val="bottom"/>
            <w:gridSpan w:val="5"/>
          </w:tcPr>
          <w:p>
            <w:pPr>
              <w:ind w:left="20"/>
              <w:spacing w:after="0"/>
              <w:rPr>
                <w:sz w:val="20"/>
                <w:szCs w:val="20"/>
                <w:color w:val="auto"/>
              </w:rPr>
            </w:pPr>
            <w:r>
              <w:rPr>
                <w:rFonts w:ascii="Arial" w:cs="Arial" w:eastAsia="Arial" w:hAnsi="Arial"/>
                <w:sz w:val="17"/>
                <w:szCs w:val="17"/>
                <w:color w:val="0000FF"/>
              </w:rPr>
              <w:t>1900 N. PEARL STREET, 20TH FLOOR</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DALLAS</w:t>
            </w:r>
          </w:p>
        </w:tc>
        <w:tc>
          <w:tcPr>
            <w:tcW w:w="120" w:type="dxa"/>
            <w:vAlign w:val="bottom"/>
          </w:tcPr>
          <w:p>
            <w:pPr>
              <w:spacing w:after="0"/>
              <w:rPr>
                <w:sz w:val="20"/>
                <w:szCs w:val="20"/>
                <w:color w:val="auto"/>
              </w:rPr>
            </w:pPr>
          </w:p>
        </w:tc>
        <w:tc>
          <w:tcPr>
            <w:tcW w:w="1100" w:type="dxa"/>
            <w:vAlign w:val="bottom"/>
          </w:tcPr>
          <w:p>
            <w:pPr>
              <w:ind w:left="60"/>
              <w:spacing w:after="0"/>
              <w:rPr>
                <w:sz w:val="20"/>
                <w:szCs w:val="20"/>
                <w:color w:val="auto"/>
              </w:rPr>
            </w:pPr>
            <w:r>
              <w:rPr>
                <w:rFonts w:ascii="Arial" w:cs="Arial" w:eastAsia="Arial" w:hAnsi="Arial"/>
                <w:sz w:val="17"/>
                <w:szCs w:val="17"/>
                <w:color w:val="0000FF"/>
              </w:rPr>
              <w:t>TX</w:t>
            </w:r>
          </w:p>
        </w:tc>
        <w:tc>
          <w:tcPr>
            <w:tcW w:w="1100" w:type="dxa"/>
            <w:vAlign w:val="bottom"/>
          </w:tcPr>
          <w:p>
            <w:pPr>
              <w:ind w:left="360"/>
              <w:spacing w:after="0"/>
              <w:rPr>
                <w:sz w:val="20"/>
                <w:szCs w:val="20"/>
                <w:color w:val="auto"/>
              </w:rPr>
            </w:pPr>
            <w:r>
              <w:rPr>
                <w:rFonts w:ascii="Arial" w:cs="Arial" w:eastAsia="Arial" w:hAnsi="Arial"/>
                <w:sz w:val="17"/>
                <w:szCs w:val="17"/>
                <w:color w:val="0000FF"/>
              </w:rPr>
              <w:t>75201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tcPr>
          <w:p>
            <w:pPr>
              <w:ind w:left="36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60" w:type="dxa"/>
            <w:vAlign w:val="bottom"/>
            <w:gridSpan w:val="5"/>
          </w:tcPr>
          <w:p>
            <w:pPr>
              <w:ind w:left="20"/>
              <w:spacing w:after="0"/>
              <w:rPr>
                <w:rFonts w:ascii="Arial" w:cs="Arial" w:eastAsia="Arial" w:hAnsi="Arial"/>
                <w:sz w:val="21"/>
                <w:szCs w:val="21"/>
                <w:u w:val="single" w:color="auto"/>
                <w:color w:val="0000EE"/>
                <w:w w:val="91"/>
              </w:rPr>
            </w:pPr>
            <w:hyperlink r:id="rId15">
              <w:r>
                <w:rPr>
                  <w:rFonts w:ascii="Arial" w:cs="Arial" w:eastAsia="Arial" w:hAnsi="Arial"/>
                  <w:sz w:val="21"/>
                  <w:szCs w:val="21"/>
                  <w:u w:val="single" w:color="auto"/>
                  <w:color w:val="0000EE"/>
                  <w:w w:val="91"/>
                </w:rPr>
                <w:t>Maverick Ventures Investment Fund, L.P.</w:t>
              </w:r>
            </w:hyperlink>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tcPr>
          <w:p>
            <w:pPr>
              <w:ind w:left="36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60" w:type="dxa"/>
            <w:vAlign w:val="bottom"/>
            <w:gridSpan w:val="4"/>
          </w:tcPr>
          <w:p>
            <w:pPr>
              <w:ind w:left="20"/>
              <w:spacing w:after="0"/>
              <w:rPr>
                <w:sz w:val="20"/>
                <w:szCs w:val="20"/>
                <w:color w:val="auto"/>
              </w:rPr>
            </w:pPr>
            <w:r>
              <w:rPr>
                <w:rFonts w:ascii="Arial" w:cs="Arial" w:eastAsia="Arial" w:hAnsi="Arial"/>
                <w:sz w:val="17"/>
                <w:szCs w:val="17"/>
                <w:color w:val="0000FF"/>
              </w:rPr>
              <w:t>C/O MAVERICK CAPITAL</w:t>
            </w: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60" w:type="dxa"/>
            <w:vAlign w:val="bottom"/>
            <w:gridSpan w:val="5"/>
          </w:tcPr>
          <w:p>
            <w:pPr>
              <w:ind w:left="20"/>
              <w:spacing w:after="0"/>
              <w:rPr>
                <w:sz w:val="20"/>
                <w:szCs w:val="20"/>
                <w:color w:val="auto"/>
              </w:rPr>
            </w:pPr>
            <w:r>
              <w:rPr>
                <w:rFonts w:ascii="Arial" w:cs="Arial" w:eastAsia="Arial" w:hAnsi="Arial"/>
                <w:sz w:val="17"/>
                <w:szCs w:val="17"/>
                <w:color w:val="0000FF"/>
              </w:rPr>
              <w:t>1900 N. PEARL STREET, 20TH FLOOR</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DALLAS</w:t>
            </w:r>
          </w:p>
        </w:tc>
        <w:tc>
          <w:tcPr>
            <w:tcW w:w="120" w:type="dxa"/>
            <w:vAlign w:val="bottom"/>
          </w:tcPr>
          <w:p>
            <w:pPr>
              <w:spacing w:after="0"/>
              <w:rPr>
                <w:sz w:val="20"/>
                <w:szCs w:val="20"/>
                <w:color w:val="auto"/>
              </w:rPr>
            </w:pPr>
          </w:p>
        </w:tc>
        <w:tc>
          <w:tcPr>
            <w:tcW w:w="1100" w:type="dxa"/>
            <w:vAlign w:val="bottom"/>
          </w:tcPr>
          <w:p>
            <w:pPr>
              <w:ind w:left="60"/>
              <w:spacing w:after="0"/>
              <w:rPr>
                <w:sz w:val="20"/>
                <w:szCs w:val="20"/>
                <w:color w:val="auto"/>
              </w:rPr>
            </w:pPr>
            <w:r>
              <w:rPr>
                <w:rFonts w:ascii="Arial" w:cs="Arial" w:eastAsia="Arial" w:hAnsi="Arial"/>
                <w:sz w:val="17"/>
                <w:szCs w:val="17"/>
                <w:color w:val="0000FF"/>
              </w:rPr>
              <w:t>TX</w:t>
            </w:r>
          </w:p>
        </w:tc>
        <w:tc>
          <w:tcPr>
            <w:tcW w:w="1100" w:type="dxa"/>
            <w:vAlign w:val="bottom"/>
          </w:tcPr>
          <w:p>
            <w:pPr>
              <w:ind w:left="360"/>
              <w:spacing w:after="0"/>
              <w:rPr>
                <w:sz w:val="20"/>
                <w:szCs w:val="20"/>
                <w:color w:val="auto"/>
              </w:rPr>
            </w:pPr>
            <w:r>
              <w:rPr>
                <w:rFonts w:ascii="Arial" w:cs="Arial" w:eastAsia="Arial" w:hAnsi="Arial"/>
                <w:sz w:val="17"/>
                <w:szCs w:val="17"/>
                <w:color w:val="0000FF"/>
              </w:rPr>
              <w:t>75201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tcPr>
          <w:p>
            <w:pPr>
              <w:ind w:left="36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60" w:type="dxa"/>
            <w:vAlign w:val="bottom"/>
            <w:gridSpan w:val="5"/>
          </w:tcPr>
          <w:p>
            <w:pPr>
              <w:ind w:left="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Maverick Advisors Fund, L.P.</w:t>
              </w:r>
            </w:hyperlink>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tcPr>
          <w:p>
            <w:pPr>
              <w:ind w:left="36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-7057390</wp:posOffset>
            </wp:positionV>
            <wp:extent cx="7033895" cy="763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033895" cy="7639685"/>
                    </a:xfrm>
                    <a:prstGeom prst="rect">
                      <a:avLst/>
                    </a:prstGeom>
                    <a:noFill/>
                  </pic:spPr>
                </pic:pic>
              </a:graphicData>
            </a:graphic>
          </wp:anchor>
        </w:drawing>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C/O MAVERICK CAPITAL</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1900 N. PEARL STREET, 20TH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102235</wp:posOffset>
            </wp:positionV>
            <wp:extent cx="265303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653030" cy="16510"/>
                    </a:xfrm>
                    <a:prstGeom prst="rect">
                      <a:avLst/>
                    </a:prstGeom>
                    <a:noFill/>
                  </pic:spPr>
                </pic:pic>
              </a:graphicData>
            </a:graphic>
          </wp:anchor>
        </w:drawing>
      </w:r>
    </w:p>
    <w:p>
      <w:pPr>
        <w:sectPr>
          <w:pgSz w:w="11900" w:h="16838" w:orient="portrait"/>
          <w:cols w:equalWidth="0" w:num="1">
            <w:col w:w="11080"/>
          </w:cols>
          <w:pgMar w:left="460" w:top="221" w:right="35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294005</wp:posOffset>
            </wp:positionH>
            <wp:positionV relativeFrom="page">
              <wp:posOffset>88900</wp:posOffset>
            </wp:positionV>
            <wp:extent cx="2783840" cy="6057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783840" cy="605790"/>
                    </a:xfrm>
                    <a:prstGeom prst="rect">
                      <a:avLst/>
                    </a:prstGeom>
                    <a:noFill/>
                  </pic:spPr>
                </pic:pic>
              </a:graphicData>
            </a:graphic>
          </wp:anchor>
        </w:drawing>
        <w:t>(Street)</w:t>
      </w:r>
    </w:p>
    <w:p>
      <w:pPr>
        <w:spacing w:after="0" w:line="22" w:lineRule="exact"/>
        <w:rPr>
          <w:sz w:val="20"/>
          <w:szCs w:val="20"/>
          <w:color w:val="auto"/>
        </w:rPr>
      </w:pPr>
    </w:p>
    <w:p>
      <w:pPr>
        <w:ind w:left="80"/>
        <w:spacing w:after="0"/>
        <w:tabs>
          <w:tab w:leader="none" w:pos="1460" w:val="left"/>
        </w:tabs>
        <w:rPr>
          <w:sz w:val="20"/>
          <w:szCs w:val="20"/>
          <w:color w:val="auto"/>
        </w:rPr>
      </w:pPr>
      <w:r>
        <w:rPr>
          <w:rFonts w:ascii="Arial" w:cs="Arial" w:eastAsia="Arial" w:hAnsi="Arial"/>
          <w:sz w:val="17"/>
          <w:szCs w:val="17"/>
          <w:color w:val="0000FF"/>
        </w:rPr>
        <w:t>DALLAS</w:t>
      </w:r>
      <w:r>
        <w:rPr>
          <w:sz w:val="20"/>
          <w:szCs w:val="20"/>
          <w:color w:val="auto"/>
        </w:rPr>
        <w:tab/>
      </w:r>
      <w:r>
        <w:rPr>
          <w:rFonts w:ascii="Arial" w:cs="Arial" w:eastAsia="Arial" w:hAnsi="Arial"/>
          <w:sz w:val="17"/>
          <w:szCs w:val="17"/>
          <w:color w:val="0000FF"/>
        </w:rPr>
        <w:t>TX</w:t>
      </w:r>
    </w:p>
    <w:p>
      <w:pPr>
        <w:spacing w:after="0" w:line="328"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firstLine="2"/>
        <w:spacing w:after="0" w:line="236" w:lineRule="auto"/>
        <w:tabs>
          <w:tab w:leader="none" w:pos="12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stock option was granted to David Singer, a director of the Issuer, and a Managing Partner of Maverick Capital Ventures, LLC (Maverick Ventures), the general partner of Maverick Ventures Investment Fund, L.P. and Maverick Advisors Fund, L.P. (the Maverick Venture Funds). Mr. Singer is deemed to hold the reported stock option for the benefit of Maverick Ventures and may exercise the stock option solely upon the direction of Maverick Ventures, which entity is entitled to the shares of Class A Common Stock issued upon exercise. Maverick Ventures, Maverick Venture Funds and Lee S. Ainslie III, a Managing Partner of Maverick Ventures, may be deemed the indirect beneficial owners of this stock option.</w:t>
      </w:r>
    </w:p>
    <w:p>
      <w:pPr>
        <w:spacing w:after="0" w:line="30" w:lineRule="exact"/>
        <w:rPr>
          <w:rFonts w:ascii="Arial" w:cs="Arial" w:eastAsia="Arial" w:hAnsi="Arial"/>
          <w:sz w:val="13"/>
          <w:szCs w:val="13"/>
          <w:color w:val="008000"/>
        </w:rPr>
      </w:pPr>
    </w:p>
    <w:p>
      <w:pPr>
        <w:ind w:left="140" w:hanging="138"/>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subject to the option vest in 36 equal monthly installments beginning on January 3, 2021.</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880"/>
          </w:cols>
          <w:pgMar w:left="500" w:top="140" w:right="519" w:bottom="1440" w:gutter="0" w:footer="0" w:header="0"/>
        </w:sectPr>
      </w:pPr>
    </w:p>
    <w:p>
      <w:pPr>
        <w:spacing w:after="0" w:line="135"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Mark Gurevich,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3481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attorney for Lee S. Ainslie III,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-1270</wp:posOffset>
            </wp:positionV>
            <wp:extent cx="13652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65250"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Managing Partner of Maverick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-8890</wp:posOffset>
            </wp:positionV>
            <wp:extent cx="13150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315085"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Capital Ventures,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9607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60755" cy="8255"/>
                    </a:xfrm>
                    <a:prstGeom prst="rect">
                      <a:avLst/>
                    </a:prstGeom>
                    <a:noFill/>
                  </pic:spPr>
                </pic:pic>
              </a:graphicData>
            </a:graphic>
          </wp:anchor>
        </w:drawing>
      </w:r>
    </w:p>
    <w:p>
      <w:pPr>
        <w:spacing w:after="0" w:line="35"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Mark Gurevich,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3481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attorney for Lee S. Ainslie III,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-1270</wp:posOffset>
            </wp:positionV>
            <wp:extent cx="13652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365250"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Managing Partner of Maverick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-8890</wp:posOffset>
            </wp:positionV>
            <wp:extent cx="13150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315085"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Capital Ventures,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11436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1436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general partner of Maverick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11906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1906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Ventures Investment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-1270</wp:posOffset>
            </wp:positionV>
            <wp:extent cx="13366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spacing w:after="0" w:line="58"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Mark Gurevich,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3481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attorney for Lee S. Ainslie III,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-1270</wp:posOffset>
            </wp:positionV>
            <wp:extent cx="13652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1365250"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Managing Partner of Maverick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-8890</wp:posOffset>
            </wp:positionV>
            <wp:extent cx="13150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1315085"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Capital Ventures,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11436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11436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general partner of Maverick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11906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11906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Advisors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8489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848995" cy="8255"/>
                    </a:xfrm>
                    <a:prstGeom prst="rect">
                      <a:avLst/>
                    </a:prstGeom>
                    <a:noFill/>
                  </pic:spPr>
                </pic:pic>
              </a:graphicData>
            </a:graphic>
          </wp:anchor>
        </w:drawing>
      </w:r>
    </w:p>
    <w:p>
      <w:pPr>
        <w:spacing w:after="0" w:line="35"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Mark Gurevich,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3481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attorney for Lee S. Ainslie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12649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0000FF"/>
        </w:rPr>
        <w:t>12/11/2020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06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color w:val="0000FF"/>
        </w:rPr>
        <w:t>12/11/2020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06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5"/>
          <w:szCs w:val="15"/>
          <w:color w:val="0000FF"/>
        </w:rPr>
        <w:t>12/11/2020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06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0000FF"/>
        </w:rPr>
        <w:t>12/11/2020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06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8700" w:space="60"/>
            <w:col w:w="2120"/>
          </w:cols>
          <w:pgMar w:left="500" w:top="140"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40" w:firstLine="2"/>
        <w:spacing w:after="0" w:line="334"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40"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13" Type="http://schemas.openxmlformats.org/officeDocument/2006/relationships/hyperlink" Target="http://www.sec.gov/cgi-bin/browse-edgar?action=getcompany&amp;CIK=0001632173" TargetMode="External"/><Relationship Id="rId14" Type="http://schemas.openxmlformats.org/officeDocument/2006/relationships/hyperlink" Target="http://www.sec.gov/cgi-bin/browse-edgar?action=getcompany&amp;CIK=0001726445" TargetMode="External"/><Relationship Id="rId15" Type="http://schemas.openxmlformats.org/officeDocument/2006/relationships/hyperlink" Target="http://www.sec.gov/cgi-bin/browse-edgar?action=getcompany&amp;CIK=0001632191" TargetMode="External"/><Relationship Id="rId16" Type="http://schemas.openxmlformats.org/officeDocument/2006/relationships/hyperlink" Target="http://www.sec.gov/cgi-bin/browse-edgar?action=getcompany&amp;CIK=00016321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2020-12-11T20:30:34Z</dcterms:created>
  <dcterms:modified xsi:type="dcterms:W3CDTF">2020-12-11T20:30:34Z</dcterms:modified>
</cp:coreProperties>
</file>