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726445-20231221.htm"/>
      <w:bookmarkStart w:id="1" w:name="ksck000172644520231221"/>
      <w:bookmarkEnd w:id="0"/>
      <w:bookmarkEnd w:id="1"/>
      <w:r>
        <w:rPr/>
        <w: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December 21, 2023</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Seer,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5110" w:type="dxa"/>
        <w:jc w:val="left"/>
        <w:tblInd w:w="0" w:type="dxa"/>
        <w:tblLayout w:type="fixed"/>
        <w:tblCellMar>
          <w:top w:w="28" w:type="dxa"/>
          <w:left w:w="28" w:type="dxa"/>
          <w:bottom w:w="28" w:type="dxa"/>
          <w:right w:w="28" w:type="dxa"/>
        </w:tblCellMar>
      </w:tblPr>
      <w:tblGrid>
        <w:gridCol w:w="2266"/>
        <w:gridCol w:w="146"/>
        <w:gridCol w:w="1066"/>
        <w:gridCol w:w="146"/>
        <w:gridCol w:w="148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Delaware</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001-39747</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82-1153150</w:t>
            </w:r>
          </w:p>
        </w:tc>
      </w:tr>
      <w:tr>
        <w:trPr/>
        <w:tc>
          <w:tcPr>
            <w:tcW w:w="2266" w:type="dxa"/>
            <w:tcBorders/>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(State or other jurisdiction of</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(Commission</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(I.R.S. Employer</w:t>
            </w:r>
          </w:p>
        </w:tc>
      </w:tr>
      <w:tr>
        <w:trPr/>
        <w:tc>
          <w:tcPr>
            <w:tcW w:w="2266" w:type="dxa"/>
            <w:tcBorders/>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incorporation)</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3800 Bridge Parkway, Suite 102</w:t>
      </w:r>
    </w:p>
    <w:p>
      <w:pPr>
        <w:pStyle w:val="TextBody"/>
        <w:bidi w:val="0"/>
        <w:spacing w:before="80" w:after="283"/>
        <w:jc w:val="center"/>
        <w:rPr>
          <w:rFonts w:ascii="Times New Roman" w:hAnsi="Times New Roman"/>
          <w:sz w:val="20"/>
        </w:rPr>
      </w:pPr>
      <w:r>
        <w:rPr>
          <w:rFonts w:ascii="Times New Roman" w:hAnsi="Times New Roman"/>
          <w:b/>
          <w:color w:val="000000"/>
          <w:sz w:val="20"/>
        </w:rPr>
        <w:t>Redwood City, California</w:t>
      </w:r>
      <w:r>
        <w:rPr>
          <w:rFonts w:ascii="Times New Roman" w:hAnsi="Times New Roman"/>
          <w:color w:val="000000"/>
          <w:sz w:val="20"/>
        </w:rPr>
        <w:t xml:space="preserve"> </w:t>
      </w:r>
      <w:r>
        <w:rPr>
          <w:rFonts w:ascii="Times New Roman" w:hAnsi="Times New Roman"/>
          <w:b/>
          <w:color w:val="000000"/>
          <w:sz w:val="20"/>
        </w:rPr>
        <w:t>94065</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 xml:space="preserve">650-453-0000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reports)</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p>
    <w:p>
      <w:pPr>
        <w:pStyle w:val="TextBody"/>
        <w:bidi w:val="0"/>
        <w:jc w:val="center"/>
        <w:rPr/>
      </w:pPr>
      <w:r>
        <w:rPr/>
        <w:t> </w:t>
      </w:r>
    </w:p>
    <w:tbl>
      <w:tblPr>
        <w:tblW w:w="8432" w:type="dxa"/>
        <w:jc w:val="left"/>
        <w:tblInd w:w="0" w:type="dxa"/>
        <w:tblLayout w:type="fixed"/>
        <w:tblCellMar>
          <w:top w:w="28" w:type="dxa"/>
          <w:left w:w="28" w:type="dxa"/>
          <w:bottom w:w="28" w:type="dxa"/>
          <w:right w:w="28" w:type="dxa"/>
        </w:tblCellMar>
      </w:tblPr>
      <w:tblGrid>
        <w:gridCol w:w="331"/>
        <w:gridCol w:w="8101"/>
      </w:tblGrid>
      <w:tr>
        <w:trPr/>
        <w:tc>
          <w:tcPr>
            <w:tcW w:w="331"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40" w:after="283"/>
              <w:jc w:val="left"/>
              <w:rPr>
                <w:color w:val="000000"/>
              </w:rPr>
            </w:pPr>
            <w:r>
              <w:rPr>
                <w:color w:val="000000"/>
              </w:rPr>
              <w:t>☐</w:t>
            </w:r>
          </w:p>
        </w:tc>
        <w:tc>
          <w:tcPr>
            <w:tcW w:w="8101" w:type="dxa"/>
            <w:tcBorders/>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Written communications pursuant to Rule 425 under the Securities Act (17 CFR 230.425)</w:t>
            </w:r>
          </w:p>
        </w:tc>
      </w:tr>
      <w:tr>
        <w:trPr/>
        <w:tc>
          <w:tcPr>
            <w:tcW w:w="331" w:type="dxa"/>
            <w:tcBorders/>
            <w:vAlign w:val="center"/>
          </w:tcPr>
          <w:p>
            <w:pPr>
              <w:pStyle w:val="TableContents"/>
              <w:bidi w:val="0"/>
              <w:spacing w:before="40" w:after="283"/>
              <w:jc w:val="left"/>
              <w:rPr>
                <w:color w:val="000000"/>
              </w:rPr>
            </w:pPr>
            <w:r>
              <w:rPr>
                <w:color w:val="000000"/>
              </w:rPr>
              <w:t>☐</w:t>
            </w:r>
          </w:p>
        </w:tc>
        <w:tc>
          <w:tcPr>
            <w:tcW w:w="8101" w:type="dxa"/>
            <w:tcBorders/>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Soliciting material pursuant to Rule 14a-12 under the Exchange Act (17 CFR 240.14a-12)</w:t>
            </w:r>
          </w:p>
        </w:tc>
      </w:tr>
      <w:tr>
        <w:trPr/>
        <w:tc>
          <w:tcPr>
            <w:tcW w:w="331" w:type="dxa"/>
            <w:tcBorders/>
            <w:vAlign w:val="center"/>
          </w:tcPr>
          <w:p>
            <w:pPr>
              <w:pStyle w:val="TableContents"/>
              <w:bidi w:val="0"/>
              <w:spacing w:before="40" w:after="283"/>
              <w:jc w:val="left"/>
              <w:rPr>
                <w:color w:val="000000"/>
              </w:rPr>
            </w:pPr>
            <w:r>
              <w:rPr>
                <w:color w:val="000000"/>
              </w:rPr>
              <w:t>☐</w:t>
            </w:r>
          </w:p>
        </w:tc>
        <w:tc>
          <w:tcPr>
            <w:tcW w:w="8101" w:type="dxa"/>
            <w:tcBorders/>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14d-2(b) under the Exchange Act (17 CFR 240.14d-2(b))</w:t>
            </w:r>
          </w:p>
        </w:tc>
      </w:tr>
      <w:tr>
        <w:trPr/>
        <w:tc>
          <w:tcPr>
            <w:tcW w:w="331" w:type="dxa"/>
            <w:tcBorders/>
            <w:vAlign w:val="center"/>
          </w:tcPr>
          <w:p>
            <w:pPr>
              <w:pStyle w:val="TableContents"/>
              <w:bidi w:val="0"/>
              <w:spacing w:before="40" w:after="283"/>
              <w:jc w:val="left"/>
              <w:rPr>
                <w:color w:val="000000"/>
              </w:rPr>
            </w:pPr>
            <w:r>
              <w:rPr>
                <w:color w:val="000000"/>
              </w:rPr>
              <w:t>☐</w:t>
            </w:r>
          </w:p>
        </w:tc>
        <w:tc>
          <w:tcPr>
            <w:tcW w:w="8101" w:type="dxa"/>
            <w:tcBorders/>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13e-4(c) under the Exchange Act (17 CFR 240.13e-4(c))</w:t>
            </w:r>
          </w:p>
        </w:tc>
      </w:tr>
      <w:tr>
        <w:trPr/>
        <w:tc>
          <w:tcPr>
            <w:tcW w:w="8432" w:type="dxa"/>
            <w:gridSpan w:val="2"/>
            <w:tcBorders/>
            <w:vAlign w:val="center"/>
          </w:tcPr>
          <w:p>
            <w:pPr>
              <w:pStyle w:val="TableContents"/>
              <w:bidi w:val="0"/>
              <w:spacing w:before="0" w:after="283"/>
              <w:jc w:val="left"/>
              <w:rPr/>
            </w:pPr>
            <w:r>
              <w:rPr/>
              <w:t> </w:t>
            </w:r>
          </w:p>
        </w:tc>
      </w:tr>
      <w:tr>
        <w:trPr/>
        <w:tc>
          <w:tcPr>
            <w:tcW w:w="8432" w:type="dxa"/>
            <w:gridSpan w:val="2"/>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tc>
      </w:tr>
      <w:tr>
        <w:trPr/>
        <w:tc>
          <w:tcPr>
            <w:tcW w:w="8432" w:type="dxa"/>
            <w:gridSpan w:val="2"/>
            <w:tcBorders/>
            <w:vAlign w:val="center"/>
          </w:tcPr>
          <w:p>
            <w:pPr>
              <w:pStyle w:val="TableContents"/>
              <w:bidi w:val="0"/>
              <w:spacing w:before="0" w:after="283"/>
              <w:jc w:val="left"/>
              <w:rPr/>
            </w:pPr>
            <w:r>
              <w:rPr/>
              <w:t> </w:t>
            </w:r>
          </w:p>
        </w:tc>
      </w:tr>
    </w:tbl>
    <w:p>
      <w:pPr>
        <w:pStyle w:val="TextBody"/>
        <w:bidi w:val="0"/>
        <w:jc w:val="center"/>
        <w:rPr/>
      </w:pPr>
      <w:r>
        <w:rPr/>
        <w:t> </w:t>
      </w:r>
    </w:p>
    <w:tbl>
      <w:tblPr>
        <w:tblW w:w="8733" w:type="dxa"/>
        <w:jc w:val="left"/>
        <w:tblInd w:w="0" w:type="dxa"/>
        <w:tblLayout w:type="fixed"/>
        <w:tblCellMar>
          <w:top w:w="28" w:type="dxa"/>
          <w:left w:w="28" w:type="dxa"/>
          <w:bottom w:w="28" w:type="dxa"/>
          <w:right w:w="28" w:type="dxa"/>
        </w:tblCellMar>
      </w:tblPr>
      <w:tblGrid>
        <w:gridCol w:w="3886"/>
        <w:gridCol w:w="1366"/>
        <w:gridCol w:w="3481"/>
      </w:tblGrid>
      <w:tr>
        <w:trPr/>
        <w:tc>
          <w:tcPr>
            <w:tcW w:w="388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88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36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8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Class A Common Stock, par value $0.00001 per share</w:t>
            </w:r>
          </w:p>
        </w:tc>
        <w:tc>
          <w:tcPr>
            <w:tcW w:w="1366"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SEER</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The NASDAQ Stock Market LLC</w:t>
            </w:r>
          </w:p>
          <w:p>
            <w:pPr>
              <w:pStyle w:val="TableContents"/>
              <w:bidi w:val="0"/>
              <w:spacing w:before="55" w:after="30"/>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80" w:after="283"/>
        <w:jc w:val="left"/>
        <w:rPr>
          <w:rFonts w:ascii="Times New Roman" w:hAnsi="Times New Roman"/>
          <w:color w:val="000000"/>
          <w:sz w:val="14"/>
        </w:rPr>
      </w:pPr>
      <w:r>
        <w:rPr>
          <w:rFonts w:ascii="Times New Roman" w:hAnsi="Times New Roman"/>
          <w:color w:val="000000"/>
          <w:sz w:val="14"/>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80" w:after="283"/>
        <w:jc w:val="left"/>
        <w:rPr>
          <w:rFonts w:ascii="Times New Roman" w:hAnsi="Times New Roman"/>
          <w:sz w:val="20"/>
        </w:rPr>
      </w:pPr>
      <w:r>
        <w:rPr>
          <w:rFonts w:ascii="Times New Roman" w:hAnsi="Times New Roman"/>
          <w:color w:val="000000"/>
          <w:sz w:val="14"/>
        </w:rPr>
        <w:t xml:space="preserve">Emerging growth company </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14"/>
        </w:rPr>
      </w:pPr>
      <w:r>
        <w:rPr>
          <w:rFonts w:ascii="Times New Roman" w:hAnsi="Times New Roman"/>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8"/>
        <w:gridCol w:w="9407"/>
      </w:tblGrid>
      <w:tr>
        <w:trPr/>
        <w:tc>
          <w:tcPr>
            <w:tcW w:w="798" w:type="dxa"/>
            <w:tcBorders/>
            <w:vAlign w:val="center"/>
          </w:tcPr>
          <w:p>
            <w:pPr>
              <w:pStyle w:val="TableContents"/>
              <w:bidi w:val="0"/>
              <w:spacing w:before="0" w:after="283"/>
              <w:jc w:val="left"/>
              <w:rPr>
                <w:sz w:val="4"/>
                <w:szCs w:val="4"/>
              </w:rPr>
            </w:pPr>
            <w:r>
              <w:rPr>
                <w:sz w:val="4"/>
                <w:szCs w:val="4"/>
              </w:rPr>
            </w:r>
          </w:p>
        </w:tc>
        <w:tc>
          <w:tcPr>
            <w:tcW w:w="9407" w:type="dxa"/>
            <w:tcBorders/>
            <w:vAlign w:val="center"/>
          </w:tcPr>
          <w:p>
            <w:pPr>
              <w:pStyle w:val="TableContents"/>
              <w:bidi w:val="0"/>
              <w:spacing w:before="0" w:after="283"/>
              <w:jc w:val="left"/>
              <w:rPr>
                <w:sz w:val="4"/>
                <w:szCs w:val="4"/>
              </w:rPr>
            </w:pPr>
            <w:r>
              <w:rPr>
                <w:sz w:val="4"/>
                <w:szCs w:val="4"/>
              </w:rPr>
            </w:r>
          </w:p>
        </w:tc>
      </w:tr>
      <w:tr>
        <w:trPr/>
        <w:tc>
          <w:tcPr>
            <w:tcW w:w="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5.02</w:t>
            </w:r>
          </w:p>
        </w:tc>
        <w:tc>
          <w:tcPr>
            <w:tcW w:w="9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Departure of Directors or Certain Officers; Election of Directors; Appointment of Certain Officers; Compensatory Arrangements of Certain Officers.</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December 21, 2023, Catherine Friedman informed Seer, Inc. (the “Company”) of her resignation as a member of the Company’s Board of Directors (the “Board”) and all committees thereof, effective immediately.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Ms. Friedman’s resignation from the Board, the size of the Board was decreased from eight to seven members.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Also, following Ms. Friedman’s resignation, the Board appointed Rachel Haurwitz, Ph.D. to the Audit Committee of the Board (the “Audit Committee”) and appointed Meeta Gulyani as the Chair of the Audit Committee. The Board determined that Dr. Haurwitz qualifies as independent under the director independence standards set forth in the rules and regulations of Securities and Exchange Commission (the “SEC”) and the applicable listing standards of the Nasdaq Stock Market (“Nasdaq”) and also satisfies the additional requirements of financial literacy and audit committee independence for audit committee service under the applicable rules and regulations of the SEC and listing standards of Nasdaq. The Board determined that Dr. Haurwitz qualifies as an “audit committee financial expert” within the meaning of SEC rules and regulations.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section4"/>
      <w:bookmarkEnd w:id="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6025" w:type="dxa"/>
        <w:jc w:val="left"/>
        <w:tblInd w:w="0" w:type="dxa"/>
        <w:tblLayout w:type="fixed"/>
        <w:tblCellMar>
          <w:top w:w="28" w:type="dxa"/>
          <w:left w:w="28" w:type="dxa"/>
          <w:bottom w:w="28" w:type="dxa"/>
          <w:right w:w="28" w:type="dxa"/>
        </w:tblCellMar>
      </w:tblPr>
      <w:tblGrid>
        <w:gridCol w:w="2176"/>
        <w:gridCol w:w="146"/>
        <w:gridCol w:w="406"/>
        <w:gridCol w:w="146"/>
        <w:gridCol w:w="315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03" w:type="dxa"/>
            <w:gridSpan w:val="3"/>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SEER, INC.</w:t>
            </w:r>
          </w:p>
        </w:tc>
      </w:tr>
      <w:tr>
        <w:trPr/>
        <w:tc>
          <w:tcPr>
            <w:tcW w:w="21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51" w:type="dxa"/>
            <w:tcBorders/>
            <w:vAlign w:val="center"/>
          </w:tcPr>
          <w:p>
            <w:pPr>
              <w:pStyle w:val="TableContents"/>
              <w:bidi w:val="0"/>
              <w:spacing w:before="0" w:after="283"/>
              <w:jc w:val="left"/>
              <w:rPr/>
            </w:pPr>
            <w:r>
              <w:rPr/>
              <w:t> </w:t>
            </w:r>
          </w:p>
        </w:tc>
      </w:tr>
      <w:tr>
        <w:trPr/>
        <w:tc>
          <w:tcPr>
            <w:tcW w:w="217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 December 22, 2023</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315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Horn</w:t>
            </w:r>
          </w:p>
        </w:tc>
      </w:tr>
      <w:tr>
        <w:trPr/>
        <w:tc>
          <w:tcPr>
            <w:tcW w:w="21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21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554</Words>
  <Characters>3114</Characters>
  <CharactersWithSpaces>3665</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