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Hallal David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17, 2022 or (ii) the day prior to the date of the Issuer's next annual meeting of stockholders.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53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747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2021-06-22T17:29:19Z</dcterms:created>
  <dcterms:modified xsi:type="dcterms:W3CDTF">2021-06-22T17:29:19Z</dcterms:modified>
</cp:coreProperties>
</file>