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86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Horn David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2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10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02/15/2023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70,000</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337,716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gridSpan w:val="2"/>
          </w:tcPr>
          <w:p>
            <w:pPr>
              <w:jc w:val="right"/>
              <w:ind w:right="95"/>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4.59</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02/15/2023</w:t>
            </w:r>
          </w:p>
        </w:tc>
        <w:tc>
          <w:tcPr>
            <w:tcW w:w="1080" w:type="dxa"/>
            <w:vAlign w:val="bottom"/>
          </w:tcPr>
          <w:p>
            <w:pPr>
              <w:spacing w:after="0"/>
              <w:rPr>
                <w:sz w:val="12"/>
                <w:szCs w:val="12"/>
                <w:color w:val="auto"/>
              </w:rPr>
            </w:pPr>
          </w:p>
        </w:tc>
        <w:tc>
          <w:tcPr>
            <w:tcW w:w="7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02/15/2033</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in four equal annual installments beginning on February 15, 2024.</w:t>
      </w:r>
    </w:p>
    <w:p>
      <w:pPr>
        <w:spacing w:after="0" w:line="41" w:lineRule="exact"/>
        <w:rPr>
          <w:rFonts w:ascii="Times New Roman" w:cs="Times New Roman" w:eastAsia="Times New Roman" w:hAnsi="Times New Roman"/>
          <w:sz w:val="13"/>
          <w:szCs w:val="13"/>
          <w:color w:val="008000"/>
        </w:rPr>
      </w:pPr>
    </w:p>
    <w:p>
      <w:pPr>
        <w:ind w:left="40" w:right="36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"Stock Price Hurdle") which requires that the Issuer achieve a stock price equal to or greater than 150% of the option exercise price during the period beginning on the grant date and ending on February 15, 2030 (the "Performance Period"). If the Stock Price Hurdle is achieved within the Performance Period, then one fourth of the shares subject to the option vest on the date that achievement of the Stock Price Hurdle is certified and the remaining shares vest annually thereafter in three equal installments.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David Horn</w:t>
            </w:r>
          </w:p>
        </w:tc>
        <w:tc>
          <w:tcPr>
            <w:tcW w:w="12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02/17/2023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2023-02-17T18:56:36Z</dcterms:created>
  <dcterms:modified xsi:type="dcterms:W3CDTF">2023-02-17T18:56:36Z</dcterms:modified>
</cp:coreProperties>
</file>