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50800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69850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November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Seer,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12" w:lineRule="exact"/>
        <w:rPr>
          <w:sz w:val="24"/>
          <w:szCs w:val="24"/>
          <w:color w:val="auto"/>
        </w:rPr>
      </w:pPr>
    </w:p>
    <w:tbl>
      <w:tblPr>
        <w:tblLayout w:type="fixed"/>
        <w:tblInd w:w="860" w:type="dxa"/>
        <w:tblCellMar>
          <w:top w:w="0" w:type="dxa"/>
          <w:left w:w="0" w:type="dxa"/>
          <w:bottom w:w="0" w:type="dxa"/>
          <w:right w:w="0" w:type="dxa"/>
        </w:tblCellMar>
      </w:tblPr>
      <w:tr>
        <w:trPr>
          <w:trHeight w:val="190"/>
        </w:trPr>
        <w:tc>
          <w:tcPr>
            <w:tcW w:w="306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5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001-39747</w:t>
            </w: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82-1153150</w:t>
            </w:r>
          </w:p>
        </w:tc>
      </w:tr>
      <w:tr>
        <w:trPr>
          <w:trHeight w:val="257"/>
        </w:trPr>
        <w:tc>
          <w:tcPr>
            <w:tcW w:w="3060" w:type="dxa"/>
            <w:vAlign w:val="bottom"/>
          </w:tcPr>
          <w:p>
            <w:pPr>
              <w:jc w:val="center"/>
              <w:ind w:right="1188"/>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5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57"/>
        </w:trPr>
        <w:tc>
          <w:tcPr>
            <w:tcW w:w="306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35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60" w:type="dxa"/>
            <w:vAlign w:val="bottom"/>
          </w:tcPr>
          <w:p>
            <w:pPr>
              <w:jc w:val="center"/>
              <w:ind w:left="136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3800 Bridge Parkway, Suite 102</w:t>
      </w:r>
    </w:p>
    <w:p>
      <w:pPr>
        <w:spacing w:after="0" w:line="9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Redwood City, California 94065</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5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650-453-0000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54"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480" w:hanging="459"/>
        <w:spacing w:after="0"/>
        <w:tabs>
          <w:tab w:leader="none" w:pos="4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5"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94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347"/>
        </w:trPr>
        <w:tc>
          <w:tcPr>
            <w:tcW w:w="44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r>
        <w:trPr>
          <w:trHeight w:val="203"/>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34"/>
        </w:trPr>
        <w:tc>
          <w:tcPr>
            <w:tcW w:w="44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SEER</w:t>
            </w: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56"/>
        </w:trPr>
        <w:tc>
          <w:tcPr>
            <w:tcW w:w="4480" w:type="dxa"/>
            <w:vAlign w:val="bottom"/>
            <w:tcBorders>
              <w:left w:val="single" w:sz="8" w:color="auto"/>
              <w:right w:val="single" w:sz="8" w:color="auto"/>
            </w:tcBorders>
          </w:tcPr>
          <w:p>
            <w:pPr>
              <w:spacing w:after="0"/>
              <w:rPr>
                <w:sz w:val="22"/>
                <w:szCs w:val="22"/>
                <w:color w:val="auto"/>
              </w:rPr>
            </w:pPr>
          </w:p>
        </w:tc>
        <w:tc>
          <w:tcPr>
            <w:tcW w:w="194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r>
        <w:trPr>
          <w:trHeight w:val="47"/>
        </w:trPr>
        <w:tc>
          <w:tcPr>
            <w:tcW w:w="4480" w:type="dxa"/>
            <w:vAlign w:val="bottom"/>
            <w:tcBorders>
              <w:left w:val="single" w:sz="8" w:color="auto"/>
              <w:bottom w:val="single" w:sz="8" w:color="auto"/>
              <w:right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4820" w:type="dxa"/>
            <w:vAlign w:val="bottom"/>
            <w:tcBorders>
              <w:bottom w:val="single" w:sz="8" w:color="auto"/>
              <w:right w:val="single" w:sz="8" w:color="auto"/>
            </w:tcBorders>
          </w:tcPr>
          <w:p>
            <w:pPr>
              <w:spacing w:after="0"/>
              <w:rPr>
                <w:sz w:val="4"/>
                <w:szCs w:val="4"/>
                <w:color w:val="auto"/>
              </w:rPr>
            </w:pPr>
          </w:p>
        </w:tc>
      </w:tr>
    </w:tbl>
    <w:p>
      <w:pPr>
        <w:spacing w:after="0" w:line="49" w:lineRule="exact"/>
        <w:rPr>
          <w:sz w:val="24"/>
          <w:szCs w:val="24"/>
          <w:color w:val="auto"/>
        </w:rPr>
      </w:pPr>
    </w:p>
    <w:p>
      <w:pPr>
        <w:ind w:right="540"/>
        <w:spacing w:after="0"/>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ind w:right="32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1082040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43"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On November 6, 2024, Seer, Inc. issued a press release (the “Press Release”) announcing results for the quarter ended September 30, 2024. A copy of the Press Release is attached as Exhibit 99.1 to this current report on Form 8-K and is incorporated by reference herein.</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information under Item 2.02 in this current report on Form 8-K and the related information in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1141730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27" w:right="379" w:bottom="1440" w:gutter="0" w:footer="0" w:header="0"/>
        </w:sectPr>
      </w:pPr>
    </w:p>
    <w:bookmarkStart w:id="2" w:name="page3"/>
    <w:bookmarkEnd w:id="2"/>
    <w:p>
      <w:pPr>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55" w:lineRule="exact"/>
        <w:rPr>
          <w:sz w:val="20"/>
          <w:szCs w:val="20"/>
          <w:color w:val="auto"/>
        </w:rPr>
      </w:pPr>
    </w:p>
    <w:p>
      <w:pPr>
        <w:ind w:left="12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18" w:lineRule="exact"/>
        <w:rPr>
          <w:sz w:val="20"/>
          <w:szCs w:val="20"/>
          <w:color w:val="auto"/>
        </w:rPr>
      </w:pPr>
    </w:p>
    <w:p>
      <w:pPr>
        <w:ind w:left="260"/>
        <w:spacing w:after="0"/>
        <w:tabs>
          <w:tab w:leader="none" w:pos="98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8"/>
          <w:szCs w:val="18"/>
          <w:color w:val="auto"/>
        </w:rPr>
        <w:t>Press Release dated November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-127635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167005</wp:posOffset>
            </wp:positionH>
            <wp:positionV relativeFrom="paragraph">
              <wp:posOffset>-7620</wp:posOffset>
            </wp:positionV>
            <wp:extent cx="2000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7" w:lineRule="exact"/>
        <w:rPr>
          <w:sz w:val="20"/>
          <w:szCs w:val="20"/>
          <w:color w:val="auto"/>
        </w:rPr>
      </w:pPr>
    </w:p>
    <w:p>
      <w:pPr>
        <w:ind w:left="280"/>
        <w:spacing w:after="0"/>
        <w:tabs>
          <w:tab w:leader="none" w:pos="98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from this Current Report on Form 8-K,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1046480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427" w:right="1440" w:bottom="1440" w:gutter="0" w:footer="0" w:header="0"/>
        </w:sectPr>
      </w:pPr>
    </w:p>
    <w:bookmarkStart w:id="3" w:name="page4"/>
    <w:bookmarkEnd w:id="3"/>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SEER, INC.</w:t>
      </w:r>
    </w:p>
    <w:p>
      <w:pPr>
        <w:spacing w:after="0" w:line="283" w:lineRule="exact"/>
        <w:rPr>
          <w:sz w:val="20"/>
          <w:szCs w:val="20"/>
          <w:color w:val="auto"/>
        </w:rPr>
      </w:pPr>
    </w:p>
    <w:p>
      <w:pPr>
        <w:ind w:left="3080"/>
        <w:spacing w:after="0"/>
        <w:tabs>
          <w:tab w:leader="none" w:pos="5680" w:val="left"/>
          <w:tab w:leader="none" w:pos="6160" w:val="left"/>
        </w:tabs>
        <w:rPr>
          <w:sz w:val="20"/>
          <w:szCs w:val="20"/>
          <w:color w:val="auto"/>
        </w:rPr>
      </w:pPr>
      <w:r>
        <w:rPr>
          <w:rFonts w:ascii="Times New Roman" w:cs="Times New Roman" w:eastAsia="Times New Roman" w:hAnsi="Times New Roman"/>
          <w:sz w:val="18"/>
          <w:szCs w:val="18"/>
          <w:color w:val="auto"/>
        </w:rPr>
        <w:t>Date: 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26035</wp:posOffset>
            </wp:positionV>
            <wp:extent cx="32232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David Horn</w:t>
      </w:r>
    </w:p>
    <w:p>
      <w:pPr>
        <w:spacing w:after="0" w:line="3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13" w:right="719" w:bottom="1440" w:gutter="0" w:footer="0" w:header="0"/>
        </w:sectPr>
      </w:pPr>
    </w:p>
    <w:bookmarkStart w:id="4" w:name="page5"/>
    <w:bookmarkEnd w:id="4"/>
    <w:p>
      <w:pPr>
        <w:spacing w:after="0" w:line="3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Seer Reports Third Quarter 2024 Financial Results</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Growing enthusiasm for Proteograph Product Suite with multiple larger orders from government agencies and continued strong interest in STAC</w:t>
      </w:r>
    </w:p>
    <w:p>
      <w:pPr>
        <w:spacing w:after="0" w:line="11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REDWOOD CITY, Calif. </w:t>
      </w:r>
      <w:r>
        <w:rPr>
          <w:rFonts w:ascii="Times New Roman" w:cs="Times New Roman" w:eastAsia="Times New Roman" w:hAnsi="Times New Roman"/>
          <w:sz w:val="18"/>
          <w:szCs w:val="18"/>
          <w:color w:val="auto"/>
        </w:rPr>
        <w:t>Nov 6, 2024 – Seer, Inc. (Nasdaq: SEER), a leading life sciences company commercializing a disruptive new platform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proteomics, today reported financial results for the third quarter ended September 30, 2024.</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Highlights</w:t>
      </w:r>
    </w:p>
    <w:p>
      <w:pPr>
        <w:spacing w:after="0" w:line="121"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Achieved revenue of $4.0 million for the third quarter of 2024</w:t>
      </w:r>
    </w:p>
    <w:p>
      <w:pPr>
        <w:spacing w:after="0" w:line="27" w:lineRule="exact"/>
        <w:rPr>
          <w:rFonts w:ascii="Times New Roman" w:cs="Times New Roman" w:eastAsia="Times New Roman" w:hAnsi="Times New Roman"/>
          <w:sz w:val="18"/>
          <w:szCs w:val="18"/>
          <w:color w:val="auto"/>
        </w:rPr>
      </w:pPr>
    </w:p>
    <w:p>
      <w:pPr>
        <w:ind w:left="760" w:right="500" w:hanging="378"/>
        <w:spacing w:after="0" w:line="250"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co-marketing and sales agreement with Thermo Fisher Scientific to further enhance access and expand global reach to deep, unbiased proteomics at scale</w:t>
      </w:r>
    </w:p>
    <w:p>
      <w:pPr>
        <w:ind w:left="760" w:right="300" w:hanging="378"/>
        <w:spacing w:after="0" w:line="250"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Presented multiple posters and featured in several presentations at the HUPO World Congress showcasing the use of the Proteograph Product Suite in Alzheimer’s, population health, xenotransplantation, and other model organisms</w:t>
      </w:r>
    </w:p>
    <w:p>
      <w:pPr>
        <w:ind w:left="760" w:right="200" w:hanging="378"/>
        <w:spacing w:after="0" w:line="250"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Invested $10.0 million in PrognomiQ’s Series D preferred stock financing during the third quarter alongside other existing investors and a new strategic investor</w:t>
      </w:r>
    </w:p>
    <w:p>
      <w:pPr>
        <w:ind w:left="760" w:right="440" w:hanging="378"/>
        <w:spacing w:after="0" w:line="250"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Repurchased approximately 3.7 million shares of Seer Class A common stock at an average cost of $1.78 per share during the third quarter, bringing the total share repurchase to 5.7 million shares as of the end of the third quarter 2024</w:t>
      </w: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Ended the quarter with approximately $312 million of cash, cash equivalents and investments</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are continuing to drive adoption of the Proteograph Product Suite and to enhance access to large scale, deep, unbiased proteomics” said Omid Farokhzad, Chair and CEO of Seer. “We are excited to establish a partnership with Thermo Fisher Scientific to co-market and sell the Proteograph Product Suite alongside their leading Orbitrap Astral mass spectrometers. We believe the powerful combination of these technologies will enable researchers to generate unprecedented and meaningful results that will impact human health and disease. I am incredibly bullish on the long-term value of our differentiated technology and its potential to transform our understanding of the proteome and biology.”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Financial Results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was $4.0 million for the third quarter of 2024, a 3% decrease from $4.2 million for the corresponding prior year period, primarily due to a decrease in related party and grant revenue. Product revenue for the third quarter of 2024 was $3.1 million, including $180 thousand of related party revenue, and consisted of sales of SP100 instruments and consumable kits. Service revenue was $847 thousand for the third quarter of 2024, including $186 thousand of related party revenue, and primarily consisted of revenue related to the STAC program. Grant and other revenue was $90 thousand for the third quarter of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was $1.9 million and gross margin was 48% for the third quarter of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were $26.3 million for the third quarter of 2024, including $6.1 million of stock-based compensation, a decrease of 6% compared to $28.0 million for the corresponding prior year period, including $7.9 million of stock-based compensation. The decrease in operating expenses was primarily driven by a decrease in employee and stock-based compensation expenses.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Net loss was $21.3 million for the third quarter of 2024, compared to $21.1 million for the corresponding prior year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investments were approximately $312 million as of September 30,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Guidance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Seer continues to expect full year 2024 revenue to be in the range of $13 to $15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Seer will host a conference call to discuss the third quarter 2024 financial results on Wednesday, November 6, 2024 at 1:30 pm Pacific Time / 4:30 pm Eastern Time. A webcast of the conference call can be accessed at https://investor.seer.bio. The webcast will be archived and available for replay for at least 90 days after the event.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Seer</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Seer is a life sciences company developing transformative products that open a new gateway to the proteome. Seer’s Proteograph Product Suite is an integrated solution that includes proprietary engineered nanoparticles, consumables, automation instrumentation and software to perform deep, unbiased proteomic analysis at scale in a matter of hours. Seer designed the Proteograph workflow to be efficient and easy to use, leveraging widely adopted laboratory instrumentation to provide a decentralized solution that can be incorporated by nearly any lab. Seer’s Proteograph Product Suite is for research use only and is not intended for diagnostic procedures. For more information, please visit www.seer.bio.</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Seer’s expectations for future results of operations and its financial position, business strategy, partnerships, adoption of our products and outlook for fiscal year 2024. ​These and other risks are described more fully in Seer’s filings with the Securities and Exchange Commission (SEC) and other documents that Seer subsequently files with the SEC from time to time. Except to the extent required by law, Seer undertakes no obligation to update such statements to reflect events that occur or circumstances that exist after the date on which they were made.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Carrie Mendivil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investor@seer.bio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Schmidt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pr@seer.bio</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Operations and Comprehensive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(in thousands, except share and per share amounts)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50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7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party</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Grant and other</w:t>
            </w: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Service</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party</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Grant and other</w:t>
            </w: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cost of revenue</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5,140</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12,967</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37,966</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41,854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13,296</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14,769</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43,677</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26,263</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28,001</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81,643</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87,736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(24,325 )</w:t>
            </w:r>
          </w:p>
        </w:tc>
        <w:tc>
          <w:tcPr>
            <w:tcW w:w="2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(25,845 )</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(76,613 )</w:t>
            </w:r>
          </w:p>
        </w:tc>
        <w:tc>
          <w:tcPr>
            <w:tcW w:w="2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(81,231 )</w:t>
            </w: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1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(861 )</w:t>
            </w:r>
          </w:p>
        </w:tc>
        <w:tc>
          <w:tcPr>
            <w:tcW w:w="2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(861 )</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w:t>
            </w:r>
          </w:p>
        </w:tc>
        <w:tc>
          <w:tcPr>
            <w:tcW w:w="16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(224 )</w:t>
            </w:r>
          </w:p>
        </w:tc>
        <w:tc>
          <w:tcPr>
            <w:tcW w:w="24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(484 )</w:t>
            </w:r>
          </w:p>
        </w:tc>
        <w:tc>
          <w:tcPr>
            <w:tcW w:w="2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(291 )</w:t>
            </w:r>
          </w:p>
        </w:tc>
        <w:tc>
          <w:tcPr>
            <w:tcW w:w="0" w:type="dxa"/>
            <w:vAlign w:val="bottom"/>
          </w:tcPr>
          <w:p>
            <w:pPr>
              <w:spacing w:after="0"/>
              <w:rPr>
                <w:sz w:val="1"/>
                <w:szCs w:val="1"/>
                <w:color w:val="auto"/>
              </w:rPr>
            </w:pPr>
          </w:p>
        </w:tc>
      </w:tr>
      <w:tr>
        <w:trPr>
          <w:trHeight w:val="237"/>
        </w:trPr>
        <w:tc>
          <w:tcPr>
            <w:tcW w:w="57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other income</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11,756</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(21,328 )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(21,088 )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(64,857 )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(68,478 )</w:t>
            </w:r>
          </w:p>
        </w:tc>
        <w:tc>
          <w:tcPr>
            <w:tcW w:w="0" w:type="dxa"/>
            <w:vAlign w:val="bottom"/>
          </w:tcPr>
          <w:p>
            <w:pPr>
              <w:spacing w:after="0"/>
              <w:rPr>
                <w:sz w:val="1"/>
                <w:szCs w:val="1"/>
                <w:color w:val="auto"/>
              </w:rPr>
            </w:pPr>
          </w:p>
        </w:tc>
      </w:tr>
      <w:tr>
        <w:trPr>
          <w:trHeight w:val="241"/>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(19,913 )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(20,852 )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(63,876 )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(68,523 )</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(0.35 )</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(0.33 )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(1.02 )</w:t>
            </w: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07"/>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740" w:type="dxa"/>
            <w:vAlign w:val="bottom"/>
            <w:shd w:val="clear" w:color="auto" w:fill="CFF0FC"/>
          </w:tcPr>
          <w:p>
            <w:pPr>
              <w:ind w:left="20"/>
              <w:spacing w:after="0" w:line="192"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 w:type="dxa"/>
            <w:vAlign w:val="bottom"/>
            <w:shd w:val="clear" w:color="auto" w:fill="CFF0FC"/>
          </w:tcPr>
          <w:p>
            <w:pPr>
              <w:spacing w:after="0"/>
              <w:rPr>
                <w:sz w:val="16"/>
                <w:szCs w:val="16"/>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61,186,324</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63,929,743</w:t>
            </w: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63,441,333</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63,747,155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5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vMerge w:val="continue"/>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-4088130</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-4088130</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-4088130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-4088130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-3154045</wp:posOffset>
            </wp:positionV>
            <wp:extent cx="77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-3154045</wp:posOffset>
            </wp:positionV>
            <wp:extent cx="774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-3154045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-2828290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-2828290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-2828290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-2193925</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-2193925</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-2193925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-1250950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-1250950</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-1250950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-607695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-590550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-607695</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-590550</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-607695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-590550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774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SEER,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(in thousands, except share and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37,622</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32,499</w:t>
            </w:r>
          </w:p>
        </w:tc>
        <w:tc>
          <w:tcPr>
            <w:tcW w:w="100" w:type="dxa"/>
            <w:vAlign w:val="bottom"/>
            <w:shd w:val="clear" w:color="auto" w:fill="CFF0FC"/>
          </w:tcPr>
          <w:p>
            <w:pPr>
              <w:spacing w:after="0"/>
              <w:rPr>
                <w:sz w:val="21"/>
                <w:szCs w:val="21"/>
                <w:color w:val="auto"/>
              </w:rPr>
            </w:pPr>
          </w:p>
        </w:tc>
      </w:tr>
      <w:tr>
        <w:trPr>
          <w:trHeight w:val="239"/>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209,978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283,725</w:t>
            </w:r>
          </w:p>
        </w:tc>
        <w:tc>
          <w:tcPr>
            <w:tcW w:w="100" w:type="dxa"/>
            <w:vAlign w:val="bottom"/>
          </w:tcPr>
          <w:p>
            <w:pPr>
              <w:spacing w:after="0"/>
              <w:rPr>
                <w:sz w:val="20"/>
                <w:szCs w:val="20"/>
                <w:color w:val="auto"/>
              </w:rPr>
            </w:pPr>
          </w:p>
        </w:tc>
      </w:tr>
      <w:tr>
        <w:trPr>
          <w:trHeight w:val="247"/>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4,446</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100" w:type="dxa"/>
            <w:vAlign w:val="bottom"/>
            <w:shd w:val="clear" w:color="auto" w:fill="CFF0FC"/>
          </w:tcPr>
          <w:p>
            <w:pPr>
              <w:spacing w:after="0"/>
              <w:rPr>
                <w:sz w:val="21"/>
                <w:szCs w:val="21"/>
                <w:color w:val="auto"/>
              </w:rPr>
            </w:pPr>
          </w:p>
        </w:tc>
      </w:tr>
      <w:tr>
        <w:trPr>
          <w:trHeight w:val="239"/>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20"/>
                <w:szCs w:val="20"/>
                <w:color w:val="auto"/>
              </w:rPr>
            </w:pPr>
          </w:p>
        </w:tc>
      </w:tr>
      <w:tr>
        <w:trPr>
          <w:trHeight w:val="247"/>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receivables</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00" w:type="dxa"/>
            <w:vAlign w:val="bottom"/>
            <w:shd w:val="clear" w:color="auto" w:fill="CFF0FC"/>
          </w:tcPr>
          <w:p>
            <w:pPr>
              <w:spacing w:after="0"/>
              <w:rPr>
                <w:sz w:val="21"/>
                <w:szCs w:val="21"/>
                <w:color w:val="auto"/>
              </w:rPr>
            </w:pPr>
          </w:p>
        </w:tc>
      </w:tr>
      <w:tr>
        <w:trPr>
          <w:trHeight w:val="239"/>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00" w:type="dxa"/>
            <w:vAlign w:val="bottom"/>
          </w:tcPr>
          <w:p>
            <w:pPr>
              <w:spacing w:after="0"/>
              <w:rPr>
                <w:sz w:val="20"/>
                <w:szCs w:val="20"/>
                <w:color w:val="auto"/>
              </w:rPr>
            </w:pPr>
          </w:p>
        </w:tc>
      </w:tr>
      <w:tr>
        <w:trPr>
          <w:trHeight w:val="243"/>
        </w:trPr>
        <w:tc>
          <w:tcPr>
            <w:tcW w:w="79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264,102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330,513</w:t>
            </w:r>
          </w:p>
        </w:tc>
        <w:tc>
          <w:tcPr>
            <w:tcW w:w="100" w:type="dxa"/>
            <w:vAlign w:val="bottom"/>
          </w:tcPr>
          <w:p>
            <w:pPr>
              <w:spacing w:after="0"/>
              <w:rPr>
                <w:sz w:val="20"/>
                <w:szCs w:val="20"/>
                <w:color w:val="auto"/>
              </w:rPr>
            </w:pPr>
          </w:p>
        </w:tc>
      </w:tr>
      <w:tr>
        <w:trPr>
          <w:trHeight w:val="247"/>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64,894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56,858</w:t>
            </w:r>
          </w:p>
        </w:tc>
        <w:tc>
          <w:tcPr>
            <w:tcW w:w="100" w:type="dxa"/>
            <w:vAlign w:val="bottom"/>
            <w:shd w:val="clear" w:color="auto" w:fill="CFF0FC"/>
          </w:tcPr>
          <w:p>
            <w:pPr>
              <w:spacing w:after="0"/>
              <w:rPr>
                <w:sz w:val="21"/>
                <w:szCs w:val="21"/>
                <w:color w:val="auto"/>
              </w:rPr>
            </w:pPr>
          </w:p>
        </w:tc>
      </w:tr>
      <w:tr>
        <w:trPr>
          <w:trHeight w:val="23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25,177</w:t>
            </w:r>
          </w:p>
        </w:tc>
        <w:tc>
          <w:tcPr>
            <w:tcW w:w="100" w:type="dxa"/>
            <w:vAlign w:val="bottom"/>
          </w:tcPr>
          <w:p>
            <w:pPr>
              <w:spacing w:after="0"/>
              <w:rPr>
                <w:sz w:val="20"/>
                <w:szCs w:val="20"/>
                <w:color w:val="auto"/>
              </w:rPr>
            </w:pPr>
          </w:p>
        </w:tc>
      </w:tr>
      <w:tr>
        <w:trPr>
          <w:trHeight w:val="247"/>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20,677</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22,193</w:t>
            </w:r>
          </w:p>
        </w:tc>
        <w:tc>
          <w:tcPr>
            <w:tcW w:w="100" w:type="dxa"/>
            <w:vAlign w:val="bottom"/>
            <w:shd w:val="clear" w:color="auto" w:fill="CFF0FC"/>
          </w:tcPr>
          <w:p>
            <w:pPr>
              <w:spacing w:after="0"/>
              <w:rPr>
                <w:sz w:val="21"/>
                <w:szCs w:val="21"/>
                <w:color w:val="auto"/>
              </w:rPr>
            </w:pPr>
          </w:p>
        </w:tc>
      </w:tr>
      <w:tr>
        <w:trPr>
          <w:trHeight w:val="23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0"/>
                <w:szCs w:val="20"/>
                <w:color w:val="auto"/>
              </w:rPr>
            </w:pPr>
          </w:p>
        </w:tc>
      </w:tr>
      <w:tr>
        <w:trPr>
          <w:trHeight w:val="243"/>
        </w:trPr>
        <w:tc>
          <w:tcPr>
            <w:tcW w:w="7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9,882</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383,424</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436,269</w:t>
            </w:r>
          </w:p>
        </w:tc>
        <w:tc>
          <w:tcPr>
            <w:tcW w:w="100" w:type="dxa"/>
            <w:vAlign w:val="bottom"/>
          </w:tcPr>
          <w:p>
            <w:pPr>
              <w:spacing w:after="0"/>
              <w:rPr>
                <w:sz w:val="20"/>
                <w:szCs w:val="20"/>
                <w:color w:val="auto"/>
              </w:rPr>
            </w:pPr>
          </w:p>
        </w:tc>
      </w:tr>
      <w:tr>
        <w:trPr>
          <w:trHeight w:val="20"/>
        </w:trPr>
        <w:tc>
          <w:tcPr>
            <w:tcW w:w="7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FF0FC"/>
          </w:tcPr>
          <w:p>
            <w:pPr>
              <w:spacing w:after="0"/>
              <w:rPr>
                <w:sz w:val="21"/>
                <w:szCs w:val="21"/>
                <w:color w:val="auto"/>
              </w:rPr>
            </w:pPr>
          </w:p>
        </w:tc>
      </w:tr>
      <w:tr>
        <w:trPr>
          <w:trHeight w:val="239"/>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9,212</w:t>
            </w:r>
          </w:p>
        </w:tc>
        <w:tc>
          <w:tcPr>
            <w:tcW w:w="100" w:type="dxa"/>
            <w:vAlign w:val="bottom"/>
          </w:tcPr>
          <w:p>
            <w:pPr>
              <w:spacing w:after="0"/>
              <w:rPr>
                <w:sz w:val="20"/>
                <w:szCs w:val="20"/>
                <w:color w:val="auto"/>
              </w:rPr>
            </w:pPr>
          </w:p>
        </w:tc>
      </w:tr>
      <w:tr>
        <w:trPr>
          <w:trHeight w:val="247"/>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FF0FC"/>
          </w:tcPr>
          <w:p>
            <w:pPr>
              <w:spacing w:after="0"/>
              <w:rPr>
                <w:sz w:val="21"/>
                <w:szCs w:val="21"/>
                <w:color w:val="auto"/>
              </w:rPr>
            </w:pPr>
          </w:p>
        </w:tc>
      </w:tr>
      <w:tr>
        <w:trPr>
          <w:trHeight w:val="239"/>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100" w:type="dxa"/>
            <w:vAlign w:val="bottom"/>
          </w:tcPr>
          <w:p>
            <w:pPr>
              <w:spacing w:after="0"/>
              <w:rPr>
                <w:sz w:val="20"/>
                <w:szCs w:val="20"/>
                <w:color w:val="auto"/>
              </w:rPr>
            </w:pPr>
          </w:p>
        </w:tc>
      </w:tr>
      <w:tr>
        <w:trPr>
          <w:trHeight w:val="243"/>
        </w:trPr>
        <w:tc>
          <w:tcPr>
            <w:tcW w:w="79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13,222</w:t>
            </w:r>
          </w:p>
        </w:tc>
        <w:tc>
          <w:tcPr>
            <w:tcW w:w="100" w:type="dxa"/>
            <w:vAlign w:val="bottom"/>
          </w:tcPr>
          <w:p>
            <w:pPr>
              <w:spacing w:after="0"/>
              <w:rPr>
                <w:sz w:val="20"/>
                <w:szCs w:val="20"/>
                <w:color w:val="auto"/>
              </w:rPr>
            </w:pPr>
          </w:p>
        </w:tc>
      </w:tr>
      <w:tr>
        <w:trPr>
          <w:trHeight w:val="247"/>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24,250</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25,964</w:t>
            </w:r>
          </w:p>
        </w:tc>
        <w:tc>
          <w:tcPr>
            <w:tcW w:w="100" w:type="dxa"/>
            <w:vAlign w:val="bottom"/>
            <w:shd w:val="clear" w:color="auto" w:fill="CFF0FC"/>
          </w:tcPr>
          <w:p>
            <w:pPr>
              <w:spacing w:after="0"/>
              <w:rPr>
                <w:sz w:val="21"/>
                <w:szCs w:val="21"/>
                <w:color w:val="auto"/>
              </w:rPr>
            </w:pPr>
          </w:p>
        </w:tc>
      </w:tr>
      <w:tr>
        <w:trPr>
          <w:trHeight w:val="23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0"/>
                <w:szCs w:val="20"/>
                <w:color w:val="auto"/>
              </w:rPr>
            </w:pPr>
          </w:p>
        </w:tc>
      </w:tr>
      <w:tr>
        <w:trPr>
          <w:trHeight w:val="237"/>
        </w:trPr>
        <w:tc>
          <w:tcPr>
            <w:tcW w:w="79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38,697</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39,365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Preferred stock, $0.00001 par value; 5,000,000 shares authorized as of</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September 30, 2024 and December 31, 2023; zero shares issued and</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September 30, 2024 and December 31, 2023</w:t>
            </w:r>
          </w:p>
        </w:tc>
        <w:tc>
          <w:tcPr>
            <w:tcW w:w="20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Class A common stock, $0.00001 par value; 94,000,000 shares authorized</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as of September 30, 2024 and December 31, 2023; 55,539,884 and</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60,253,707 shares issued and outstanding as of September 30, 2024 and</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9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r>
        <w:trPr>
          <w:trHeight w:val="211"/>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B common stock, $0.00001 par value; 6,000,000 shares authorized</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 of September 30, 2024 and December 31, 2023; 4,044,969 shares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9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issued and outstanding as of September 30, 2024 and December 31, 2023</w:t>
            </w:r>
          </w:p>
        </w:tc>
        <w:tc>
          <w:tcPr>
            <w:tcW w:w="200" w:type="dxa"/>
            <w:vAlign w:val="bottom"/>
          </w:tcPr>
          <w:p>
            <w:pPr>
              <w:spacing w:after="0"/>
              <w:rPr>
                <w:sz w:val="20"/>
                <w:szCs w:val="20"/>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714,567</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702,868</w:t>
            </w:r>
          </w:p>
        </w:tc>
        <w:tc>
          <w:tcPr>
            <w:tcW w:w="100" w:type="dxa"/>
            <w:vAlign w:val="bottom"/>
            <w:shd w:val="clear" w:color="auto" w:fill="CFF0FC"/>
          </w:tcPr>
          <w:p>
            <w:pPr>
              <w:spacing w:after="0"/>
              <w:rPr>
                <w:sz w:val="21"/>
                <w:szCs w:val="21"/>
                <w:color w:val="auto"/>
              </w:rPr>
            </w:pPr>
          </w:p>
        </w:tc>
      </w:tr>
      <w:tr>
        <w:trPr>
          <w:trHeight w:val="239"/>
        </w:trPr>
        <w:tc>
          <w:tcPr>
            <w:tcW w:w="7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(192 )</w:t>
            </w:r>
          </w:p>
        </w:tc>
      </w:tr>
      <w:tr>
        <w:trPr>
          <w:trHeight w:val="243"/>
        </w:trPr>
        <w:tc>
          <w:tcPr>
            <w:tcW w:w="7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(370,630 )</w:t>
            </w:r>
          </w:p>
        </w:tc>
        <w:tc>
          <w:tcPr>
            <w:tcW w:w="2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(305,773 )</w:t>
            </w:r>
          </w:p>
        </w:tc>
      </w:tr>
      <w:tr>
        <w:trPr>
          <w:trHeight w:val="236"/>
        </w:trPr>
        <w:tc>
          <w:tcPr>
            <w:tcW w:w="794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344,727</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396,904</w:t>
            </w:r>
          </w:p>
        </w:tc>
        <w:tc>
          <w:tcPr>
            <w:tcW w:w="100" w:type="dxa"/>
            <w:vAlign w:val="bottom"/>
            <w:tcBorders>
              <w:top w:val="single" w:sz="8" w:color="CFF0FC"/>
            </w:tcBorders>
          </w:tcPr>
          <w:p>
            <w:pPr>
              <w:spacing w:after="0"/>
              <w:rPr>
                <w:sz w:val="20"/>
                <w:szCs w:val="20"/>
                <w:color w:val="auto"/>
              </w:rPr>
            </w:pPr>
          </w:p>
        </w:tc>
      </w:tr>
      <w:tr>
        <w:trPr>
          <w:trHeight w:val="276"/>
        </w:trPr>
        <w:tc>
          <w:tcPr>
            <w:tcW w:w="79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383,424</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436,269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957"/>
        </w:trPr>
        <w:tc>
          <w:tcPr>
            <w:tcW w:w="79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4"/>
        </w:trPr>
        <w:tc>
          <w:tcPr>
            <w:tcW w:w="7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-6240145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-6240145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-5305425</wp:posOffset>
            </wp:positionV>
            <wp:extent cx="768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-5305425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-4036695</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-4036695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-3402330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-1199515</wp:posOffset>
            </wp:positionV>
            <wp:extent cx="768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-873760</wp:posOffset>
            </wp:positionV>
            <wp:extent cx="768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-856615</wp:posOffset>
            </wp:positionV>
            <wp:extent cx="768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2024-11-06T15:28:55Z</dcterms:created>
  <dcterms:modified xsi:type="dcterms:W3CDTF">2024-11-06T15:28:55Z</dcterms:modified>
</cp:coreProperties>
</file>