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On August 8, 2024, Seer, Inc. issued a press release (the “Press Release”) announcing results for the quarter ended June 30, 2024. A copy of the Press Release is attached as Exhibit 99.1 to this current report on Form 8-K and is incorporated by reference herein.</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18"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August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-7620</wp:posOffset>
            </wp:positionV>
            <wp:extent cx="20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7"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1046480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27" w:right="1440"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32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4" w:name="page5"/>
    <w:bookmarkEnd w:id="4"/>
    <w:p>
      <w:pPr>
        <w:jc w:val="center"/>
        <w:ind w:right="60"/>
        <w:spacing w:after="0"/>
        <w:rPr>
          <w:sz w:val="20"/>
          <w:szCs w:val="20"/>
          <w:color w:val="auto"/>
        </w:rPr>
      </w:pPr>
      <w:r>
        <w:rPr>
          <w:rFonts w:ascii="Arial" w:cs="Arial" w:eastAsia="Arial" w:hAnsi="Arial"/>
          <w:sz w:val="22"/>
          <w:szCs w:val="22"/>
          <w:b w:val="1"/>
          <w:bCs w:val="1"/>
          <w:color w:val="auto"/>
        </w:rPr>
        <w:t>Seer Reports Second Quarter 2024 Financial Results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Launched STAC in Europe and additional customer papers published in leading journals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REDWOOD CITY, Calif. </w:t>
      </w:r>
      <w:r>
        <w:rPr>
          <w:rFonts w:ascii="Arial" w:cs="Arial" w:eastAsia="Arial" w:hAnsi="Arial"/>
          <w:sz w:val="18"/>
          <w:szCs w:val="18"/>
          <w:color w:val="auto"/>
        </w:rPr>
        <w:t>Aug 8, 2024 – Seer, Inc. (Nasdaq: SEER), a leading life sciences company commercializing a disruptive new</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for proteomics, today reported financial results for the second quarter ended June 30,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04"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Achieved revenue of $3.1 million for the second quarter of 2024</w:t>
      </w:r>
    </w:p>
    <w:p>
      <w:pPr>
        <w:spacing w:after="0" w:line="26" w:lineRule="exact"/>
        <w:rPr>
          <w:rFonts w:ascii="Times New Roman" w:cs="Times New Roman" w:eastAsia="Times New Roman" w:hAnsi="Times New Roman"/>
          <w:sz w:val="18"/>
          <w:szCs w:val="18"/>
          <w:color w:val="auto"/>
        </w:rPr>
      </w:pPr>
    </w:p>
    <w:p>
      <w:pPr>
        <w:ind w:left="760" w:right="26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Launched the Seer Technology Access Center (STAC) in Europe, providing researchers with end-to-end services from sample to data</w:t>
      </w:r>
    </w:p>
    <w:p>
      <w:pPr>
        <w:ind w:left="760" w:right="340" w:hanging="378"/>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Demonstrated how the Proteograph Product Suite can uncover differentiated insights into plasma proteomic changes that occur during spaceflight through customer publications in </w:t>
      </w:r>
      <w:r>
        <w:rPr>
          <w:rFonts w:ascii="Arial" w:cs="Arial" w:eastAsia="Arial" w:hAnsi="Arial"/>
          <w:sz w:val="18"/>
          <w:szCs w:val="18"/>
          <w:i w:val="1"/>
          <w:iCs w:val="1"/>
          <w:color w:val="auto"/>
        </w:rPr>
        <w:t>Nature</w:t>
      </w:r>
      <w:r>
        <w:rPr>
          <w:rFonts w:ascii="Arial" w:cs="Arial" w:eastAsia="Arial" w:hAnsi="Arial"/>
          <w:sz w:val="18"/>
          <w:szCs w:val="18"/>
          <w:color w:val="auto"/>
        </w:rPr>
        <w:t xml:space="preserve"> and </w:t>
      </w:r>
      <w:r>
        <w:rPr>
          <w:rFonts w:ascii="Arial" w:cs="Arial" w:eastAsia="Arial" w:hAnsi="Arial"/>
          <w:sz w:val="18"/>
          <w:szCs w:val="18"/>
          <w:i w:val="1"/>
          <w:iCs w:val="1"/>
          <w:color w:val="auto"/>
        </w:rPr>
        <w:t>Nature Communications</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Ended the quarter with $344.6 million of cash, cash equivalents and investments</w:t>
      </w:r>
    </w:p>
    <w:p>
      <w:pPr>
        <w:spacing w:after="0" w:line="206"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“We remain focused on reducing barriers to access for our differentiated technology in the face of ongoing macroeconomic headwinds. During the second quarter, we significantly expanded our commercial team and are excited about the talented individuals that have come on board to capture the opportunity ahead in proteomics,” said Omid Farokhzad, Chair and CEO of Seer. “Our customers are generating novel data that we believe is only possible with the Proteograph Product Suite, and we saw multiple manuscripts get submitted to and published in high-impact journals during the quarter. Looking ahead, we will continue to execute against our core strategies of driving evidence and publications, continuing to enhance access to the Proteograph, innovating with our products, and expanding our applications.”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2024 Financial Results</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Revenue was $3.1 million for the second quarter of 2024, a 23% decrease from $4.0 million for the corresponding prior year period, primarily due to a decrease in related party and grant revenue. Product revenue for the second quarter of 2024 was $2.2 million, including $420 thousand of related party revenue, and consisted of sales of SP100 instruments and consumable kits. Service revenue was $845 thousand for the second quarter of 2024, including $ 163 thousand of related party revenue, and primarily consisted of revenue related to the STAC program. Grant and other revenue was $46 thousand for the second quarter of 2024.</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inclusive of grant and other revenue, was $1.7 million and gross margin was 56% for the second quarter of 2024.</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Operating expenses were $28.8 million for the second quarter of 2024, including $7.7 million of stock-based compensation, a decrease of 5% compared to $30.2 million for the corresponding prior year period, including $9.8 million of stock-based compensation. The decrease in operating expenses was primarily driven by a decrease in employee and stock-based compensation expenses and a decrease in laboratory expenses.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Net loss was $22.9 million for the second quarter of 2024, as compared to $23.4 million for the corresponding prior year period.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5" w:name="page6"/>
    <w:bookmarkEnd w:id="5"/>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$344.6 million as of June 30, 2024.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Guidance</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Seer now expects full year 2024 revenue to be in the range of $13 million to $15 million, compared to the prior range of $16 million to $18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Seer will host a conference call to discuss the second quarter 2024 financial results on Thursday, August 8, 2024. A webcast of the conference call can be accessed at https://investor.seer.bio. The webcast will be archived and available for replay for at least 90 days after the event.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Seer</w:t>
      </w:r>
    </w:p>
    <w:p>
      <w:pPr>
        <w:spacing w:after="0" w:line="10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www.seer.bio.</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customer publications and adoption and outlook for fiscal year 2024.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Mendivil</w:t>
      </w:r>
    </w:p>
    <w:p>
      <w:pPr>
        <w:spacing w:after="0"/>
        <w:rPr>
          <w:sz w:val="20"/>
          <w:szCs w:val="20"/>
          <w:color w:val="auto"/>
        </w:rPr>
      </w:pPr>
      <w:r>
        <w:rPr>
          <w:rFonts w:ascii="Arial" w:cs="Arial" w:eastAsia="Arial" w:hAnsi="Arial"/>
          <w:sz w:val="18"/>
          <w:szCs w:val="18"/>
          <w:color w:val="auto"/>
        </w:rPr>
        <w:t>investor@seer.bio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Schmidt</w:t>
      </w:r>
    </w:p>
    <w:p>
      <w:pPr>
        <w:spacing w:after="0"/>
        <w:rPr>
          <w:sz w:val="20"/>
          <w:szCs w:val="20"/>
          <w:color w:val="auto"/>
        </w:rPr>
      </w:pPr>
      <w:r>
        <w:rPr>
          <w:rFonts w:ascii="Arial" w:cs="Arial" w:eastAsia="Arial" w:hAnsi="Arial"/>
          <w:sz w:val="18"/>
          <w:szCs w:val="18"/>
          <w:color w:val="auto"/>
        </w:rPr>
        <w:t>pr@seer.bio</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80" w:type="dxa"/>
            <w:vAlign w:val="bottom"/>
          </w:tcPr>
          <w:p>
            <w:pPr>
              <w:spacing w:after="0"/>
              <w:rPr>
                <w:sz w:val="14"/>
                <w:szCs w:val="14"/>
                <w:color w:val="auto"/>
              </w:rPr>
            </w:pPr>
          </w:p>
        </w:tc>
        <w:tc>
          <w:tcPr>
            <w:tcW w:w="2460" w:type="dxa"/>
            <w:vAlign w:val="bottom"/>
            <w:gridSpan w:val="5"/>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Revenue:</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1,761</w:t>
            </w:r>
          </w:p>
        </w:tc>
        <w:tc>
          <w:tcPr>
            <w:tcW w:w="240" w:type="dxa"/>
            <w:vAlign w:val="bottom"/>
          </w:tcPr>
          <w:p>
            <w:pPr>
              <w:spacing w:after="0"/>
              <w:rPr>
                <w:sz w:val="22"/>
                <w:szCs w:val="22"/>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w:t>
            </w:r>
          </w:p>
        </w:tc>
        <w:tc>
          <w:tcPr>
            <w:tcW w:w="2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w:t>
            </w:r>
          </w:p>
        </w:tc>
        <w:tc>
          <w:tcPr>
            <w:tcW w:w="2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Service</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682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1,090</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Related party</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1,537</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Grant and other</w:t>
            </w: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873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Total revenue</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4,008</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Cost of revenue:</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Product</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Service</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631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Related party</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Grant and other</w:t>
            </w: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255</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Total cost of revenue</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1,341</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1,727</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3,046</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Gross profit</w:t>
            </w: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1,731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2,281</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3,092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12,734</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14,148</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24,999</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28,622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16,093</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16,074</w:t>
            </w:r>
          </w:p>
        </w:tc>
        <w:tc>
          <w:tcPr>
            <w:tcW w:w="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30,381</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28,827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30,222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55,380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59,735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Loss from operations</w:t>
            </w: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(27,096 )</w:t>
            </w:r>
          </w:p>
        </w:tc>
        <w:tc>
          <w:tcPr>
            <w:tcW w:w="2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(27,941 )</w:t>
            </w:r>
          </w:p>
        </w:tc>
        <w:tc>
          <w:tcPr>
            <w:tcW w:w="1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(52,288 )</w:t>
            </w: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(55,386 )</w:t>
            </w:r>
          </w:p>
        </w:tc>
        <w:tc>
          <w:tcPr>
            <w:tcW w:w="0" w:type="dxa"/>
            <w:vAlign w:val="bottom"/>
          </w:tcPr>
          <w:p>
            <w:pPr>
              <w:spacing w:after="0"/>
              <w:rPr>
                <w:sz w:val="1"/>
                <w:szCs w:val="1"/>
                <w:color w:val="auto"/>
              </w:rPr>
            </w:pPr>
          </w:p>
        </w:tc>
      </w:tr>
      <w:tr>
        <w:trPr>
          <w:trHeight w:val="25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Other income (expense):</w:t>
            </w:r>
          </w:p>
        </w:tc>
        <w:tc>
          <w:tcPr>
            <w:tcW w:w="20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4,433</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4,560</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9,019</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Other expense</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(187 )</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(50 )</w:t>
            </w:r>
          </w:p>
        </w:tc>
        <w:tc>
          <w:tcPr>
            <w:tcW w:w="1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(260 )</w:t>
            </w:r>
          </w:p>
        </w:tc>
        <w:tc>
          <w:tcPr>
            <w:tcW w:w="1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(281 )</w:t>
            </w:r>
          </w:p>
        </w:tc>
        <w:tc>
          <w:tcPr>
            <w:tcW w:w="0" w:type="dxa"/>
            <w:vAlign w:val="bottom"/>
          </w:tcPr>
          <w:p>
            <w:pPr>
              <w:spacing w:after="0"/>
              <w:rPr>
                <w:sz w:val="1"/>
                <w:szCs w:val="1"/>
                <w:color w:val="auto"/>
              </w:rPr>
            </w:pPr>
          </w:p>
        </w:tc>
      </w:tr>
      <w:tr>
        <w:trPr>
          <w:trHeight w:val="250"/>
        </w:trPr>
        <w:tc>
          <w:tcPr>
            <w:tcW w:w="5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20"/>
                <w:szCs w:val="20"/>
                <w:color w:val="auto"/>
              </w:rPr>
              <w:t>Total other income</w:t>
            </w:r>
          </w:p>
        </w:tc>
        <w:tc>
          <w:tcPr>
            <w:tcW w:w="2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4,246</w:t>
            </w:r>
          </w:p>
        </w:tc>
        <w:tc>
          <w:tcPr>
            <w:tcW w:w="24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4,510</w:t>
            </w:r>
          </w:p>
        </w:tc>
        <w:tc>
          <w:tcPr>
            <w:tcW w:w="24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8,759</w:t>
            </w: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Net loss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(22,850 )</w:t>
            </w:r>
          </w:p>
        </w:tc>
        <w:tc>
          <w:tcPr>
            <w:tcW w:w="2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(23,431 )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(43,529 )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(47,390 )</w:t>
            </w:r>
          </w:p>
        </w:tc>
        <w:tc>
          <w:tcPr>
            <w:tcW w:w="0" w:type="dxa"/>
            <w:vAlign w:val="bottom"/>
          </w:tcPr>
          <w:p>
            <w:pPr>
              <w:spacing w:after="0"/>
              <w:rPr>
                <w:sz w:val="1"/>
                <w:szCs w:val="1"/>
                <w:color w:val="auto"/>
              </w:rPr>
            </w:pPr>
          </w:p>
        </w:tc>
      </w:tr>
      <w:tr>
        <w:trPr>
          <w:trHeight w:val="250"/>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20"/>
                <w:szCs w:val="20"/>
                <w:color w:val="auto"/>
              </w:rPr>
              <w:t>Other comprehensive loss:</w:t>
            </w: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Unrealized loss on available-for-sale securities</w:t>
            </w:r>
          </w:p>
        </w:tc>
        <w:tc>
          <w:tcPr>
            <w:tcW w:w="2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(105 )</w:t>
            </w:r>
          </w:p>
        </w:tc>
        <w:tc>
          <w:tcPr>
            <w:tcW w:w="20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(1,439 )</w:t>
            </w:r>
          </w:p>
        </w:tc>
        <w:tc>
          <w:tcPr>
            <w:tcW w:w="18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(434 )</w:t>
            </w:r>
          </w:p>
        </w:tc>
        <w:tc>
          <w:tcPr>
            <w:tcW w:w="1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(281 )</w:t>
            </w:r>
          </w:p>
        </w:tc>
        <w:tc>
          <w:tcPr>
            <w:tcW w:w="0" w:type="dxa"/>
            <w:vAlign w:val="bottom"/>
          </w:tcPr>
          <w:p>
            <w:pPr>
              <w:spacing w:after="0"/>
              <w:rPr>
                <w:sz w:val="1"/>
                <w:szCs w:val="1"/>
                <w:color w:val="auto"/>
              </w:rPr>
            </w:pPr>
          </w:p>
        </w:tc>
      </w:tr>
      <w:tr>
        <w:trPr>
          <w:trHeight w:val="20"/>
        </w:trPr>
        <w:tc>
          <w:tcPr>
            <w:tcW w:w="5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(22,955 )</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(24,870 )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(43,963 )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(47,671 )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74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20"/>
                <w:szCs w:val="20"/>
                <w:color w:val="auto"/>
              </w:rPr>
              <w:t>Net loss per share attributable to common stockholders, basic and</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(0.35 )</w:t>
            </w:r>
          </w:p>
        </w:tc>
        <w:tc>
          <w:tcPr>
            <w:tcW w:w="200" w:type="dxa"/>
            <w:vAlign w:val="bottom"/>
            <w:vMerge w:val="restart"/>
            <w:shd w:val="clear" w:color="auto" w:fill="CFF0FC"/>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20"/>
                <w:szCs w:val="20"/>
                <w:color w:val="auto"/>
              </w:rPr>
              <w:t>(0.37 )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(0.67 )</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(0.74 )</w:t>
            </w:r>
          </w:p>
        </w:tc>
        <w:tc>
          <w:tcPr>
            <w:tcW w:w="0" w:type="dxa"/>
            <w:vAlign w:val="bottom"/>
          </w:tcPr>
          <w:p>
            <w:pPr>
              <w:spacing w:after="0"/>
              <w:rPr>
                <w:sz w:val="1"/>
                <w:szCs w:val="1"/>
                <w:color w:val="auto"/>
              </w:rPr>
            </w:pPr>
          </w:p>
        </w:tc>
      </w:tr>
      <w:tr>
        <w:trPr>
          <w:trHeight w:val="265"/>
        </w:trPr>
        <w:tc>
          <w:tcPr>
            <w:tcW w:w="5740" w:type="dxa"/>
            <w:vAlign w:val="bottom"/>
            <w:shd w:val="clear" w:color="auto" w:fill="CFF0FC"/>
          </w:tcPr>
          <w:p>
            <w:pPr>
              <w:ind w:left="20"/>
              <w:spacing w:after="0" w:line="226" w:lineRule="exact"/>
              <w:rPr>
                <w:sz w:val="20"/>
                <w:szCs w:val="20"/>
                <w:color w:val="auto"/>
              </w:rPr>
            </w:pPr>
            <w:r>
              <w:rPr>
                <w:rFonts w:ascii="Times New Roman" w:cs="Times New Roman" w:eastAsia="Times New Roman" w:hAnsi="Times New Roman"/>
                <w:sz w:val="20"/>
                <w:szCs w:val="20"/>
                <w:color w:val="auto"/>
              </w:rPr>
              <w:t>diluted</w:t>
            </w:r>
          </w:p>
        </w:tc>
        <w:tc>
          <w:tcPr>
            <w:tcW w:w="200" w:type="dxa"/>
            <w:vAlign w:val="bottom"/>
            <w:vMerge w:val="continue"/>
            <w:shd w:val="clear" w:color="auto" w:fill="CFF0FC"/>
          </w:tcPr>
          <w:p>
            <w:pPr>
              <w:spacing w:after="0"/>
              <w:rPr>
                <w:sz w:val="23"/>
                <w:szCs w:val="23"/>
                <w:color w:val="auto"/>
              </w:rPr>
            </w:pPr>
          </w:p>
        </w:tc>
        <w:tc>
          <w:tcPr>
            <w:tcW w:w="1240" w:type="dxa"/>
            <w:vAlign w:val="bottom"/>
            <w:gridSpan w:val="2"/>
            <w:vMerge w:val="continue"/>
            <w:shd w:val="clear" w:color="auto" w:fill="CFF0FC"/>
          </w:tcPr>
          <w:p>
            <w:pPr>
              <w:spacing w:after="0"/>
              <w:rPr>
                <w:sz w:val="23"/>
                <w:szCs w:val="23"/>
                <w:color w:val="auto"/>
              </w:rPr>
            </w:pPr>
          </w:p>
        </w:tc>
        <w:tc>
          <w:tcPr>
            <w:tcW w:w="200" w:type="dxa"/>
            <w:vAlign w:val="bottom"/>
            <w:vMerge w:val="continue"/>
            <w:shd w:val="clear" w:color="auto" w:fill="CFF0FC"/>
          </w:tcPr>
          <w:p>
            <w:pPr>
              <w:spacing w:after="0"/>
              <w:rPr>
                <w:sz w:val="23"/>
                <w:szCs w:val="23"/>
                <w:color w:val="auto"/>
              </w:rPr>
            </w:pPr>
          </w:p>
        </w:tc>
        <w:tc>
          <w:tcPr>
            <w:tcW w:w="1220" w:type="dxa"/>
            <w:vAlign w:val="bottom"/>
            <w:gridSpan w:val="2"/>
            <w:vMerge w:val="continue"/>
            <w:shd w:val="clear" w:color="auto" w:fill="CFF0FC"/>
          </w:tcPr>
          <w:p>
            <w:pPr>
              <w:spacing w:after="0"/>
              <w:rPr>
                <w:sz w:val="23"/>
                <w:szCs w:val="23"/>
                <w:color w:val="auto"/>
              </w:rPr>
            </w:pPr>
          </w:p>
        </w:tc>
        <w:tc>
          <w:tcPr>
            <w:tcW w:w="180" w:type="dxa"/>
            <w:vAlign w:val="bottom"/>
            <w:vMerge w:val="continue"/>
            <w:shd w:val="clear" w:color="auto" w:fill="CFF0FC"/>
          </w:tcPr>
          <w:p>
            <w:pPr>
              <w:spacing w:after="0"/>
              <w:rPr>
                <w:sz w:val="23"/>
                <w:szCs w:val="23"/>
                <w:color w:val="auto"/>
              </w:rPr>
            </w:pPr>
          </w:p>
        </w:tc>
        <w:tc>
          <w:tcPr>
            <w:tcW w:w="1200" w:type="dxa"/>
            <w:vAlign w:val="bottom"/>
            <w:gridSpan w:val="2"/>
            <w:vMerge w:val="continue"/>
            <w:shd w:val="clear" w:color="auto" w:fill="CFF0FC"/>
          </w:tcPr>
          <w:p>
            <w:pPr>
              <w:spacing w:after="0"/>
              <w:rPr>
                <w:sz w:val="23"/>
                <w:szCs w:val="23"/>
                <w:color w:val="auto"/>
              </w:rPr>
            </w:pPr>
          </w:p>
        </w:tc>
        <w:tc>
          <w:tcPr>
            <w:tcW w:w="180" w:type="dxa"/>
            <w:vAlign w:val="bottom"/>
            <w:vMerge w:val="continue"/>
            <w:shd w:val="clear" w:color="auto" w:fill="CFF0FC"/>
          </w:tcPr>
          <w:p>
            <w:pPr>
              <w:spacing w:after="0"/>
              <w:rPr>
                <w:sz w:val="23"/>
                <w:szCs w:val="23"/>
                <w:color w:val="auto"/>
              </w:rPr>
            </w:pPr>
          </w:p>
        </w:tc>
        <w:tc>
          <w:tcPr>
            <w:tcW w:w="1080" w:type="dxa"/>
            <w:vAlign w:val="bottom"/>
            <w:gridSpan w:val="2"/>
            <w:vMerge w:val="continue"/>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20"/>
                <w:szCs w:val="20"/>
                <w:color w:val="auto"/>
              </w:rPr>
              <w:t>Weighted-average common shares outstanding, basic and diluted</w:t>
            </w:r>
          </w:p>
        </w:tc>
        <w:tc>
          <w:tcPr>
            <w:tcW w:w="2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64,576,399</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63,762,625</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64,581,228</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63,654,348</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-4028440</wp:posOffset>
            </wp:positionV>
            <wp:extent cx="77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-4028440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-4028440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-3042285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-3042285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-3042285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-2699385</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-2699385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-2699385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-2030730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-2030730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-2030730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-1370965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-1370965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-1370965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-1028065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-1028065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-1028065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-693420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-693420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-693420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-213995</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-196215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-213995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-196215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-213995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-196215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amounts)</w:t>
      </w:r>
    </w:p>
    <w:tbl>
      <w:tblPr>
        <w:tblLayout w:type="fixed"/>
        <w:tblInd w:w="0" w:type="dxa"/>
        <w:tblCellMar>
          <w:top w:w="0" w:type="dxa"/>
          <w:left w:w="0" w:type="dxa"/>
          <w:bottom w:w="0" w:type="dxa"/>
          <w:right w:w="0" w:type="dxa"/>
        </w:tblCellMar>
      </w:tblPr>
      <w:tr>
        <w:trPr>
          <w:trHeight w:val="129"/>
        </w:trPr>
        <w:tc>
          <w:tcPr>
            <w:tcW w:w="7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jc w:val="center"/>
              <w:ind w:right="5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June 30,</w:t>
            </w:r>
          </w:p>
        </w:tc>
        <w:tc>
          <w:tcPr>
            <w:tcW w:w="260" w:type="dxa"/>
            <w:vAlign w:val="bottom"/>
          </w:tcPr>
          <w:p>
            <w:pPr>
              <w:spacing w:after="0"/>
              <w:rPr>
                <w:sz w:val="11"/>
                <w:szCs w:val="11"/>
                <w:color w:val="auto"/>
              </w:rPr>
            </w:pPr>
          </w:p>
        </w:tc>
        <w:tc>
          <w:tcPr>
            <w:tcW w:w="1360" w:type="dxa"/>
            <w:vAlign w:val="bottom"/>
            <w:gridSpan w:val="2"/>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7"/>
        </w:trPr>
        <w:tc>
          <w:tcPr>
            <w:tcW w:w="78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r>
      <w:tr>
        <w:trPr>
          <w:trHeight w:val="157"/>
        </w:trPr>
        <w:tc>
          <w:tcPr>
            <w:tcW w:w="7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4"/>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5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assets:</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31,947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32,499</w:t>
            </w:r>
          </w:p>
        </w:tc>
        <w:tc>
          <w:tcPr>
            <w:tcW w:w="100" w:type="dxa"/>
            <w:vAlign w:val="bottom"/>
            <w:shd w:val="clear" w:color="auto" w:fill="CFF0FC"/>
          </w:tcPr>
          <w:p>
            <w:pPr>
              <w:spacing w:after="0"/>
              <w:rPr>
                <w:sz w:val="22"/>
                <w:szCs w:val="22"/>
                <w:color w:val="auto"/>
              </w:rPr>
            </w:pPr>
          </w:p>
        </w:tc>
      </w:tr>
      <w:tr>
        <w:trPr>
          <w:trHeight w:val="257"/>
        </w:trPr>
        <w:tc>
          <w:tcPr>
            <w:tcW w:w="7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251,506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283,725</w:t>
            </w:r>
          </w:p>
        </w:tc>
        <w:tc>
          <w:tcPr>
            <w:tcW w:w="100" w:type="dxa"/>
            <w:vAlign w:val="bottom"/>
          </w:tcPr>
          <w:p>
            <w:pPr>
              <w:spacing w:after="0"/>
              <w:rPr>
                <w:sz w:val="22"/>
                <w:szCs w:val="22"/>
                <w:color w:val="auto"/>
              </w:rPr>
            </w:pPr>
          </w:p>
        </w:tc>
      </w:tr>
      <w:tr>
        <w:trPr>
          <w:trHeight w:val="25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Accounts receivable, net</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3,145</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4,831</w:t>
            </w:r>
          </w:p>
        </w:tc>
        <w:tc>
          <w:tcPr>
            <w:tcW w:w="100" w:type="dxa"/>
            <w:vAlign w:val="bottom"/>
            <w:shd w:val="clear" w:color="auto" w:fill="CFF0FC"/>
          </w:tcPr>
          <w:p>
            <w:pPr>
              <w:spacing w:after="0"/>
              <w:rPr>
                <w:sz w:val="22"/>
                <w:szCs w:val="22"/>
                <w:color w:val="auto"/>
              </w:rPr>
            </w:pPr>
          </w:p>
        </w:tc>
      </w:tr>
      <w:tr>
        <w:trPr>
          <w:trHeight w:val="256"/>
        </w:trPr>
        <w:tc>
          <w:tcPr>
            <w:tcW w:w="7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Related party receivables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100" w:type="dxa"/>
            <w:vAlign w:val="bottom"/>
          </w:tcPr>
          <w:p>
            <w:pPr>
              <w:spacing w:after="0"/>
              <w:rPr>
                <w:sz w:val="22"/>
                <w:szCs w:val="22"/>
                <w:color w:val="auto"/>
              </w:rPr>
            </w:pPr>
          </w:p>
        </w:tc>
      </w:tr>
      <w:tr>
        <w:trPr>
          <w:trHeight w:val="25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Other receivables</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1,962</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1,326</w:t>
            </w:r>
          </w:p>
        </w:tc>
        <w:tc>
          <w:tcPr>
            <w:tcW w:w="100" w:type="dxa"/>
            <w:vAlign w:val="bottom"/>
            <w:shd w:val="clear" w:color="auto" w:fill="CFF0FC"/>
          </w:tcPr>
          <w:p>
            <w:pPr>
              <w:spacing w:after="0"/>
              <w:rPr>
                <w:sz w:val="22"/>
                <w:szCs w:val="22"/>
                <w:color w:val="auto"/>
              </w:rPr>
            </w:pPr>
          </w:p>
        </w:tc>
      </w:tr>
      <w:tr>
        <w:trPr>
          <w:trHeight w:val="257"/>
        </w:trPr>
        <w:tc>
          <w:tcPr>
            <w:tcW w:w="7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Inventory</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4,491</w:t>
            </w:r>
          </w:p>
        </w:tc>
        <w:tc>
          <w:tcPr>
            <w:tcW w:w="100" w:type="dxa"/>
            <w:vAlign w:val="bottom"/>
          </w:tcPr>
          <w:p>
            <w:pPr>
              <w:spacing w:after="0"/>
              <w:rPr>
                <w:sz w:val="22"/>
                <w:szCs w:val="22"/>
                <w:color w:val="auto"/>
              </w:rPr>
            </w:pPr>
          </w:p>
        </w:tc>
      </w:tr>
      <w:tr>
        <w:trPr>
          <w:trHeight w:val="25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6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2,954</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3,082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Total current assets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299,689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330,513</w:t>
            </w:r>
          </w:p>
        </w:tc>
        <w:tc>
          <w:tcPr>
            <w:tcW w:w="100" w:type="dxa"/>
            <w:vAlign w:val="bottom"/>
          </w:tcPr>
          <w:p>
            <w:pPr>
              <w:spacing w:after="0"/>
              <w:rPr>
                <w:sz w:val="21"/>
                <w:szCs w:val="21"/>
                <w:color w:val="auto"/>
              </w:rPr>
            </w:pPr>
          </w:p>
        </w:tc>
      </w:tr>
      <w:tr>
        <w:trPr>
          <w:trHeight w:val="25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Long-term investments</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61,188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56,858</w:t>
            </w:r>
          </w:p>
        </w:tc>
        <w:tc>
          <w:tcPr>
            <w:tcW w:w="100" w:type="dxa"/>
            <w:vAlign w:val="bottom"/>
            <w:shd w:val="clear" w:color="auto" w:fill="CFF0FC"/>
          </w:tcPr>
          <w:p>
            <w:pPr>
              <w:spacing w:after="0"/>
              <w:rPr>
                <w:sz w:val="22"/>
                <w:szCs w:val="22"/>
                <w:color w:val="auto"/>
              </w:rPr>
            </w:pP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23,956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25,177</w:t>
            </w:r>
          </w:p>
        </w:tc>
        <w:tc>
          <w:tcPr>
            <w:tcW w:w="100" w:type="dxa"/>
            <w:vAlign w:val="bottom"/>
          </w:tcPr>
          <w:p>
            <w:pPr>
              <w:spacing w:after="0"/>
              <w:rPr>
                <w:sz w:val="22"/>
                <w:szCs w:val="22"/>
                <w:color w:val="auto"/>
              </w:rPr>
            </w:pPr>
          </w:p>
        </w:tc>
      </w:tr>
      <w:tr>
        <w:trPr>
          <w:trHeight w:val="25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20,436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22,193</w:t>
            </w:r>
          </w:p>
        </w:tc>
        <w:tc>
          <w:tcPr>
            <w:tcW w:w="100" w:type="dxa"/>
            <w:vAlign w:val="bottom"/>
            <w:shd w:val="clear" w:color="auto" w:fill="CFF0FC"/>
          </w:tcPr>
          <w:p>
            <w:pPr>
              <w:spacing w:after="0"/>
              <w:rPr>
                <w:sz w:val="22"/>
                <w:szCs w:val="22"/>
                <w:color w:val="auto"/>
              </w:rPr>
            </w:pP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Restricted cash</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w:t>
            </w:r>
          </w:p>
        </w:tc>
        <w:tc>
          <w:tcPr>
            <w:tcW w:w="100" w:type="dxa"/>
            <w:vAlign w:val="bottom"/>
          </w:tcPr>
          <w:p>
            <w:pPr>
              <w:spacing w:after="0"/>
              <w:rPr>
                <w:sz w:val="22"/>
                <w:szCs w:val="22"/>
                <w:color w:val="auto"/>
              </w:rPr>
            </w:pPr>
          </w:p>
        </w:tc>
      </w:tr>
      <w:tr>
        <w:trPr>
          <w:trHeight w:val="25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Other assets</w:t>
            </w:r>
          </w:p>
        </w:tc>
        <w:tc>
          <w:tcPr>
            <w:tcW w:w="26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818</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Total assets</w:t>
            </w: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406,611</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436,269</w:t>
            </w:r>
          </w:p>
        </w:tc>
        <w:tc>
          <w:tcPr>
            <w:tcW w:w="100" w:type="dxa"/>
            <w:vAlign w:val="bottom"/>
          </w:tcPr>
          <w:p>
            <w:pPr>
              <w:spacing w:after="0"/>
              <w:rPr>
                <w:sz w:val="21"/>
                <w:szCs w:val="2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6"/>
        </w:trPr>
        <w:tc>
          <w:tcPr>
            <w:tcW w:w="7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Current liabilities:</w:t>
            </w: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2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4,628</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1,370</w:t>
            </w:r>
          </w:p>
        </w:tc>
        <w:tc>
          <w:tcPr>
            <w:tcW w:w="100" w:type="dxa"/>
            <w:vAlign w:val="bottom"/>
            <w:shd w:val="clear" w:color="auto" w:fill="CFF0FC"/>
          </w:tcPr>
          <w:p>
            <w:pPr>
              <w:spacing w:after="0"/>
              <w:rPr>
                <w:sz w:val="22"/>
                <w:szCs w:val="22"/>
                <w:color w:val="auto"/>
              </w:rPr>
            </w:pPr>
          </w:p>
        </w:tc>
      </w:tr>
      <w:tr>
        <w:trPr>
          <w:trHeight w:val="256"/>
        </w:trPr>
        <w:tc>
          <w:tcPr>
            <w:tcW w:w="7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9,212</w:t>
            </w:r>
          </w:p>
        </w:tc>
        <w:tc>
          <w:tcPr>
            <w:tcW w:w="100" w:type="dxa"/>
            <w:vAlign w:val="bottom"/>
          </w:tcPr>
          <w:p>
            <w:pPr>
              <w:spacing w:after="0"/>
              <w:rPr>
                <w:sz w:val="22"/>
                <w:szCs w:val="22"/>
                <w:color w:val="auto"/>
              </w:rPr>
            </w:pPr>
          </w:p>
        </w:tc>
      </w:tr>
      <w:tr>
        <w:trPr>
          <w:trHeight w:val="25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Deferred revenue</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206</w:t>
            </w:r>
          </w:p>
        </w:tc>
        <w:tc>
          <w:tcPr>
            <w:tcW w:w="100" w:type="dxa"/>
            <w:vAlign w:val="bottom"/>
            <w:shd w:val="clear" w:color="auto" w:fill="CFF0FC"/>
          </w:tcPr>
          <w:p>
            <w:pPr>
              <w:spacing w:after="0"/>
              <w:rPr>
                <w:sz w:val="22"/>
                <w:szCs w:val="22"/>
                <w:color w:val="auto"/>
              </w:rPr>
            </w:pPr>
          </w:p>
        </w:tc>
      </w:tr>
      <w:tr>
        <w:trPr>
          <w:trHeight w:val="256"/>
        </w:trPr>
        <w:tc>
          <w:tcPr>
            <w:tcW w:w="7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2,295</w:t>
            </w:r>
          </w:p>
        </w:tc>
        <w:tc>
          <w:tcPr>
            <w:tcW w:w="100" w:type="dxa"/>
            <w:vAlign w:val="bottom"/>
          </w:tcPr>
          <w:p>
            <w:pPr>
              <w:spacing w:after="0"/>
              <w:rPr>
                <w:sz w:val="22"/>
                <w:szCs w:val="22"/>
                <w:color w:val="auto"/>
              </w:rPr>
            </w:pPr>
          </w:p>
        </w:tc>
      </w:tr>
      <w:tr>
        <w:trPr>
          <w:trHeight w:val="25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6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17,037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13,222</w:t>
            </w:r>
          </w:p>
        </w:tc>
        <w:tc>
          <w:tcPr>
            <w:tcW w:w="100" w:type="dxa"/>
            <w:vAlign w:val="bottom"/>
          </w:tcPr>
          <w:p>
            <w:pPr>
              <w:spacing w:after="0"/>
              <w:rPr>
                <w:sz w:val="21"/>
                <w:szCs w:val="21"/>
                <w:color w:val="auto"/>
              </w:rPr>
            </w:pPr>
          </w:p>
        </w:tc>
      </w:tr>
      <w:tr>
        <w:trPr>
          <w:trHeight w:val="25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24,831</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25,964</w:t>
            </w:r>
          </w:p>
        </w:tc>
        <w:tc>
          <w:tcPr>
            <w:tcW w:w="100" w:type="dxa"/>
            <w:vAlign w:val="bottom"/>
            <w:shd w:val="clear" w:color="auto" w:fill="CFF0FC"/>
          </w:tcPr>
          <w:p>
            <w:pPr>
              <w:spacing w:after="0"/>
              <w:rPr>
                <w:sz w:val="22"/>
                <w:szCs w:val="22"/>
                <w:color w:val="auto"/>
              </w:rPr>
            </w:pPr>
          </w:p>
        </w:tc>
      </w:tr>
      <w:tr>
        <w:trPr>
          <w:trHeight w:val="256"/>
        </w:trPr>
        <w:tc>
          <w:tcPr>
            <w:tcW w:w="7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100" w:type="dxa"/>
            <w:vAlign w:val="bottom"/>
          </w:tcPr>
          <w:p>
            <w:pPr>
              <w:spacing w:after="0"/>
              <w:rPr>
                <w:sz w:val="22"/>
                <w:szCs w:val="22"/>
                <w:color w:val="auto"/>
              </w:rPr>
            </w:pPr>
          </w:p>
        </w:tc>
      </w:tr>
      <w:tr>
        <w:trPr>
          <w:trHeight w:val="250"/>
        </w:trPr>
        <w:tc>
          <w:tcPr>
            <w:tcW w:w="7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Total liabilities</w:t>
            </w: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41,912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39,365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Commitments and contingencies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20"/>
                <w:szCs w:val="20"/>
                <w:color w:val="auto"/>
              </w:rPr>
              <w:t>Stockholders’ equity:</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20"/>
        </w:trPr>
        <w:tc>
          <w:tcPr>
            <w:tcW w:w="786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Preferred stock, $0.00001 par value; 5,000,000 shares authorized as of</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June 30, 2024 and December 31, 2023; zero shares issued and</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78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outstanding as of June 30, 2024 and December 31, 2023</w:t>
            </w:r>
          </w:p>
        </w:tc>
        <w:tc>
          <w:tcPr>
            <w:tcW w:w="26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24"/>
        </w:trPr>
        <w:tc>
          <w:tcPr>
            <w:tcW w:w="7860" w:type="dxa"/>
            <w:vAlign w:val="bottom"/>
            <w:shd w:val="clear" w:color="auto" w:fill="CFF0FC"/>
          </w:tcPr>
          <w:p>
            <w:pPr>
              <w:ind w:left="200"/>
              <w:spacing w:after="0" w:line="224" w:lineRule="exact"/>
              <w:rPr>
                <w:sz w:val="20"/>
                <w:szCs w:val="20"/>
                <w:color w:val="auto"/>
              </w:rPr>
            </w:pPr>
            <w:r>
              <w:rPr>
                <w:rFonts w:ascii="Times New Roman" w:cs="Times New Roman" w:eastAsia="Times New Roman" w:hAnsi="Times New Roman"/>
                <w:sz w:val="20"/>
                <w:szCs w:val="20"/>
                <w:color w:val="auto"/>
              </w:rPr>
              <w:t>Class A common stock, $0.00001 par value; 94,000,000 shares authorized</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as of June 30, 2024 and December 31, 2023; 59,180,625 and</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8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20"/>
                <w:szCs w:val="20"/>
                <w:color w:val="auto"/>
              </w:rPr>
              <w:t>60,253,707 shares issued and outstanding as of June 30, 2024 and</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6"/>
        </w:trPr>
        <w:tc>
          <w:tcPr>
            <w:tcW w:w="7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20"/>
                <w:szCs w:val="20"/>
                <w:color w:val="auto"/>
              </w:rPr>
              <w:t>December 31, 2023, respectively</w:t>
            </w:r>
          </w:p>
        </w:tc>
        <w:tc>
          <w:tcPr>
            <w:tcW w:w="260" w:type="dxa"/>
            <w:vAlign w:val="bottom"/>
            <w:shd w:val="clear" w:color="auto" w:fill="CFF0FC"/>
          </w:tcPr>
          <w:p>
            <w:pPr>
              <w:spacing w:after="0"/>
              <w:rPr>
                <w:sz w:val="23"/>
                <w:szCs w:val="23"/>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shd w:val="clear" w:color="auto" w:fill="CFF0FC"/>
          </w:tcPr>
          <w:p>
            <w:pPr>
              <w:spacing w:after="0"/>
              <w:rPr>
                <w:sz w:val="23"/>
                <w:szCs w:val="23"/>
                <w:color w:val="auto"/>
              </w:rPr>
            </w:pPr>
          </w:p>
        </w:tc>
      </w:tr>
      <w:tr>
        <w:trPr>
          <w:trHeight w:val="220"/>
        </w:trPr>
        <w:tc>
          <w:tcPr>
            <w:tcW w:w="7860" w:type="dxa"/>
            <w:vAlign w:val="bottom"/>
          </w:tcPr>
          <w:p>
            <w:pPr>
              <w:ind w:left="200"/>
              <w:spacing w:after="0" w:line="220" w:lineRule="exact"/>
              <w:rPr>
                <w:sz w:val="20"/>
                <w:szCs w:val="20"/>
                <w:color w:val="auto"/>
              </w:rPr>
            </w:pPr>
            <w:r>
              <w:rPr>
                <w:rFonts w:ascii="Times New Roman" w:cs="Times New Roman" w:eastAsia="Times New Roman" w:hAnsi="Times New Roman"/>
                <w:sz w:val="20"/>
                <w:szCs w:val="20"/>
                <w:color w:val="auto"/>
              </w:rPr>
              <w:t>Class B common stock, $0.00001 par value; 6,000,000 shares authorized</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as of June 30, 2024 and December 31, 2023; 4,044,969 shares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7860" w:type="dxa"/>
            <w:vAlign w:val="bottom"/>
          </w:tcPr>
          <w:p>
            <w:pPr>
              <w:ind w:left="340"/>
              <w:spacing w:after="0"/>
              <w:rPr>
                <w:sz w:val="20"/>
                <w:szCs w:val="20"/>
                <w:color w:val="auto"/>
              </w:rPr>
            </w:pPr>
            <w:r>
              <w:rPr>
                <w:rFonts w:ascii="Times New Roman" w:cs="Times New Roman" w:eastAsia="Times New Roman" w:hAnsi="Times New Roman"/>
                <w:sz w:val="20"/>
                <w:szCs w:val="20"/>
                <w:color w:val="auto"/>
              </w:rPr>
              <w:t>issued and outstanding as of June 30, 2024 and December 31, 2023</w:t>
            </w:r>
          </w:p>
        </w:tc>
        <w:tc>
          <w:tcPr>
            <w:tcW w:w="260" w:type="dxa"/>
            <w:vAlign w:val="bottom"/>
          </w:tcPr>
          <w:p>
            <w:pPr>
              <w:spacing w:after="0"/>
              <w:rPr>
                <w:sz w:val="22"/>
                <w:szCs w:val="22"/>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714,626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702,868</w:t>
            </w:r>
          </w:p>
        </w:tc>
        <w:tc>
          <w:tcPr>
            <w:tcW w:w="100" w:type="dxa"/>
            <w:vAlign w:val="bottom"/>
            <w:shd w:val="clear" w:color="auto" w:fill="CFF0FC"/>
          </w:tcPr>
          <w:p>
            <w:pPr>
              <w:spacing w:after="0"/>
              <w:rPr>
                <w:sz w:val="22"/>
                <w:szCs w:val="22"/>
                <w:color w:val="auto"/>
              </w:rPr>
            </w:pPr>
          </w:p>
        </w:tc>
      </w:tr>
      <w:tr>
        <w:trPr>
          <w:trHeight w:val="256"/>
        </w:trPr>
        <w:tc>
          <w:tcPr>
            <w:tcW w:w="7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260" w:type="dxa"/>
            <w:vAlign w:val="bottom"/>
          </w:tcPr>
          <w:p>
            <w:pPr>
              <w:spacing w:after="0"/>
              <w:rPr>
                <w:sz w:val="22"/>
                <w:szCs w:val="22"/>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(626 )</w:t>
            </w:r>
          </w:p>
        </w:tc>
        <w:tc>
          <w:tcPr>
            <w:tcW w:w="260" w:type="dxa"/>
            <w:vAlign w:val="bottom"/>
          </w:tcPr>
          <w:p>
            <w:pPr>
              <w:spacing w:after="0"/>
              <w:rPr>
                <w:sz w:val="22"/>
                <w:szCs w:val="22"/>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(192 )</w:t>
            </w:r>
          </w:p>
        </w:tc>
      </w:tr>
      <w:tr>
        <w:trPr>
          <w:trHeight w:val="256"/>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26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20"/>
                <w:szCs w:val="20"/>
                <w:color w:val="auto"/>
              </w:rPr>
              <w:t>(349,302 )</w:t>
            </w:r>
          </w:p>
        </w:tc>
        <w:tc>
          <w:tcPr>
            <w:tcW w:w="2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20"/>
                <w:szCs w:val="20"/>
                <w:color w:val="auto"/>
              </w:rPr>
              <w:t>(305,773 )</w:t>
            </w:r>
          </w:p>
        </w:tc>
      </w:tr>
      <w:tr>
        <w:trPr>
          <w:trHeight w:val="250"/>
        </w:trPr>
        <w:tc>
          <w:tcPr>
            <w:tcW w:w="78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364,699</w:t>
            </w:r>
          </w:p>
        </w:tc>
        <w:tc>
          <w:tcPr>
            <w:tcW w:w="220" w:type="dxa"/>
            <w:vAlign w:val="bottom"/>
            <w:tcBorders>
              <w:top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396,904</w:t>
            </w:r>
          </w:p>
        </w:tc>
        <w:tc>
          <w:tcPr>
            <w:tcW w:w="100" w:type="dxa"/>
            <w:vAlign w:val="bottom"/>
            <w:tcBorders>
              <w:top w:val="single" w:sz="8" w:color="CFF0FC"/>
            </w:tcBorders>
          </w:tcPr>
          <w:p>
            <w:pPr>
              <w:spacing w:after="0"/>
              <w:rPr>
                <w:sz w:val="21"/>
                <w:szCs w:val="21"/>
                <w:color w:val="auto"/>
              </w:rPr>
            </w:pPr>
          </w:p>
        </w:tc>
      </w:tr>
      <w:tr>
        <w:trPr>
          <w:trHeight w:val="290"/>
        </w:trPr>
        <w:tc>
          <w:tcPr>
            <w:tcW w:w="78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406,611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20"/>
                <w:szCs w:val="20"/>
                <w:color w:val="auto"/>
              </w:rPr>
              <w:t>436,269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23"/>
        </w:trPr>
        <w:tc>
          <w:tcPr>
            <w:tcW w:w="78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-6394450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-6394450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-5408295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-5408295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-4070985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-3402330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-1070610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-727710</wp:posOffset>
            </wp:positionV>
            <wp:extent cx="77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-710565</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96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2024-08-08T15:55:51Z</dcterms:created>
  <dcterms:modified xsi:type="dcterms:W3CDTF">2024-08-08T15:55:51Z</dcterms:modified>
</cp:coreProperties>
</file>