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868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688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MCGUIRE TERRANCE</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12/08/2020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1"/>
        <w:spacing w:after="0"/>
        <w:tabs>
          <w:tab w:leader="none" w:pos="501" w:val="left"/>
          <w:tab w:leader="none" w:pos="208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80" w:type="dxa"/>
            <w:vAlign w:val="bottom"/>
            <w:gridSpan w:val="7"/>
          </w:tcPr>
          <w:p>
            <w:pPr>
              <w:jc w:val="center"/>
              <w:ind w:right="7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2"/>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40" w:type="dxa"/>
            <w:vAlign w:val="bottom"/>
            <w:gridSpan w:val="7"/>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REDWOOD</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w w:val="92"/>
              </w:rPr>
              <w:t>CA</w:t>
            </w:r>
          </w:p>
        </w:tc>
        <w:tc>
          <w:tcPr>
            <w:tcW w:w="98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94065</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40" w:type="dxa"/>
            <w:vAlign w:val="bottom"/>
            <w:gridSpan w:val="7"/>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ind w:left="20"/>
              <w:spacing w:after="0" w:line="124" w:lineRule="exact"/>
              <w:rPr>
                <w:sz w:val="20"/>
                <w:szCs w:val="20"/>
                <w:color w:val="auto"/>
              </w:rPr>
            </w:pPr>
            <w:r>
              <w:rPr>
                <w:rFonts w:ascii="Arial" w:cs="Arial" w:eastAsia="Arial" w:hAnsi="Arial"/>
                <w:sz w:val="14"/>
                <w:szCs w:val="14"/>
                <w:color w:val="0000FF"/>
              </w:rPr>
              <w:t>CITY</w:t>
            </w:r>
          </w:p>
        </w:tc>
        <w:tc>
          <w:tcPr>
            <w:tcW w:w="5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gridSpan w:val="2"/>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0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vMerge w:val="restart"/>
          </w:tcPr>
          <w:p>
            <w:pPr>
              <w:ind w:left="820"/>
              <w:spacing w:after="0"/>
              <w:rPr>
                <w:sz w:val="20"/>
                <w:szCs w:val="20"/>
                <w:color w:val="auto"/>
              </w:rPr>
            </w:pPr>
            <w:r>
              <w:rPr>
                <w:rFonts w:ascii="Arial" w:cs="Arial" w:eastAsia="Arial" w:hAnsi="Arial"/>
                <w:sz w:val="17"/>
                <w:szCs w:val="17"/>
                <w:color w:val="0000FF"/>
              </w:rPr>
              <w:t>12/08/2020</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ind w:left="220"/>
              <w:spacing w:after="0"/>
              <w:rPr>
                <w:sz w:val="20"/>
                <w:szCs w:val="20"/>
                <w:color w:val="auto"/>
              </w:rPr>
            </w:pPr>
            <w:r>
              <w:rPr>
                <w:rFonts w:ascii="Arial" w:cs="Arial" w:eastAsia="Arial" w:hAnsi="Arial"/>
                <w:sz w:val="17"/>
                <w:szCs w:val="17"/>
                <w:color w:val="0000FF"/>
                <w:w w:val="88"/>
              </w:rPr>
              <w:t>51,457</w:t>
            </w:r>
          </w:p>
        </w:tc>
        <w:tc>
          <w:tcPr>
            <w:tcW w:w="620" w:type="dxa"/>
            <w:vAlign w:val="bottom"/>
            <w:vMerge w:val="restart"/>
          </w:tcPr>
          <w:p>
            <w:pPr>
              <w:jc w:val="right"/>
              <w:ind w:right="97"/>
              <w:spacing w:after="0"/>
              <w:rPr>
                <w:sz w:val="20"/>
                <w:szCs w:val="20"/>
                <w:color w:val="auto"/>
              </w:rPr>
            </w:pPr>
            <w:r>
              <w:rPr>
                <w:rFonts w:ascii="Arial" w:cs="Arial" w:eastAsia="Arial" w:hAnsi="Arial"/>
                <w:sz w:val="17"/>
                <w:szCs w:val="17"/>
                <w:color w:val="0000FF"/>
              </w:rPr>
              <w:t>A</w:t>
            </w:r>
          </w:p>
        </w:tc>
        <w:tc>
          <w:tcPr>
            <w:tcW w:w="480" w:type="dxa"/>
            <w:vAlign w:val="bottom"/>
            <w:vMerge w:val="restart"/>
          </w:tcPr>
          <w:p>
            <w:pPr>
              <w:jc w:val="right"/>
              <w:ind w:right="17"/>
              <w:spacing w:after="0"/>
              <w:rPr>
                <w:sz w:val="20"/>
                <w:szCs w:val="20"/>
                <w:color w:val="auto"/>
              </w:rPr>
            </w:pPr>
            <w:r>
              <w:rPr>
                <w:rFonts w:ascii="Arial" w:cs="Arial" w:eastAsia="Arial" w:hAnsi="Arial"/>
                <w:sz w:val="11"/>
                <w:szCs w:val="11"/>
                <w:color w:val="008000"/>
              </w:rPr>
              <w:t>(1)</w:t>
            </w:r>
          </w:p>
        </w:tc>
        <w:tc>
          <w:tcPr>
            <w:tcW w:w="1360" w:type="dxa"/>
            <w:vAlign w:val="bottom"/>
            <w:gridSpan w:val="4"/>
            <w:vMerge w:val="restart"/>
          </w:tcPr>
          <w:p>
            <w:pPr>
              <w:jc w:val="right"/>
              <w:ind w:right="302"/>
              <w:spacing w:after="0"/>
              <w:rPr>
                <w:sz w:val="20"/>
                <w:szCs w:val="20"/>
                <w:color w:val="auto"/>
              </w:rPr>
            </w:pPr>
            <w:r>
              <w:rPr>
                <w:rFonts w:ascii="Arial" w:cs="Arial" w:eastAsia="Arial" w:hAnsi="Arial"/>
                <w:sz w:val="17"/>
                <w:szCs w:val="17"/>
                <w:color w:val="0000FF"/>
              </w:rPr>
              <w:t>210,982</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vMerge w:val="restart"/>
          </w:tcPr>
          <w:p>
            <w:pPr>
              <w:ind w:left="820"/>
              <w:spacing w:after="0"/>
              <w:rPr>
                <w:sz w:val="20"/>
                <w:szCs w:val="20"/>
                <w:color w:val="auto"/>
              </w:rPr>
            </w:pPr>
            <w:r>
              <w:rPr>
                <w:rFonts w:ascii="Arial" w:cs="Arial" w:eastAsia="Arial" w:hAnsi="Arial"/>
                <w:sz w:val="17"/>
                <w:szCs w:val="17"/>
                <w:color w:val="0000FF"/>
              </w:rPr>
              <w:t>12/08/2020</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00" w:type="dxa"/>
            <w:vAlign w:val="bottom"/>
            <w:vMerge w:val="restart"/>
          </w:tcPr>
          <w:p>
            <w:pPr>
              <w:ind w:left="220"/>
              <w:spacing w:after="0"/>
              <w:rPr>
                <w:sz w:val="20"/>
                <w:szCs w:val="20"/>
                <w:color w:val="auto"/>
              </w:rPr>
            </w:pPr>
            <w:r>
              <w:rPr>
                <w:rFonts w:ascii="Arial" w:cs="Arial" w:eastAsia="Arial" w:hAnsi="Arial"/>
                <w:sz w:val="17"/>
                <w:szCs w:val="17"/>
                <w:color w:val="0000FF"/>
                <w:w w:val="88"/>
              </w:rPr>
              <w:t>78,947</w:t>
            </w:r>
          </w:p>
        </w:tc>
        <w:tc>
          <w:tcPr>
            <w:tcW w:w="620" w:type="dxa"/>
            <w:vAlign w:val="bottom"/>
            <w:vMerge w:val="restart"/>
          </w:tcPr>
          <w:p>
            <w:pPr>
              <w:jc w:val="right"/>
              <w:ind w:right="97"/>
              <w:spacing w:after="0"/>
              <w:rPr>
                <w:sz w:val="20"/>
                <w:szCs w:val="20"/>
                <w:color w:val="auto"/>
              </w:rPr>
            </w:pPr>
            <w:r>
              <w:rPr>
                <w:rFonts w:ascii="Arial" w:cs="Arial" w:eastAsia="Arial" w:hAnsi="Arial"/>
                <w:sz w:val="17"/>
                <w:szCs w:val="17"/>
                <w:color w:val="0000FF"/>
              </w:rPr>
              <w:t>A</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w:t>
            </w:r>
          </w:p>
        </w:tc>
        <w:tc>
          <w:tcPr>
            <w:tcW w:w="1360" w:type="dxa"/>
            <w:vAlign w:val="bottom"/>
            <w:gridSpan w:val="4"/>
            <w:vMerge w:val="restart"/>
          </w:tcPr>
          <w:p>
            <w:pPr>
              <w:jc w:val="right"/>
              <w:ind w:right="342"/>
              <w:spacing w:after="0"/>
              <w:rPr>
                <w:sz w:val="20"/>
                <w:szCs w:val="20"/>
                <w:color w:val="auto"/>
              </w:rPr>
            </w:pPr>
            <w:r>
              <w:rPr>
                <w:rFonts w:ascii="Arial" w:cs="Arial" w:eastAsia="Arial" w:hAnsi="Arial"/>
                <w:sz w:val="17"/>
                <w:szCs w:val="17"/>
                <w:color w:val="0000FF"/>
              </w:rPr>
              <w:t>78,947</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71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360" w:type="dxa"/>
            <w:vAlign w:val="bottom"/>
            <w:gridSpan w:val="10"/>
          </w:tcPr>
          <w:p>
            <w:pPr>
              <w:jc w:val="center"/>
              <w:ind w:left="53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8"/>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color w:val="0000FF"/>
                <w:w w:val="98"/>
              </w:rPr>
              <w:t>Class A</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4"/>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24" w:lineRule="exact"/>
              <w:rPr>
                <w:sz w:val="20"/>
                <w:szCs w:val="20"/>
                <w:color w:val="auto"/>
              </w:rPr>
            </w:pPr>
            <w:r>
              <w:rPr>
                <w:rFonts w:ascii="Arial" w:cs="Arial" w:eastAsia="Arial" w:hAnsi="Arial"/>
                <w:sz w:val="13"/>
                <w:szCs w:val="13"/>
                <w:color w:val="0000FF"/>
              </w:rPr>
              <w:t>Convertible</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20" w:type="dxa"/>
            <w:vAlign w:val="bottom"/>
            <w:vMerge w:val="continue"/>
          </w:tcPr>
          <w:p>
            <w:pPr>
              <w:spacing w:after="0"/>
              <w:rPr>
                <w:sz w:val="5"/>
                <w:szCs w:val="5"/>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w w:val="84"/>
              </w:rPr>
              <w:t>51,457</w:t>
            </w:r>
          </w:p>
        </w:tc>
        <w:tc>
          <w:tcPr>
            <w:tcW w:w="800" w:type="dxa"/>
            <w:vAlign w:val="bottom"/>
            <w:gridSpan w:val="3"/>
            <w:vMerge w:val="restart"/>
          </w:tcPr>
          <w:p>
            <w:pPr>
              <w:ind w:left="340"/>
              <w:spacing w:after="0"/>
              <w:rPr>
                <w:sz w:val="20"/>
                <w:szCs w:val="20"/>
                <w:color w:val="auto"/>
              </w:rPr>
            </w:pPr>
            <w:r>
              <w:rPr>
                <w:rFonts w:ascii="Arial" w:cs="Arial" w:eastAsia="Arial" w:hAnsi="Arial"/>
                <w:sz w:val="11"/>
                <w:szCs w:val="11"/>
                <w:color w:val="008000"/>
              </w:rPr>
              <w:t>(1)</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12/08/2020</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51,457</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48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5"/>
                <w:szCs w:val="5"/>
                <w:color w:val="auto"/>
              </w:rPr>
            </w:pPr>
          </w:p>
        </w:tc>
        <w:tc>
          <w:tcPr>
            <w:tcW w:w="60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I</w:t>
            </w:r>
          </w:p>
        </w:tc>
        <w:tc>
          <w:tcPr>
            <w:tcW w:w="16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4"/>
            <w:vMerge w:val="restart"/>
          </w:tcPr>
          <w:p>
            <w:pPr>
              <w:ind w:left="40"/>
              <w:spacing w:after="0" w:line="158"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4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-3605530</wp:posOffset>
            </wp:positionV>
            <wp:extent cx="7033895" cy="3647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64744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Series A Convertible Preferred Stock automatically converted into Class A Common Stock on a one-to-one basis immediately prior to the completion of the Issuer's initial public offering of Class A Common Stock for no additional consideration and had no expiration date.</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securities are held of record by Strong Bridge, LLC for which the Reporting Person serves as an operating manager.</w:t>
      </w:r>
    </w:p>
    <w:p>
      <w:pPr>
        <w:spacing w:after="0" w:line="43" w:lineRule="exact"/>
        <w:rPr>
          <w:rFonts w:ascii="Arial" w:cs="Arial" w:eastAsia="Arial" w:hAnsi="Arial"/>
          <w:sz w:val="13"/>
          <w:szCs w:val="13"/>
          <w:color w:val="008000"/>
        </w:rPr>
      </w:pPr>
    </w:p>
    <w:p>
      <w:pPr>
        <w:ind w:left="40" w:right="24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securities are held of record by Polaris Founders Capital Fund I, L.P. ("PFCF I"). Polaris Founders Capital Management Co. I, L.L.C. ("PFCM"), is the general partner of PFCF I. The Reporting Person and Jonathan A. Flint ("Flint") are the managing members of PFCM. Each of the Reporting Person and Flint in their respective capacities with respect to PFCM may be deemed to have shared voting and dispositive power with respect to the shares held by PFCF I. Each of PFCM, Flint, and the Reporting Person disclaims beneficial ownership of securities held by PFCF I, and this report shall not be deemed an admission that the Reporting Person, Flint, or PFCM is the beneficial owner of these securities for purposes of Section 16 or for any other purpose, except to the extent of their respective pecuniary interests therein.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Elona Kogan, by power of</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12/09/2020</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Arial" w:cs="Arial" w:eastAsia="Arial" w:hAnsi="Arial"/>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2020-12-09T19:25:17Z</dcterms:created>
  <dcterms:modified xsi:type="dcterms:W3CDTF">2020-12-09T19:25:17Z</dcterms:modified>
</cp:coreProperties>
</file>