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Issuer)</w:t>
      </w: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90805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90805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87" w:lineRule="exact"/>
        <w:rPr>
          <w:rFonts w:ascii="MS PGothic" w:cs="MS PGothic" w:eastAsia="MS PGothic" w:hAnsi="MS PGothic"/>
          <w:sz w:val="22"/>
          <w:szCs w:val="22"/>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87" w:lineRule="exact"/>
        <w:rPr>
          <w:sz w:val="24"/>
          <w:szCs w:val="24"/>
          <w:color w:val="auto"/>
        </w:rPr>
      </w:pPr>
    </w:p>
    <w:p>
      <w:pPr>
        <w:ind w:left="760" w:hanging="242"/>
        <w:spacing w:after="0"/>
        <w:tabs>
          <w:tab w:leader="none" w:pos="7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87"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aMoon Growth Fund Limited Partnership</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880" w:type="dxa"/>
            <w:vAlign w:val="bottom"/>
            <w:vMerge w:val="continue"/>
          </w:tcPr>
          <w:p>
            <w:pPr>
              <w:spacing w:after="0"/>
              <w:rPr>
                <w:sz w:val="13"/>
                <w:szCs w:val="13"/>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4,112,235</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880" w:type="dxa"/>
            <w:vAlign w:val="bottom"/>
            <w:vMerge w:val="continue"/>
          </w:tcPr>
          <w:p>
            <w:pPr>
              <w:spacing w:after="0"/>
              <w:rPr>
                <w:sz w:val="6"/>
                <w:szCs w:val="6"/>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vMerge w:val="continue"/>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80" w:type="dxa"/>
            <w:vAlign w:val="bottom"/>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7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right w:val="single" w:sz="8" w:color="auto"/>
            </w:tcBorders>
          </w:tcPr>
          <w:p>
            <w:pPr>
              <w:spacing w:after="0"/>
              <w:rPr>
                <w:sz w:val="20"/>
                <w:szCs w:val="20"/>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4,112,235</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4,112,235</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5"/>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6111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6.56%</w:t>
      </w:r>
    </w:p>
    <w:p>
      <w:pPr>
        <w:ind w:left="1940" w:hanging="1093"/>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8"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aMoon Co-Investment SPV I, L.P.</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880" w:type="dxa"/>
            <w:vAlign w:val="bottom"/>
            <w:vMerge w:val="continue"/>
          </w:tcPr>
          <w:p>
            <w:pPr>
              <w:spacing w:after="0"/>
              <w:rPr>
                <w:sz w:val="13"/>
                <w:szCs w:val="13"/>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810,961</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880" w:type="dxa"/>
            <w:vAlign w:val="bottom"/>
            <w:vMerge w:val="continue"/>
          </w:tcPr>
          <w:p>
            <w:pPr>
              <w:spacing w:after="0"/>
              <w:rPr>
                <w:sz w:val="6"/>
                <w:szCs w:val="6"/>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vMerge w:val="continue"/>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80" w:type="dxa"/>
            <w:vAlign w:val="bottom"/>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7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right w:val="single" w:sz="8" w:color="auto"/>
            </w:tcBorders>
          </w:tcPr>
          <w:p>
            <w:pPr>
              <w:spacing w:after="0"/>
              <w:rPr>
                <w:sz w:val="20"/>
                <w:szCs w:val="20"/>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810,961</w:t>
            </w: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810,961</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5"/>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111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1.29%</w:t>
      </w:r>
    </w:p>
    <w:p>
      <w:pPr>
        <w:ind w:left="1940" w:hanging="1093"/>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8"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aMoon Growth Fund G.P. Limited Partnership</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880" w:type="dxa"/>
            <w:vAlign w:val="bottom"/>
            <w:vMerge w:val="continue"/>
          </w:tcPr>
          <w:p>
            <w:pPr>
              <w:spacing w:after="0"/>
              <w:rPr>
                <w:sz w:val="13"/>
                <w:szCs w:val="13"/>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880" w:type="dxa"/>
            <w:vAlign w:val="bottom"/>
            <w:vMerge w:val="continue"/>
          </w:tcPr>
          <w:p>
            <w:pPr>
              <w:spacing w:after="0"/>
              <w:rPr>
                <w:sz w:val="6"/>
                <w:szCs w:val="6"/>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vMerge w:val="continue"/>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80" w:type="dxa"/>
            <w:vAlign w:val="bottom"/>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7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right w:val="single" w:sz="8" w:color="auto"/>
            </w:tcBorders>
          </w:tcPr>
          <w:p>
            <w:pPr>
              <w:spacing w:after="0"/>
              <w:rPr>
                <w:sz w:val="20"/>
                <w:szCs w:val="20"/>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4,923,196</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5"/>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7.86%</w:t>
      </w:r>
    </w:p>
    <w:p>
      <w:pPr>
        <w:ind w:left="1940" w:hanging="1093"/>
        <w:spacing w:after="0"/>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8"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aMoon General Partner Ltd.</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880" w:type="dxa"/>
            <w:vAlign w:val="bottom"/>
            <w:vMerge w:val="continue"/>
          </w:tcPr>
          <w:p>
            <w:pPr>
              <w:spacing w:after="0"/>
              <w:rPr>
                <w:sz w:val="13"/>
                <w:szCs w:val="13"/>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880" w:type="dxa"/>
            <w:vAlign w:val="bottom"/>
            <w:vMerge w:val="continue"/>
          </w:tcPr>
          <w:p>
            <w:pPr>
              <w:spacing w:after="0"/>
              <w:rPr>
                <w:sz w:val="6"/>
                <w:szCs w:val="6"/>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vMerge w:val="continue"/>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80" w:type="dxa"/>
            <w:vAlign w:val="bottom"/>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7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right w:val="single" w:sz="8" w:color="auto"/>
            </w:tcBorders>
          </w:tcPr>
          <w:p>
            <w:pPr>
              <w:spacing w:after="0"/>
              <w:rPr>
                <w:sz w:val="20"/>
                <w:szCs w:val="20"/>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4,923,196</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5"/>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6111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7.86%</w:t>
      </w:r>
    </w:p>
    <w:p>
      <w:pPr>
        <w:ind w:left="1940" w:hanging="1093"/>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8"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Dr. Yair C. Schindel</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1"/>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880" w:type="dxa"/>
            <w:vAlign w:val="bottom"/>
            <w:vMerge w:val="continue"/>
          </w:tcPr>
          <w:p>
            <w:pPr>
              <w:spacing w:after="0"/>
              <w:rPr>
                <w:sz w:val="13"/>
                <w:szCs w:val="13"/>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880" w:type="dxa"/>
            <w:vAlign w:val="bottom"/>
            <w:vMerge w:val="continue"/>
          </w:tcPr>
          <w:p>
            <w:pPr>
              <w:spacing w:after="0"/>
              <w:rPr>
                <w:sz w:val="6"/>
                <w:szCs w:val="6"/>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vMerge w:val="continue"/>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80" w:type="dxa"/>
            <w:vAlign w:val="bottom"/>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7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right w:val="single" w:sz="8" w:color="auto"/>
            </w:tcBorders>
          </w:tcPr>
          <w:p>
            <w:pPr>
              <w:spacing w:after="0"/>
              <w:rPr>
                <w:sz w:val="20"/>
                <w:szCs w:val="20"/>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4,923,196</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5"/>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6111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7.86%</w:t>
      </w:r>
    </w:p>
    <w:p>
      <w:pPr>
        <w:ind w:left="1940" w:hanging="109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8"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6" w:name="page7"/>
    <w:bookmarkEnd w:id="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Seer, Inc. (the “Issuer”).</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3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3800 Bridge Parkway, Suite 102, Redwood City, California 94065</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2(a)-(b)</w:t>
      </w:r>
      <w:r>
        <w:rPr>
          <w:sz w:val="20"/>
          <w:szCs w:val="20"/>
          <w:color w:val="auto"/>
        </w:rPr>
        <w:tab/>
      </w:r>
      <w:r>
        <w:rPr>
          <w:rFonts w:ascii="Times New Roman" w:cs="Times New Roman" w:eastAsia="Times New Roman" w:hAnsi="Times New Roman"/>
          <w:sz w:val="17"/>
          <w:szCs w:val="17"/>
          <w:b w:val="1"/>
          <w:bCs w:val="1"/>
          <w:color w:val="auto"/>
        </w:rPr>
        <w:t>Name of Person Filing; Address of Principal Business Office or, if none, Residence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aMoon Growth Fund Limited Partnership (“aMoon”), 34 Yerushalaim Rd, Beit Gamla, 6th Floor, Ra’anana, 4350110, 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aMoon Co-Investment SPV I, L.P. (“aMoon Co-Investment”), 34 Yerushalaim Rd, Beit Gamla, 6th Floor, Ra’anana, 4350110, Israel.</w:t>
            </w:r>
          </w:p>
        </w:tc>
      </w:tr>
      <w:tr>
        <w:trPr>
          <w:trHeight w:val="468"/>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aMoon Growth Fund G.P. Limited Partnership (“aMoon G.P.”), 34 Yerushalaim Rd, Beit Gamla, 6th Floor, Ra’anana, 4350110,</w:t>
            </w:r>
          </w:p>
        </w:tc>
      </w:tr>
      <w:tr>
        <w:trPr>
          <w:trHeight w:val="234"/>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aMoon General Partner Ltd. (“aMoon Ltd.”), 34 Yerushalaim Rd, Beit Gamla, 6th Floor, Ra’anana, 4350110, Israel.</w:t>
            </w:r>
          </w:p>
        </w:tc>
      </w:tr>
      <w:tr>
        <w:trPr>
          <w:trHeight w:val="486"/>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Yair C. Schindel (“Schindel”), 34 Yerushalaim Rd, Beit Gamla, 6th Floor, Ra’anana, 4350110, Israel.</w:t>
            </w:r>
          </w:p>
        </w:tc>
      </w:tr>
      <w:tr>
        <w:trPr>
          <w:trHeight w:val="538"/>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The foregoing persons are hereinafter collectively referred to as the “Reporting Persons”.</w:t>
            </w:r>
          </w:p>
        </w:tc>
      </w:tr>
      <w:tr>
        <w:trPr>
          <w:trHeight w:val="48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540"/>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w w:val="99"/>
              </w:rPr>
              <w:t>aMoon is a Cayman Islands exempted limited partnership; aMoon Co-Investment is a Cayman Islands exempted</w:t>
            </w:r>
          </w:p>
        </w:tc>
      </w:tr>
      <w:tr>
        <w:trPr>
          <w:trHeight w:val="270"/>
        </w:trPr>
        <w:tc>
          <w:tcPr>
            <w:tcW w:w="1000" w:type="dxa"/>
            <w:vAlign w:val="bottom"/>
          </w:tcPr>
          <w:p>
            <w:pPr>
              <w:spacing w:after="0"/>
              <w:rPr>
                <w:sz w:val="23"/>
                <w:szCs w:val="23"/>
                <w:color w:val="auto"/>
              </w:rPr>
            </w:pP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w w:val="98"/>
              </w:rPr>
              <w:t>limited partnership; aMoon G.P. is an Israeli limited partnership; aMoon Ltd. is an Israeli company; and Schindel</w:t>
            </w:r>
          </w:p>
        </w:tc>
      </w:tr>
      <w:tr>
        <w:trPr>
          <w:trHeight w:val="282"/>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is an Israeli citizen.</w:t>
            </w:r>
          </w:p>
        </w:tc>
      </w:tr>
      <w:tr>
        <w:trPr>
          <w:trHeight w:val="48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552"/>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tc>
      </w:tr>
      <w:tr>
        <w:trPr>
          <w:trHeight w:val="48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552"/>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81578P106</w:t>
            </w:r>
          </w:p>
        </w:tc>
      </w:tr>
      <w:tr>
        <w:trPr>
          <w:trHeight w:val="48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tc>
      </w:tr>
      <w:tr>
        <w:trPr>
          <w:trHeight w:val="552"/>
        </w:trPr>
        <w:tc>
          <w:tcPr>
            <w:tcW w:w="100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8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552"/>
        </w:trPr>
        <w:tc>
          <w:tcPr>
            <w:tcW w:w="1000" w:type="dxa"/>
            <w:vAlign w:val="bottom"/>
          </w:tcPr>
          <w:p>
            <w:pPr>
              <w:spacing w:after="0"/>
              <w:rPr>
                <w:sz w:val="24"/>
                <w:szCs w:val="24"/>
                <w:color w:val="auto"/>
              </w:rPr>
            </w:pP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22"/>
                <w:szCs w:val="22"/>
                <w:i w:val="1"/>
                <w:iCs w:val="1"/>
                <w:color w:val="auto"/>
              </w:rPr>
              <w:t>aMoon Growth Fund Limited Partnership</w:t>
            </w:r>
          </w:p>
        </w:tc>
      </w:tr>
      <w:tr>
        <w:trPr>
          <w:trHeight w:val="447"/>
        </w:trPr>
        <w:tc>
          <w:tcPr>
            <w:tcW w:w="100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4,112,235 shares of Class A Common Stock.</w:t>
            </w: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547"/>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All share percentage calculation are based on 62,641,567 shares of Class A Common Stock and Class B</w:t>
            </w:r>
          </w:p>
        </w:tc>
      </w:tr>
      <w:tr>
        <w:trPr>
          <w:trHeight w:val="270"/>
        </w:trPr>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 Stock outstanding as of November 4, 2022, as reported by the Issuer to the SEC on Form 10-Q on</w:t>
            </w:r>
          </w:p>
        </w:tc>
      </w:tr>
      <w:tr>
        <w:trPr>
          <w:trHeight w:val="282"/>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November 8, 2022.</w:t>
            </w:r>
          </w:p>
        </w:tc>
      </w:tr>
    </w:tbl>
    <w:p>
      <w:pPr>
        <w:spacing w:after="0" w:line="200" w:lineRule="exact"/>
        <w:rPr>
          <w:sz w:val="20"/>
          <w:szCs w:val="20"/>
          <w:color w:val="auto"/>
        </w:rPr>
      </w:pPr>
    </w:p>
    <w:p>
      <w:pPr>
        <w:sectPr>
          <w:pgSz w:w="11900" w:h="16838" w:orient="portrait"/>
          <w:cols w:equalWidth="0" w:num="1">
            <w:col w:w="11200"/>
          </w:cols>
          <w:pgMar w:left="320" w:top="657" w:right="379"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type w:val="continuous"/>
        </w:sectPr>
      </w:pPr>
    </w:p>
    <w:bookmarkStart w:id="7" w:name="page8"/>
    <w:bookmarkEnd w:id="7"/>
    <w:p>
      <w:pPr>
        <w:ind w:left="500" w:hanging="316"/>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6.56%</w:t>
      </w:r>
    </w:p>
    <w:p>
      <w:pPr>
        <w:spacing w:after="0" w:line="279"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the person has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4,112,235 shares of Class A Common Stock</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4,112,235 shares of Class A Common Stock</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aMoon Co-Investment SPV I, L.P.</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975,683 shares of Class A Common Stock.</w:t>
      </w:r>
    </w:p>
    <w:p>
      <w:pPr>
        <w:spacing w:after="0" w:line="283" w:lineRule="exact"/>
        <w:rPr>
          <w:sz w:val="20"/>
          <w:szCs w:val="20"/>
          <w:color w:val="auto"/>
        </w:rPr>
      </w:pPr>
    </w:p>
    <w:p>
      <w:pPr>
        <w:ind w:left="500" w:right="300"/>
        <w:spacing w:after="0" w:line="270" w:lineRule="auto"/>
        <w:rPr>
          <w:sz w:val="20"/>
          <w:szCs w:val="20"/>
          <w:color w:val="auto"/>
        </w:rPr>
      </w:pPr>
      <w:r>
        <w:rPr>
          <w:rFonts w:ascii="Times New Roman" w:cs="Times New Roman" w:eastAsia="Times New Roman" w:hAnsi="Times New Roman"/>
          <w:sz w:val="22"/>
          <w:szCs w:val="22"/>
          <w:color w:val="auto"/>
        </w:rPr>
        <w:t>All share percentage calculation are based on 62,641,567 shares of Class A Common Stock and Class B Common Stock outstanding as of November 4, 2022, as reported by the Issuer to the SEC on Form 10-Q on November 8, 2022.</w:t>
      </w:r>
    </w:p>
    <w:p>
      <w:pPr>
        <w:spacing w:after="0" w:line="222" w:lineRule="exact"/>
        <w:rPr>
          <w:sz w:val="20"/>
          <w:szCs w:val="20"/>
          <w:color w:val="auto"/>
        </w:rPr>
      </w:pPr>
    </w:p>
    <w:p>
      <w:pPr>
        <w:ind w:left="500" w:hanging="316"/>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1.29%</w:t>
      </w:r>
    </w:p>
    <w:p>
      <w:pPr>
        <w:spacing w:after="0" w:line="279"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the person has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810,961 shares of Class A Common Stock</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810,961 shares of Class A Common Stock</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aMoon Growth Fund G.P. Limited Partnership</w:t>
      </w:r>
    </w:p>
    <w:p>
      <w:pPr>
        <w:spacing w:after="0" w:line="287" w:lineRule="exact"/>
        <w:rPr>
          <w:sz w:val="20"/>
          <w:szCs w:val="20"/>
          <w:color w:val="auto"/>
        </w:rPr>
      </w:pPr>
    </w:p>
    <w:p>
      <w:pPr>
        <w:ind w:left="500" w:hanging="316"/>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4,923,196 shares of Class A Common Stock. aMoon G.P. is the sole general partner of aMoon and aMoon Co-Investment. By virtue of such relationship, aMoon G.P. may be deemed to have shared voting and investment power with respect to the shares of Class A Common Stock of the Issuer held by aMoon and aMoon Co-Investment.</w:t>
      </w:r>
    </w:p>
    <w:p>
      <w:pPr>
        <w:spacing w:after="0" w:line="234" w:lineRule="exact"/>
        <w:rPr>
          <w:sz w:val="20"/>
          <w:szCs w:val="20"/>
          <w:color w:val="auto"/>
        </w:rPr>
      </w:pPr>
    </w:p>
    <w:p>
      <w:pPr>
        <w:jc w:val="both"/>
        <w:ind w:left="500" w:right="560"/>
        <w:spacing w:after="0" w:line="270" w:lineRule="auto"/>
        <w:rPr>
          <w:sz w:val="20"/>
          <w:szCs w:val="20"/>
          <w:color w:val="auto"/>
        </w:rPr>
      </w:pPr>
      <w:r>
        <w:rPr>
          <w:rFonts w:ascii="Times New Roman" w:cs="Times New Roman" w:eastAsia="Times New Roman" w:hAnsi="Times New Roman"/>
          <w:sz w:val="22"/>
          <w:szCs w:val="22"/>
          <w:color w:val="auto"/>
        </w:rPr>
        <w:t>All share percentage calculation are based on 62,641,567 shares of Class A Common Stock and Class B Common Stock outstanding as of November 4, 2022, as reported by the Issuer to the SEC Form 10-Q on November 8, 2022.</w:t>
      </w:r>
    </w:p>
    <w:p>
      <w:pPr>
        <w:spacing w:after="0" w:line="222" w:lineRule="exact"/>
        <w:rPr>
          <w:sz w:val="20"/>
          <w:szCs w:val="20"/>
          <w:color w:val="auto"/>
        </w:rPr>
      </w:pPr>
    </w:p>
    <w:p>
      <w:pPr>
        <w:ind w:left="500" w:hanging="316"/>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7.86%</w:t>
      </w:r>
    </w:p>
    <w:p>
      <w:pPr>
        <w:spacing w:after="0" w:line="279"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the person has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4,923,196 shares of Class A Common Stock</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4,923,196 shares of Class A Common Stock</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aMoon General Partner Ltd.</w:t>
      </w:r>
    </w:p>
    <w:p>
      <w:pPr>
        <w:spacing w:after="0" w:line="287" w:lineRule="exact"/>
        <w:rPr>
          <w:sz w:val="20"/>
          <w:szCs w:val="20"/>
          <w:color w:val="auto"/>
        </w:rPr>
      </w:pPr>
    </w:p>
    <w:p>
      <w:pPr>
        <w:ind w:left="500" w:hanging="316"/>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4,923,196 shares of Class A Common Stock. aMoon Ltd. is the sole general partner of aMoon G.P. By virtue of such relationships, aMoon Ltd. may be deemed to have shared voting and investment power with respect to the shares of Class A Common Stock of the Issuer held by aMoon and aMoon Co-Investment.</w:t>
      </w:r>
    </w:p>
    <w:p>
      <w:pPr>
        <w:spacing w:after="0" w:line="234" w:lineRule="exact"/>
        <w:rPr>
          <w:sz w:val="20"/>
          <w:szCs w:val="20"/>
          <w:color w:val="auto"/>
        </w:rPr>
      </w:pPr>
    </w:p>
    <w:p>
      <w:pPr>
        <w:ind w:left="500" w:right="300"/>
        <w:spacing w:after="0" w:line="270" w:lineRule="auto"/>
        <w:rPr>
          <w:sz w:val="20"/>
          <w:szCs w:val="20"/>
          <w:color w:val="auto"/>
        </w:rPr>
      </w:pPr>
      <w:r>
        <w:rPr>
          <w:rFonts w:ascii="Times New Roman" w:cs="Times New Roman" w:eastAsia="Times New Roman" w:hAnsi="Times New Roman"/>
          <w:sz w:val="22"/>
          <w:szCs w:val="22"/>
          <w:color w:val="auto"/>
        </w:rPr>
        <w:t>All share percentage calculation are based on 62,641,567 shares of Class A Common Stock and Class B Common Stock outstanding as of November 4, 2022, as reported by the Issuer to the SEC on Form 10-Q on November 8, 2022.</w:t>
      </w:r>
    </w:p>
    <w:p>
      <w:pPr>
        <w:spacing w:after="0" w:line="38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(b)  Percent of Class: 7.86%</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18"/>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Sole power to vote or direct the vote: 0</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Shared power to vote or to direct the vote: 4,923,196 shares of Class A Common Stock</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Sole power to dispose or to direct the disposition of: 0</w:t>
            </w:r>
          </w:p>
        </w:tc>
      </w:tr>
      <w:tr>
        <w:trPr>
          <w:trHeight w:val="234"/>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4,923,196 shares of Class A Common Stock</w:t>
            </w:r>
          </w:p>
        </w:tc>
      </w:tr>
      <w:tr>
        <w:trPr>
          <w:trHeight w:val="538"/>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22"/>
                <w:szCs w:val="22"/>
                <w:i w:val="1"/>
                <w:iCs w:val="1"/>
                <w:color w:val="auto"/>
              </w:rPr>
              <w:t>Dr. Yair C. Schindel</w:t>
            </w:r>
          </w:p>
        </w:tc>
      </w:tr>
      <w:tr>
        <w:trPr>
          <w:trHeight w:val="447"/>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(a)  Amount beneficially owned: 4,923,196 shares of Class A Common Stock. Schindel is the sole shareholder of aMoon Ltd. By virtue</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218"/>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such relationships, Schindel may be deemed to have shared voting and investment power with respect to the shares of Class A</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of the Issuer held by aMoon and aMoon Co-Investment. Schindel disclaims beneficial ownership of the shares of</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Class A Common Stock of the Issuer held by aMoon, aMoon Co-Investment, aMoon G.P. and aMoon Ltd., except to the extent of his</w:t>
            </w:r>
          </w:p>
        </w:tc>
      </w:tr>
      <w:tr>
        <w:trPr>
          <w:trHeight w:val="234"/>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pecuniary interest therein, if any.</w:t>
            </w:r>
          </w:p>
        </w:tc>
      </w:tr>
      <w:tr>
        <w:trPr>
          <w:trHeight w:val="526"/>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All share percentage calculation are based on 62,641,567 shares of Class A Common Stock and Class B</w:t>
            </w:r>
          </w:p>
        </w:tc>
      </w:tr>
      <w:tr>
        <w:trPr>
          <w:trHeight w:val="270"/>
        </w:trPr>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Common Stock outstanding as of November 4, 2022, as reported by the Issuer to the SEC on Form 10-Q on</w:t>
            </w:r>
          </w:p>
        </w:tc>
      </w:tr>
      <w:tr>
        <w:trPr>
          <w:trHeight w:val="282"/>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November 8, 2022.</w:t>
            </w:r>
          </w:p>
        </w:tc>
      </w:tr>
      <w:tr>
        <w:trPr>
          <w:trHeight w:val="447"/>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(b)  Percent of Class: 7.86%</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r>
      <w:tr>
        <w:trPr>
          <w:trHeight w:val="466"/>
        </w:trPr>
        <w:tc>
          <w:tcPr>
            <w:tcW w:w="940" w:type="dxa"/>
            <w:vAlign w:val="bottom"/>
          </w:tcPr>
          <w:p>
            <w:pPr>
              <w:spacing w:after="0"/>
              <w:rPr>
                <w:sz w:val="24"/>
                <w:szCs w:val="24"/>
                <w:color w:val="auto"/>
              </w:rPr>
            </w:pP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18"/>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Sole power to vote or direct the vote: 0</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Shared power to vote or to direct the vote: 4,923,196 shares of Class A Common Stock</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Sole power to dispose or to direct the disposition of: 0</w:t>
            </w:r>
          </w:p>
        </w:tc>
      </w:tr>
      <w:tr>
        <w:trPr>
          <w:trHeight w:val="234"/>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4,923,196 shares of Class A Common Stock</w:t>
            </w:r>
          </w:p>
        </w:tc>
      </w:tr>
      <w:tr>
        <w:trPr>
          <w:trHeight w:val="48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552"/>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8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552"/>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4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538"/>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8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538"/>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Incorporated by reference to Items 2 and 4 of this Schedule 13G.</w:t>
            </w:r>
          </w:p>
        </w:tc>
      </w:tr>
      <w:tr>
        <w:trPr>
          <w:trHeight w:val="48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525"/>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8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525"/>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432"/>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0" w:type="dxa"/>
            <w:vAlign w:val="bottom"/>
            <w:gridSpan w:val="2"/>
          </w:tcPr>
          <w:p>
            <w:pPr>
              <w:ind w:left="1160"/>
              <w:spacing w:after="0"/>
              <w:rPr>
                <w:sz w:val="20"/>
                <w:szCs w:val="20"/>
                <w:color w:val="auto"/>
              </w:rPr>
            </w:pPr>
            <w:r>
              <w:rPr>
                <w:rFonts w:ascii="Times New Roman" w:cs="Times New Roman" w:eastAsia="Times New Roman" w:hAnsi="Times New Roman"/>
                <w:sz w:val="22"/>
                <w:szCs w:val="22"/>
                <w:color w:val="auto"/>
              </w:rPr>
              <w:t>Page 9 of 10 Pages</w:t>
            </w:r>
          </w:p>
        </w:tc>
      </w:tr>
      <w:tr>
        <w:trPr>
          <w:trHeight w:val="49"/>
        </w:trPr>
        <w:tc>
          <w:tcPr>
            <w:tcW w:w="9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3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08" w:right="339" w:bottom="1440" w:gutter="0" w:footer="0" w:header="0"/>
        </w:sectPr>
      </w:pPr>
    </w:p>
    <w:bookmarkStart w:id="9" w:name="page10"/>
    <w:bookmarkEnd w:id="9"/>
    <w:p>
      <w:pPr>
        <w:jc w:val="center"/>
        <w:ind w:right="-7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9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9, 2023</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AMOON GROWTH FUND LIMITED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GROWTH FUND G.P. LIMITED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PARTNERSHIP,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GENERAL PARTNER LTD., ITS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 Yair C. Schindel</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AMOON CO-INVESTMENT SPV,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GROWTH FUND G.P. LIMITED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PARTNERSHIP, ITS GENERAL PARTNER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GENERAL PARTNER LTD., ITS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 Yair C. Schindel</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AMOON GROWTH FUND G.P. LIMITED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GENERAL PARTNER LTD., ITS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 Yair C. Schindel</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AMOON GENERAL PARTNER LTD.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 Yair C. Schindel</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 YAIR C. SCHINDEL</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480"/>
      </w:cols>
      <w:pgMar w:left="320" w:top="392"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lowerLetter"/>
      <w:start w:val="2"/>
    </w:lvl>
    <w:lvl w:ilvl="1">
      <w:lvlJc w:val="left"/>
      <w:lvlText w:val="(%2)"/>
      <w:numFmt w:val="lowerRoman"/>
      <w:start w:val="1"/>
    </w:lvl>
  </w:abstractNum>
  <w:abstractNum w:abstractNumId="8">
    <w:nsid w:val="216231B"/>
    <w:multiLevelType w:val="hybridMultilevel"/>
    <w:lvl w:ilvl="0">
      <w:lvlJc w:val="left"/>
      <w:lvlText w:val="(%1)"/>
      <w:numFmt w:val="lowerLetter"/>
      <w:start w:val="2"/>
    </w:lvl>
    <w:lvl w:ilvl="1">
      <w:lvlJc w:val="left"/>
      <w:lvlText w:val="(%2)"/>
      <w:numFmt w:val="lowerRoman"/>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lvl w:ilvl="1">
      <w:lvlJc w:val="left"/>
      <w:lvlText w:val="(%2)"/>
      <w:numFmt w:val="lowerRoman"/>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2023-01-09T05:45:32Z</dcterms:created>
  <dcterms:modified xsi:type="dcterms:W3CDTF">2023-01-09T05:45:32Z</dcterms:modified>
</cp:coreProperties>
</file>