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dfan14a09076074_07222026.htm"/>
      <w:bookmarkStart w:id="1" w:name="ksdfan14a09076074_07222026"/>
      <w:bookmarkEnd w:id="0"/>
      <w:bookmarkEnd w:id="1"/>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14a-101)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IN PROXY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3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Confidential, for Use of the Commission Only (as permitted by Rule 14a-6(e)(2))</w:t>
            </w:r>
          </w:p>
        </w:tc>
      </w:tr>
    </w:tbl>
    <w:p>
      <w:pPr>
        <w:pStyle w:val="TextBody"/>
        <w:bidi w:val="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283"/>
        <w:jc w:val="left"/>
        <w:rPr/>
      </w:pPr>
      <w:r>
        <w:rPr/>
        <w:t> </w:t>
      </w:r>
    </w:p>
    <w:tbl>
      <w:tblPr>
        <w:tblW w:w="4023" w:type="dxa"/>
        <w:jc w:val="left"/>
        <w:tblInd w:w="0" w:type="dxa"/>
        <w:tblLayout w:type="fixed"/>
        <w:tblCellMar>
          <w:top w:w="0" w:type="dxa"/>
          <w:left w:w="0" w:type="dxa"/>
          <w:bottom w:w="0" w:type="dxa"/>
          <w:right w:w="0" w:type="dxa"/>
        </w:tblCellMar>
      </w:tblPr>
      <w:tblGrid>
        <w:gridCol w:w="38"/>
        <w:gridCol w:w="23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Soliciting Material Under § 240.14a-12</w:t>
            </w:r>
          </w:p>
        </w:tc>
      </w:tr>
    </w:tbl>
    <w:p>
      <w:pPr>
        <w:pStyle w:val="TextBody"/>
        <w:bidi w:val="0"/>
        <w:spacing w:before="0" w:after="283"/>
        <w:jc w:val="left"/>
        <w:rPr/>
      </w:pPr>
      <w:r>
        <w:rPr/>
        <w:t>  </w:t>
      </w:r>
    </w:p>
    <w:tbl>
      <w:tblPr>
        <w:tblW w:w="6920" w:type="dxa"/>
        <w:jc w:val="left"/>
        <w:tblInd w:w="0" w:type="dxa"/>
        <w:tblLayout w:type="fixed"/>
        <w:tblCellMar>
          <w:top w:w="0" w:type="dxa"/>
          <w:left w:w="0" w:type="dxa"/>
          <w:bottom w:w="28" w:type="dxa"/>
          <w:right w:w="0" w:type="dxa"/>
        </w:tblCellMar>
      </w:tblPr>
      <w:tblGrid>
        <w:gridCol w:w="6920"/>
      </w:tblGrid>
      <w:tr>
        <w:trPr/>
        <w:tc>
          <w:tcPr>
            <w:tcW w:w="6920" w:type="dxa"/>
            <w:tcBorders>
              <w:bottom w:val="single" w:sz="4"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SEER, INC.</w:t>
            </w:r>
          </w:p>
        </w:tc>
      </w:tr>
      <w:tr>
        <w:trPr/>
        <w:tc>
          <w:tcPr>
            <w:tcW w:w="6920" w:type="dxa"/>
            <w:tcBorders/>
            <w:tcMar>
              <w:bottom w:w="0" w:type="dxa"/>
            </w:tcMar>
            <w:vAlign w:val="center"/>
          </w:tcPr>
          <w:p>
            <w:pPr>
              <w:pStyle w:val="TableContents"/>
              <w:bidi w:val="0"/>
              <w:spacing w:before="0" w:after="283"/>
              <w:jc w:val="center"/>
              <w:rPr/>
            </w:pPr>
            <w:r>
              <w:rPr/>
              <w:t>(Name of Registrant as Specified In Its Charter)</w:t>
            </w:r>
          </w:p>
        </w:tc>
      </w:tr>
      <w:tr>
        <w:trPr/>
        <w:tc>
          <w:tcPr>
            <w:tcW w:w="6920" w:type="dxa"/>
            <w:tcBorders/>
            <w:tcMar>
              <w:bottom w:w="0" w:type="dxa"/>
            </w:tcMar>
            <w:vAlign w:val="center"/>
          </w:tcPr>
          <w:p>
            <w:pPr>
              <w:pStyle w:val="TableContents"/>
              <w:bidi w:val="0"/>
              <w:spacing w:before="0" w:after="283"/>
              <w:jc w:val="left"/>
              <w:rPr/>
            </w:pPr>
            <w:r>
              <w:rPr/>
              <w:t> </w:t>
            </w:r>
          </w:p>
        </w:tc>
      </w:tr>
      <w:tr>
        <w:trPr/>
        <w:tc>
          <w:tcPr>
            <w:tcW w:w="6920" w:type="dxa"/>
            <w:tcBorders>
              <w:bottom w:val="single" w:sz="4"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L. RADOFF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RADOFF FAMILY FOUNDATION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JEC II ASSOCIATES,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 TRUST</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 PTC,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TOROK</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H. BERMAN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S. HOROWITZ</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E. RINALDINI</w:t>
            </w:r>
          </w:p>
        </w:tc>
      </w:tr>
      <w:tr>
        <w:trPr/>
        <w:tc>
          <w:tcPr>
            <w:tcW w:w="6920" w:type="dxa"/>
            <w:tcBorders/>
            <w:tcMar>
              <w:bottom w:w="0" w:type="dxa"/>
            </w:tcMar>
            <w:vAlign w:val="center"/>
          </w:tcPr>
          <w:p>
            <w:pPr>
              <w:pStyle w:val="TableContents"/>
              <w:bidi w:val="0"/>
              <w:spacing w:before="0" w:after="283"/>
              <w:jc w:val="center"/>
              <w:rPr/>
            </w:pPr>
            <w:r>
              <w:rPr/>
              <w:t>(Name of Persons(s) Filing Proxy Statement, if other than the Registrant)</w:t>
            </w:r>
          </w:p>
        </w:tc>
      </w:tr>
    </w:tbl>
    <w:p>
      <w:pPr>
        <w:pStyle w:val="TextBody"/>
        <w:bidi w:val="0"/>
        <w:spacing w:before="0" w:after="283"/>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3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pPr>
            <w:r>
              <w:rPr/>
              <w:t>No fee required</w:t>
            </w:r>
          </w:p>
        </w:tc>
      </w:tr>
    </w:tbl>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283"/>
        <w:jc w:val="left"/>
        <w:rPr/>
      </w:pPr>
      <w:r>
        <w:rPr/>
        <w:t>  </w:t>
      </w:r>
    </w:p>
    <w:tbl>
      <w:tblPr>
        <w:tblW w:w="9933" w:type="dxa"/>
        <w:jc w:val="left"/>
        <w:tblInd w:w="0" w:type="dxa"/>
        <w:tblLayout w:type="fixed"/>
        <w:tblCellMar>
          <w:top w:w="0" w:type="dxa"/>
          <w:left w:w="0" w:type="dxa"/>
          <w:bottom w:w="0" w:type="dxa"/>
          <w:right w:w="0" w:type="dxa"/>
        </w:tblCellMar>
      </w:tblPr>
      <w:tblGrid>
        <w:gridCol w:w="38"/>
        <w:gridCol w:w="23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Bradley L. Radoff, Michael Torok and the other participants named herein (collectively, the “Radoff-JEC Group”) have filed a definitive proxy statement and accompanying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Radoff-JEC Group issued the following press release:</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Radoff-JEC Group Announces That Glass Lewis Has Joined ISS in Supporting its Case for Change at Seer,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Glass Lewis Recommends Stockholders Vote </w:t>
      </w:r>
      <w:r>
        <w:rPr>
          <w:rFonts w:ascii="Times New Roman;Times;Serif" w:hAnsi="Times New Roman;Times;Serif"/>
          <w:b w:val="false"/>
          <w:i/>
          <w:caps w:val="false"/>
          <w:smallCaps w:val="false"/>
          <w:sz w:val="20"/>
          <w:u w:val="single"/>
        </w:rPr>
        <w:t>FOR</w:t>
      </w:r>
      <w:r>
        <w:rPr>
          <w:rFonts w:ascii="Times New Roman;Times;Serif" w:hAnsi="Times New Roman;Times;Serif"/>
          <w:b w:val="false"/>
          <w:i/>
          <w:caps w:val="false"/>
          <w:smallCaps w:val="false"/>
          <w:sz w:val="20"/>
        </w:rPr>
        <w:t xml:space="preserve"> Radoff-JEC Group Nominees Howard H. Berman and Luis E. Rinaldini, </w:t>
      </w:r>
      <w:r>
        <w:rPr>
          <w:rFonts w:ascii="Times New Roman;Times;Serif" w:hAnsi="Times New Roman;Times;Serif"/>
          <w:b w:val="false"/>
          <w:i/>
          <w:caps w:val="false"/>
          <w:smallCaps w:val="false"/>
          <w:sz w:val="20"/>
          <w:u w:val="single"/>
        </w:rPr>
        <w:t>WITHHOLD</w:t>
      </w:r>
      <w:r>
        <w:rPr>
          <w:rFonts w:ascii="Times New Roman;Times;Serif" w:hAnsi="Times New Roman;Times;Serif"/>
          <w:b w:val="false"/>
          <w:i/>
          <w:caps w:val="false"/>
          <w:smallCaps w:val="false"/>
          <w:sz w:val="20"/>
        </w:rPr>
        <w:t xml:space="preserve"> Support on Seer Directors Terrance McGuire and Dipchand Nishar and Vote </w:t>
      </w:r>
      <w:r>
        <w:rPr>
          <w:rFonts w:ascii="Times New Roman;Times;Serif" w:hAnsi="Times New Roman;Times;Serif"/>
          <w:b w:val="false"/>
          <w:i/>
          <w:caps w:val="false"/>
          <w:smallCaps w:val="false"/>
          <w:sz w:val="20"/>
          <w:u w:val="single"/>
        </w:rPr>
        <w:t>AGAINST</w:t>
      </w:r>
      <w:r>
        <w:rPr>
          <w:rFonts w:ascii="Times New Roman;Times;Serif" w:hAnsi="Times New Roman;Times;Serif"/>
          <w:b w:val="false"/>
          <w:i/>
          <w:caps w:val="false"/>
          <w:smallCaps w:val="false"/>
          <w:sz w:val="20"/>
        </w:rPr>
        <w:t xml:space="preserve"> the NOL Pill</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Highlights Seer’s “Prolonged Underperformance, Continued Operating Losses and Uncertain Path to Commercial Scale”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Concludes Seer’s Board Would Benefit from the Addition of Radoff-JEC Group Nominees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Radoff-JEC Group Urges Stockholders to Vote on the </w:t>
      </w:r>
      <w:r>
        <w:rPr>
          <w:rFonts w:ascii="Times New Roman;Times;Serif" w:hAnsi="Times New Roman;Times;Serif"/>
          <w:b w:val="false"/>
          <w:i/>
          <w:caps w:val="false"/>
          <w:smallCaps w:val="false"/>
          <w:sz w:val="20"/>
          <w:u w:val="single"/>
        </w:rPr>
        <w:t>WHITE</w:t>
      </w:r>
      <w:r>
        <w:rPr>
          <w:rFonts w:ascii="Times New Roman;Times;Serif" w:hAnsi="Times New Roman;Times;Serif"/>
          <w:b w:val="false"/>
          <w:i/>
          <w:caps w:val="false"/>
          <w:smallCaps w:val="false"/>
          <w:sz w:val="20"/>
        </w:rPr>
        <w:t xml:space="preserve"> Proxy Card to Elect All Three of its Independent, Qualified Nominees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HOUSTON--(BUSINESS WIRE)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Bradley L. Radoff and Michael Torok (together with certain of their affiliates, the “Radoff-JEC Group” or “we”), who collectively own approximately 7.7% of Seer, Inc.’s (NASDAQ: SEER) (“Seer” or the “Company”) outstanding common stock, today announced that independent proxy advisory firm Glass, Lewis &amp; Co., LLC (“Glass Lewis”) has recommended that the Company’s stockholders vote on the </w:t>
      </w:r>
      <w:r>
        <w:rPr>
          <w:rFonts w:ascii="Times New Roman;Times;Serif" w:hAnsi="Times New Roman;Times;Serif"/>
          <w:b w:val="false"/>
          <w:i w:val="false"/>
          <w:caps w:val="false"/>
          <w:smallCaps w:val="false"/>
          <w:sz w:val="20"/>
          <w:u w:val="single"/>
        </w:rPr>
        <w:t>WHITE</w:t>
      </w:r>
      <w:r>
        <w:rPr>
          <w:rFonts w:ascii="Times New Roman;Times;Serif" w:hAnsi="Times New Roman;Times;Serif"/>
          <w:b w:val="false"/>
          <w:i w:val="false"/>
          <w:caps w:val="false"/>
          <w:smallCaps w:val="false"/>
          <w:sz w:val="20"/>
        </w:rPr>
        <w:t xml:space="preserve"> proxy card </w:t>
      </w:r>
      <w:r>
        <w:rPr>
          <w:rFonts w:ascii="Times New Roman;Times;Serif" w:hAnsi="Times New Roman;Times;Serif"/>
          <w:b w:val="false"/>
          <w:i w:val="false"/>
          <w:caps w:val="false"/>
          <w:smallCaps w:val="false"/>
          <w:sz w:val="20"/>
          <w:u w:val="single"/>
        </w:rPr>
        <w:t>FOR</w:t>
      </w:r>
      <w:r>
        <w:rPr>
          <w:rFonts w:ascii="Times New Roman;Times;Serif" w:hAnsi="Times New Roman;Times;Serif"/>
          <w:b w:val="false"/>
          <w:i w:val="false"/>
          <w:caps w:val="false"/>
          <w:smallCaps w:val="false"/>
          <w:sz w:val="20"/>
        </w:rPr>
        <w:t xml:space="preserve"> the election of Howard H. Berman, Ph.D. and Luis E. Rinaldini to Seer’s Board of Directors (the “Board”) and </w:t>
      </w:r>
      <w:r>
        <w:rPr>
          <w:rFonts w:ascii="Times New Roman;Times;Serif" w:hAnsi="Times New Roman;Times;Serif"/>
          <w:b w:val="false"/>
          <w:i w:val="false"/>
          <w:caps w:val="false"/>
          <w:smallCaps w:val="false"/>
          <w:sz w:val="20"/>
          <w:u w:val="single"/>
        </w:rPr>
        <w:t>WITHHOLD</w:t>
      </w:r>
      <w:r>
        <w:rPr>
          <w:rFonts w:ascii="Times New Roman;Times;Serif" w:hAnsi="Times New Roman;Times;Serif"/>
          <w:b w:val="false"/>
          <w:i w:val="false"/>
          <w:caps w:val="false"/>
          <w:smallCaps w:val="false"/>
          <w:sz w:val="20"/>
        </w:rPr>
        <w:t xml:space="preserve"> on incumbent directors Terrance McGuire and Dipchand Nishar.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Glass Lewis also recommends stockholders vote </w:t>
      </w:r>
      <w:r>
        <w:rPr>
          <w:rFonts w:ascii="Times New Roman;Times;Serif" w:hAnsi="Times New Roman;Times;Serif"/>
          <w:b w:val="false"/>
          <w:i w:val="false"/>
          <w:caps w:val="false"/>
          <w:smallCaps w:val="false"/>
          <w:sz w:val="20"/>
          <w:u w:val="single"/>
        </w:rPr>
        <w:t>AGAINST</w:t>
      </w:r>
      <w:r>
        <w:rPr>
          <w:rFonts w:ascii="Times New Roman;Times;Serif" w:hAnsi="Times New Roman;Times;Serif"/>
          <w:b w:val="false"/>
          <w:i w:val="false"/>
          <w:caps w:val="false"/>
          <w:smallCaps w:val="false"/>
          <w:sz w:val="20"/>
        </w:rPr>
        <w:t xml:space="preserve"> the ratification of the NOL pill. Glass Lewis’ recommendation follows a report published by Institutional Shareholder Services Inc., which also endorsed the Radoff-JEC Group’s case for change at Seer.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report, Glass Lewis cited Seer’s operating losses and share price underperformance since its IPO as reasons stockholders should withhold support from Messrs. McGuire and Nishar, stating:</w:t>
      </w:r>
      <w:r>
        <w:rPr>
          <w:rFonts w:ascii="Times New Roman;Times;Serif" w:hAnsi="Times New Roman;Times;Serif"/>
          <w:b w:val="false"/>
          <w:i w:val="false"/>
          <w:caps w:val="false"/>
          <w:smallCaps w:val="false"/>
          <w:position w:val="7"/>
          <w:sz w:val="16"/>
          <w:sz w:val="20"/>
        </w:rPr>
        <w:t>1</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 xml:space="preserve">[T]he Company’s </w:t>
            </w:r>
            <w:r>
              <w:rPr>
                <w:i/>
                <w:u w:val="single"/>
              </w:rPr>
              <w:t>prolonged underperformance, continued operating losses and uncertain path to commercial scale</w:t>
            </w:r>
            <w:r>
              <w:rPr>
                <w:i/>
              </w:rPr>
              <w:t xml:space="preserve"> support the conclusion that targeted board change is warranted.”</w:t>
            </w:r>
          </w:p>
        </w:tc>
      </w:tr>
    </w:tbl>
    <w:p>
      <w:pPr>
        <w:pStyle w:val="TextBody"/>
        <w:bidi w:val="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u w:val="single"/>
              </w:rPr>
              <w:t>The board has had several years to demonstrate that a standalone strategy can translate scientific progress into value for public shareholders</w:t>
            </w:r>
            <w:r>
              <w:rPr>
                <w:i/>
              </w:rPr>
              <w:t>, while the Company's recent results suggest that the weak share price performance cannot be attributed solely to broader sector conditions.”</w:t>
            </w:r>
          </w:p>
        </w:tc>
      </w:tr>
    </w:tbl>
    <w:p>
      <w:pPr>
        <w:pStyle w:val="TextBody"/>
        <w:bidi w:val="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 xml:space="preserve">[Mr. McGuire’s] lengthy tenure and committee responsibilities are significant given the Company’s severe share price decline, continued operating losses and </w:t>
            </w:r>
            <w:r>
              <w:rPr>
                <w:i/>
                <w:u w:val="single"/>
              </w:rPr>
              <w:t>questions regarding whether executive incentives and accountability have remained sufficiently aligned with shareholder outcomes</w:t>
            </w:r>
            <w:r>
              <w:rPr>
                <w:i/>
              </w:rPr>
              <w:t>.”</w:t>
            </w:r>
          </w:p>
        </w:tc>
      </w:tr>
    </w:tbl>
    <w:p>
      <w:pPr>
        <w:pStyle w:val="TextBody"/>
        <w:bidi w:val="0"/>
        <w:ind w:left="720" w:right="0" w:hanging="0"/>
        <w:jc w:val="both"/>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Permission to quote Glass Lewis was neither sought nor received.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 xml:space="preserve">[Mr. Nishar’s] committee responsibilities make him relevant to </w:t>
            </w:r>
            <w:r>
              <w:rPr>
                <w:i/>
                <w:u w:val="single"/>
              </w:rPr>
              <w:t>questions regarding board composition, succession and whether the board has refreshed its skills with sufficient urgency in response to the Company’s performance</w:t>
            </w:r>
            <w:r>
              <w:rPr>
                <w:i/>
              </w:rPr>
              <w:t>. The timing and effect of the [NOL pill], which was adopted shortly after the dissident disclosed its position and began advocating for change, add to the broader governance considerations relevant to his continued service.”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recommending stockholders vote for Radoff-JEC Group nominees Dr. Berman and Mr. Rinaldini, Glass Lewis highlighted how their skillsets would be additive to Seer’s Board:</w:t>
      </w:r>
    </w:p>
    <w:p>
      <w:pPr>
        <w:pStyle w:val="TextBody"/>
        <w:bidi w:val="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[W]ith the addition of Dr. Berman and Mr. Rinaldini, the Company would benefit from greater external biotechnology operating experience and more direct M&amp;A, capital markets and transaction expertise. These capabilities appear particularly relevant as the board assesses whether the existing standalone strategy, a modified operating plan, partnerships, asset transactions or renewed acquisition interest offers the most compelling path to value creation.”</w:t>
            </w:r>
          </w:p>
        </w:tc>
      </w:tr>
    </w:tbl>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Radoff-JEC Group issued the following statement: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Both leading independent proxy advisors have recognized that the current directors appear incapable of creating value for Seer stockholders and are recommending stockholders vote for our director candidates to strengthen objective oversight of management. At this critical moment for Seer, stockholders need to have independent, qualified directors in the boardroom to support a more credible evaluation of strategic alternatives.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the two-member Special Committee’s rejection of Chairman and CEO Omid Farokhzad, M.D.’s acquisition proposal does not magically erase our concerns about the Board’s ability to act in stockholders’ best interests – especially since Special Committee member Nicolas Roelofs, Ph.D., as Chair of the Corporate Governance and Nominating Committee, is responsible for the Board’s adoption of the NOL pill, failure to remove the supermajority vote requirement to amend Seer’s anti-stockholder governing provisions and attempted extension of the dual-class share structure to benefit Dr. Farokhzad. Further, the fact that only two directors are sufficiently independent to serve on the Special Committee reinforces the need to elect our highly qualified and independent director candidates to conduct a credible strategic review process aimed at maximizing value for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our fellow stockholders to elect all three of our nominees – Howard H. Berman, Ph.D., Joshua S. Horowitz and Luis E. Rinaldini – ahead of the Company’s July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annual meeting.”</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the Radoff-JEC Group’s Nominees – Howard H. Berman, Ph.D., Joshua S. Horowitz and Luis E. Rinaldini – Today to Support a Legitimate Strategic Review Process Aimed at Maximizing Value for </w:t>
      </w:r>
      <w:r>
        <w:rPr>
          <w:rFonts w:ascii="Times New Roman;Times;Serif" w:hAnsi="Times New Roman;Times;Serif"/>
          <w:b/>
          <w:i w:val="false"/>
          <w:caps w:val="false"/>
          <w:smallCaps w:val="false"/>
          <w:sz w:val="20"/>
          <w:u w:val="single"/>
        </w:rPr>
        <w:t>ALL</w:t>
      </w:r>
      <w:r>
        <w:rPr>
          <w:rFonts w:ascii="Times New Roman;Times;Serif" w:hAnsi="Times New Roman;Times;Serif"/>
          <w:b/>
          <w:i w:val="false"/>
          <w:caps w:val="false"/>
          <w:smallCaps w:val="false"/>
          <w:sz w:val="20"/>
        </w:rPr>
        <w:t xml:space="preserve"> Seer Stockholders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 </w:t>
      </w:r>
      <w:r>
        <w:rPr>
          <w:rFonts w:ascii="Times New Roman;Times;Serif" w:hAnsi="Times New Roman;Times;Serif"/>
          <w:b/>
          <w:i w:val="false"/>
          <w:caps w:val="false"/>
          <w:smallCaps w:val="false"/>
          <w:sz w:val="20"/>
          <w:u w:val="single"/>
        </w:rPr>
        <w:t>NOT</w:t>
      </w:r>
      <w:r>
        <w:rPr>
          <w:rFonts w:ascii="Times New Roman;Times;Serif" w:hAnsi="Times New Roman;Times;Serif"/>
          <w:b/>
          <w:i w:val="false"/>
          <w:caps w:val="false"/>
          <w:smallCaps w:val="false"/>
          <w:sz w:val="20"/>
        </w:rPr>
        <w:t xml:space="preserve"> Vote for Omid Farokhzad, M.D., Terrance McGuire or Dipchand (Deep) Nishar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Questions about how to vote?</w:t>
      </w:r>
      <w:r>
        <w:rPr>
          <w:rFonts w:ascii="Times New Roman;Times;Serif" w:hAnsi="Times New Roman;Times;Serif"/>
          <w:b w:val="false"/>
          <w:i w:val="false"/>
          <w:caps w:val="false"/>
          <w:smallCaps w:val="false"/>
          <w:sz w:val="20"/>
        </w:rPr>
        <w:t xml:space="preserve"> Contact (888) 368-0379 or info@saratogaproxy.com.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www.SaratogaProxy.com/SEER to learn more.</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Lempel</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greg@fondrenlp.com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Proxy Consulting LLC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Ferguson / Joseph Mills, 212-257-1311</w:t>
      </w:r>
    </w:p>
    <w:p>
      <w:pPr>
        <w:pStyle w:val="TextBody"/>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info@saratogaproxy.com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1066</Words>
  <Characters>6288</Characters>
  <CharactersWithSpaces>7333</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