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1726445-20240930.htm"/>
        <w:bookmarkStart w:id="1" w:name="ksck000172644520240930"/>
        <w:bookmarkEnd w:id="0"/>
        <w:bookmarkEnd w:id="1"/>
        <w:r>
          <w:rPr>
            <w:rStyle w:val="InternetLink"/>
            <w:rFonts w:ascii="Times New Roman" w:hAnsi="Times New Roman"/>
            <w:b/>
            <w:color w:val="0000FF"/>
            <w:sz w:val="20"/>
            <w:u w:val="single"/>
          </w:rPr>
          <w:t>Table of Contents</w:t>
        </w:r>
      </w:hyperlink>
    </w:p>
    <w:p>
      <w:pPr>
        <w:pStyle w:val="TextBody"/>
        <w:bidi w:val="0"/>
        <w:spacing w:before="0" w:after="180"/>
        <w:jc w:val="left"/>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0" w:after="180"/>
        <w:jc w:val="center"/>
        <w:rPr>
          <w:rFonts w:ascii="Times New Roman" w:hAnsi="Times New Roman"/>
          <w:b/>
          <w:color w:val="000000"/>
          <w:sz w:val="30"/>
        </w:rPr>
      </w:pPr>
      <w:r>
        <w:rPr>
          <w:rFonts w:ascii="Times New Roman" w:hAnsi="Times New Roman"/>
          <w:b/>
          <w:color w:val="000000"/>
          <w:sz w:val="30"/>
        </w:rPr>
        <w:t>FORM 10-Q</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(Mark one)</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[X] QUARTERLY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quarterly period ended September 30, 2024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or</w:t>
      </w:r>
    </w:p>
    <w:p>
      <w:pPr>
        <w:pStyle w:val="TextBody"/>
        <w:bidi w:val="0"/>
        <w:spacing w:before="60" w:after="283"/>
        <w:jc w:val="left"/>
        <w:rPr>
          <w:rFonts w:ascii="Times New Roman" w:hAnsi="Times New Roman"/>
          <w:sz w:val="20"/>
        </w:rPr>
      </w:pPr>
      <w:r>
        <w:rPr>
          <w:rFonts w:ascii="Times New Roman" w:hAnsi="Times New Roman"/>
          <w:b/>
          <w:color w:val="000000"/>
          <w:sz w:val="18"/>
        </w:rPr>
        <w:t>[ ]</w:t>
      </w:r>
      <w:r>
        <w:rPr>
          <w:rFonts w:ascii="Times New Roman" w:hAnsi="Times New Roman"/>
          <w:color w:val="000000"/>
          <w:sz w:val="2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transition period from _______________ to _______________</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Commission file number 001-39747</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4561"/>
        <w:gridCol w:w="146"/>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82-1153150</w:t>
            </w:r>
          </w:p>
        </w:tc>
      </w:tr>
      <w:tr>
        <w:trPr/>
        <w:tc>
          <w:tcPr>
            <w:tcW w:w="4561" w:type="dxa"/>
            <w:tcBorders/>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vAlign w:val="center"/>
          </w:tcPr>
          <w:p>
            <w:pPr>
              <w:pStyle w:val="TableContents"/>
              <w:bidi w:val="0"/>
              <w:spacing w:before="60" w:after="283"/>
              <w:jc w:val="left"/>
              <w:rPr/>
            </w:pPr>
            <w:r>
              <w:rPr/>
              <w:t> </w:t>
            </w:r>
          </w:p>
        </w:tc>
        <w:tc>
          <w:tcPr>
            <w:tcW w:w="3076" w:type="dxa"/>
            <w:tcBorders/>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3800 Bridge Parkway, Suite 102</w:t>
      </w:r>
    </w:p>
    <w:p>
      <w:pPr>
        <w:pStyle w:val="TextBody"/>
        <w:bidi w:val="0"/>
        <w:jc w:val="center"/>
        <w:rPr>
          <w:rFonts w:ascii="Times New Roman" w:hAnsi="Times New Roman"/>
          <w:sz w:val="20"/>
        </w:rPr>
      </w:pPr>
      <w:r>
        <w:rPr>
          <w:rFonts w:ascii="Times New Roman" w:hAnsi="Times New Roman"/>
          <w:b/>
          <w:color w:val="000000"/>
          <w:sz w:val="16"/>
        </w:rPr>
        <w:t>Redwood City, California</w:t>
      </w:r>
      <w:r>
        <w:rPr>
          <w:rFonts w:ascii="Times New Roman" w:hAnsi="Times New Roman"/>
          <w:color w:val="000000"/>
          <w:sz w:val="20"/>
        </w:rPr>
        <w:t xml:space="preserve"> </w:t>
      </w:r>
      <w:r>
        <w:rPr>
          <w:rFonts w:ascii="Times New Roman" w:hAnsi="Times New Roman"/>
          <w:b/>
          <w:color w:val="000000"/>
          <w:sz w:val="16"/>
        </w:rPr>
        <w:t>94065</w:t>
      </w:r>
    </w:p>
    <w:p>
      <w:pPr>
        <w:pStyle w:val="TextBody"/>
        <w:bidi w:val="0"/>
        <w:jc w:val="center"/>
        <w:rPr>
          <w:rFonts w:ascii="Times New Roman" w:hAnsi="Times New Roman"/>
          <w:b/>
          <w:color w:val="000000"/>
          <w:sz w:val="16"/>
        </w:rPr>
      </w:pPr>
      <w:r>
        <w:rPr>
          <w:rFonts w:ascii="Times New Roman" w:hAnsi="Times New Roman"/>
          <w:b/>
          <w:color w:val="000000"/>
          <w:sz w:val="16"/>
        </w:rPr>
        <w:t>650-453-0000</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i/>
          <w:color w:val="000000"/>
          <w:sz w:val="16"/>
        </w:rPr>
      </w:pPr>
      <w:r>
        <w:rPr>
          <w:rFonts w:ascii="Times New Roman" w:hAnsi="Times New Roman"/>
          <w:i/>
          <w:color w:val="000000"/>
          <w:sz w:val="16"/>
        </w:rPr>
        <w:t>Copies to:</w:t>
      </w:r>
    </w:p>
    <w:p>
      <w:pPr>
        <w:pStyle w:val="TextBody"/>
        <w:bidi w:val="0"/>
        <w:jc w:val="center"/>
        <w:rPr/>
      </w:pPr>
      <w:r>
        <w:rPr/>
        <w:t> </w:t>
      </w:r>
    </w:p>
    <w:tbl>
      <w:tblPr>
        <w:tblW w:w="7375" w:type="dxa"/>
        <w:jc w:val="left"/>
        <w:tblInd w:w="0" w:type="dxa"/>
        <w:tblLayout w:type="fixed"/>
        <w:tblCellMar>
          <w:top w:w="28" w:type="dxa"/>
          <w:left w:w="28" w:type="dxa"/>
          <w:bottom w:w="28" w:type="dxa"/>
          <w:right w:w="28" w:type="dxa"/>
        </w:tblCellMar>
      </w:tblPr>
      <w:tblGrid>
        <w:gridCol w:w="2656"/>
        <w:gridCol w:w="146"/>
        <w:gridCol w:w="1456"/>
        <w:gridCol w:w="146"/>
        <w:gridCol w:w="297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6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$0.00001</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SEER</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spacing w:before="6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As of November 4, 2024, the registrant had 54,921,591</w:t>
      </w:r>
      <w:r>
        <w:rPr>
          <w:rFonts w:ascii="Times New Roman" w:hAnsi="Times New Roman"/>
          <w:color w:val="000000"/>
          <w:sz w:val="20"/>
        </w:rPr>
        <w:t xml:space="preserve"> </w:t>
      </w:r>
      <w:r>
        <w:rPr>
          <w:rFonts w:ascii="Times New Roman" w:hAnsi="Times New Roman"/>
          <w:color w:val="000000"/>
          <w:sz w:val="16"/>
        </w:rPr>
        <w:t>shares of Class A common stock, $0.00001 par value per share, and 4,044,969</w:t>
      </w:r>
      <w:r>
        <w:rPr>
          <w:rFonts w:ascii="Times New Roman" w:hAnsi="Times New Roman"/>
          <w:color w:val="000000"/>
          <w:sz w:val="20"/>
        </w:rPr>
        <w:t xml:space="preserve"> </w:t>
      </w:r>
      <w:r>
        <w:rPr>
          <w:rFonts w:ascii="Times New Roman" w:hAnsi="Times New Roman"/>
          <w:color w:val="000000"/>
          <w:sz w:val="16"/>
        </w:rPr>
        <w:t>of Class B common stock, $0.00001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p>
      <w:pPr>
        <w:pStyle w:val="TextBody"/>
        <w:bidi w:val="0"/>
        <w:jc w:val="center"/>
        <w:rPr/>
      </w:pPr>
      <w:bookmarkStart w:id="2" w:name="toc_page"/>
      <w:bookmarkEnd w:id="2"/>
      <w:r>
        <w:rPr/>
        <w:t> </w:t>
      </w:r>
    </w:p>
    <w:tbl>
      <w:tblPr>
        <w:tblW w:w="8553" w:type="dxa"/>
        <w:jc w:val="left"/>
        <w:tblInd w:w="0" w:type="dxa"/>
        <w:tblLayout w:type="fixed"/>
        <w:tblCellMar>
          <w:top w:w="28" w:type="dxa"/>
          <w:left w:w="28" w:type="dxa"/>
          <w:bottom w:w="28" w:type="dxa"/>
          <w:right w:w="28" w:type="dxa"/>
        </w:tblCellMar>
      </w:tblPr>
      <w:tblGrid>
        <w:gridCol w:w="826"/>
        <w:gridCol w:w="7366"/>
        <w:gridCol w:w="361"/>
      </w:tblGrid>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PART I.</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statementsstockholdersequity">
              <w:r>
                <w:rPr>
                  <w:rStyle w:val="InternetLink"/>
                  <w:rFonts w:ascii="Times New Roman" w:hAnsi="Times New Roman"/>
                  <w:color w:val="0000FF"/>
                  <w:sz w:val="20"/>
                  <w:u w:val="single"/>
                </w:rPr>
                <w:t>Condensed Consolidated Statements of Changes in Stockholders’ Equity</w:t>
              </w:r>
            </w:hyperlink>
            <w:r>
              <w:rPr>
                <w:rFonts w:ascii="Times New Roman" w:hAnsi="Times New Roman"/>
                <w:color w:val="0000FF"/>
                <w:sz w:val="20"/>
              </w:rPr>
              <w:t xml:space="preserve"> </w:t>
            </w:r>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5</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Unaudited Condensed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34</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35</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35</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35</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89</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estimates of our addressable market, market growth, key performance indicators, capital requirements and our needs for additional financing;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our financial performance, including among others, revenue, cost of revenue, gross profit, operating expenses, loss from operations and net losses;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implement our commercialization strategy and attract customers, including our plans for international expansion;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implementation of our business model, strategic plans and expected pricing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the rate and degree of market acceptance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the Proteograph Product Suite on the field of proteomics and the size and growth of the addressable proteomics market;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competitive companies and technologies and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manage and grow our business;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and commercialize new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or defend claims of infringement;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performance of third-party manufacturers and suppliers;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potential effects of government regulation;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hire and retain key personnel and to manage our future growth effectively;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volatility of the trading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benefits of the PrognomiQ, Inc. transaction;</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local, regional, and national and international economic conditions and events;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macroeconomic factors, such as pandemics, inflation, supply chain interruptions and foreign hostilities, on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about market trends.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center"/>
        <w:rPr>
          <w:rFonts w:ascii="Times New Roman" w:hAnsi="Times New Roman"/>
          <w:sz w:val="20"/>
        </w:rPr>
      </w:pPr>
      <w:bookmarkStart w:id="3" w:name="part_1_financial_information"/>
      <w:bookmarkEnd w:id="3"/>
      <w:r>
        <w:rPr>
          <w:rFonts w:ascii="Times New Roman" w:hAnsi="Times New Roman"/>
          <w:b/>
          <w:color w:val="000000"/>
          <w:sz w:val="20"/>
        </w:rPr>
        <w:t>PART I</w:t>
      </w:r>
      <w:r>
        <w:rPr>
          <w:rFonts w:ascii="Times New Roman" w:hAnsi="Times New Roman"/>
          <w:color w:val="000000"/>
          <w:sz w:val="20"/>
        </w:rPr>
        <w:t>—</w:t>
      </w:r>
      <w:r>
        <w:rPr>
          <w:rFonts w:ascii="Times New Roman" w:hAnsi="Times New Roman"/>
          <w:b/>
          <w:color w:val="000000"/>
          <w:sz w:val="20"/>
        </w:rPr>
        <w:t>FINANCIAL INFORMATION</w:t>
      </w:r>
    </w:p>
    <w:p>
      <w:pPr>
        <w:pStyle w:val="TextBody"/>
        <w:bidi w:val="0"/>
        <w:spacing w:before="0" w:after="18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left"/>
        <w:rPr/>
      </w:pPr>
      <w:r>
        <w:rPr/>
        <w:t> </w:t>
      </w:r>
    </w:p>
    <w:tbl>
      <w:tblPr>
        <w:tblW w:w="9685" w:type="dxa"/>
        <w:jc w:val="left"/>
        <w:tblInd w:w="0" w:type="dxa"/>
        <w:tblLayout w:type="fixed"/>
        <w:tblCellMar>
          <w:top w:w="28" w:type="dxa"/>
          <w:left w:w="28" w:type="dxa"/>
          <w:bottom w:w="28" w:type="dxa"/>
          <w:right w:w="28" w:type="dxa"/>
        </w:tblCellMar>
      </w:tblPr>
      <w:tblGrid>
        <w:gridCol w:w="6381"/>
        <w:gridCol w:w="146"/>
        <w:gridCol w:w="228"/>
        <w:gridCol w:w="912"/>
        <w:gridCol w:w="166"/>
        <w:gridCol w:w="146"/>
        <w:gridCol w:w="219"/>
        <w:gridCol w:w="876"/>
        <w:gridCol w:w="611"/>
      </w:tblGrid>
      <w:tr>
        <w:trPr/>
        <w:tc>
          <w:tcPr>
            <w:tcW w:w="6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6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ind w:left="0" w:right="0" w:firstLine="200"/>
              <w:jc w:val="center"/>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283,725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 receivables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330,513</w:t>
            </w:r>
          </w:p>
        </w:tc>
        <w:tc>
          <w:tcPr>
            <w:tcW w:w="611" w:type="dxa"/>
            <w:tcBorders/>
            <w:shd w:fill="FFFFFF" w:val="clear"/>
            <w:vAlign w:val="center"/>
          </w:tcPr>
          <w:p>
            <w:pPr>
              <w:pStyle w:val="TableContents"/>
              <w:bidi w:val="0"/>
              <w:spacing w:before="0" w:after="283"/>
              <w:jc w:val="left"/>
              <w:rPr/>
            </w:pPr>
            <w:r>
              <w:rPr/>
              <w:t> </w:t>
            </w:r>
          </w:p>
        </w:tc>
      </w:tr>
      <w:tr>
        <w:trPr/>
        <w:tc>
          <w:tcPr>
            <w:tcW w:w="6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56,858</w:t>
            </w:r>
          </w:p>
        </w:tc>
        <w:tc>
          <w:tcPr>
            <w:tcW w:w="611" w:type="dxa"/>
            <w:tcBorders/>
            <w:shd w:fill="CFF0FC" w:val="clear"/>
            <w:vAlign w:val="center"/>
          </w:tcPr>
          <w:p>
            <w:pPr>
              <w:pStyle w:val="TableContents"/>
              <w:bidi w:val="0"/>
              <w:spacing w:before="0" w:after="283"/>
              <w:jc w:val="left"/>
              <w:rPr/>
            </w:pPr>
            <w:r>
              <w:rPr/>
              <w:t> </w:t>
            </w:r>
          </w:p>
        </w:tc>
      </w:tr>
      <w:tr>
        <w:trPr/>
        <w:tc>
          <w:tcPr>
            <w:tcW w:w="6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w:t>
            </w:r>
          </w:p>
        </w:tc>
        <w:tc>
          <w:tcPr>
            <w:tcW w:w="611" w:type="dxa"/>
            <w:tcBorders/>
            <w:shd w:fill="FFFFFF" w:val="clear"/>
            <w:vAlign w:val="center"/>
          </w:tcPr>
          <w:p>
            <w:pPr>
              <w:pStyle w:val="TableContents"/>
              <w:bidi w:val="0"/>
              <w:spacing w:before="0" w:after="283"/>
              <w:jc w:val="left"/>
              <w:rPr/>
            </w:pPr>
            <w:r>
              <w:rPr/>
              <w:t> </w:t>
            </w:r>
          </w:p>
        </w:tc>
      </w:tr>
      <w:tr>
        <w:trPr/>
        <w:tc>
          <w:tcPr>
            <w:tcW w:w="6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w:t>
            </w:r>
          </w:p>
        </w:tc>
        <w:tc>
          <w:tcPr>
            <w:tcW w:w="611" w:type="dxa"/>
            <w:tcBorders/>
            <w:shd w:fill="CFF0FC" w:val="clear"/>
            <w:vAlign w:val="center"/>
          </w:tcPr>
          <w:p>
            <w:pPr>
              <w:pStyle w:val="TableContents"/>
              <w:bidi w:val="0"/>
              <w:spacing w:before="0" w:after="283"/>
              <w:jc w:val="left"/>
              <w:rPr/>
            </w:pPr>
            <w:r>
              <w:rPr/>
              <w:t> </w:t>
            </w:r>
          </w:p>
        </w:tc>
      </w:tr>
      <w:tr>
        <w:trPr/>
        <w:tc>
          <w:tcPr>
            <w:tcW w:w="6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611" w:type="dxa"/>
            <w:tcBorders/>
            <w:shd w:fill="FFFFFF" w:val="clear"/>
            <w:vAlign w:val="center"/>
          </w:tcPr>
          <w:p>
            <w:pPr>
              <w:pStyle w:val="TableContents"/>
              <w:bidi w:val="0"/>
              <w:spacing w:before="0" w:after="283"/>
              <w:jc w:val="left"/>
              <w:rPr/>
            </w:pPr>
            <w:r>
              <w:rPr/>
              <w:t> </w:t>
            </w:r>
          </w:p>
        </w:tc>
      </w:tr>
      <w:tr>
        <w:trPr/>
        <w:tc>
          <w:tcPr>
            <w:tcW w:w="6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436,269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13,222</w:t>
            </w:r>
          </w:p>
        </w:tc>
        <w:tc>
          <w:tcPr>
            <w:tcW w:w="611" w:type="dxa"/>
            <w:tcBorders/>
            <w:shd w:fill="FFFFFF" w:val="clear"/>
            <w:vAlign w:val="center"/>
          </w:tcPr>
          <w:p>
            <w:pPr>
              <w:pStyle w:val="TableContents"/>
              <w:bidi w:val="0"/>
              <w:spacing w:before="0" w:after="283"/>
              <w:jc w:val="left"/>
              <w:rPr/>
            </w:pPr>
            <w:r>
              <w:rPr/>
              <w:t> </w:t>
            </w:r>
          </w:p>
        </w:tc>
      </w:tr>
      <w:tr>
        <w:trPr/>
        <w:tc>
          <w:tcPr>
            <w:tcW w:w="6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25,964</w:t>
            </w:r>
          </w:p>
        </w:tc>
        <w:tc>
          <w:tcPr>
            <w:tcW w:w="611" w:type="dxa"/>
            <w:tcBorders/>
            <w:shd w:fill="CFF0FC" w:val="clear"/>
            <w:vAlign w:val="center"/>
          </w:tcPr>
          <w:p>
            <w:pPr>
              <w:pStyle w:val="TableContents"/>
              <w:bidi w:val="0"/>
              <w:spacing w:before="0" w:after="283"/>
              <w:jc w:val="left"/>
              <w:rPr/>
            </w:pPr>
            <w:r>
              <w:rPr/>
              <w:t> </w:t>
            </w:r>
          </w:p>
        </w:tc>
      </w:tr>
      <w:tr>
        <w:trPr/>
        <w:tc>
          <w:tcPr>
            <w:tcW w:w="6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$0.00001 par value; 5,000,000 shares authorized as of</w:t>
              <w:br/>
              <w:t xml:space="preserve">    September 30, 2024 and December 31, 2023; zero shares issued and </w:t>
              <w:br/>
              <w:t>    outstanding as of September 30, 2024 and December 31, 2023</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 $0.00001 par value; 94,000,000 shares authorized</w:t>
              <w:br/>
              <w:t xml:space="preserve">    as of September 30, 2024 and December 31, 2023; 55,539,884 and </w:t>
              <w:br/>
              <w:t xml:space="preserve">    60,253,707 shares issued and outstanding as of September 30, 2024 and </w:t>
              <w:br/>
              <w:t>   December 31, 2023, respectively</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$0.00001 par value; 6,000,000 shares authorized</w:t>
              <w:br/>
              <w:t>   as of September 30, 2024 and December 31, 2023; 4,044,969 shares</w:t>
              <w:br/>
              <w:t>   issued and outstanding as of September 30, 2024 and December 31, 2023</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702,868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gain (loss)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436,269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6" w:name="consolidated_statements_of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0"/>
        <w:gridCol w:w="211"/>
        <w:gridCol w:w="1036"/>
        <w:gridCol w:w="166"/>
        <w:gridCol w:w="146"/>
        <w:gridCol w:w="211"/>
        <w:gridCol w:w="1036"/>
        <w:gridCol w:w="166"/>
        <w:gridCol w:w="146"/>
        <w:gridCol w:w="211"/>
        <w:gridCol w:w="1036"/>
        <w:gridCol w:w="166"/>
        <w:gridCol w:w="146"/>
        <w:gridCol w:w="211"/>
        <w:gridCol w:w="1036"/>
        <w:gridCol w:w="611"/>
      </w:tblGrid>
      <w:tr>
        <w:trPr/>
        <w:tc>
          <w:tcPr>
            <w:tcW w:w="3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ind w:left="0" w:right="0" w:firstLine="200"/>
              <w:jc w:val="center"/>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w:t>
            </w:r>
          </w:p>
        </w:tc>
        <w:tc>
          <w:tcPr>
            <w:tcW w:w="611" w:type="dxa"/>
            <w:tcBorders/>
            <w:shd w:fill="FFFFFF" w:val="cle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(81,231</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common stockholders, </w:t>
              <w:br/>
              <w:t>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common shares outstanding, </w:t>
              <w:br/>
              <w:t>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61,186,324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63,929,743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63,441,333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63,747,155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7" w:name="consolidatedstatementsstockholdersequity"/>
      <w:bookmarkEnd w:id="7"/>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0"/>
        <w:gridCol w:w="146"/>
        <w:gridCol w:w="146"/>
        <w:gridCol w:w="916"/>
        <w:gridCol w:w="166"/>
        <w:gridCol w:w="146"/>
        <w:gridCol w:w="206"/>
        <w:gridCol w:w="365"/>
        <w:gridCol w:w="146"/>
        <w:gridCol w:w="146"/>
        <w:gridCol w:w="215"/>
        <w:gridCol w:w="759"/>
        <w:gridCol w:w="166"/>
        <w:gridCol w:w="146"/>
        <w:gridCol w:w="196"/>
        <w:gridCol w:w="751"/>
        <w:gridCol w:w="166"/>
        <w:gridCol w:w="146"/>
        <w:gridCol w:w="370"/>
        <w:gridCol w:w="965"/>
        <w:gridCol w:w="166"/>
        <w:gridCol w:w="146"/>
        <w:gridCol w:w="196"/>
        <w:gridCol w:w="691"/>
        <w:gridCol w:w="413"/>
      </w:tblGrid>
      <w:tr>
        <w:trPr/>
        <w:tc>
          <w:tcPr>
            <w:tcW w:w="2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4"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23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64,298,676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702,868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396,904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Vesting of early exercised stock options and restricted</w:t>
              <w:br/>
              <w:t>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64,936,680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(326,452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383,555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(2,029,429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63,225,594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(349,302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364,699</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from exercise of options and</w:t>
              <w:br/>
              <w:t>   release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(3,710,180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(6,637</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59,584,853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344,727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44"/>
        <w:gridCol w:w="146"/>
        <w:gridCol w:w="146"/>
        <w:gridCol w:w="916"/>
        <w:gridCol w:w="166"/>
        <w:gridCol w:w="146"/>
        <w:gridCol w:w="206"/>
        <w:gridCol w:w="365"/>
        <w:gridCol w:w="146"/>
        <w:gridCol w:w="146"/>
        <w:gridCol w:w="215"/>
        <w:gridCol w:w="760"/>
        <w:gridCol w:w="146"/>
        <w:gridCol w:w="146"/>
        <w:gridCol w:w="196"/>
        <w:gridCol w:w="751"/>
        <w:gridCol w:w="166"/>
        <w:gridCol w:w="146"/>
        <w:gridCol w:w="341"/>
        <w:gridCol w:w="999"/>
        <w:gridCol w:w="166"/>
        <w:gridCol w:w="146"/>
        <w:gridCol w:w="196"/>
        <w:gridCol w:w="691"/>
        <w:gridCol w:w="413"/>
      </w:tblGrid>
      <w:tr>
        <w:trPr/>
        <w:tc>
          <w:tcPr>
            <w:tcW w:w="2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2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63,411,046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(219,496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446,993</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from exercise of options and</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Vesting of early exercised stock options and restricted</w:t>
              <w:br/>
              <w:t>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63,739,319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(243,455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432,989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from exercise of options and</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Vesting of early exercised stock options and restricted </w:t>
              <w:br/>
              <w:t>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63,929,598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(266,886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418,120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from exercise of options and</w:t>
              <w:br/>
              <w:t>   release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Repurchase of unvested Class A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Vesting of early exercised stock options and restricted </w:t>
              <w:br/>
              <w:t>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(21,088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63,976,977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405,679</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9264" w:type="dxa"/>
        <w:jc w:val="left"/>
        <w:tblInd w:w="0" w:type="dxa"/>
        <w:tblLayout w:type="fixed"/>
        <w:tblCellMar>
          <w:top w:w="28" w:type="dxa"/>
          <w:left w:w="28" w:type="dxa"/>
          <w:bottom w:w="28" w:type="dxa"/>
          <w:right w:w="28" w:type="dxa"/>
        </w:tblCellMar>
      </w:tblPr>
      <w:tblGrid>
        <w:gridCol w:w="6121"/>
        <w:gridCol w:w="146"/>
        <w:gridCol w:w="196"/>
        <w:gridCol w:w="751"/>
        <w:gridCol w:w="166"/>
        <w:gridCol w:w="146"/>
        <w:gridCol w:w="196"/>
        <w:gridCol w:w="751"/>
        <w:gridCol w:w="79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(64,857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(68,478</w:t>
            </w:r>
          </w:p>
        </w:tc>
        <w:tc>
          <w:tcPr>
            <w:tcW w:w="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1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26,810</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3,998</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1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amortization (accretion) of premium (discount) on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(8,545</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Provision for inventory excess and obsolescence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1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equity method investment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400"/>
              <w:jc w:val="right"/>
              <w:rPr/>
            </w:pPr>
            <w:r>
              <w:rPr/>
              <w:t> </w:t>
            </w:r>
          </w:p>
        </w:tc>
      </w:tr>
      <w:tr>
        <w:trPr/>
        <w:tc>
          <w:tcPr>
            <w:tcW w:w="61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61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liabilities and 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(48,875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w:t>
            </w:r>
          </w:p>
        </w:tc>
        <w:tc>
          <w:tcPr>
            <w:tcW w:w="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(209,214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(318,049</w:t>
            </w:r>
          </w:p>
        </w:tc>
        <w:tc>
          <w:tcPr>
            <w:tcW w:w="7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available-for-sale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2,990</w:t>
            </w:r>
          </w:p>
        </w:tc>
        <w:tc>
          <w:tcPr>
            <w:tcW w:w="791" w:type="dxa"/>
            <w:tcBorders/>
            <w:shd w:fill="FFFFFF" w:val="clear"/>
            <w:vAlign w:val="center"/>
          </w:tcPr>
          <w:p>
            <w:pPr>
              <w:pStyle w:val="TableContents"/>
              <w:bidi w:val="0"/>
              <w:spacing w:before="0" w:after="283"/>
              <w:jc w:val="left"/>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352,322</w:t>
            </w:r>
          </w:p>
        </w:tc>
        <w:tc>
          <w:tcPr>
            <w:tcW w:w="791" w:type="dxa"/>
            <w:tcBorders/>
            <w:shd w:fill="CFF0FC" w:val="cle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equity security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2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Class A 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7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Class A common stock options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791" w:type="dxa"/>
            <w:tcBorders/>
            <w:shd w:fill="FFFFFF" w:val="clear"/>
            <w:vAlign w:val="center"/>
          </w:tcPr>
          <w:p>
            <w:pPr>
              <w:pStyle w:val="TableContents"/>
              <w:bidi w:val="0"/>
              <w:spacing w:before="0" w:after="283"/>
              <w:jc w:val="left"/>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Class A common stock under share repurchase program</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Proceeds from issuance of Class A common stock in connection with </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2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(16,812</w:t>
            </w:r>
          </w:p>
        </w:tc>
        <w:tc>
          <w:tcPr>
            <w:tcW w:w="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stock-based compensation related to internal-use software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purchases included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Inventory transferred to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transferred to inventory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ORGANIZATION AND DESCRIPTION OF THE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September 30, 2024, the Company has incurred significant losses and has had negative cash flows from operations. As of September 30, 2024, the Company had cash and cash equivalents and short-term investments of $247.6 million and an accumulated deficit of $370.6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September 30, 2024 provide sufficient capital resources to continue its operations for at least twelve months from the issuance date of the accompanying unaudited condensed consolidated financial 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SUMMARY OF SIGNIFICANT ACCOUNTING POLICIES AND BASIS OF PRESENTATION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of America (U.S. GAAP). The unaudited condensed consolidated financial statements include the accounts of Seer, Inc. and its wholly-owned subsidiaries. All intercompany transactions and balances have been eliminated.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unaudited condensed consolidated financial statements should be read in conjunction with the audited consolidated financial statements and notes included in our Annual Report on Form 10-K for the year ended December 31, 2023, filed with the Securities and Exchange Commission on March 4, 2024.</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operating lease right-of-use assets and liabilities, useful lives and valuation of property and equipment, capitalization and useful life of capitalized internal-use software, income tax uncertainties, and tax valuation allowances.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and nine months ended September 30, 2024, the Company recognized revenue from a related party that represented 14% and 20%, respectively, of the Company’s total revenue. For the three and nine months ended September 30, 2023, the Company recognized revenue from this same related party that represented 34% and 33%, respectively, of the Company's total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and nine months ended September 30, 2024, 29% and 32%, respectively, of the Company's total revenue was generated outside of the United States, primarily from countries in Asia and Europe. For the three and nine months ended September 30, 2023, 30% and 23%, respectively, of the Company's total revenue was generated outside of the United States, from countries in Asia and Europe.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September 30, 2024, there were three customers which represented 18%, 13%, and 11% of the Company's total accounts receivable balance, including related party receivables. As of December 31, 2023, there were two customers which represented 14% and 10% of the Company's total accounts receivable balance, including related party receivables.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As of September 30, 2024 and December 31, 2023, all amounts recorded as cash and cash equivalents consist of cash, money market funds, corporate debt securities, and U.S. Treasury securities and are stated at fair value.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Restricted cash as of September 30, 2024 and December 31, 2023 represents cash held by a financial institution as security for a letter of credit issued to the lessor for one of the Company’s operating leases and is classified as noncurrent.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to the total amount presented in the unaudited condensed consolidated statements of cash flows (in thousands):</w:t>
      </w:r>
    </w:p>
    <w:p>
      <w:pPr>
        <w:pStyle w:val="TextBody"/>
        <w:bidi w:val="0"/>
        <w:jc w:val="left"/>
        <w:rPr/>
      </w:pPr>
      <w:r>
        <w:rPr/>
        <w:t> </w:t>
      </w:r>
    </w:p>
    <w:tbl>
      <w:tblPr>
        <w:tblW w:w="6877" w:type="dxa"/>
        <w:jc w:val="left"/>
        <w:tblInd w:w="0" w:type="dxa"/>
        <w:tblLayout w:type="fixed"/>
        <w:tblCellMar>
          <w:top w:w="28" w:type="dxa"/>
          <w:left w:w="28" w:type="dxa"/>
          <w:bottom w:w="28" w:type="dxa"/>
          <w:right w:w="28" w:type="dxa"/>
        </w:tblCellMar>
      </w:tblPr>
      <w:tblGrid>
        <w:gridCol w:w="3946"/>
        <w:gridCol w:w="146"/>
        <w:gridCol w:w="265"/>
        <w:gridCol w:w="849"/>
        <w:gridCol w:w="183"/>
        <w:gridCol w:w="183"/>
        <w:gridCol w:w="265"/>
        <w:gridCol w:w="849"/>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37,622</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36,396</w:t>
            </w:r>
          </w:p>
        </w:tc>
        <w:tc>
          <w:tcPr>
            <w:tcW w:w="19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designated all investments, which includes U.S. Treasury securities, U.S. Non-Treasury securities, 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unaudited condensed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September 30, 2024, the Company classifies its available-for-sale securities as short-term investments or long-term investments based on the remaining contractual maturity of the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Any unrealized losses on available-for-sale debt securities that are attributed to credit risk are recorded to the unaudited condensed consolidated statements of operations and comprehensive loss through an allowance for credit losses.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Investment in Equity Security</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Equity investments without readily determinable fair values are non-marketable equity securities. These are investments in certain equity securities of privately-held companies that do not provide the Company the ability to exercise significant influence. Such investments are accounted for under the measurement alternative in accordance with Accounting Standards Codification (ASC) 321, </w:t>
      </w:r>
      <w:r>
        <w:rPr>
          <w:rFonts w:ascii="Times New Roman" w:hAnsi="Times New Roman"/>
          <w:i/>
          <w:color w:val="000000"/>
          <w:sz w:val="20"/>
        </w:rPr>
        <w:t>Investments - Equity Securities</w:t>
      </w:r>
      <w:r>
        <w:rPr>
          <w:rFonts w:ascii="Times New Roman" w:hAnsi="Times New Roman"/>
          <w:color w:val="000000"/>
          <w:sz w:val="20"/>
        </w:rPr>
        <w:t>. Under the measurement alternative, equity investment is accounted for at cost, adjusted for impairment and changes resulting from observable price fluctuations in orderly transactions for the identical or a similar investment of the same issuer. The election is reassessed each reporting period to determine whether investment under the measurement alternative has readily determinable fair values, in which case it would no longer be eligible for this election.</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At each reporting period, the Company makes a qualitative assessment considering impairment indicators to evaluate whether the investment is impaired. If a qualitative assessment indicates the investment is impaired, the Company estimates the investment’s fair value in accordance with ASC 820, </w:t>
      </w:r>
      <w:r>
        <w:rPr>
          <w:rFonts w:ascii="Times New Roman" w:hAnsi="Times New Roman"/>
          <w:i/>
          <w:color w:val="000000"/>
          <w:sz w:val="20"/>
        </w:rPr>
        <w:t>Fair Value Measurement</w:t>
      </w:r>
      <w:r>
        <w:rPr>
          <w:rFonts w:ascii="Times New Roman" w:hAnsi="Times New Roman"/>
          <w:color w:val="000000"/>
          <w:sz w:val="20"/>
        </w:rPr>
        <w:t>. If the fair value is less than the investment’s carrying value, an impairment charge is recorded in the condensed consolidated statements of operations and comprehensive loss equal to the difference between the carrying value and fair value.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recorded a nil and $4,000 allowance for credit losses related to accounts receivable as of September 30, 2024 and December 31, 2023,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determines if an arrangement is or contains a lease at contract inception and classifies each lease as operating, sales-type or finance lease.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elected to not separate non-lease components from the associated lease components and to not recognize ROU assets and lease liabilities for leases with a term of twelve months or less. Variable lease payments are primarily related to common area maintenance and are recognized as lease costs when incurred.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generates revenue primarily from sales of products and services. The Company’s product, the Proteograph Product Suite, consists of an instrument with embedded software essential to the instrument's functionality and consumables. The service revenue primarily consists of revenue received from the generation and analysis of proteomic data on behalf of customers.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the benefit of the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The Company’s contracts with its customers generally do not include rights of return.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Grant and Other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 portion of the Company’s revenue relates to lease arrangements. Standalone lease arrangements are outside the scope of ASC 606, </w:t>
      </w:r>
      <w:r>
        <w:rPr>
          <w:rFonts w:ascii="Times New Roman" w:hAnsi="Times New Roman"/>
          <w:i/>
          <w:color w:val="000000"/>
          <w:sz w:val="20"/>
        </w:rPr>
        <w:t>Revenue From Contracts With Customers</w:t>
      </w:r>
      <w:r>
        <w:rPr>
          <w:rFonts w:ascii="Times New Roman" w:hAnsi="Times New Roman"/>
          <w:color w:val="000000"/>
          <w:sz w:val="20"/>
        </w:rPr>
        <w:t xml:space="preserve">, and are therefore accounted for in accordance with ASC 842, </w:t>
      </w:r>
      <w:r>
        <w:rPr>
          <w:rFonts w:ascii="Times New Roman" w:hAnsi="Times New Roman"/>
          <w:i/>
          <w:color w:val="000000"/>
          <w:sz w:val="20"/>
        </w:rPr>
        <w:t>Leases</w:t>
      </w:r>
      <w:r>
        <w:rPr>
          <w:rFonts w:ascii="Times New Roman" w:hAnsi="Times New Roman"/>
          <w:color w:val="000000"/>
          <w:sz w:val="20"/>
        </w:rPr>
        <w:t>. The total consideration in a lease arrangement is allocated between lease and non-lease components on their relative stand-alone selling prices. The stand-alone selling price is based on the price the Company would separately sell that promised good or service to a customer. If a stand-alone price is not available for a component, it is estimated using the best information available.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Shipping revenue is recognized when control of the product is transferred to the customer. The related shipping and handling costs are included in the cost of revenue.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Repurchases of Class A Common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May 3, 2024, the Company’s Board of Directors approved a share repurchase program (the Share Repurchase Program) under which the Company is authorized to purchase (in the aggregate) up to $25.0 million of its issued and outstanding Class A common stock. Under the Share Repurchase Program, shares may be repurchased from time to time in open market transactions at prevailing market prices (including through Rule 10b5-1 plans), privately negotiated transactions, a combination thereof, or through other transactions. The actual timing, number, manner, and value of shares repurchased under the Share Repurchase Program will depend on the market price of its common stock, trading volume, general market conditions and other corporate and economic considerations. The Share Repurchase Program does not obligate the Company to repurchase any specific number of shares and may be modified, suspended or terminated at any time.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records the share repurchase at cost based on the settlement date of the transaction. The shares repurchased are retired immediately and included in the category of authorized but unissued shares. The par value of the shares retired is charged against Class A common stock and the remaining purchase price is charged to additional paid-in capital. The total cost of the broker commissions is charged directly to additional paid-in capital.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U.S. recently enacted the Inflation Reduction Act of 2022, which, among other changes, implements a 1% excise tax on certain stock buybacks, which would generally apply to net repurchases of stock by U.S. corporations. The Company is currently evaluating the impact of the new excise tax and does not anticipate it will have a material impact on the unaudited condensed consolidated financial statements for the three and nine months ended September 30, 2024.</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w:t>
      </w:r>
      <w:r>
        <w:rPr>
          <w:rFonts w:ascii="Times New Roman" w:hAnsi="Times New Roman"/>
          <w:color w:val="000000"/>
          <w:sz w:val="18"/>
        </w:rPr>
        <w:t>(</w:t>
      </w:r>
      <w:r>
        <w:rPr>
          <w:rFonts w:ascii="Times New Roman" w:hAnsi="Times New Roman"/>
          <w:color w:val="000000"/>
          <w:sz w:val="20"/>
        </w:rPr>
        <w:t xml:space="preserve">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is intended to provide enhancements to segment disclosures, even for entities with only one reportable segment. In particular, the standard will require disclosures of significant segment expenses regularly provided to the chief operating decision maker and included within each reported measure of segment profit and loss. The standard will also require disclosure of all other segment items by reportable segment and a description of its composition. Finally, the standard will require disclosure of the title and position of the chief operating decision maker and an explanation of how the chief operating decision maker uses the reported measure(s) of segment profit or loss in assessing segment performance and deciding how to allocate resources. The standard is effective for annual periods beginning after December 15, 2023 and interim periods within annual periods beginning after December 15, 2024. Early adoption is permitted. The Company is in the process of evaluating the impact of this new guidance on its disclosures.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fiscal years beginning after December 15, 2024. The Company is in the process of evaluating the impact of this new guidance on its disclosures.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FAIR VALUE MEASUREMENTS AND FAIR VALUE OF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tables set forth the fair value of the Company’s financial assets that were measured at fair value on a recurring basis by level within the fair value hierarchy (in thousands).</w:t>
      </w:r>
    </w:p>
    <w:p>
      <w:pPr>
        <w:pStyle w:val="TextBody"/>
        <w:bidi w:val="0"/>
        <w:jc w:val="left"/>
        <w:rPr/>
      </w:pPr>
      <w:r>
        <w:rPr/>
        <w:t> </w:t>
      </w:r>
    </w:p>
    <w:tbl>
      <w:tblPr>
        <w:tblW w:w="81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5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5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5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591" w:type="dxa"/>
            <w:tcBorders/>
            <w:shd w:fill="CFF0FC" w:val="clear"/>
            <w:vAlign w:val="center"/>
          </w:tcPr>
          <w:p>
            <w:pPr>
              <w:pStyle w:val="TableContents"/>
              <w:bidi w:val="0"/>
              <w:spacing w:before="0" w:after="283"/>
              <w:jc w:val="lef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369,764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summary of the Company’s cash equivalents and investments and the gross unrealized holding gains and losses (in thousands):</w:t>
      </w:r>
    </w:p>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495"/>
        <w:gridCol w:w="885"/>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w:t>
            </w:r>
          </w:p>
        </w:tc>
        <w:tc>
          <w:tcPr>
            <w:tcW w:w="4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128,836</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24,122</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311,743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420"/>
        <w:gridCol w:w="960"/>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4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369,764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2024 and December 31, 2023, unrealized losses on available-for-sale investments are not attributable to credit risk and are considered to be temporary. As of September 30, 2024, approximately $29.5 million of the Company's investments have been in a continuous unrealized loss position for twelve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September 30, 2024, $64.9 million of available-for-sale investments had remaining maturities between one and two years. The remainder of the available-for-sale investments have a remaining maturity of one year or less. As of September 30, 2024 and December 31, 2023, the Company recorded $1.5 million and $1.3 million, respectively, of accrued interest related to its available-for-sale investments and is presented as other receivables on the unaudited condensed consolidated balance sheets.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OTHER FINANCIAL STATEMENT INFORMATION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531"/>
        <w:gridCol w:w="146"/>
        <w:gridCol w:w="307"/>
        <w:gridCol w:w="833"/>
        <w:gridCol w:w="146"/>
        <w:gridCol w:w="146"/>
        <w:gridCol w:w="294"/>
        <w:gridCol w:w="80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left"/>
        <w:rPr/>
      </w:pPr>
      <w:r>
        <w:rPr/>
        <w:t> </w:t>
      </w:r>
    </w:p>
    <w:tbl>
      <w:tblPr>
        <w:tblW w:w="7015" w:type="dxa"/>
        <w:jc w:val="left"/>
        <w:tblInd w:w="0" w:type="dxa"/>
        <w:tblLayout w:type="fixed"/>
        <w:tblCellMar>
          <w:top w:w="28" w:type="dxa"/>
          <w:left w:w="28" w:type="dxa"/>
          <w:bottom w:w="28" w:type="dxa"/>
          <w:right w:w="28" w:type="dxa"/>
        </w:tblCellMar>
      </w:tblPr>
      <w:tblGrid>
        <w:gridCol w:w="4111"/>
        <w:gridCol w:w="146"/>
        <w:gridCol w:w="254"/>
        <w:gridCol w:w="886"/>
        <w:gridCol w:w="166"/>
        <w:gridCol w:w="146"/>
        <w:gridCol w:w="244"/>
        <w:gridCol w:w="85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34,732</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nine months ended September 30, 2024, the Company recognized depreciation and amortization expense of $1.6 million and $4.6 million, respectively. For the three and nine months ended September 30, 2023, the Company recognized depreciation and amortization expense of $1.4 million and $4.0 million,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5385" w:type="dxa"/>
        <w:jc w:val="left"/>
        <w:tblInd w:w="0" w:type="dxa"/>
        <w:tblLayout w:type="fixed"/>
        <w:tblCellMar>
          <w:top w:w="28" w:type="dxa"/>
          <w:left w:w="28" w:type="dxa"/>
          <w:bottom w:w="28" w:type="dxa"/>
          <w:right w:w="28" w:type="dxa"/>
        </w:tblCellMar>
      </w:tblPr>
      <w:tblGrid>
        <w:gridCol w:w="2521"/>
        <w:gridCol w:w="146"/>
        <w:gridCol w:w="271"/>
        <w:gridCol w:w="869"/>
        <w:gridCol w:w="146"/>
        <w:gridCol w:w="146"/>
        <w:gridCol w:w="294"/>
        <w:gridCol w:w="80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REVENUE AND DEFERRED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Product revenue consists of instruments with embedded software essential to the instrument's functionality and consumables. Service revenue primarily consists of revenue received from the generation and analysis of proteomic data on behalf of the customer. Related party revenue is comprised of both the sale of products and services performed for related parties, as further discussed in Note 10. Grant and other revenue consists of grant revenue from services performed specifically for the reimbursement of research-related expenses and other revenue which relates to shipping revenue and lease arrangements, as further discussed below.</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Deferred revenue activities consist of the following (in thousands):</w:t>
      </w:r>
    </w:p>
    <w:p>
      <w:pPr>
        <w:pStyle w:val="TextBody"/>
        <w:bidi w:val="0"/>
        <w:jc w:val="left"/>
        <w:rPr/>
      </w:pPr>
      <w:r>
        <w:rPr/>
        <w:t> </w:t>
      </w:r>
    </w:p>
    <w:tbl>
      <w:tblPr>
        <w:tblW w:w="8816" w:type="dxa"/>
        <w:jc w:val="left"/>
        <w:tblInd w:w="0" w:type="dxa"/>
        <w:tblLayout w:type="fixed"/>
        <w:tblCellMar>
          <w:top w:w="28" w:type="dxa"/>
          <w:left w:w="28" w:type="dxa"/>
          <w:bottom w:w="28" w:type="dxa"/>
          <w:right w:w="28" w:type="dxa"/>
        </w:tblCellMar>
      </w:tblPr>
      <w:tblGrid>
        <w:gridCol w:w="5866"/>
        <w:gridCol w:w="146"/>
        <w:gridCol w:w="322"/>
        <w:gridCol w:w="736"/>
        <w:gridCol w:w="254"/>
        <w:gridCol w:w="223"/>
        <w:gridCol w:w="322"/>
        <w:gridCol w:w="736"/>
        <w:gridCol w:w="2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beginning of period</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1" w:type="dxa"/>
            <w:tcBorders/>
            <w:shd w:fill="CFF0FC" w:val="clear"/>
            <w:vAlign w:val="center"/>
          </w:tcPr>
          <w:p>
            <w:pPr>
              <w:pStyle w:val="TableContents"/>
              <w:bidi w:val="0"/>
              <w:spacing w:before="0" w:after="283"/>
              <w:jc w:val="left"/>
              <w:rPr/>
            </w:pPr>
            <w:r>
              <w:rPr/>
              <w:t> </w:t>
            </w:r>
          </w:p>
        </w:tc>
      </w:tr>
      <w:tr>
        <w:trPr/>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11" w:type="dxa"/>
            <w:tcBorders/>
            <w:shd w:fill="FFFFFF" w:val="clear"/>
            <w:vAlign w:val="center"/>
          </w:tcPr>
          <w:p>
            <w:pPr>
              <w:pStyle w:val="TableContents"/>
              <w:bidi w:val="0"/>
              <w:spacing w:before="0" w:after="283"/>
              <w:jc w:val="left"/>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end of period</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 price allocated to remaining performance obligations represents contracted revenue that has not yet been recognized, which includes deferred revenue and non-cancelable amounts that will be invoiced and recognized as revenue in future periods. As of September 30, 2024, $0.4 million of revenue is expected to be recognized from the remaining performance obligations, of which 94% is expected to be recognized within twelve months.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Grant and Other Revenue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Since August 2019, the Company received total funding of $2.0 million from a Small Business Innovation Research grant award from the National Institutes of Health for its development of research applications. For each of the three and nine months ended September 30, 2024, the Company recognized no grant revenue, with respect to the award. For the three and nine months ended September 30, 2023, the Company recognized $0.2 million and $0.9 million of grant revenue, respectively, with respect to the award.</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6. CAPITAL STOCK AND STOCKHOLDERS’ EQUITY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September 30, 2024, the Company is authorized to issue 105,000,000 shares of capital stock consisting of 94,000,000 shares of Class A common stock, 6,000,000 shares of Class B common stock, and 5,000,000 shares of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will also automatically convert into Class A common stock on December 8, 2025. Holders of common stock are entitled to dividends as declared by the Board of Directors, subject to rights of holders of all classes of stock outstanding having priority rights as to dividends. There have been no dividends declared to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Common stock issued and outstanding on the condensed consolidated balance sheets and condensed consolidated statements of changes in stockholders' equity includes shares related to early exercised options and restricted stock that are subject to repurchase.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share repurchase activity under the Share Repurchase Program for the period indicated (in thousands except per share data):</w:t>
      </w:r>
    </w:p>
    <w:tbl>
      <w:tblPr>
        <w:tblW w:w="9255" w:type="dxa"/>
        <w:jc w:val="left"/>
        <w:tblInd w:w="0" w:type="dxa"/>
        <w:tblLayout w:type="fixed"/>
        <w:tblCellMar>
          <w:top w:w="28" w:type="dxa"/>
          <w:left w:w="28" w:type="dxa"/>
          <w:bottom w:w="28" w:type="dxa"/>
          <w:right w:w="28" w:type="dxa"/>
        </w:tblCellMar>
      </w:tblPr>
      <w:tblGrid>
        <w:gridCol w:w="2536"/>
        <w:gridCol w:w="146"/>
        <w:gridCol w:w="571"/>
        <w:gridCol w:w="2519"/>
        <w:gridCol w:w="146"/>
        <w:gridCol w:w="146"/>
        <w:gridCol w:w="554"/>
        <w:gridCol w:w="244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left"/>
              <w:rPr/>
            </w:pPr>
            <w:r>
              <w:rPr/>
              <w:t> </w:t>
            </w:r>
          </w:p>
        </w:tc>
        <w:tc>
          <w:tcPr>
            <w:tcW w:w="25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5,739,609</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per share cost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2024, approximately $14.7 million of Class A common stock could be repurchased under the Share Repurchase Program.</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2024, there are 17,785,881 shares of Class A common stock reserved for issuance under the 2020 Equity Incentive Plan (the 2020 Plan), 3,682,324 shares of which are available for issuance in connection with grants of future awards.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Stock option activity for the nine months ended September 30, 2024 is as follows:</w:t>
      </w:r>
    </w:p>
    <w:p>
      <w:pPr>
        <w:pStyle w:val="TextBody"/>
        <w:bidi w:val="0"/>
        <w:jc w:val="left"/>
        <w:rPr/>
      </w:pPr>
      <w:r>
        <w:rPr/>
        <w:t> </w:t>
      </w:r>
    </w:p>
    <w:tbl>
      <w:tblPr>
        <w:tblW w:w="8495" w:type="dxa"/>
        <w:jc w:val="left"/>
        <w:tblInd w:w="0" w:type="dxa"/>
        <w:tblLayout w:type="fixed"/>
        <w:tblCellMar>
          <w:top w:w="28" w:type="dxa"/>
          <w:left w:w="28" w:type="dxa"/>
          <w:bottom w:w="28" w:type="dxa"/>
          <w:right w:w="28" w:type="dxa"/>
        </w:tblCellMar>
      </w:tblPr>
      <w:tblGrid>
        <w:gridCol w:w="3691"/>
        <w:gridCol w:w="146"/>
        <w:gridCol w:w="200"/>
        <w:gridCol w:w="1420"/>
        <w:gridCol w:w="166"/>
        <w:gridCol w:w="146"/>
        <w:gridCol w:w="682"/>
        <w:gridCol w:w="1853"/>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11,945,032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3,513,857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left"/>
              <w:rPr/>
            </w:pPr>
            <w:r>
              <w:rPr/>
              <w:t> </w:t>
            </w:r>
          </w:p>
        </w:tc>
        <w:tc>
          <w:tcPr>
            <w:tcW w:w="185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September 30, 2024</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Market Condition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2024, the Company granted options to purchase an aggregate of 1,896,901 shares of the Company’s Class A common stock to certain Company executives, with vesting subject to market conditions (Market Condition Options). The granted options are further divided into 1,032,901 shares granted to the Chief Executive Officer (the CEO Award) and 864,000 shares of executive awards. The Market Condition Options become eligible to vest if the average of the closing sales prices of a share of Class A common stock over a trailing twenty trading day period within seven years from the date of grant reaches a stock price of $5.31 per share (the Market Price Milestone) for the CEO Award and $3.54 per share (a Market Price Milestone) for the executive awards,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2023, the Company granted Market Condition Options to purchase an aggregate of 1,794,000 shares of the Company’s Class A common stock to certain executive officers, with vesting subject to market conditions. These Market Condition Options become eligible to vest if the average of the closing sales prices of a share of Class A common stock over a trailing twenty trading day period within seven years from the date of grant reaches a stock price of $6.89 per share (also a Market Price Milestone).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Under each of the above Market Condition Options,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Compensation expense is recognized using an accelerated attribution method based on the derived service periods for each of the Market Condition Options. Failure to meet the Market Price Milestone for an award does not result in reversal of previously recognized expense, so long as the service is provided for the duration of the respective derived service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assumptions were used to determine the grant date fair value of $1.16 to $1.27 and $2.80 to $3.02 for the 2024 and 2023 Market Condition Options, respectively:</w:t>
      </w:r>
    </w:p>
    <w:tbl>
      <w:tblPr>
        <w:tblW w:w="4574" w:type="dxa"/>
        <w:jc w:val="left"/>
        <w:tblInd w:w="0" w:type="dxa"/>
        <w:tblLayout w:type="fixed"/>
        <w:tblCellMar>
          <w:top w:w="28" w:type="dxa"/>
          <w:left w:w="28" w:type="dxa"/>
          <w:bottom w:w="28" w:type="dxa"/>
          <w:right w:w="28" w:type="dxa"/>
        </w:tblCellMar>
      </w:tblPr>
      <w:tblGrid>
        <w:gridCol w:w="2131"/>
        <w:gridCol w:w="146"/>
        <w:gridCol w:w="211"/>
        <w:gridCol w:w="571"/>
        <w:gridCol w:w="271"/>
        <w:gridCol w:w="146"/>
        <w:gridCol w:w="211"/>
        <w:gridCol w:w="57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2024 and 2023 Market Condition Options, the grant date fair value approximates $2.3 million and $5.2 million, respectively, and was determined using a lattice-binomial option-pricing model based on a Monte Carlo simulation.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three and nine months ended September 30, 2024, the Company recognized compensation expense of $0.3 million and $1.4 million, respectively. For the three and nine months ended September 30, 2023, the Company recognized compensation expense of $0.7 million and $2.1 million, respectively.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rFonts w:ascii="Times New Roman" w:hAnsi="Times New Roman"/>
          <w:color w:val="000000"/>
          <w:sz w:val="20"/>
        </w:rPr>
      </w:pPr>
      <w:r>
        <w:rPr>
          <w:rFonts w:ascii="Times New Roman" w:hAnsi="Times New Roman"/>
          <w:color w:val="000000"/>
          <w:sz w:val="20"/>
        </w:rPr>
        <w:t>Restricted stock unit activity for the nine months ended September 30, 2024 is as follows:</w:t>
      </w:r>
    </w:p>
    <w:p>
      <w:pPr>
        <w:pStyle w:val="TextBody"/>
        <w:bidi w:val="0"/>
        <w:jc w:val="left"/>
        <w:rPr/>
      </w:pPr>
      <w:r>
        <w:rPr/>
        <w:t> </w:t>
      </w:r>
    </w:p>
    <w:tbl>
      <w:tblPr>
        <w:tblW w:w="6215" w:type="dxa"/>
        <w:jc w:val="left"/>
        <w:tblInd w:w="0" w:type="dxa"/>
        <w:tblLayout w:type="fixed"/>
        <w:tblCellMar>
          <w:top w:w="28" w:type="dxa"/>
          <w:left w:w="28" w:type="dxa"/>
          <w:bottom w:w="28" w:type="dxa"/>
          <w:right w:w="28" w:type="dxa"/>
        </w:tblCellMar>
      </w:tblPr>
      <w:tblGrid>
        <w:gridCol w:w="2641"/>
        <w:gridCol w:w="146"/>
        <w:gridCol w:w="191"/>
        <w:gridCol w:w="1219"/>
        <w:gridCol w:w="166"/>
        <w:gridCol w:w="146"/>
        <w:gridCol w:w="472"/>
        <w:gridCol w:w="1043"/>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 xml:space="preserve">Grant 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total of 2,355,024 shares of Class A common stock are reserved for issuance under the employee stock purchase plan (ESPP) as of September 30, 2024. During the nine months ended September 30, 2024, 117,399 shares of Class A common stock were issued under the ESPP.</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components of stock-based compensation recognized in the Company’s unaudited condensed consolidated statements of operations and comprehensive loss (in thousands):</w:t>
      </w:r>
    </w:p>
    <w:p>
      <w:pPr>
        <w:pStyle w:val="TextBody"/>
        <w:bidi w:val="0"/>
        <w:jc w:val="left"/>
        <w:rPr/>
      </w:pPr>
      <w:r>
        <w:rPr/>
        <w:t> </w:t>
      </w:r>
    </w:p>
    <w:tbl>
      <w:tblPr>
        <w:tblW w:w="8863" w:type="dxa"/>
        <w:jc w:val="left"/>
        <w:tblInd w:w="0" w:type="dxa"/>
        <w:tblLayout w:type="fixed"/>
        <w:tblCellMar>
          <w:top w:w="28" w:type="dxa"/>
          <w:left w:w="28" w:type="dxa"/>
          <w:bottom w:w="28" w:type="dxa"/>
          <w:right w:w="28" w:type="dxa"/>
        </w:tblCellMar>
      </w:tblPr>
      <w:tblGrid>
        <w:gridCol w:w="2956"/>
        <w:gridCol w:w="146"/>
        <w:gridCol w:w="305"/>
        <w:gridCol w:w="826"/>
        <w:gridCol w:w="211"/>
        <w:gridCol w:w="211"/>
        <w:gridCol w:w="305"/>
        <w:gridCol w:w="826"/>
        <w:gridCol w:w="146"/>
        <w:gridCol w:w="146"/>
        <w:gridCol w:w="265"/>
        <w:gridCol w:w="849"/>
        <w:gridCol w:w="183"/>
        <w:gridCol w:w="183"/>
        <w:gridCol w:w="265"/>
        <w:gridCol w:w="849"/>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June 21, 2022, the Company’s Board of Directors approved an option repricing to reduce the exercise price of certain vested, outstanding, and unexercised stock options with an exercise price greater than $19.00 per share, each of which was granted under the 2020 Plan, that were held by employees who were not members of the Board of Directors or officers for purposes of Section 16 of the Securities Exchange Act of 1934, as amended (the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recorded $0.1 million and $0.4 million of incremental compensation expense during the three and nine months ended September 30, 2024, respectively. The Company recorded $0.2 million and $0.5 million of incremental compensation expense during the three and nine months ended September 30, 2023, respectively. The total unrecognized incremental stock-based compensation associated with the option repricing is $0.7 million, which will be recognized over the next two years.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each of September 30, 2024 and December 31, 2023, which is secured by restricted cash and is presented as noncurrent at each date based on the term of the underlying lease. In addition, the Company leases approximately 6,000 square feet of office space in San Diego, California under a lease that runs through September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components of lease expense and supplemental information were as follows (in thousands):</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1876"/>
        <w:gridCol w:w="146"/>
        <w:gridCol w:w="305"/>
        <w:gridCol w:w="826"/>
        <w:gridCol w:w="211"/>
        <w:gridCol w:w="211"/>
        <w:gridCol w:w="305"/>
        <w:gridCol w:w="826"/>
        <w:gridCol w:w="146"/>
        <w:gridCol w:w="146"/>
        <w:gridCol w:w="295"/>
        <w:gridCol w:w="798"/>
        <w:gridCol w:w="204"/>
        <w:gridCol w:w="204"/>
        <w:gridCol w:w="295"/>
        <w:gridCol w:w="798"/>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79" w:type="dxa"/>
        <w:jc w:val="left"/>
        <w:tblInd w:w="0" w:type="dxa"/>
        <w:tblLayout w:type="fixed"/>
        <w:tblCellMar>
          <w:top w:w="28" w:type="dxa"/>
          <w:left w:w="28" w:type="dxa"/>
          <w:bottom w:w="28" w:type="dxa"/>
          <w:right w:w="28" w:type="dxa"/>
        </w:tblCellMar>
      </w:tblPr>
      <w:tblGrid>
        <w:gridCol w:w="4126"/>
        <w:gridCol w:w="146"/>
        <w:gridCol w:w="264"/>
        <w:gridCol w:w="654"/>
        <w:gridCol w:w="491"/>
        <w:gridCol w:w="264"/>
        <w:gridCol w:w="264"/>
        <w:gridCol w:w="654"/>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91"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4"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Variable lease costs primarily consist of common area maintenance.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tbl>
      <w:tblPr>
        <w:tblW w:w="8737" w:type="dxa"/>
        <w:jc w:val="left"/>
        <w:tblInd w:w="0" w:type="dxa"/>
        <w:tblLayout w:type="fixed"/>
        <w:tblCellMar>
          <w:top w:w="28" w:type="dxa"/>
          <w:left w:w="28" w:type="dxa"/>
          <w:bottom w:w="28" w:type="dxa"/>
          <w:right w:w="28" w:type="dxa"/>
        </w:tblCellMar>
      </w:tblPr>
      <w:tblGrid>
        <w:gridCol w:w="5806"/>
        <w:gridCol w:w="146"/>
        <w:gridCol w:w="295"/>
        <w:gridCol w:w="798"/>
        <w:gridCol w:w="204"/>
        <w:gridCol w:w="204"/>
        <w:gridCol w:w="295"/>
        <w:gridCol w:w="798"/>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9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obtained in exchange for right-of-use assets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vAlign w:val="center"/>
          </w:tcPr>
          <w:p>
            <w:pPr>
              <w:pStyle w:val="TableContents"/>
              <w:bidi w:val="0"/>
              <w:spacing w:before="0" w:after="283"/>
              <w:jc w:val="right"/>
              <w:rPr>
                <w:color w:val="000000"/>
              </w:rPr>
            </w:pPr>
            <w:r>
              <w:rPr>
                <w:color w:val="000000"/>
              </w:rPr>
              <w:t>—</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2024, future minimum commitments under the Company’s non-cancelable facility operating leases are as follows (in thousands):</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4831"/>
        <w:gridCol w:w="146"/>
        <w:gridCol w:w="211"/>
        <w:gridCol w:w="676"/>
        <w:gridCol w:w="31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three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31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w:t>
            </w:r>
          </w:p>
        </w:tc>
        <w:tc>
          <w:tcPr>
            <w:tcW w:w="31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33,881</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adjustment for minimum lease commitments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lessor, the Company has contracts for equipment leased to customers. The Company accounts for the non-lease component under the revenue recognition ASC 606 guidance and the lease component under ASC 842 guidance.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 For an arrangement that has been classified as an operating lease, revenue is recognized on a straight-line basis over the lease term.</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Purchase Commitments and Obligations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has certain purchase commitments related to its inventory management with certain manufacturing suppliers wherein the Company is required to purchase the amounts forecasted in a blanket purchase order within a certain time period. The Company also has certain contractual obligations for third-party technology used as part of the normal operations.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$0.8 million and $6.3 million as of September 30, 2024 and December 31, 2023,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September 30, 2024 and December 31, 2023, the Company does not have any material indemnification claims that were probable or reasonably possible and consequently has not recorded related liabilities.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may, from time to time, be involved in legal proceedings arising in the ordinary course of business. As of September 30, 2024, the Company had accrued legal contingencies of $1.3 million, recorded within accrued expenses in the unaudited condensed consolidated balance sheets. While there can be no assurances as to the ultimate outcome of any litigation involving the Company, management does not believe any pending legal proceedings will result in a judgment or settlement that will have a material adverse effect on the Company’s financial position, results of operations or cash flows.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concluded that PrognomiQ is a variable interest entities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PrognomiQ constitutes a related party and, as of each of September 30, 2024 and December 31, 2023, the Company recorded $0.6 million in related party receivables, on the condensed consolidated balance sheets mainly due from product sales and services revenue. For the three and nine months ended September 30, 2024, the Company recognized revenue of $0.5 million and $2.0 million, respectively, of which $0.4 million and $1.6 million, respectively, were from product sales. This is presented as related party revenue on the unaudited condensed consolidated statements of operations and comprehensive loss. For the three and nine months ended September 30, 2023, the Company recognized revenue of $1.4 million and $4.1 million, respectively, which is presented as related party revenue on the unaudited condensed consolidated statements of operations and comprehensive loss and is mainly due to sale of consumables.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August 12, 2024, the Company entered into a preferred stock purchase agreement with PrognomiQ, pursuant to which the Company purchased $10.0 million of PrognomiQ's Series D Preferred Stock. The investment is accounted for as an equity security in accordance with ASC 321.</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September 30, 2024, the carrying value of the investment was $9.1 million and is included in other assets on the unaudited condensed consolidated balance sheets. The carrying value is adjusted to the Company's share in loss in the equity method investment. There were no impairment and recognized gains or losses to the carrying value for the three and nine months ended September 30, 2024.</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2022, a member of the Company’s Board of Directors served as a board member and an executive officer at a company that is a customer of the Company. There was no revenue recognized for each of the three and nine months ended September 30, 2024 and 2023. The Company has a contract for equipment leased to this customer that has been classified as a sales-type lease. As of September 30, 2024 and December 31, 2023, the lease receivables related to the sales-type lease is nil and $0.2 million, respectively. The lease receivables are presented as prepaid expenses and other current assets on the condensed consolidated balance sheets.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shows the computation of basic and diluted net loss per share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Weighted-average common shares used in computing </w:t>
              <w:br/>
              <w:t xml:space="preserve">     net loss per share attributable to common </w:t>
              <w:br/>
              <w:t>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61,186,324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63,929,743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63,441,333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63,747,155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common stockholders, </w:t>
              <w:br/>
              <w:t>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539" w:type="dxa"/>
        <w:jc w:val="left"/>
        <w:tblInd w:w="0" w:type="dxa"/>
        <w:tblLayout w:type="fixed"/>
        <w:tblCellMar>
          <w:top w:w="28" w:type="dxa"/>
          <w:left w:w="28" w:type="dxa"/>
          <w:bottom w:w="28" w:type="dxa"/>
          <w:right w:w="28" w:type="dxa"/>
        </w:tblCellMar>
      </w:tblPr>
      <w:tblGrid>
        <w:gridCol w:w="4546"/>
        <w:gridCol w:w="146"/>
        <w:gridCol w:w="146"/>
        <w:gridCol w:w="1036"/>
        <w:gridCol w:w="146"/>
        <w:gridCol w:w="146"/>
        <w:gridCol w:w="146"/>
        <w:gridCol w:w="1036"/>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13,811,855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12,622,040</w:t>
            </w:r>
          </w:p>
        </w:tc>
        <w:tc>
          <w:tcPr>
            <w:tcW w:w="191" w:type="dxa"/>
            <w:tcBorders/>
            <w:shd w:fill="CFF0FC"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common stock subject to future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36,581</w:t>
            </w:r>
          </w:p>
        </w:tc>
        <w:tc>
          <w:tcPr>
            <w:tcW w:w="191" w:type="dxa"/>
            <w:tcBorders/>
            <w:shd w:fill="FFFFFF" w:val="clear"/>
            <w:vAlign w:val="center"/>
          </w:tcPr>
          <w:p>
            <w:pPr>
              <w:pStyle w:val="TableContents"/>
              <w:bidi w:val="0"/>
              <w:spacing w:before="0" w:after="283"/>
              <w:jc w:val="left"/>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3,322,169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15,980,790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October 4, 2024 (the Effective Date), the Board of Directors approved an option repricing. The repricing applied to nonstatutory stock options to purchase shares of the Company’s Class A common stock that (i) were granted to employees under the Company’s 2020 Equity Incentive Plan, as amended (the 2020 Plan), or the Company’s 2017 Stock Incentive Plan (together with the 2020 Plan, the Plans) and applicable award agreements thereunder; (ii) as of the Effective Date, were held by continuing employees; and (iii) had an exercise price per share greater than $2.00.</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new exercise price for repriced options is $2.00 per share, the closing price of the Company’s Class A common stock on the Effective Date. However, if an employee exercises a repriced option before the end of the Retention Period, the period that begins on the Effective Date and ends on the earliest of the following: (i) April 4, 2026; (ii) a Change in Control (as defined in the 2020 Plan); and (iii) the optionholder’s death or Disability (as defined in the 2020 Plan), such employee will be required to pay a premium exercise price that is equal to the original exercise price per share of such repriced option. In addition, certain option awards granted in 2023 with market condition based on the Company’s stock price were amended to have such stock price hurdle amount that is equal to or greater than one hundred fifty percent (150%) of $2.00 per share. There was no change to the expiration dates or service-based vesting criteria of, or number of shares and such options remain subject to the terms of the applicable Plans and award agreements.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sz w:val="20"/>
        </w:rPr>
      </w:pPr>
      <w:bookmarkStart w:id="9" w:name="item_2_mda"/>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included elsewhere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generate product and service revenue sufficient to achieve profitability, if ever, will depend on the successful commercialization of the Proteograph Product Suite and related products and services.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 We are focused on removing barriers to access to the Proteograph, including through our service offering.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expires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nine months ended September 30, 2024 and 2023, we incurred a net loss of $64.9 million and $68.5 million and used $34.7 million and $48.9 million of cash in operations, respectively. As of September 30, 2024, we had an accumulated deficit of $370.6 million, and cash, cash equivalents, and investments of $312.5 million. We expect to continue to incur significant losses and do not expect positive cash flows from operations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expenses may increase in connection with our ongoing activities, as we: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broadly commercialize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build our sales, marketing, service, support and distribution infrastructure as part of our commercialization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build-out and expand our in-house NP manufacturing capabilities;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engage in research and development of other products and enhancements to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 maintain, expand, and protect our intellectual property portfolio;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 the infrastructure to operate and scale as a public company.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Our grant and other revenue consists of research-related grants, lease arrangements, and shipping revenue. Our revenue is primarily generated domestically. We intend to focus our commercial efforts in the United States and expect to grow our international presence.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utilize third-party manufacturers for production of our SP100 instrument and we manufacture our NPs and assemble our assay kits internally. Cost of revenue consists primarily of costs of the components of the Proteograph Product Suite, including the SP100 instrument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allocated overhead, including depreciation, and charges related to inventory reserves.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income (expense) consists primarily of interest income earned on cash, cash equivalents and investments, asset disposals, realized and unrealized gains and losses on foreign currency transactions, and loss in the equity method investment.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Comparisons of the Three Months Ended September 30, 2024 and 2023</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854" w:type="dxa"/>
        <w:jc w:val="left"/>
        <w:tblInd w:w="0" w:type="dxa"/>
        <w:tblLayout w:type="fixed"/>
        <w:tblCellMar>
          <w:top w:w="28" w:type="dxa"/>
          <w:left w:w="28" w:type="dxa"/>
          <w:bottom w:w="28" w:type="dxa"/>
          <w:right w:w="28" w:type="dxa"/>
        </w:tblCellMar>
      </w:tblPr>
      <w:tblGrid>
        <w:gridCol w:w="3156"/>
        <w:gridCol w:w="146"/>
        <w:gridCol w:w="252"/>
        <w:gridCol w:w="881"/>
        <w:gridCol w:w="198"/>
        <w:gridCol w:w="174"/>
        <w:gridCol w:w="252"/>
        <w:gridCol w:w="881"/>
        <w:gridCol w:w="166"/>
        <w:gridCol w:w="146"/>
        <w:gridCol w:w="211"/>
        <w:gridCol w:w="631"/>
        <w:gridCol w:w="166"/>
        <w:gridCol w:w="146"/>
        <w:gridCol w:w="146"/>
        <w:gridCol w:w="526"/>
        <w:gridCol w:w="77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76"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76" w:type="dxa"/>
            <w:tcBorders/>
            <w:shd w:fill="FFFFFF" w:val="clear"/>
            <w:vAlign w:val="center"/>
          </w:tcPr>
          <w:p>
            <w:pPr>
              <w:pStyle w:val="TableContents"/>
              <w:bidi w:val="0"/>
              <w:spacing w:before="0" w:after="283"/>
              <w:jc w:val="center"/>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12,967</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(24,325</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841"/>
        <w:gridCol w:w="146"/>
        <w:gridCol w:w="300"/>
        <w:gridCol w:w="812"/>
        <w:gridCol w:w="207"/>
        <w:gridCol w:w="207"/>
        <w:gridCol w:w="300"/>
        <w:gridCol w:w="812"/>
        <w:gridCol w:w="146"/>
        <w:gridCol w:w="146"/>
        <w:gridCol w:w="211"/>
        <w:gridCol w:w="481"/>
        <w:gridCol w:w="166"/>
        <w:gridCol w:w="146"/>
        <w:gridCol w:w="146"/>
        <w:gridCol w:w="271"/>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51"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for the three months ended September 30, 2024, decreased by $0.1 million, or 3%, compared to the three months ended September 30, 2023. The decrease was primarily due to no grant revenue being recognized during the period. The decrease was partially offset by an increase in instrument sales and service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6128" w:type="dxa"/>
        <w:jc w:val="left"/>
        <w:tblInd w:w="0" w:type="dxa"/>
        <w:tblLayout w:type="fixed"/>
        <w:tblCellMar>
          <w:top w:w="28" w:type="dxa"/>
          <w:left w:w="28" w:type="dxa"/>
          <w:bottom w:w="28" w:type="dxa"/>
          <w:right w:w="28" w:type="dxa"/>
        </w:tblCellMar>
      </w:tblPr>
      <w:tblGrid>
        <w:gridCol w:w="1396"/>
        <w:gridCol w:w="146"/>
        <w:gridCol w:w="300"/>
        <w:gridCol w:w="812"/>
        <w:gridCol w:w="207"/>
        <w:gridCol w:w="207"/>
        <w:gridCol w:w="300"/>
        <w:gridCol w:w="812"/>
        <w:gridCol w:w="146"/>
        <w:gridCol w:w="146"/>
        <w:gridCol w:w="276"/>
        <w:gridCol w:w="415"/>
        <w:gridCol w:w="146"/>
        <w:gridCol w:w="146"/>
        <w:gridCol w:w="146"/>
        <w:gridCol w:w="211"/>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70"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Cost of revenue for the three months ended September 30, 2024, increased by $0.1 million, or 4%, compared to the three months ended September 30, 2023. The increase was primarily due to an increase from higher instrument sales, which have a higher cost of revenue.</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7184" w:type="dxa"/>
        <w:jc w:val="left"/>
        <w:tblInd w:w="0" w:type="dxa"/>
        <w:tblLayout w:type="fixed"/>
        <w:tblCellMar>
          <w:top w:w="28" w:type="dxa"/>
          <w:left w:w="28" w:type="dxa"/>
          <w:bottom w:w="28" w:type="dxa"/>
          <w:right w:w="28" w:type="dxa"/>
        </w:tblCellMar>
      </w:tblPr>
      <w:tblGrid>
        <w:gridCol w:w="2311"/>
        <w:gridCol w:w="146"/>
        <w:gridCol w:w="269"/>
        <w:gridCol w:w="864"/>
        <w:gridCol w:w="186"/>
        <w:gridCol w:w="186"/>
        <w:gridCol w:w="269"/>
        <w:gridCol w:w="864"/>
        <w:gridCol w:w="146"/>
        <w:gridCol w:w="146"/>
        <w:gridCol w:w="211"/>
        <w:gridCol w:w="481"/>
        <w:gridCol w:w="166"/>
        <w:gridCol w:w="146"/>
        <w:gridCol w:w="146"/>
        <w:gridCol w:w="271"/>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51"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12,967</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for the three months ended September 30, 2024, decreased by $0.3 million, or 2%, compared to the three months ended September 30, 2023. The decrease was primarily due to lower headcount which resulted in a decrease in employee compensation costs of $0.5 million, a decrease in allocation expense of $0.3 million, and a decrease in stock-based compensation of $0.1 million, which was partially offset by an increase of $0.7 million in professional services.</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8084" w:type="dxa"/>
        <w:jc w:val="left"/>
        <w:tblInd w:w="0" w:type="dxa"/>
        <w:tblLayout w:type="fixed"/>
        <w:tblCellMar>
          <w:top w:w="28" w:type="dxa"/>
          <w:left w:w="28" w:type="dxa"/>
          <w:bottom w:w="28" w:type="dxa"/>
          <w:right w:w="28" w:type="dxa"/>
        </w:tblCellMar>
      </w:tblPr>
      <w:tblGrid>
        <w:gridCol w:w="2956"/>
        <w:gridCol w:w="146"/>
        <w:gridCol w:w="269"/>
        <w:gridCol w:w="864"/>
        <w:gridCol w:w="186"/>
        <w:gridCol w:w="186"/>
        <w:gridCol w:w="269"/>
        <w:gridCol w:w="864"/>
        <w:gridCol w:w="146"/>
        <w:gridCol w:w="146"/>
        <w:gridCol w:w="211"/>
        <w:gridCol w:w="631"/>
        <w:gridCol w:w="166"/>
        <w:gridCol w:w="146"/>
        <w:gridCol w:w="146"/>
        <w:gridCol w:w="376"/>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06"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for the three months ended September 30, 2024, decreased by $1.5 million, or 10%, compared to the three months ended September 30, 2023. The decrease was primarily due to lower headcount which resulted in a decrease in stock-based compensation of $1.7 million and a decrease in employee compensation costs of $0.5 million. The decrease was partially offset by an increase of $0.7 million in professional services.</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w:t>
      </w:r>
    </w:p>
    <w:p>
      <w:pPr>
        <w:pStyle w:val="TextBody"/>
        <w:bidi w:val="0"/>
        <w:jc w:val="left"/>
        <w:rPr/>
      </w:pPr>
      <w:r>
        <w:rPr/>
        <w:t> </w:t>
      </w:r>
    </w:p>
    <w:tbl>
      <w:tblPr>
        <w:tblW w:w="6794" w:type="dxa"/>
        <w:jc w:val="left"/>
        <w:tblInd w:w="0" w:type="dxa"/>
        <w:tblLayout w:type="fixed"/>
        <w:tblCellMar>
          <w:top w:w="28" w:type="dxa"/>
          <w:left w:w="28" w:type="dxa"/>
          <w:bottom w:w="28" w:type="dxa"/>
          <w:right w:w="28" w:type="dxa"/>
        </w:tblCellMar>
      </w:tblPr>
      <w:tblGrid>
        <w:gridCol w:w="1666"/>
        <w:gridCol w:w="146"/>
        <w:gridCol w:w="300"/>
        <w:gridCol w:w="812"/>
        <w:gridCol w:w="207"/>
        <w:gridCol w:w="207"/>
        <w:gridCol w:w="300"/>
        <w:gridCol w:w="812"/>
        <w:gridCol w:w="146"/>
        <w:gridCol w:w="146"/>
        <w:gridCol w:w="211"/>
        <w:gridCol w:w="631"/>
        <w:gridCol w:w="166"/>
        <w:gridCol w:w="146"/>
        <w:gridCol w:w="146"/>
        <w:gridCol w:w="376"/>
        <w:gridCol w:w="37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06"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other income for the three months ended September 30, 2024, decreased by $1.8 million, or 37%, compared to the three months ended September 30, 2023. The decrease was primarily due to the loss in the equity method investment and lower rates of interest earned on cash invested in money market funds, U.S. Treasury securities, commercial paper, and corporate debt securities.</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Comparisons of the Nine Months Ended September 30, 2024 and 2023</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658" w:type="dxa"/>
        <w:jc w:val="left"/>
        <w:tblInd w:w="0" w:type="dxa"/>
        <w:tblLayout w:type="fixed"/>
        <w:tblCellMar>
          <w:top w:w="28" w:type="dxa"/>
          <w:left w:w="28" w:type="dxa"/>
          <w:bottom w:w="28" w:type="dxa"/>
          <w:right w:w="28" w:type="dxa"/>
        </w:tblCellMar>
      </w:tblPr>
      <w:tblGrid>
        <w:gridCol w:w="3156"/>
        <w:gridCol w:w="146"/>
        <w:gridCol w:w="243"/>
        <w:gridCol w:w="851"/>
        <w:gridCol w:w="191"/>
        <w:gridCol w:w="168"/>
        <w:gridCol w:w="243"/>
        <w:gridCol w:w="851"/>
        <w:gridCol w:w="166"/>
        <w:gridCol w:w="146"/>
        <w:gridCol w:w="211"/>
        <w:gridCol w:w="631"/>
        <w:gridCol w:w="166"/>
        <w:gridCol w:w="146"/>
        <w:gridCol w:w="146"/>
        <w:gridCol w:w="421"/>
        <w:gridCol w:w="77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80"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76" w:type="dxa"/>
            <w:tcBorders/>
            <w:shd w:fill="FFFFFF" w:val="clear"/>
            <w:vAlign w:val="center"/>
          </w:tcPr>
          <w:p>
            <w:pPr>
              <w:pStyle w:val="TableContents"/>
              <w:bidi w:val="0"/>
              <w:spacing w:before="0" w:after="283"/>
              <w:jc w:val="center"/>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37,966</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(76,613</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13,101</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879" w:type="dxa"/>
        <w:jc w:val="left"/>
        <w:tblInd w:w="0" w:type="dxa"/>
        <w:tblLayout w:type="fixed"/>
        <w:tblCellMar>
          <w:top w:w="28" w:type="dxa"/>
          <w:left w:w="28" w:type="dxa"/>
          <w:bottom w:w="28" w:type="dxa"/>
          <w:right w:w="28" w:type="dxa"/>
        </w:tblCellMar>
      </w:tblPr>
      <w:tblGrid>
        <w:gridCol w:w="841"/>
        <w:gridCol w:w="146"/>
        <w:gridCol w:w="260"/>
        <w:gridCol w:w="834"/>
        <w:gridCol w:w="180"/>
        <w:gridCol w:w="180"/>
        <w:gridCol w:w="260"/>
        <w:gridCol w:w="834"/>
        <w:gridCol w:w="146"/>
        <w:gridCol w:w="146"/>
        <w:gridCol w:w="211"/>
        <w:gridCol w:w="631"/>
        <w:gridCol w:w="166"/>
        <w:gridCol w:w="146"/>
        <w:gridCol w:w="146"/>
        <w:gridCol w:w="376"/>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16"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for the nine months ended September 30, 2024, decreased by $2.1 million, or 17%, compared to the nine months ended September 30, 2023. The decrease was due to lower product sales and no grant revenue being recognized during the period. The decrease was partially offset by an increase in service revenue.</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1396"/>
        <w:gridCol w:w="146"/>
        <w:gridCol w:w="290"/>
        <w:gridCol w:w="784"/>
        <w:gridCol w:w="200"/>
        <w:gridCol w:w="200"/>
        <w:gridCol w:w="290"/>
        <w:gridCol w:w="784"/>
        <w:gridCol w:w="146"/>
        <w:gridCol w:w="146"/>
        <w:gridCol w:w="211"/>
        <w:gridCol w:w="481"/>
        <w:gridCol w:w="166"/>
        <w:gridCol w:w="146"/>
        <w:gridCol w:w="146"/>
        <w:gridCol w:w="376"/>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6"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revenue for the nine months ended September 30, 2024, decreased by $0.6 million, or 10%, compared to the nine months ended September 30, 2023. The decrease was primarily due to lower product revenue from fewer instrument sales, which have a higher cost of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7244" w:type="dxa"/>
        <w:jc w:val="left"/>
        <w:tblInd w:w="0" w:type="dxa"/>
        <w:tblLayout w:type="fixed"/>
        <w:tblCellMar>
          <w:top w:w="28" w:type="dxa"/>
          <w:left w:w="28" w:type="dxa"/>
          <w:bottom w:w="28" w:type="dxa"/>
          <w:right w:w="28" w:type="dxa"/>
        </w:tblCellMar>
      </w:tblPr>
      <w:tblGrid>
        <w:gridCol w:w="2311"/>
        <w:gridCol w:w="146"/>
        <w:gridCol w:w="260"/>
        <w:gridCol w:w="834"/>
        <w:gridCol w:w="180"/>
        <w:gridCol w:w="180"/>
        <w:gridCol w:w="260"/>
        <w:gridCol w:w="834"/>
        <w:gridCol w:w="146"/>
        <w:gridCol w:w="146"/>
        <w:gridCol w:w="211"/>
        <w:gridCol w:w="631"/>
        <w:gridCol w:w="166"/>
        <w:gridCol w:w="146"/>
        <w:gridCol w:w="146"/>
        <w:gridCol w:w="271"/>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11"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37,966</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for the nine months ended September 30, 2024, decreased by $3.9 million, or 9%, compared to the nine months ended September 30, 2023. The decrease was primarily due to lower headcount which resulted in a decrease in employee compensation costs of $2.5 million and a $1.1 million decrease in stock-based compensation.</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7889" w:type="dxa"/>
        <w:jc w:val="left"/>
        <w:tblInd w:w="0" w:type="dxa"/>
        <w:tblLayout w:type="fixed"/>
        <w:tblCellMar>
          <w:top w:w="28" w:type="dxa"/>
          <w:left w:w="28" w:type="dxa"/>
          <w:bottom w:w="28" w:type="dxa"/>
          <w:right w:w="28" w:type="dxa"/>
        </w:tblCellMar>
      </w:tblPr>
      <w:tblGrid>
        <w:gridCol w:w="2956"/>
        <w:gridCol w:w="146"/>
        <w:gridCol w:w="260"/>
        <w:gridCol w:w="834"/>
        <w:gridCol w:w="180"/>
        <w:gridCol w:w="180"/>
        <w:gridCol w:w="260"/>
        <w:gridCol w:w="834"/>
        <w:gridCol w:w="146"/>
        <w:gridCol w:w="146"/>
        <w:gridCol w:w="211"/>
        <w:gridCol w:w="631"/>
        <w:gridCol w:w="166"/>
        <w:gridCol w:w="146"/>
        <w:gridCol w:w="146"/>
        <w:gridCol w:w="271"/>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11"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43,677</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for the nine months ended September 30, 2024, decreased by $2.2 million, or 5%, compared to the nine months ended September 30, 2023. The decrease was primarily due to a $4.0 million decrease in stock-based compensation and a $2.0 million decrease in employee compensation costs. The decrease was offset by a $3.1 million increase in professional services and a $0.8 million increase in facility expenses.</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w:t>
      </w:r>
    </w:p>
    <w:p>
      <w:pPr>
        <w:pStyle w:val="TextBody"/>
        <w:bidi w:val="0"/>
        <w:jc w:val="left"/>
        <w:rPr/>
      </w:pPr>
      <w:r>
        <w:rPr/>
        <w:t> </w:t>
      </w:r>
    </w:p>
    <w:tbl>
      <w:tblPr>
        <w:tblW w:w="6449" w:type="dxa"/>
        <w:jc w:val="left"/>
        <w:tblInd w:w="0" w:type="dxa"/>
        <w:tblLayout w:type="fixed"/>
        <w:tblCellMar>
          <w:top w:w="28" w:type="dxa"/>
          <w:left w:w="28" w:type="dxa"/>
          <w:bottom w:w="28" w:type="dxa"/>
          <w:right w:w="28" w:type="dxa"/>
        </w:tblCellMar>
      </w:tblPr>
      <w:tblGrid>
        <w:gridCol w:w="1666"/>
        <w:gridCol w:w="146"/>
        <w:gridCol w:w="260"/>
        <w:gridCol w:w="834"/>
        <w:gridCol w:w="180"/>
        <w:gridCol w:w="180"/>
        <w:gridCol w:w="260"/>
        <w:gridCol w:w="834"/>
        <w:gridCol w:w="146"/>
        <w:gridCol w:w="146"/>
        <w:gridCol w:w="211"/>
        <w:gridCol w:w="481"/>
        <w:gridCol w:w="166"/>
        <w:gridCol w:w="146"/>
        <w:gridCol w:w="146"/>
        <w:gridCol w:w="271"/>
        <w:gridCol w:w="37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1"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Total other income for the nine months ended September 30, 2024, decreased by $1.0 million, or 8%, compared to the nine months ended September 30, 2023. The decrease was mainly due to the loss in the equity method investment.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Quarterly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September 30, 2024 and December 31, 2023, which is secured by restricted cash and is presented as noncurrent at each date based on the term of the underlying lease. We lease approximately 6,000 square feet of office space in San Diego, California that runs through September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certain purchase commitments related to our inventory management with certain manufacturing suppliers wherein we are required to purchase the amounts forecasted in a blanket purchase order within a certain time period. The Company also has certain contractual obligations for third-party technology used as part of its normal operations.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$0.8 million as of September 30,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8470" w:type="dxa"/>
        <w:jc w:val="left"/>
        <w:tblInd w:w="0" w:type="dxa"/>
        <w:tblLayout w:type="fixed"/>
        <w:tblCellMar>
          <w:top w:w="28" w:type="dxa"/>
          <w:left w:w="28" w:type="dxa"/>
          <w:bottom w:w="28" w:type="dxa"/>
          <w:right w:w="28" w:type="dxa"/>
        </w:tblCellMar>
      </w:tblPr>
      <w:tblGrid>
        <w:gridCol w:w="5566"/>
        <w:gridCol w:w="146"/>
        <w:gridCol w:w="243"/>
        <w:gridCol w:w="851"/>
        <w:gridCol w:w="191"/>
        <w:gridCol w:w="168"/>
        <w:gridCol w:w="243"/>
        <w:gridCol w:w="85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7" w:type="dxa"/>
            <w:gridSpan w:val="6"/>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(34,652</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50,012</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31,793</w:t>
            </w:r>
          </w:p>
        </w:tc>
        <w:tc>
          <w:tcPr>
            <w:tcW w:w="2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nine months ended September 30, 2024, cash used in operating activities was $34.7 million, attributable to a net loss of $64.9 million, partially offset by non-cash charges of $30.2 million. Non-cash charges primarily consisted of stock-based compensation of $21.8 million, $4.6 million of depreciation and amortization, $2.6 million of net amortization of premium on available-for-sale securities, loss on equity method investment of $0.9 million, and $0.3 million of loss on disposal of property and equipment.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nine months ended September 30, 2023, cash used in operating activities was $48.9 million, which was attributable to a net loss of $68.5 million and a net change in our net operating assets and liabilities of $3.9 million, partially offset by non-cash charges of $23.5 million. Non-cash charges primarily consisted of $26.8 million in stock-based compensation, $4.0 million of depreciation and amortization, $0.8 million of provision for inventory excess and obsolescence, $0.3 million of loss on disposal of property and equipment, and $0.1 million of non-cash operating lease expense, offset by $8.5 million of net accretion of premiums on available-for-sale securities. The change in our net operating assets and liabilities was primarily due to a decrease in inventory levels of $1.6 million, a decrease in accounts receivable of $1.2 million, a decrease in accounts payable of $1.4 million and partially offset by an increase in related party receivables of $0.3 million.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nine months ended September 30, 2024, cash provided by investing activities was $50.0 million, which related to the proceeds from maturities of available-for-sale securities of $273.3 million. This was offset by the purchases of available-for-sale securities of $209.2 million, purchase of investment in equity security of $10.0 million, and purchases of property and equipment, primarily for laboratory equipment, of $4.1 million.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nine months ended September 30, 2023, cash provided by investing activities was $31.8 million, which was attributable to the proceeds from maturities of available-for-sale securities of $352.3 million and proceeds from sale of available-for-sale securities of $3.0 million. This was offset by the purchases of available-for-sale securities of $318.0 million and purchases of property and equipment, primarily for laboratory equipment of $5.5 million.</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nine months ended September 30, 2024, cash used in financing activities was $10.2 million, which was primarily attributable to the repurchases of Class A common stock under our share repurchase program of $10.3 million. This partially was offset by the proceeds of $0.1 million from the issuance of Class A common stock in connection with the employee stock purchase plan.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the nine months ended September 30, 2023, cash provided by financing activities was $0.3 million, which was primarily attributable to proceeds of $0.2 million from the issuance of Class A common stock in connection with the employee stock purchase plan and net proceeds of $0.1 million from the exercise of stock options.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unaudited condensed consolidated financial statements, we believe that the following critical accounting policies are most important to understanding and evaluating our reported financial results.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revenue is generated primarily from sales of products and services. Product revenue consists of sales of an instrument with embedded software essential to the instrument’s functionality and consumables. Service revenue primarily consists of revenue received from the generation and analysis of proteomic data on behalf of our customers.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benefit of the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Our contracts with our customer generally do not include rights of return.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times, we may enter into arrangements with payment terms which exceed one year from the transfer of control of the product or service. In such cases, we assess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We do not assess whether a significant financing component exists when, at contract inception, the period between the transfer of control to a customer and final payment is one year or less.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 portion of our revenue relates to lease arrangements. Standalone lease arrangements are outside the scope of Accounting Standards Codification (ASC) 606, </w:t>
      </w:r>
      <w:r>
        <w:rPr>
          <w:rFonts w:ascii="Times New Roman" w:hAnsi="Times New Roman"/>
          <w:i/>
          <w:color w:val="000000"/>
          <w:sz w:val="20"/>
        </w:rPr>
        <w:t>Revenue Contracts with Customer</w:t>
      </w:r>
      <w:r>
        <w:rPr>
          <w:rFonts w:ascii="Times New Roman" w:hAnsi="Times New Roman"/>
          <w:color w:val="000000"/>
          <w:sz w:val="20"/>
        </w:rPr>
        <w:t xml:space="preserve"> and are therefore accounted for in accordance with ASC 842, </w:t>
      </w:r>
      <w:r>
        <w:rPr>
          <w:rFonts w:ascii="Times New Roman" w:hAnsi="Times New Roman"/>
          <w:i/>
          <w:color w:val="000000"/>
          <w:sz w:val="20"/>
        </w:rPr>
        <w:t>Leases</w:t>
      </w:r>
      <w:r>
        <w:rPr>
          <w:rFonts w:ascii="Times New Roman" w:hAnsi="Times New Roman"/>
          <w:color w:val="000000"/>
          <w:sz w:val="20"/>
        </w:rPr>
        <w:t>. The total consideration in a lease arrangement is allocated between lease and non-lease components on their relative stand-alone selling prices. The stand-alone selling price is based on the price we would separately sell that promised good or service to a customer. If a stand-alone price is not available for a component, it is estimated using the best information available.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Shipping revenue is recognized when control of the product is transferred to the customer, and the related shipping and handling costs are included in the cost of revenue.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exposure to interest rate risk that relates to our cash and cash equivalents and investments held in money market funds, U.S. Treasury securities, commercial paper, corporate debt securities and government agency debt. The goals of our investment policy are liquidity and capital preservation. We believe that we do not have material exposure to changes in the fair value of these assets as a result of changes in interest rates due to the short-term nature of our cash and cash equivalents and investments.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1" w:name="item_4_controls_and_procedures"/>
      <w:bookmarkEnd w:id="11"/>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September 30, 2024,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quarter ended September 30, 2024 that have materially affected, or are reasonably likely to materially affect, our internal control over financial reporting.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information included in Note 9. Commitments and Contingencies to the Company's unaudited condensed consolidated financial statements included in Part I, Item 1 of this quarterly report is incorporated herein by reference.</w:t>
      </w:r>
    </w:p>
    <w:p>
      <w:pPr>
        <w:pStyle w:val="TextBody"/>
        <w:bidi w:val="0"/>
        <w:jc w:val="center"/>
        <w:rPr/>
      </w:pPr>
      <w:r>
        <w:rPr/>
        <w:t> </w:t>
      </w:r>
    </w:p>
    <w:p>
      <w:pPr>
        <w:pStyle w:val="TextBody"/>
        <w:bidi w:val="0"/>
        <w:spacing w:before="180" w:after="180"/>
        <w:jc w:val="left"/>
        <w:rPr>
          <w:rFonts w:ascii="Times New Roman" w:hAnsi="Times New Roman"/>
          <w:sz w:val="20"/>
        </w:rPr>
      </w:pPr>
      <w:bookmarkStart w:id="14" w:name="item_1a_risk_factors"/>
      <w:bookmarkEnd w:id="14"/>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early stages of our commercialization plan, and we may not be able to commercialize the Proteograph Product Suite as planned;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commercialization success depends on broad scientific and market acceptance of the Proteograph, which we may fail to achieve;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could adversely impact our business and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identify and recruit qualified employees, and retain or maintain our employee base, it may adversely impact our business and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 early-stage life sciences technology company, and we have incurred significant losses since we were formed in 2017, and expect to continue to incur losses in the future. We incurred net losses of $21.3 million and $21.1 million during the three months ended September 30, 2024 and 2023, respectively. We incurred net losses of $64.9 million and $68.5 million during the nine months ended September 30, 2024 and 2023, respectively. As of September 30, 2024, we had an accumulated deficit of $370.6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early stages of commercialization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commercialize the Proteograph Product Suite on our anticipated timeline;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offer high-quality services, including customer service;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demand for any products we are able to commercialize, particularly the Proteograph Product Suite, which may vary significantly from period to period;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adoption of the Proteograph in our target markets and our ability to expand into any future target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relationship with third-party distributorships, the quantity of our products they elect to hold in inventory, and their ability to promote and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at which we will be able to sell the Proteograph Product Suite and related services;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volume and mix of our sales between the Proteograph Product Suite and associated consumables, or changes in the manufacturing or sales costs related to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length of time and unpredictable nature of the sales cycle;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lead time needed to procure SP100 automation instruments from our third-party contract manufacturer;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our sales force, which if less than anticipated, could significantly impair our ability to generate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of customers to exercise Proteograph purchase options;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governmental funding of life sciences research and development or changes that impact budgets and budget cycles;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seasonal spending patterns and the ability to collect on the accounts receivable of our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of when we recognize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accounting pronouncements, changes in accounting rules and regulations, or modifications to our accounting policies;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outcome of any future litigation or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higher than anticipated service, replacement and warranty costs;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investment in life sciences and research industries, our business operations, and resources and operations of our customers, suppliers, and distributors;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global supply chain interruptions;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industry, economic and market conditions such as inflation, rising interest rates, bank failures and other factors, including factors unrelated to our operating performance or the operating performance of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size of the markets for the Proteograph Product Suite may be smaller or different from estimated, and new market opportunities may not develop as quickly as we expect, or at all, limiting our ability to successfully sell our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in the early stages of commercialization, and we may not be able to commercialize the Proteograph Product Suite as planned.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only recently initiated the broad commercialization of the Proteograph Product Suite and related products and services, and we may not be able to successfully execute on this phase as planned due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inability to establish the capabilities and value proposition of the Proteograph Product Suite with key opinion leaders and other customers in a timely fashion;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changing industry or market conditions, customer requirements or competitor offerings during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continuing the build-out of our sales, customer support and marketing organization as needed for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ramping up manufacturing, either internally or through our suppliers, to meet the expected demand for broad commercialization;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and research industries, our business operations, and resources and the operations of our customers, suppliers and supply chain, and distributors.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broad commercial release phase is unsuccessful, our financial results will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we are able to execute on our commercialization plan, our success depends on broad scientific and market acceptance of the Proteograph Product Suite, which we may fail to achieve.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factors in achieving commercial market acceptance, include: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market and increase awareness of the capabilities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ability of the Proteograph Product Suite to perform intended use applications broadly in the hands of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customers’ willingness to adopt new products and workflows;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Proteograph’s ease of use and whether it reliably provides advantages over other alternative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rate of adoption of the Proteograph Product Suite by academic institutions,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we charge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new products, services and solutions that achieve commercial market acceptance;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competitors develop and commercialize products that perform similar functions as the Proteograph;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our investments in product innovation and commercial growth.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sales force is less successful than anticipated, we may not be successful in commercializing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will face a number of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attract, retain and manage the sales, marketing and customer service and support force necessary to commercialize and gain market acceptance for our technology;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time and cost of establishing a specialized sales, marketing and customer service and support force;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sales, marketing and customer service and support force may be unable to initiate and execute successful commercialization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the Proteograph Product Suite is successfully commercialized and achieves broad scientific and market acceptance, if we fail to improve it or introduce compelling new products and services, our revenues and our prospects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Health epidemics could adversely impact our business and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reductions in capacity or shutdowns of laboratories and other institutions as well as reduced or delayed spending on instruments and consumables as a result of shutdowns and delays;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automation instrument, Hamilton Company, and could worsen over time. Any of these occurrences, and any new epidemics, could significantly harm our business, results of operations and financial condition.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Unfavorable U.S. or global economic conditions could adversely affect our ability to raise capital and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financial condition, and cause the stock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FDIC or SIPC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sustain or successfully manage our growth or financial resources, our business and prospects will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depend on our key personnel and other highly qualified personnel, and if we are unable to recruit, train and retain our personnel, we may not achieve our goals.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expect to be dependent upon revenue generated from the sale of the Proteograph Product Suite and related services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sales have been concentrated in a small number of customers.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are in the early stages of our commercialization plan and our revenues have been concentrated in a relatively small number of customers, including a related party, PrognomiQ. For the nine months ended September 30, 2024 and 2023, PrognomiQ, accounted for 20% and 33%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hAnsi="Times New Roman"/>
          <w:i/>
          <w:color w:val="000000"/>
          <w:sz w:val="20"/>
        </w:rPr>
        <w:t>- Revenue and Deferred Revenue</w:t>
      </w:r>
      <w:r>
        <w:rPr>
          <w:rFonts w:ascii="Times New Roman" w:hAnsi="Times New Roman"/>
          <w:color w:val="000000"/>
          <w:sz w:val="20"/>
        </w:rPr>
        <w:t xml:space="preserve"> and Note 10 - </w:t>
      </w:r>
      <w:r>
        <w:rPr>
          <w:rFonts w:ascii="Times New Roman" w:hAnsi="Times New Roman"/>
          <w:i/>
          <w:color w:val="000000"/>
          <w:sz w:val="20"/>
        </w:rPr>
        <w:t xml:space="preserve">Related Party Transactions </w:t>
      </w:r>
      <w:r>
        <w:rPr>
          <w:rFonts w:ascii="Times New Roman" w:hAnsi="Times New Roman"/>
          <w:color w:val="000000"/>
          <w:sz w:val="20"/>
        </w:rPr>
        <w:t>to our notes to financial statements included in Part I, Item 1, herein for further information regarding our relationship with PrognomiQ.</w:t>
      </w:r>
    </w:p>
    <w:p>
      <w:pPr>
        <w:pStyle w:val="TextBody"/>
        <w:bidi w:val="0"/>
        <w:spacing w:before="0" w:after="180"/>
        <w:jc w:val="left"/>
        <w:rPr>
          <w:rFonts w:ascii="Times New Roman" w:hAnsi="Times New Roman"/>
          <w:sz w:val="20"/>
        </w:rPr>
      </w:pPr>
      <w:r>
        <w:rPr>
          <w:rFonts w:ascii="Times New Roman" w:hAnsi="Times New Roman"/>
          <w:b/>
          <w:i/>
          <w:color w:val="000000"/>
          <w:sz w:val="20"/>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strategy and funding by commercial companies in their efforts around therapeutic and diagnostic product development and their adoption and use of the Proteograph Product Suite;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opinions in the scientific community, including researchers’ opinions of the utility of the Proteograph solution;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citation of the Proteograph Product Suite in published research;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 changes in the regulatory environment;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differences in budgetary cycles, especially government- or grant-funded customers, whose cycles often coincide with government fiscal year ends;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 product or service offerings or pricing;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market-driven pressures to consolidate operations and reduce costs;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 acceptance of relatively new technologies, such as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Proteograph Product Suite contains defects, we may experience: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failure to achieve market acceptance for the Proteograph or expansion of the Proteograph Product Suite sales;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loss of customer orders and delay in order fulfillment;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damage to our brand reputation;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increased warranty and customer service and support costs due to product repair or replacement;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 recalls or replacements;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inability to attract new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diversion of resources from our manufacturing and research and development departments to our service department;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legal claims against us, including product liability, hazardous material or environmental compliance claims, which could be costly and time consuming to defend and result in substantial damages.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face potential risks related to using, handling, storing, importing, exporting, and transferring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Engaging in international business inherently involves a number of difficulties and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U.S. laws such as the Foreign Corrupt Practices Act, and other U.S. federal laws and regulations, including with respect to not doing business with sanctioned parties, as prohibited by the office of Foreign Asset Control;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export requirements and import or trade restrictions, including, without limitation, with respect to biological samples, and trade retaliation laws;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laws and business practices favoring local companies;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potentially adverse tax consequences, tariffs, customs charges, bureaucratic requirements, and other trade barriers;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and costs of staffing and managing foreign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protecting, maintaining, enforcing or procuring intellectual property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life sciences technology market is highly competitive. If we fail to compete effectively, our business and results of operation will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PreOmics, Biognosys, Quanterix, Quantum-Si and Standard BioTools.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our current competitors are large publicly-traded companies, or are divisions of large publicly-traded companies, and may enjoy a number of competitive advantages over us,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name and brand recognition;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financial and human resources;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broader product lines;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sales forces and more established distributor networks;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 intellectual property portfolios;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and more established customer bases and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better established, larger scale and lower cost manufacturing capabilities.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consider raising additional capital in the future to expand our business, to pursue strategic investments, to take advantage of financing opportunities or for other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increasing our sales and marketing and other commercialization efforts to drive market adoption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funding development and marketing efforts of the Proteograph Product Suite or any other future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expanding our technologies into additional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licensing or investing in technologies and other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or investing in complementary businesses or assets;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financing capital expenditures and general and administrative expenses.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present and future funding requirements will depend on many factors,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commercializing the Proteograph Product Suite and new products, and the cost of the sales and marketing activities associated with establishing adoption of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and cost of research and development activities associated with, products in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realize the benefits of PrognomiQ as a separate healthcare company in the area of disease testing.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the Company purchased $10.0 million of PrognomiQ's Series D Preferred Stock. As of September 30, 2024, we held approximately 25% of the outstanding capital stock of PrognomiQ. We may not realize the potential benefits of forming PrognomiQ for a variety of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be unable to successfully develop viable testing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PrognomiQ’s business may not help demonstrate the value of the Proteograph;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an inability to reach agreement with PrognomiQ on future commercial arrangements;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PrognomiQ accounted for 14% and 20% of our revenue during the three and nine months ended September 30, 2024, respectively, it may not continue to be a meaningful customer of ours;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need to raise additional funding in the future and be unable to do so;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formation of PrognomiQ and our continuing equity position in PrognomiQ may add complexities to our business from a finance, tax and accounting perspective.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Financial Reporting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2023,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Regulatory Compliance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are labeled, promoted,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hAnsi="Times New Roman"/>
          <w:i/>
          <w:color w:val="000000"/>
          <w:sz w:val="20"/>
        </w:rPr>
        <w:t>de novo</w:t>
      </w:r>
      <w:r>
        <w:rPr>
          <w:rFonts w:ascii="Times New Roman" w:hAnsi="Times New Roman"/>
          <w:color w:val="000000"/>
          <w:sz w:val="20"/>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hAnsi="Times New Roman"/>
          <w:color w:val="000000"/>
          <w:sz w:val="2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In April 2024, the FDA released its final rule to regulate LDTs, which may impact the sales of our products and how customers use our products, and may require us to change our business model in order to maintain compliance with these laws. There is ongoing litigation against FDA regarding its implementation of the LTD final rule. In June 2024, the U.S. Supreme Court overruled the case that established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the LDT final rule and other rules and policies of the FDA. We cannot predict the outcome of these judicial challenges or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unclear how future legislation by federal and state governments and FDA regulation will impact the industry, including our business and that of our customers.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limited precedent for the court, increasing the uncertainty of any patent litigation in Europe.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Issued patents covering our products or services could be found invalid or unenforceable if challenged.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hAnsi="Times New Roman"/>
          <w:i/>
          <w:color w:val="000000"/>
          <w:sz w:val="20"/>
        </w:rPr>
        <w:t>ex parte</w:t>
      </w:r>
      <w:r>
        <w:rPr>
          <w:rFonts w:ascii="Times New Roman" w:hAnsi="Times New Roman"/>
          <w:color w:val="000000"/>
          <w:sz w:val="20"/>
        </w:rPr>
        <w:t xml:space="preserve">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and equivalent proceedings in non-U.S. jurisdictions, such as opposition proceedings. For example, on October 7, 2024, PreOmics GmbH and Biognosys AG filed a petition for </w:t>
      </w:r>
      <w:r>
        <w:rPr>
          <w:rFonts w:ascii="Times New Roman" w:hAnsi="Times New Roman"/>
          <w:i/>
          <w:color w:val="000000"/>
          <w:sz w:val="20"/>
        </w:rPr>
        <w:t>Inter Partes</w:t>
      </w:r>
      <w:r>
        <w:rPr>
          <w:rFonts w:ascii="Times New Roman" w:hAnsi="Times New Roman"/>
          <w:color w:val="000000"/>
          <w:sz w:val="20"/>
        </w:rPr>
        <w:t xml:space="preserve"> Review before the USPTO (Case No. IPR2024-01473) challenging the validity of U.S. Patent No. 11,435,360, which is exclusively licensed from The Brigham and Women’s Hospital, Inc. (BWH). The petition alleges, among other things, that the claims of 11,435,360 are invalid for anticipation and obviousness over the prior art. These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technology could be materially adversely affected and our business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in the United States District Court for the Northern District of California (Case No. 4:23-cv-06643). The complaint alleged,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and enforce our trademarks and trade names, or build name recognition in our markets of interest thereby harming our competitive position.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services and technologies, including the Proteograph Product Suite for an adequate amount of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hAnsi="Times New Roman"/>
          <w:i/>
          <w:color w:val="000000"/>
          <w:sz w:val="20"/>
        </w:rPr>
        <w:t xml:space="preserve">ex-parte </w:t>
      </w:r>
      <w:r>
        <w:rPr>
          <w:rFonts w:ascii="Times New Roman" w:hAnsi="Times New Roman"/>
          <w:color w:val="000000"/>
          <w:sz w:val="20"/>
        </w:rPr>
        <w:t xml:space="preserve">reexamination, </w:t>
      </w:r>
      <w:r>
        <w:rPr>
          <w:rFonts w:ascii="Times New Roman" w:hAnsi="Times New Roman"/>
          <w:i/>
          <w:color w:val="000000"/>
          <w:sz w:val="20"/>
        </w:rPr>
        <w:t>inter partes</w:t>
      </w:r>
      <w:r>
        <w:rPr>
          <w:rFonts w:ascii="Times New Roman" w:hAnsi="Times New Roman"/>
          <w:color w:val="000000"/>
          <w:sz w:val="20"/>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employed and expect to employ individuals, and engaged consultants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disputes may also arise between us and our licensor regarding intellectual property subject to a license agreement,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and the extent to which, our products, technology and processes infringe on intellectual property of the licensor that is not subject to the licensing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cannot license rights to use technologies on reasonable terms, we may not be able to commercialize new products or services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be able to make products or services that are similar to products and technologies we may develop or utilize similar technology that are not covered by the claims of the patents that we own or license now or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 or pending patent application that we license or may own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or their inventions;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possible that our pending patent applications, and our licensed pending patent applications, or those that we may own or license in the future, will not lead to issued patents;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and our licensor(s), may not develop additional proprietary technologies that are patentable;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Should any of these events occur, they could materially adversely affect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An active trading market for our Class A common stock may not be sustained.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compliance with the listing requirements of the Nasdaq Global Select Market, we may be delisted and the price of our Class A common stock and our ability to access the capital markets could be negatively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$10.0 million; or (ii) a minimum closing bid price of $1.00 per share, a market value of publicly held shares (excluding shares held by our executive officers, directors, affiliates and 10% or more stockholders) of at least $15.0 million and a total market value of listed securities of at least $50.0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fail to satisfy one or more of the Nasdaq Global Select Market requirements for continued listing of our Class A common stock in the future. For example, on July 11, 2024, we notified The Nasdaq Stock Market LLC (Nasdaq) that upon the effectiveness of the resignation of Rachel Haurwitz, Ph.D., we would no longer be in compliance with the Nasdaq Listing Rule 5605(c)(2)(A), which requires that (i) the Audit Committee of the Board be composed of at least three members, and (ii) that one member of the Audit Committee qualifies as an “audit committee financial expert” under Item 407(d)(5)(iii) of Regulation S-K. During such period of noncompliance, we relied on the cure period provided by the Nasdaq Listing Rule 5605(c)(4)(B). On July 19, 2024, the Board appointed David Hallal to serve on the Audit Committee and determined that he met the requirements to qualify as the “audit committee financial expert” under Item 407(d)(5)(iii) of Regulation S-K. We believe that Mr. Hallal’s appointment resolved any potential non-compliance with the applicable Nasdaq Listing Rules.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market price of our Class A common stock has been and may continue to be volatile.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the factors that may cause the market price of our Class A common stock to fluctuate include, but are not limited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to which our launch and commercialization of our products meets the expectations of securities analysts and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fluctuations in our operating results, including fluctuations in our quarterly and annual results;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being less than anticipated or operating expenses being more than anticipated;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or discontinuation of any of our product development and research programs;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the structure or funding of research at academic and research laboratories and institutions, including changes that would affect their ability to purchase our instruments or consumables;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existing or new competitive businesses or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announcements about new research programs or products of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and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investor perceptions of us or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expenses related to any of our research and development programs or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our financial results meet the expectations of securities analysts or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short-selling strategies that may drive down the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announcement or expectation of additional financing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our Class A common stock by us or sales of our Class A common stock or Class B common stock by our insiders or other stockholders, or future stock issuances;</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perceived solvency of financial institutions with which we have financial deposits or investments in excess of insurance limits;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economic, industry and market conditions;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such as the COVID-19 pandemic, natural disasters or major catastrophic events.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pStyle w:val="TextBody"/>
        <w:bidi w:val="0"/>
        <w:spacing w:before="0" w:after="180"/>
        <w:jc w:val="left"/>
        <w:rPr>
          <w:rFonts w:ascii="Times New Roman" w:hAnsi="Times New Roman"/>
          <w:sz w:val="20"/>
        </w:rPr>
      </w:pPr>
      <w:r>
        <w:rPr>
          <w:rFonts w:ascii="Times New Roman" w:hAnsi="Times New Roman"/>
          <w:b/>
          <w:i/>
          <w:color w:val="000000"/>
          <w:sz w:val="20"/>
        </w:rPr>
        <w:t>The multi-class structure of our common stock will have the effect of concentrating voting control with certain stockholders and it may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Class A common stock, which is our publicly-traded class of stock, has one vote per share, and our Class B common stock has ten votes per share, except as otherwise required by law. Our Class B common stock is held by our founders and early investors. As of November 4, 2024, the holders of our Class B common stock hold in the aggregate 42.4 % of the voting power of our capital stock, which may increase from time to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industry analysts, including securities analysts do not publish research or reports about our business or if they publish negative evaluations of our Class A common stock, the price of our Class A common stock could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Sales of a substantial number of shares of our Class A common stock by our existing stockholders could cause the price of our Class A common stock to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There can be no assurance that we will repurchase shares of our Class A common stock or that we will repurchase shares at favorable prices.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Repurchasing our Class A common stock reduces the amount of cash we have available, and we may fail to realize the anticipated long-term stockholder value of any share repurchase program.</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bidi w:val="0"/>
        <w:spacing w:before="0" w:after="180"/>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amendments to our amended and restated certificate of incorporation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stockholder-proposed amendment to our amended and restated bylaws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may only be able to take action at a meeting of stockholders and may not be able to take action by written consent for any matter;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are able to act by written consent only if the action is first recommended or approved by the board of directors;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vacancies on our board of directors may be filled only by our board of directors and not by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only the chair of the board of directors, chief executive officer or a majority of the board of directors are authorized to call a special meeting of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litigation against us can only be brought in Delaware;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advance notice procedures apply for stockholders to nominate candidates for election as directors or to bring matters before an annual meeting of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ability to use net operating losses to offset future taxable income may be subject to certain limitations, and changes to U.S. tax laws may cause us to make adjustments to our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we had U.S. federal and state net operating loss carryforwards (NOLs) of $148.1 million and $151.8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continue to incur significant increased costs and management resources as a result of operating as a public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Environmental, social, and governance (ESG) matters are subject to increasing scrutiny and evolving expectations from customers, regulators, investors and other stakeholders and may expose us to reputational, cost and other risks.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or our vendors, partners or customers, experience a significant disruption in our information technology systems or breaches of data security, our business could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before="180" w:after="180"/>
        <w:jc w:val="left"/>
        <w:rPr>
          <w:rFonts w:ascii="Times New Roman" w:hAnsi="Times New Roman"/>
          <w:b/>
          <w:color w:val="000000"/>
          <w:sz w:val="20"/>
        </w:rPr>
      </w:pPr>
      <w:bookmarkStart w:id="15" w:name="item_2_unregistered_sales_of_equity_secu"/>
      <w:bookmarkEnd w:id="15"/>
      <w:r>
        <w:rPr>
          <w:rFonts w:ascii="Times New Roman" w:hAnsi="Times New Roman"/>
          <w:b/>
          <w:color w:val="000000"/>
          <w:sz w:val="20"/>
        </w:rPr>
        <w:t>Item 2. Unregistered Sales of Equity Securities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represents a month-to-month summary of information with respect to purchases of common stock made during the three months ended September 30, 2024:</w:t>
      </w:r>
    </w:p>
    <w:tbl>
      <w:tblPr>
        <w:tblW w:w="10205" w:type="dxa"/>
        <w:jc w:val="left"/>
        <w:tblInd w:w="0" w:type="dxa"/>
        <w:tblLayout w:type="fixed"/>
        <w:tblCellMar>
          <w:top w:w="28" w:type="dxa"/>
          <w:left w:w="28" w:type="dxa"/>
          <w:bottom w:w="28" w:type="dxa"/>
          <w:right w:w="28" w:type="dxa"/>
        </w:tblCellMar>
      </w:tblPr>
      <w:tblGrid>
        <w:gridCol w:w="1381"/>
        <w:gridCol w:w="146"/>
        <w:gridCol w:w="199"/>
        <w:gridCol w:w="1274"/>
        <w:gridCol w:w="146"/>
        <w:gridCol w:w="146"/>
        <w:gridCol w:w="346"/>
        <w:gridCol w:w="767"/>
        <w:gridCol w:w="146"/>
        <w:gridCol w:w="146"/>
        <w:gridCol w:w="313"/>
        <w:gridCol w:w="2001"/>
        <w:gridCol w:w="146"/>
        <w:gridCol w:w="146"/>
        <w:gridCol w:w="642"/>
        <w:gridCol w:w="2064"/>
        <w:gridCol w:w="196"/>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as Part of Publicly Announced Plans or Programs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(in thousands) of Shares that May Yet Be Purchased Under the Plans or Programs </w:t>
            </w:r>
            <w:r>
              <w:rPr>
                <w:rFonts w:ascii="Times New Roman" w:hAnsi="Times New Roman"/>
                <w:b/>
                <w:color w:val="000000"/>
                <w:sz w:val="11"/>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 July 31</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2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18,222</w:t>
            </w:r>
          </w:p>
        </w:tc>
        <w:tc>
          <w:tcPr>
            <w:tcW w:w="196" w:type="dxa"/>
            <w:tcBorders/>
            <w:shd w:fill="CFF0FC" w:val="clear"/>
            <w:vAlign w:val="center"/>
          </w:tcPr>
          <w:p>
            <w:pPr>
              <w:pStyle w:val="TableContents"/>
              <w:bidi w:val="0"/>
              <w:spacing w:before="0" w:after="283"/>
              <w:jc w:val="left"/>
              <w:rPr/>
            </w:pPr>
            <w:r>
              <w:rPr/>
              <w:t> </w:t>
            </w:r>
          </w:p>
        </w:tc>
      </w:tr>
      <w:tr>
        <w:trPr/>
        <w:tc>
          <w:tcPr>
            <w:tcW w:w="1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 August 31</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2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16,366</w:t>
            </w:r>
          </w:p>
        </w:tc>
        <w:tc>
          <w:tcPr>
            <w:tcW w:w="196" w:type="dxa"/>
            <w:tcBorders/>
            <w:shd w:fill="FFFFFF" w:val="clear"/>
            <w:vAlign w:val="center"/>
          </w:tcPr>
          <w:p>
            <w:pPr>
              <w:pStyle w:val="TableContents"/>
              <w:bidi w:val="0"/>
              <w:spacing w:before="0" w:after="283"/>
              <w:jc w:val="left"/>
              <w:rPr/>
            </w:pPr>
            <w:r>
              <w:rPr/>
              <w:t> </w:t>
            </w:r>
          </w:p>
        </w:tc>
      </w:tr>
      <w:tr>
        <w:trPr/>
        <w:tc>
          <w:tcPr>
            <w:tcW w:w="1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 September 30</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14,673</w:t>
            </w:r>
          </w:p>
        </w:tc>
        <w:tc>
          <w:tcPr>
            <w:tcW w:w="196" w:type="dxa"/>
            <w:tcBorders/>
            <w:shd w:fill="CFF0FC" w:val="clear"/>
            <w:vAlign w:val="center"/>
          </w:tcPr>
          <w:p>
            <w:pPr>
              <w:pStyle w:val="TableContents"/>
              <w:bidi w:val="0"/>
              <w:spacing w:before="0" w:after="283"/>
              <w:jc w:val="left"/>
              <w:rPr/>
            </w:pPr>
            <w:r>
              <w:rPr/>
              <w:t> </w:t>
            </w:r>
          </w:p>
        </w:tc>
      </w:tr>
      <w:tr>
        <w:trPr/>
        <w:tc>
          <w:tcPr>
            <w:tcW w:w="1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6"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All shares of common stock were retired upon repurchase.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Average price paid per share excludes broker commissions and taxes.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On May 3, 2024, the Company’s Board of Directors approved the Share Repurchase Program under which the Company is authorized to purchase up to $25.0 million of its issued and outstanding Class A common stock.</w:t>
      </w:r>
    </w:p>
    <w:p>
      <w:pPr>
        <w:pStyle w:val="TextBody"/>
        <w:bidi w:val="0"/>
        <w:spacing w:before="24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September 4, 2024, Deep Nishar, a member of the Board of Directors of the Company, entered into a Rule 10b5-1 trading plan. Mr. Nishar’s plan provides for the sale from time to time of an aggregate of up to 35,424 shares of Class A common stock. The trading plan will expire on June 13, 2025, or earlier if all transactions under the trading plan are completed. Mr. Nishar’s trading plan was entered into during an open insider trading window and is intended to satisfy the affirmative defense of Rule 10b5-1(c) under the Exchange Act and the Company’s policies regarding insider transactions.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than as disclosed above, no other officer or director, as defined in Rule 16a-1(f) under the Exchange Act, adopted or terminated a “Rule 10b5-1 trading arrangement” or a “non-Rule 10b5-1 trading arrangement,” each as defined in Regulation S-K Item 408, during the quarter ended September 30, 2024.</w:t>
      </w:r>
    </w:p>
    <w:p>
      <w:pPr>
        <w:pStyle w:val="TextBody"/>
        <w:bidi w:val="0"/>
        <w:spacing w:before="180" w:after="283"/>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bookmarkStart w:id="19" w:name="item_6_exhibits"/>
      <w:bookmarkEnd w:id="1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896"/>
        <w:gridCol w:w="146"/>
        <w:gridCol w:w="6406"/>
        <w:gridCol w:w="511"/>
        <w:gridCol w:w="146"/>
        <w:gridCol w:w="476"/>
        <w:gridCol w:w="146"/>
        <w:gridCol w:w="631"/>
        <w:gridCol w:w="146"/>
        <w:gridCol w:w="701"/>
      </w:tblGrid>
      <w:tr>
        <w:trPr/>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8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pPr>
            <w:r>
              <w:rPr/>
              <w:t> </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31.1</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hyperlink w:anchor="ck0001726445-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31.2</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hyperlink w:anchor="ck0001726445-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32.1</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hyperlink w:anchor="ck0001726445-ex32_1.htm">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32.2</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hyperlink w:anchor="ck0001726445-ex32_2.htm">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101.INS</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Instance Document</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101.SCH</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Taxonomy Extension Schema Document With Embedded Linkbase Documents</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 the Cover Page Interactive Data File does not appear in the Interactive Data File because its XBRL tags are embedded within the Inline XBRL document.</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101"/>
        <w:gridCol w:w="109"/>
        <w:gridCol w:w="406"/>
        <w:gridCol w:w="264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Omid Farokhzad, M.D.</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7102" w:type="dxa"/>
        <w:jc w:val="left"/>
        <w:tblInd w:w="0" w:type="dxa"/>
        <w:tblLayout w:type="fixed"/>
        <w:tblCellMar>
          <w:top w:w="28" w:type="dxa"/>
          <w:left w:w="28" w:type="dxa"/>
          <w:bottom w:w="28" w:type="dxa"/>
          <w:right w:w="28" w:type="dxa"/>
        </w:tblCellMar>
      </w:tblPr>
      <w:tblGrid>
        <w:gridCol w:w="2101"/>
        <w:gridCol w:w="109"/>
        <w:gridCol w:w="406"/>
        <w:gridCol w:w="448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 Horn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 Horn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Accounting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bookmarkStart w:id="21" w:name="ck0001726445-ex31_1.htm"/>
      <w:bookmarkStart w:id="22" w:name="ksck0001726445ex31_1"/>
      <w:bookmarkEnd w:id="21"/>
      <w:bookmarkEnd w:id="22"/>
      <w:r>
        <w:rPr/>
        <w:t> </w:t>
      </w:r>
      <w:r>
        <w:br w:type="page"/>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bookmarkStart w:id="23" w:name="section1"/>
      <w:bookmarkEnd w:id="23"/>
      <w:r>
        <w:rPr>
          <w:rFonts w:ascii="Times New Roman" w:hAnsi="Times New Roman"/>
          <w:b/>
          <w:color w:val="000000"/>
          <w:sz w:val="20"/>
        </w:rPr>
        <w:t>Exhibit 31.1</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Omid Farokhzad,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Seer,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7052" w:type="dxa"/>
        <w:jc w:val="left"/>
        <w:tblInd w:w="0" w:type="dxa"/>
        <w:tblLayout w:type="fixed"/>
        <w:tblCellMar>
          <w:top w:w="28" w:type="dxa"/>
          <w:left w:w="28" w:type="dxa"/>
          <w:bottom w:w="28" w:type="dxa"/>
          <w:right w:w="28" w:type="dxa"/>
        </w:tblCellMar>
      </w:tblPr>
      <w:tblGrid>
        <w:gridCol w:w="2101"/>
        <w:gridCol w:w="4951"/>
      </w:tblGrid>
      <w:tr>
        <w:trPr/>
        <w:tc>
          <w:tcPr>
            <w:tcW w:w="2101"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k0001726445-ex31_2.htm"/>
      <w:bookmarkStart w:id="25" w:name="ksck0001726445ex31_2"/>
      <w:bookmarkEnd w:id="24"/>
      <w:bookmarkEnd w:id="25"/>
      <w:r>
        <w:rPr/>
        <w:t> </w:t>
      </w:r>
      <w:r>
        <w:br w:type="page"/>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bookmarkStart w:id="26" w:name="section11"/>
      <w:bookmarkEnd w:id="26"/>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Horn,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Seer,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6467" w:type="dxa"/>
        <w:jc w:val="left"/>
        <w:tblInd w:w="0" w:type="dxa"/>
        <w:tblLayout w:type="fixed"/>
        <w:tblCellMar>
          <w:top w:w="28" w:type="dxa"/>
          <w:left w:w="28" w:type="dxa"/>
          <w:bottom w:w="28" w:type="dxa"/>
          <w:right w:w="28" w:type="dxa"/>
        </w:tblCellMar>
      </w:tblPr>
      <w:tblGrid>
        <w:gridCol w:w="2101"/>
        <w:gridCol w:w="4366"/>
      </w:tblGrid>
      <w:tr>
        <w:trPr/>
        <w:tc>
          <w:tcPr>
            <w:tcW w:w="210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k0001726445-ex32_1.htm"/>
      <w:bookmarkStart w:id="28" w:name="ksck0001726445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rFonts w:ascii="Times New Roman" w:hAnsi="Times New Roman"/>
          <w:b/>
          <w:color w:val="000000"/>
          <w:sz w:val="20"/>
        </w:rPr>
      </w:pPr>
      <w:bookmarkStart w:id="29" w:name="section12"/>
      <w:bookmarkEnd w:id="29"/>
      <w:r>
        <w:rPr>
          <w:rFonts w:ascii="Times New Roman" w:hAnsi="Times New Roman"/>
          <w:b/>
          <w:color w:val="000000"/>
          <w:sz w:val="20"/>
        </w:rPr>
        <w:t>CERTIFICATION OF PRINCIPAL EXECUTIVE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Seer, Inc. (the “Company”) on Form 10-Q for the period ended September 30, 2024 as filed with the Securities and Exchange Commission on the date hereof (the “Report”), I, Omid Farokhzad, hereby certify, pursuant to 18 U.S.C. § 1350, as adopted pursuant to §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052" w:type="dxa"/>
        <w:jc w:val="left"/>
        <w:tblInd w:w="0" w:type="dxa"/>
        <w:tblLayout w:type="fixed"/>
        <w:tblCellMar>
          <w:top w:w="28" w:type="dxa"/>
          <w:left w:w="28" w:type="dxa"/>
          <w:bottom w:w="28" w:type="dxa"/>
          <w:right w:w="28" w:type="dxa"/>
        </w:tblCellMar>
      </w:tblPr>
      <w:tblGrid>
        <w:gridCol w:w="2101"/>
        <w:gridCol w:w="4951"/>
      </w:tblGrid>
      <w:tr>
        <w:trPr/>
        <w:tc>
          <w:tcPr>
            <w:tcW w:w="2101"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ck0001726445-ex32_2.htm"/>
      <w:bookmarkStart w:id="31" w:name="ksck0001726445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rFonts w:ascii="Times New Roman" w:hAnsi="Times New Roman"/>
          <w:b/>
          <w:color w:val="000000"/>
          <w:sz w:val="20"/>
        </w:rPr>
      </w:pPr>
      <w:bookmarkStart w:id="32" w:name="section13"/>
      <w:bookmarkEnd w:id="32"/>
      <w:r>
        <w:rPr>
          <w:rFonts w:ascii="Times New Roman" w:hAnsi="Times New Roman"/>
          <w:b/>
          <w:color w:val="000000"/>
          <w:sz w:val="20"/>
        </w:rPr>
        <w:t>CERTIFICATION OF PRINCIPAL FINANCIAL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Seer, Inc. (the “Company”) on Form 10-Q for the period ended September 30, 2024 as filed with the Securities and Exchange Commission on the date hereof (the “Report”), I, David Horn, hereby certify, pursuant to 18 U.S.C. § 1350, as adopted pursuant to §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467" w:type="dxa"/>
        <w:jc w:val="left"/>
        <w:tblInd w:w="0" w:type="dxa"/>
        <w:tblLayout w:type="fixed"/>
        <w:tblCellMar>
          <w:top w:w="28" w:type="dxa"/>
          <w:left w:w="28" w:type="dxa"/>
          <w:bottom w:w="28" w:type="dxa"/>
          <w:right w:w="28" w:type="dxa"/>
        </w:tblCellMar>
      </w:tblPr>
      <w:tblGrid>
        <w:gridCol w:w="2101"/>
        <w:gridCol w:w="4366"/>
      </w:tblGrid>
      <w:tr>
        <w:trPr/>
        <w:tc>
          <w:tcPr>
            <w:tcW w:w="210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50180</Words>
  <Characters>278524</Characters>
  <CharactersWithSpaces>329579</CharactersWithSpaces>
  <Paragraphs>7061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