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2316ddefa14a.htm"/>
      <w:bookmarkStart w:id="1" w:name="ksd7231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Calibri" w:hAnsi="Calibri"/>
          <w:b/>
          <w:sz w:val="22"/>
        </w:rPr>
      </w:pPr>
      <w:r>
        <w:rPr>
          <w:rFonts w:ascii="Calibri" w:hAnsi="Calibri"/>
          <w:b/>
          <w:sz w:val="22"/>
        </w:rPr>
        <w:t xml:space="preserve">Seer Board of Directors Issues Letter to Shareholders Demonstrating the Strength and Experience of Seer’s Director Nominees </w:t>
      </w:r>
    </w:p>
    <w:p>
      <w:pPr>
        <w:pStyle w:val="TextBody"/>
        <w:bidi w:val="0"/>
        <w:spacing w:before="240" w:after="0"/>
        <w:jc w:val="center"/>
        <w:rPr>
          <w:rFonts w:ascii="Calibri" w:hAnsi="Calibri"/>
          <w:i/>
          <w:sz w:val="22"/>
        </w:rPr>
      </w:pPr>
      <w:r>
        <w:rPr>
          <w:rFonts w:ascii="Calibri" w:hAnsi="Calibri"/>
          <w:i/>
          <w:sz w:val="22"/>
        </w:rPr>
        <w:t xml:space="preserve">Urges Stockholders to Vote “FOR” Seer’s Director Nominees on the BLUE Proxy Card </w:t>
      </w:r>
    </w:p>
    <w:p>
      <w:pPr>
        <w:pStyle w:val="TextBody"/>
        <w:bidi w:val="0"/>
        <w:spacing w:before="240" w:after="0"/>
        <w:jc w:val="left"/>
        <w:rPr>
          <w:rFonts w:ascii="Calibri" w:hAnsi="Calibri"/>
          <w:sz w:val="22"/>
        </w:rPr>
      </w:pPr>
      <w:r>
        <w:rPr>
          <w:rFonts w:ascii="Calibri" w:hAnsi="Calibri"/>
          <w:b/>
          <w:sz w:val="22"/>
        </w:rPr>
        <w:t>REDWOOD CITY, Calif., July</w:t>
      </w:r>
      <w:r>
        <w:rPr>
          <w:rFonts w:ascii="Calibri" w:hAnsi="Calibri"/>
          <w:sz w:val="22"/>
        </w:rPr>
        <w:t> </w:t>
      </w:r>
      <w:r>
        <w:rPr>
          <w:rFonts w:ascii="Calibri" w:hAnsi="Calibri"/>
          <w:b/>
          <w:sz w:val="22"/>
        </w:rPr>
        <w:t>8, 2026</w:t>
      </w:r>
      <w:r>
        <w:rPr>
          <w:rFonts w:ascii="Calibri" w:hAnsi="Calibri"/>
          <w:sz w:val="22"/>
        </w:rPr>
        <w:t xml:space="preserve"> – Seer, Inc. (Nasdaq: SEER) (“Seer” or the “Company”) today issued a letter to stockholders containing important information for shareholders to consider in connection with the Company’s upcoming Annual Meeting of Stockholders (the “Annual Meeting”) to be held on July 28, 2026. Stockholders as of May 29, 2026 will be entitled to vote at the Annual Meeting. </w:t>
      </w:r>
    </w:p>
    <w:p>
      <w:pPr>
        <w:pStyle w:val="TextBody"/>
        <w:bidi w:val="0"/>
        <w:spacing w:before="240" w:after="0"/>
        <w:jc w:val="left"/>
        <w:rPr>
          <w:rFonts w:ascii="Calibri" w:hAnsi="Calibri"/>
          <w:sz w:val="22"/>
        </w:rPr>
      </w:pPr>
      <w:r>
        <w:rPr>
          <w:rFonts w:ascii="Calibri" w:hAnsi="Calibri"/>
          <w:sz w:val="22"/>
        </w:rPr>
        <w:t xml:space="preserve">The Board recommends that stockholders vote “FOR” the election of Seer’s seven highly qualified nominees on the </w:t>
      </w:r>
      <w:r>
        <w:rPr>
          <w:rFonts w:ascii="Calibri" w:hAnsi="Calibri"/>
          <w:b/>
          <w:sz w:val="22"/>
          <w:u w:val="single"/>
        </w:rPr>
        <w:t>BLUE</w:t>
      </w:r>
      <w:r>
        <w:rPr>
          <w:rFonts w:ascii="Calibri" w:hAnsi="Calibri"/>
          <w:sz w:val="22"/>
        </w:rPr>
        <w:t xml:space="preserve"> proxy card. </w:t>
      </w:r>
    </w:p>
    <w:p>
      <w:pPr>
        <w:pStyle w:val="TextBody"/>
        <w:bidi w:val="0"/>
        <w:spacing w:before="240" w:after="0"/>
        <w:jc w:val="left"/>
        <w:rPr>
          <w:rFonts w:ascii="Calibri" w:hAnsi="Calibri"/>
          <w:sz w:val="22"/>
        </w:rPr>
      </w:pPr>
      <w:r>
        <w:rPr>
          <w:rFonts w:ascii="Calibri" w:hAnsi="Calibri"/>
          <w:sz w:val="22"/>
        </w:rPr>
        <w:t xml:space="preserve">The full text of the letter follows: </w:t>
      </w:r>
    </w:p>
    <w:p>
      <w:pPr>
        <w:pStyle w:val="TextBody"/>
        <w:bidi w:val="0"/>
        <w:spacing w:before="240" w:after="0"/>
        <w:jc w:val="left"/>
        <w:rPr>
          <w:rFonts w:ascii="Calibri" w:hAnsi="Calibri"/>
          <w:sz w:val="22"/>
        </w:rPr>
      </w:pPr>
      <w:r>
        <w:rPr>
          <w:rFonts w:ascii="Calibri" w:hAnsi="Calibri"/>
          <w:sz w:val="22"/>
        </w:rPr>
        <w:t xml:space="preserve">Dear Fellow Seer Stockholder, </w:t>
      </w:r>
    </w:p>
    <w:p>
      <w:pPr>
        <w:pStyle w:val="TextBody"/>
        <w:bidi w:val="0"/>
        <w:spacing w:before="240" w:after="0"/>
        <w:jc w:val="left"/>
        <w:rPr>
          <w:rFonts w:ascii="Calibri" w:hAnsi="Calibri"/>
          <w:sz w:val="22"/>
        </w:rPr>
      </w:pPr>
      <w:r>
        <w:rPr>
          <w:rFonts w:ascii="Calibri" w:hAnsi="Calibri"/>
          <w:sz w:val="22"/>
        </w:rPr>
        <w:t xml:space="preserve">At our upcoming Annual Meeting of Stockholders on July 28, 2026, your vote is critical to the continued success of Seer. </w:t>
      </w:r>
    </w:p>
    <w:p>
      <w:pPr>
        <w:pStyle w:val="TextBody"/>
        <w:bidi w:val="0"/>
        <w:spacing w:before="240" w:after="0"/>
        <w:jc w:val="left"/>
        <w:rPr>
          <w:rFonts w:ascii="Calibri" w:hAnsi="Calibri"/>
          <w:sz w:val="22"/>
        </w:rPr>
      </w:pPr>
      <w:r>
        <w:rPr>
          <w:rFonts w:ascii="Calibri" w:hAnsi="Calibri"/>
          <w:sz w:val="22"/>
        </w:rPr>
        <w:t xml:space="preserve">Seer has a purpose-built Board of Directors with the expertise needed to guide a category-creating life sciences tools company. This Board is committed to overseeing our strategy to pioneer the nascent space of proteomics using the Board’s decades of industry knowledge and insight. </w:t>
      </w:r>
    </w:p>
    <w:p>
      <w:pPr>
        <w:pStyle w:val="TextBody"/>
        <w:bidi w:val="0"/>
        <w:spacing w:before="240" w:after="0"/>
        <w:jc w:val="left"/>
        <w:rPr>
          <w:rFonts w:ascii="Calibri" w:hAnsi="Calibri"/>
          <w:sz w:val="22"/>
        </w:rPr>
      </w:pPr>
      <w:r>
        <w:rPr>
          <w:rFonts w:ascii="Calibri" w:hAnsi="Calibri"/>
          <w:sz w:val="22"/>
        </w:rPr>
        <w:t xml:space="preserve">At the Annual Meeting, Bradley Radoff and Michael Torok are attempting to replace three of your Board’s sitting directors—Seer’s Co-Founder, CEO and Chair Omid Farokhzad, M.D., Terrance McGuire and Dipchand (Deep) Nishar—with candidates who bring </w:t>
      </w:r>
      <w:r>
        <w:rPr>
          <w:rFonts w:ascii="Calibri" w:hAnsi="Calibri"/>
          <w:b/>
          <w:sz w:val="22"/>
        </w:rPr>
        <w:t>no</w:t>
      </w:r>
      <w:r>
        <w:rPr>
          <w:rFonts w:ascii="Calibri" w:hAnsi="Calibri"/>
          <w:sz w:val="22"/>
        </w:rPr>
        <w:t xml:space="preserve"> proteomics experience, </w:t>
      </w:r>
      <w:r>
        <w:rPr>
          <w:rFonts w:ascii="Calibri" w:hAnsi="Calibri"/>
          <w:b/>
          <w:sz w:val="22"/>
        </w:rPr>
        <w:t>no</w:t>
      </w:r>
      <w:r>
        <w:rPr>
          <w:rFonts w:ascii="Calibri" w:hAnsi="Calibri"/>
          <w:sz w:val="22"/>
        </w:rPr>
        <w:t xml:space="preserve"> life sciences tools experience and </w:t>
      </w:r>
      <w:r>
        <w:rPr>
          <w:rFonts w:ascii="Calibri" w:hAnsi="Calibri"/>
          <w:b/>
          <w:sz w:val="22"/>
        </w:rPr>
        <w:t>no</w:t>
      </w:r>
      <w:r>
        <w:rPr>
          <w:rFonts w:ascii="Calibri" w:hAnsi="Calibri"/>
          <w:sz w:val="22"/>
        </w:rPr>
        <w:t xml:space="preserve"> platform operating experience. Radoff and Torok have offered no plan to build Seer. Their only desire is to strip Seer of its cash. Additionally, their nominees raise serious concerns regarding independence and their ability to act in the best interests of all stockholders. </w:t>
      </w:r>
    </w:p>
    <w:p>
      <w:pPr>
        <w:pStyle w:val="TextBody"/>
        <w:bidi w:val="0"/>
        <w:spacing w:before="240" w:after="0"/>
        <w:jc w:val="left"/>
        <w:rPr>
          <w:rFonts w:ascii="Calibri" w:hAnsi="Calibri"/>
          <w:b/>
          <w:sz w:val="22"/>
        </w:rPr>
      </w:pPr>
      <w:r>
        <w:rPr>
          <w:rFonts w:ascii="Calibri" w:hAnsi="Calibri"/>
          <w:b/>
          <w:sz w:val="22"/>
        </w:rPr>
        <w:t xml:space="preserve">The Three Directors that Radoff and Torok Are Trying to Remove Are Critical to Seer’s Future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5"/>
        <w:gridCol w:w="105"/>
        <w:gridCol w:w="3130"/>
        <w:gridCol w:w="120"/>
        <w:gridCol w:w="3221"/>
        <w:gridCol w:w="120"/>
        <w:gridCol w:w="3084"/>
      </w:tblGrid>
      <w:tr>
        <w:trPr/>
        <w:tc>
          <w:tcPr>
            <w:tcW w:w="42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0"/>
              <w:jc w:val="left"/>
              <w:rPr/>
            </w:pPr>
            <w:r>
              <w:rPr/>
              <w:t>  </w:t>
            </w:r>
          </w:p>
        </w:tc>
        <w:tc>
          <w:tcPr>
            <w:tcW w:w="105" w:type="dxa"/>
            <w:tcBorders/>
            <w:vAlign w:val="bottom"/>
          </w:tcPr>
          <w:p>
            <w:pPr>
              <w:pStyle w:val="TableContents"/>
              <w:bidi w:val="0"/>
              <w:spacing w:before="0" w:after="283"/>
              <w:jc w:val="left"/>
              <w:rPr/>
            </w:pPr>
            <w:r>
              <w:rPr/>
              <w:t> </w:t>
            </w:r>
          </w:p>
        </w:tc>
        <w:tc>
          <w:tcPr>
            <w:tcW w:w="3130" w:type="dxa"/>
            <w:tcBorders/>
          </w:tcPr>
          <w:p>
            <w:pPr>
              <w:pStyle w:val="TableContents"/>
              <w:bidi w:val="0"/>
              <w:spacing w:before="0" w:after="0"/>
              <w:jc w:val="left"/>
              <w:rPr>
                <w:rFonts w:ascii="Calibri" w:hAnsi="Calibri"/>
                <w:b/>
                <w:sz w:val="22"/>
              </w:rPr>
            </w:pPr>
            <w:r>
              <w:rPr>
                <w:rFonts w:ascii="Calibri" w:hAnsi="Calibri"/>
                <w:b/>
                <w:sz w:val="22"/>
              </w:rPr>
              <w:t>Omid Farokhzad, M.D.</w:t>
            </w:r>
          </w:p>
          <w:p>
            <w:pPr>
              <w:pStyle w:val="TableContents"/>
              <w:bidi w:val="0"/>
              <w:spacing w:before="0" w:after="0"/>
              <w:jc w:val="left"/>
              <w:rPr>
                <w:rFonts w:ascii="Calibri" w:hAnsi="Calibri"/>
                <w:i/>
                <w:sz w:val="22"/>
              </w:rPr>
            </w:pPr>
            <w:r>
              <w:rPr>
                <w:rFonts w:ascii="Calibri" w:hAnsi="Calibri"/>
                <w:i/>
                <w:sz w:val="22"/>
              </w:rPr>
              <w:t>Co-Founder, CEO and Chair; Director since 2017</w:t>
            </w:r>
          </w:p>
          <w:p>
            <w:pPr>
              <w:pStyle w:val="TableContents"/>
              <w:bidi w:val="0"/>
              <w:spacing w:before="0" w:after="0"/>
              <w:jc w:val="left"/>
              <w:rPr/>
            </w:pPr>
            <w:r>
              <w:rPr/>
              <w:t> </w:t>
            </w:r>
          </w:p>
          <w:p>
            <w:pPr>
              <w:pStyle w:val="TableContents"/>
              <w:bidi w:val="0"/>
              <w:spacing w:before="0" w:after="0"/>
              <w:jc w:val="left"/>
              <w:rPr/>
            </w:pPr>
            <w:r>
              <w:rPr/>
              <w:t xml:space="preserve">✓ </w:t>
            </w:r>
            <w:r>
              <w:rPr>
                <w:rFonts w:ascii="Calibri" w:hAnsi="Calibri"/>
                <w:sz w:val="22"/>
              </w:rPr>
              <w:t>Scientific architect of the Proteograph® Product Suite</w:t>
            </w:r>
          </w:p>
          <w:p>
            <w:pPr>
              <w:pStyle w:val="TableContents"/>
              <w:bidi w:val="0"/>
              <w:spacing w:before="0" w:after="0"/>
              <w:jc w:val="left"/>
              <w:rPr/>
            </w:pPr>
            <w:r>
              <w:rPr/>
              <w:t xml:space="preserve">✓ </w:t>
            </w:r>
            <w:r>
              <w:rPr>
                <w:rFonts w:ascii="Calibri" w:hAnsi="Calibri"/>
                <w:sz w:val="22"/>
              </w:rPr>
              <w:t>Founder of multiple life sciences platform companies</w:t>
            </w:r>
          </w:p>
          <w:p>
            <w:pPr>
              <w:pStyle w:val="TableContents"/>
              <w:bidi w:val="0"/>
              <w:spacing w:before="0" w:after="20"/>
              <w:jc w:val="left"/>
              <w:rPr/>
            </w:pPr>
            <w:r>
              <w:rPr/>
              <w:t xml:space="preserve">✓ </w:t>
            </w:r>
            <w:r>
              <w:rPr>
                <w:rFonts w:ascii="Calibri" w:hAnsi="Calibri"/>
                <w:sz w:val="22"/>
              </w:rPr>
              <w:t>Author of 200+ scientific papers and inventor on 250+ patents</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0"/>
              <w:jc w:val="left"/>
              <w:rPr>
                <w:rFonts w:ascii="Calibri" w:hAnsi="Calibri"/>
                <w:b/>
                <w:sz w:val="22"/>
              </w:rPr>
            </w:pPr>
            <w:r>
              <w:rPr>
                <w:rFonts w:ascii="Calibri" w:hAnsi="Calibri"/>
                <w:b/>
                <w:sz w:val="22"/>
              </w:rPr>
              <w:t>Terrance McGuire</w:t>
            </w:r>
          </w:p>
          <w:p>
            <w:pPr>
              <w:pStyle w:val="TableContents"/>
              <w:bidi w:val="0"/>
              <w:spacing w:before="0" w:after="0"/>
              <w:jc w:val="left"/>
              <w:rPr>
                <w:rFonts w:ascii="Calibri" w:hAnsi="Calibri"/>
                <w:i/>
                <w:sz w:val="22"/>
              </w:rPr>
            </w:pPr>
            <w:r>
              <w:rPr>
                <w:rFonts w:ascii="Calibri" w:hAnsi="Calibri"/>
                <w:i/>
                <w:sz w:val="22"/>
              </w:rPr>
              <w:t>Founding Partner of Polaris Partners; Director since 2017</w:t>
            </w:r>
          </w:p>
          <w:p>
            <w:pPr>
              <w:pStyle w:val="TableContents"/>
              <w:bidi w:val="0"/>
              <w:spacing w:before="0" w:after="0"/>
              <w:jc w:val="left"/>
              <w:rPr/>
            </w:pPr>
            <w:r>
              <w:rPr/>
              <w:t> </w:t>
            </w:r>
          </w:p>
          <w:p>
            <w:pPr>
              <w:pStyle w:val="TableContents"/>
              <w:bidi w:val="0"/>
              <w:spacing w:before="0" w:after="0"/>
              <w:jc w:val="left"/>
              <w:rPr/>
            </w:pPr>
            <w:r>
              <w:rPr/>
              <w:t xml:space="preserve">✓ </w:t>
            </w:r>
            <w:r>
              <w:rPr>
                <w:rFonts w:ascii="Calibri" w:hAnsi="Calibri"/>
                <w:sz w:val="22"/>
              </w:rPr>
              <w:t>Decades of healthcare investing and company-building experience</w:t>
            </w:r>
          </w:p>
          <w:p>
            <w:pPr>
              <w:pStyle w:val="TableContents"/>
              <w:bidi w:val="0"/>
              <w:spacing w:before="0" w:after="20"/>
              <w:jc w:val="left"/>
              <w:rPr/>
            </w:pPr>
            <w:r>
              <w:rPr/>
              <w:t xml:space="preserve">✓ </w:t>
            </w:r>
            <w:r>
              <w:rPr>
                <w:rFonts w:ascii="Calibri" w:hAnsi="Calibri"/>
                <w:sz w:val="22"/>
              </w:rPr>
              <w:t>Proven capital allocation and governance judgment</w:t>
            </w:r>
          </w:p>
        </w:tc>
        <w:tc>
          <w:tcPr>
            <w:tcW w:w="120" w:type="dxa"/>
            <w:tcBorders/>
            <w:vAlign w:val="bottom"/>
          </w:tcPr>
          <w:p>
            <w:pPr>
              <w:pStyle w:val="TableContents"/>
              <w:bidi w:val="0"/>
              <w:spacing w:before="0" w:after="283"/>
              <w:jc w:val="left"/>
              <w:rPr/>
            </w:pPr>
            <w:r>
              <w:rPr/>
              <w:t>  </w:t>
            </w:r>
          </w:p>
        </w:tc>
        <w:tc>
          <w:tcPr>
            <w:tcW w:w="3084" w:type="dxa"/>
            <w:tcBorders/>
          </w:tcPr>
          <w:p>
            <w:pPr>
              <w:pStyle w:val="TableContents"/>
              <w:bidi w:val="0"/>
              <w:spacing w:before="0" w:after="0"/>
              <w:jc w:val="left"/>
              <w:rPr>
                <w:rFonts w:ascii="Calibri" w:hAnsi="Calibri"/>
                <w:b/>
                <w:sz w:val="22"/>
              </w:rPr>
            </w:pPr>
            <w:r>
              <w:rPr>
                <w:rFonts w:ascii="Calibri" w:hAnsi="Calibri"/>
                <w:b/>
                <w:sz w:val="22"/>
              </w:rPr>
              <w:t>Dipchand (Deep) Nishar</w:t>
            </w:r>
          </w:p>
          <w:p>
            <w:pPr>
              <w:pStyle w:val="TableContents"/>
              <w:bidi w:val="0"/>
              <w:spacing w:before="0" w:after="0"/>
              <w:jc w:val="left"/>
              <w:rPr>
                <w:rFonts w:ascii="Calibri" w:hAnsi="Calibri"/>
                <w:i/>
                <w:sz w:val="22"/>
              </w:rPr>
            </w:pPr>
            <w:r>
              <w:rPr>
                <w:rFonts w:ascii="Calibri" w:hAnsi="Calibri"/>
                <w:i/>
                <w:sz w:val="22"/>
              </w:rPr>
              <w:t>Technology and Growth Leader; Director since 2021</w:t>
            </w:r>
          </w:p>
          <w:p>
            <w:pPr>
              <w:pStyle w:val="TableContents"/>
              <w:bidi w:val="0"/>
              <w:spacing w:before="0" w:after="0"/>
              <w:jc w:val="left"/>
              <w:rPr/>
            </w:pPr>
            <w:r>
              <w:rPr/>
              <w:t> </w:t>
            </w:r>
          </w:p>
          <w:p>
            <w:pPr>
              <w:pStyle w:val="TableContents"/>
              <w:bidi w:val="0"/>
              <w:spacing w:before="0" w:after="0"/>
              <w:jc w:val="left"/>
              <w:rPr/>
            </w:pPr>
            <w:r>
              <w:rPr/>
              <w:t xml:space="preserve">✓ </w:t>
            </w:r>
            <w:r>
              <w:rPr>
                <w:rFonts w:ascii="Calibri" w:hAnsi="Calibri"/>
                <w:sz w:val="22"/>
              </w:rPr>
              <w:t>Former Senior Managing Partner at SoftBank Vision Fund</w:t>
            </w:r>
          </w:p>
          <w:p>
            <w:pPr>
              <w:pStyle w:val="TableContents"/>
              <w:bidi w:val="0"/>
              <w:spacing w:before="0" w:after="0"/>
              <w:jc w:val="left"/>
              <w:rPr/>
            </w:pPr>
            <w:r>
              <w:rPr/>
              <w:t xml:space="preserve">✓ </w:t>
            </w:r>
            <w:r>
              <w:rPr>
                <w:rFonts w:ascii="Calibri" w:hAnsi="Calibri"/>
                <w:sz w:val="22"/>
              </w:rPr>
              <w:t>Former Managing Director at General Catalyst</w:t>
            </w:r>
          </w:p>
          <w:p>
            <w:pPr>
              <w:pStyle w:val="TableContents"/>
              <w:bidi w:val="0"/>
              <w:spacing w:before="0" w:after="20"/>
              <w:jc w:val="left"/>
              <w:rPr/>
            </w:pPr>
            <w:r>
              <w:rPr/>
              <w:t xml:space="preserve">✓ </w:t>
            </w:r>
            <w:r>
              <w:rPr>
                <w:rFonts w:ascii="Calibri" w:hAnsi="Calibri"/>
                <w:sz w:val="22"/>
              </w:rPr>
              <w:t>Former senior executive at LinkedIn and Google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32"/>
        <w:gridCol w:w="106"/>
        <w:gridCol w:w="3160"/>
        <w:gridCol w:w="121"/>
        <w:gridCol w:w="3156"/>
        <w:gridCol w:w="121"/>
        <w:gridCol w:w="3109"/>
      </w:tblGrid>
      <w:tr>
        <w:trPr/>
        <w:tc>
          <w:tcPr>
            <w:tcW w:w="43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 xml:space="preserve">✓ </w:t>
            </w:r>
            <w:r>
              <w:rPr>
                <w:rFonts w:ascii="Calibri" w:hAnsi="Calibri"/>
              </w:rPr>
              <w:t>Seer’s largest long-term stockholder, together with family entities</w:t>
            </w:r>
          </w:p>
        </w:tc>
        <w:tc>
          <w:tcPr>
            <w:tcW w:w="121" w:type="dxa"/>
            <w:tcBorders/>
            <w:vAlign w:val="bottom"/>
          </w:tcPr>
          <w:p>
            <w:pPr>
              <w:pStyle w:val="TableContents"/>
              <w:bidi w:val="0"/>
              <w:spacing w:before="0" w:after="283"/>
              <w:jc w:val="left"/>
              <w:rPr/>
            </w:pPr>
            <w:r>
              <w:rPr/>
              <w:t>  </w:t>
            </w:r>
          </w:p>
        </w:tc>
        <w:tc>
          <w:tcPr>
            <w:tcW w:w="3156" w:type="dxa"/>
            <w:tcBorders/>
          </w:tcPr>
          <w:p>
            <w:pPr>
              <w:pStyle w:val="TableContents"/>
              <w:bidi w:val="0"/>
              <w:spacing w:before="0" w:after="0"/>
              <w:jc w:val="left"/>
              <w:rPr/>
            </w:pPr>
            <w:r>
              <w:rPr/>
              <w:t xml:space="preserve">✓ </w:t>
            </w:r>
            <w:r>
              <w:rPr>
                <w:rFonts w:ascii="Calibri" w:hAnsi="Calibri"/>
                <w:sz w:val="22"/>
              </w:rPr>
              <w:t>Investor in Seer at inception and again at Seer’s IPO</w:t>
            </w:r>
          </w:p>
          <w:p>
            <w:pPr>
              <w:pStyle w:val="TableContents"/>
              <w:bidi w:val="0"/>
              <w:spacing w:before="0" w:after="20"/>
              <w:jc w:val="left"/>
              <w:rPr/>
            </w:pPr>
            <w:r>
              <w:rPr/>
              <w:t xml:space="preserve">✓ </w:t>
            </w:r>
            <w:r>
              <w:rPr>
                <w:rFonts w:ascii="Calibri" w:hAnsi="Calibri"/>
                <w:sz w:val="22"/>
              </w:rPr>
              <w:t>One of Seer’s longest-term stockholders</w:t>
            </w:r>
          </w:p>
        </w:tc>
        <w:tc>
          <w:tcPr>
            <w:tcW w:w="121"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pPr>
            <w:r>
              <w:rPr/>
              <w:t xml:space="preserve">✓ </w:t>
            </w:r>
            <w:r>
              <w:rPr>
                <w:rFonts w:ascii="Calibri" w:hAnsi="Calibri"/>
              </w:rPr>
              <w:t>Deep capital markets, growth investing and corporate strategy expertise</w:t>
            </w:r>
          </w:p>
        </w:tc>
      </w:tr>
    </w:tbl>
    <w:p>
      <w:pPr>
        <w:pStyle w:val="TextBody"/>
        <w:bidi w:val="0"/>
        <w:spacing w:before="240" w:after="0"/>
        <w:jc w:val="left"/>
        <w:rPr>
          <w:rFonts w:ascii="Calibri" w:hAnsi="Calibri"/>
          <w:b/>
          <w:sz w:val="22"/>
        </w:rPr>
      </w:pPr>
      <w:r>
        <w:rPr>
          <w:rFonts w:ascii="Calibri" w:hAnsi="Calibri"/>
          <w:b/>
          <w:sz w:val="22"/>
        </w:rPr>
        <w:t xml:space="preserve">Seer’s Nominees Have the Right Experience, Radoff and Torok’s Nominees Do Not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0"/>
        <w:gridCol w:w="120"/>
        <w:gridCol w:w="3173"/>
        <w:gridCol w:w="120"/>
        <w:gridCol w:w="3120"/>
        <w:gridCol w:w="120"/>
        <w:gridCol w:w="3122"/>
      </w:tblGrid>
      <w:tr>
        <w:trPr/>
        <w:tc>
          <w:tcPr>
            <w:tcW w:w="4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r>
      <w:tr>
        <w:trPr/>
        <w:tc>
          <w:tcPr>
            <w:tcW w:w="430" w:type="dxa"/>
            <w:tcBorders/>
            <w:vAlign w:val="bottom"/>
          </w:tcPr>
          <w:p>
            <w:pPr>
              <w:pStyle w:val="TableContents"/>
              <w:bidi w:val="0"/>
              <w:spacing w:before="0" w:after="283"/>
              <w:jc w:val="left"/>
              <w:rPr/>
            </w:pPr>
            <w:r>
              <w:rPr/>
              <w:t>  </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center"/>
              <w:rPr>
                <w:rFonts w:ascii="Calibri" w:hAnsi="Calibri"/>
                <w:sz w:val="22"/>
              </w:rPr>
            </w:pPr>
            <w:r>
              <w:rPr>
                <w:rFonts w:ascii="Calibri" w:hAnsi="Calibri"/>
                <w:sz w:val="22"/>
              </w:rPr>
              <w:t>Critical Experience Needed at</w:t>
            </w:r>
          </w:p>
          <w:p>
            <w:pPr>
              <w:pStyle w:val="TableContents"/>
              <w:bidi w:val="0"/>
              <w:spacing w:before="0" w:after="20"/>
              <w:jc w:val="center"/>
              <w:rPr>
                <w:rFonts w:ascii="Calibri" w:hAnsi="Calibri"/>
                <w:sz w:val="22"/>
              </w:rPr>
            </w:pPr>
            <w:r>
              <w:rPr>
                <w:rFonts w:ascii="Calibri" w:hAnsi="Calibri"/>
                <w:sz w:val="22"/>
              </w:rPr>
              <w:t>Seer</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rFonts w:ascii="Calibri" w:hAnsi="Calibri"/>
              </w:rPr>
            </w:pPr>
            <w:r>
              <w:rPr>
                <w:rFonts w:ascii="Calibri" w:hAnsi="Calibri"/>
              </w:rPr>
              <w:t>Seer’s Director Nominees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22"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center"/>
              <w:rPr>
                <w:rFonts w:ascii="Calibri" w:hAnsi="Calibri"/>
              </w:rPr>
            </w:pPr>
            <w:r>
              <w:rPr>
                <w:rFonts w:ascii="Calibri" w:hAnsi="Calibri"/>
              </w:rPr>
              <w:t>Radoff and Torok’s Nominees</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3173" w:type="dxa"/>
            <w:tcBorders>
              <w:right w:val="single" w:sz="2" w:space="0" w:color="000000"/>
            </w:tcBorders>
            <w:tcMar>
              <w:right w:w="28" w:type="dxa"/>
            </w:tcMar>
          </w:tcPr>
          <w:p>
            <w:pPr>
              <w:pStyle w:val="TableContents"/>
              <w:bidi w:val="0"/>
              <w:spacing w:before="0" w:after="283"/>
              <w:jc w:val="left"/>
              <w:rPr>
                <w:rFonts w:ascii="Calibri" w:hAnsi="Calibri"/>
              </w:rPr>
            </w:pPr>
            <w:r>
              <w:rPr>
                <w:rFonts w:ascii="Calibri" w:hAnsi="Calibri"/>
              </w:rPr>
              <w:t>Proteomics or adjacent scientific platform expertise</w:t>
            </w:r>
          </w:p>
        </w:tc>
        <w:tc>
          <w:tcPr>
            <w:tcW w:w="120" w:type="dxa"/>
            <w:tcBorders/>
            <w:vAlign w:val="bottom"/>
          </w:tcPr>
          <w:p>
            <w:pPr>
              <w:pStyle w:val="TableContents"/>
              <w:bidi w:val="0"/>
              <w:spacing w:before="0" w:after="283"/>
              <w:jc w:val="left"/>
              <w:rPr/>
            </w:pPr>
            <w:r>
              <w:rPr/>
              <w:t>  </w:t>
            </w:r>
          </w:p>
        </w:tc>
        <w:tc>
          <w:tcPr>
            <w:tcW w:w="3120" w:type="dxa"/>
            <w:tcBorders>
              <w:right w:val="single" w:sz="2" w:space="0" w:color="000000"/>
            </w:tcBorders>
            <w:tcMar>
              <w:right w:w="28" w:type="dxa"/>
            </w:tcMar>
            <w:vAlign w:val="center"/>
          </w:tcPr>
          <w:p>
            <w:pPr>
              <w:pStyle w:val="TableContents"/>
              <w:bidi w:val="0"/>
              <w:spacing w:before="0" w:after="283"/>
              <w:jc w:val="center"/>
              <w:rPr>
                <w:color w:val="4EA72E"/>
              </w:rPr>
            </w:pPr>
            <w:r>
              <w:rPr>
                <w:color w:val="4EA72E"/>
              </w:rPr>
              <w:t>✓</w:t>
            </w:r>
          </w:p>
        </w:tc>
        <w:tc>
          <w:tcPr>
            <w:tcW w:w="120" w:type="dxa"/>
            <w:tcBorders/>
            <w:vAlign w:val="bottom"/>
          </w:tcPr>
          <w:p>
            <w:pPr>
              <w:pStyle w:val="TableContents"/>
              <w:bidi w:val="0"/>
              <w:spacing w:before="0" w:after="283"/>
              <w:jc w:val="left"/>
              <w:rPr/>
            </w:pPr>
            <w:r>
              <w:rPr/>
              <w:t>  </w:t>
            </w:r>
          </w:p>
        </w:tc>
        <w:tc>
          <w:tcPr>
            <w:tcW w:w="3122" w:type="dxa"/>
            <w:tcBorders>
              <w:right w:val="single" w:sz="2" w:space="0" w:color="000000"/>
            </w:tcBorders>
            <w:tcMar>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rFonts w:ascii="Calibri" w:hAnsi="Calibri"/>
              </w:rPr>
            </w:pPr>
            <w:r>
              <w:rPr>
                <w:rFonts w:ascii="Calibri" w:hAnsi="Calibri"/>
              </w:rPr>
              <w:t>Life sciences tools operating experience</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color w:val="4EA72E"/>
              </w:rPr>
            </w:pPr>
            <w:r>
              <w:rPr>
                <w:color w:val="4EA72E"/>
              </w:rPr>
              <w:t xml:space="preserv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2"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3173" w:type="dxa"/>
            <w:tcBorders>
              <w:right w:val="single" w:sz="2" w:space="0" w:color="000000"/>
            </w:tcBorders>
            <w:tcMar>
              <w:right w:w="28" w:type="dxa"/>
            </w:tcMar>
          </w:tcPr>
          <w:p>
            <w:pPr>
              <w:pStyle w:val="TableContents"/>
              <w:bidi w:val="0"/>
              <w:spacing w:before="0" w:after="283"/>
              <w:jc w:val="left"/>
              <w:rPr>
                <w:rFonts w:ascii="Calibri" w:hAnsi="Calibri"/>
              </w:rPr>
            </w:pPr>
            <w:r>
              <w:rPr>
                <w:rFonts w:ascii="Calibri" w:hAnsi="Calibri"/>
              </w:rPr>
              <w:t>Experience scaling innovative technology platforms</w:t>
            </w:r>
          </w:p>
        </w:tc>
        <w:tc>
          <w:tcPr>
            <w:tcW w:w="120" w:type="dxa"/>
            <w:tcBorders/>
            <w:vAlign w:val="bottom"/>
          </w:tcPr>
          <w:p>
            <w:pPr>
              <w:pStyle w:val="TableContents"/>
              <w:bidi w:val="0"/>
              <w:spacing w:before="0" w:after="283"/>
              <w:jc w:val="left"/>
              <w:rPr/>
            </w:pPr>
            <w:r>
              <w:rPr/>
              <w:t>  </w:t>
            </w:r>
          </w:p>
        </w:tc>
        <w:tc>
          <w:tcPr>
            <w:tcW w:w="3120" w:type="dxa"/>
            <w:tcBorders>
              <w:right w:val="single" w:sz="2" w:space="0" w:color="000000"/>
            </w:tcBorders>
            <w:tcMar>
              <w:right w:w="28" w:type="dxa"/>
            </w:tcMar>
            <w:vAlign w:val="center"/>
          </w:tcPr>
          <w:p>
            <w:pPr>
              <w:pStyle w:val="TableContents"/>
              <w:bidi w:val="0"/>
              <w:spacing w:before="0" w:after="283"/>
              <w:jc w:val="center"/>
              <w:rPr>
                <w:color w:val="4EA72E"/>
              </w:rPr>
            </w:pPr>
            <w:r>
              <w:rPr>
                <w:color w:val="4EA72E"/>
              </w:rPr>
              <w:t>✓</w:t>
            </w:r>
          </w:p>
        </w:tc>
        <w:tc>
          <w:tcPr>
            <w:tcW w:w="120" w:type="dxa"/>
            <w:tcBorders/>
            <w:vAlign w:val="bottom"/>
          </w:tcPr>
          <w:p>
            <w:pPr>
              <w:pStyle w:val="TableContents"/>
              <w:bidi w:val="0"/>
              <w:spacing w:before="0" w:after="283"/>
              <w:jc w:val="left"/>
              <w:rPr/>
            </w:pPr>
            <w:r>
              <w:rPr/>
              <w:t>  </w:t>
            </w:r>
          </w:p>
        </w:tc>
        <w:tc>
          <w:tcPr>
            <w:tcW w:w="3122" w:type="dxa"/>
            <w:tcBorders>
              <w:right w:val="single" w:sz="2" w:space="0" w:color="000000"/>
            </w:tcBorders>
            <w:tcMar>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rFonts w:ascii="Calibri" w:hAnsi="Calibri"/>
              </w:rPr>
            </w:pPr>
            <w:r>
              <w:rPr>
                <w:rFonts w:ascii="Calibri" w:hAnsi="Calibri"/>
              </w:rPr>
              <w:t>Public company governance experience relevant to Seer</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color w:val="4EA72E"/>
              </w:rPr>
            </w:pPr>
            <w:r>
              <w:rPr>
                <w:color w:val="4EA72E"/>
              </w:rPr>
              <w:t xml:space="preserv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2"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3173" w:type="dxa"/>
            <w:tcBorders>
              <w:right w:val="single" w:sz="2" w:space="0" w:color="000000"/>
            </w:tcBorders>
            <w:tcMar>
              <w:right w:w="28" w:type="dxa"/>
            </w:tcMar>
          </w:tcPr>
          <w:p>
            <w:pPr>
              <w:pStyle w:val="TableContents"/>
              <w:bidi w:val="0"/>
              <w:spacing w:before="0" w:after="283"/>
              <w:jc w:val="left"/>
              <w:rPr>
                <w:rFonts w:ascii="Calibri" w:hAnsi="Calibri"/>
              </w:rPr>
            </w:pPr>
            <w:r>
              <w:rPr>
                <w:rFonts w:ascii="Calibri" w:hAnsi="Calibri"/>
              </w:rPr>
              <w:t>Capital allocation discipline</w:t>
            </w:r>
          </w:p>
        </w:tc>
        <w:tc>
          <w:tcPr>
            <w:tcW w:w="120" w:type="dxa"/>
            <w:tcBorders/>
            <w:vAlign w:val="bottom"/>
          </w:tcPr>
          <w:p>
            <w:pPr>
              <w:pStyle w:val="TableContents"/>
              <w:bidi w:val="0"/>
              <w:spacing w:before="0" w:after="283"/>
              <w:jc w:val="left"/>
              <w:rPr/>
            </w:pPr>
            <w:r>
              <w:rPr/>
              <w:t>  </w:t>
            </w:r>
          </w:p>
        </w:tc>
        <w:tc>
          <w:tcPr>
            <w:tcW w:w="3120" w:type="dxa"/>
            <w:tcBorders>
              <w:right w:val="single" w:sz="2" w:space="0" w:color="000000"/>
            </w:tcBorders>
            <w:tcMar>
              <w:right w:w="28" w:type="dxa"/>
            </w:tcMar>
            <w:vAlign w:val="center"/>
          </w:tcPr>
          <w:p>
            <w:pPr>
              <w:pStyle w:val="TableContents"/>
              <w:bidi w:val="0"/>
              <w:spacing w:before="0" w:after="283"/>
              <w:jc w:val="center"/>
              <w:rPr>
                <w:color w:val="4EA72E"/>
              </w:rPr>
            </w:pPr>
            <w:r>
              <w:rPr>
                <w:color w:val="4EA72E"/>
              </w:rPr>
              <w:t>✓</w:t>
            </w:r>
          </w:p>
        </w:tc>
        <w:tc>
          <w:tcPr>
            <w:tcW w:w="120" w:type="dxa"/>
            <w:tcBorders/>
            <w:vAlign w:val="bottom"/>
          </w:tcPr>
          <w:p>
            <w:pPr>
              <w:pStyle w:val="TableContents"/>
              <w:bidi w:val="0"/>
              <w:spacing w:before="0" w:after="283"/>
              <w:jc w:val="left"/>
              <w:rPr/>
            </w:pPr>
            <w:r>
              <w:rPr/>
              <w:t>  </w:t>
            </w:r>
          </w:p>
        </w:tc>
        <w:tc>
          <w:tcPr>
            <w:tcW w:w="3122" w:type="dxa"/>
            <w:tcBorders>
              <w:right w:val="single" w:sz="2" w:space="0" w:color="000000"/>
            </w:tcBorders>
            <w:tcMar>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rFonts w:ascii="Calibri" w:hAnsi="Calibri"/>
              </w:rPr>
            </w:pPr>
            <w:r>
              <w:rPr>
                <w:rFonts w:ascii="Calibri" w:hAnsi="Calibri"/>
              </w:rPr>
              <w:t>Long-term alignment with Seer stockholders</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color w:val="4EA72E"/>
              </w:rPr>
            </w:pPr>
            <w:r>
              <w:rPr>
                <w:color w:val="4EA72E"/>
              </w:rPr>
              <w:t xml:space="preserv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22"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r>
        <w:trPr/>
        <w:tc>
          <w:tcPr>
            <w:tcW w:w="430" w:type="dxa"/>
            <w:tcBorders/>
          </w:tcPr>
          <w:p>
            <w:pPr>
              <w:pStyle w:val="TableContents"/>
              <w:bidi w:val="0"/>
              <w:spacing w:before="0" w:after="283"/>
              <w:jc w:val="left"/>
              <w:rPr>
                <w:sz w:val="4"/>
                <w:szCs w:val="4"/>
              </w:rPr>
            </w:pPr>
            <w:r>
              <w:rPr>
                <w:sz w:val="4"/>
                <w:szCs w:val="4"/>
              </w:rPr>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73" w:type="dxa"/>
            <w:tcBorders>
              <w:bottom w:val="single" w:sz="2" w:space="0" w:color="000000"/>
              <w:right w:val="single" w:sz="2" w:space="0" w:color="000000"/>
            </w:tcBorders>
            <w:tcMar>
              <w:bottom w:w="28" w:type="dxa"/>
              <w:right w:w="28" w:type="dxa"/>
            </w:tcMar>
          </w:tcPr>
          <w:p>
            <w:pPr>
              <w:pStyle w:val="TableContents"/>
              <w:bidi w:val="0"/>
              <w:spacing w:before="0" w:after="283"/>
              <w:jc w:val="left"/>
              <w:rPr>
                <w:rFonts w:ascii="Calibri" w:hAnsi="Calibri"/>
              </w:rPr>
            </w:pPr>
            <w:r>
              <w:rPr>
                <w:rFonts w:ascii="Calibri" w:hAnsi="Calibri"/>
              </w:rPr>
              <w:t>Direct role in building Seer’s strategy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color w:val="4EA72E"/>
              </w:rPr>
            </w:pPr>
            <w:r>
              <w:rPr>
                <w:color w:val="4EA72E"/>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2"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rFonts w:ascii="Calibri" w:hAnsi="Calibri"/>
                <w:color w:val="C00000"/>
              </w:rPr>
            </w:pPr>
            <w:r>
              <w:rPr>
                <w:rFonts w:ascii="Calibri" w:hAnsi="Calibri"/>
                <w:color w:val="C00000"/>
              </w:rPr>
              <w:t>X</w:t>
            </w:r>
          </w:p>
        </w:tc>
      </w:tr>
    </w:tbl>
    <w:p>
      <w:pPr>
        <w:pStyle w:val="TextBody"/>
        <w:bidi w:val="0"/>
        <w:spacing w:before="240" w:after="0"/>
        <w:jc w:val="left"/>
        <w:rPr>
          <w:rFonts w:ascii="Calibri" w:hAnsi="Calibri"/>
          <w:sz w:val="22"/>
        </w:rPr>
      </w:pPr>
      <w:r>
        <w:rPr>
          <w:rFonts w:ascii="Calibri" w:hAnsi="Calibri"/>
          <w:sz w:val="22"/>
        </w:rPr>
        <w:t xml:space="preserve">The Board thoughtfully evaluated the three director candidates identified by Radoff and Torok and unanimously determined that they lack the relevant skillsets, experience and independence required to oversee a complex proteomics company at a critical stage of its evolution in a nascent market. The Board also offered, in good faith, to interview these candidates. Radoff and Torok declined to make them available for customary interviews. Radoff and Torok’s actions demonstrate an unwillingness to work constructively with the Board, and we believe that their nominees would diminish the overall quality of our purpose-built Board. </w:t>
      </w:r>
    </w:p>
    <w:p>
      <w:pPr>
        <w:pStyle w:val="TextBody"/>
        <w:bidi w:val="0"/>
        <w:spacing w:before="240" w:after="0"/>
        <w:jc w:val="left"/>
        <w:rPr>
          <w:rFonts w:ascii="Calibri" w:hAnsi="Calibri"/>
          <w:sz w:val="22"/>
        </w:rPr>
      </w:pPr>
      <w:r>
        <w:rPr>
          <w:rFonts w:ascii="Calibri" w:hAnsi="Calibri"/>
          <w:sz w:val="22"/>
        </w:rPr>
        <w:t xml:space="preserve">The issue is not whether Radoff and Torok’s nominees have experience in other fields. The issue is whether they have the right experience for Seer. </w:t>
      </w:r>
      <w:r>
        <w:rPr>
          <w:rFonts w:ascii="Calibri" w:hAnsi="Calibri"/>
          <w:b/>
          <w:sz w:val="22"/>
        </w:rPr>
        <w:t>They do not.</w:t>
      </w:r>
      <w:r>
        <w:rPr>
          <w:rFonts w:ascii="Calibri" w:hAnsi="Calibri"/>
          <w:sz w:val="22"/>
        </w:rPr>
        <w:t xml:space="preserve"> </w:t>
      </w:r>
    </w:p>
    <w:p>
      <w:pPr>
        <w:pStyle w:val="TextBody"/>
        <w:bidi w:val="0"/>
        <w:spacing w:before="240" w:after="0"/>
        <w:jc w:val="left"/>
        <w:rPr>
          <w:rFonts w:ascii="Calibri" w:hAnsi="Calibri"/>
          <w:sz w:val="22"/>
        </w:rPr>
      </w:pPr>
      <w:r>
        <w:rPr>
          <w:rFonts w:ascii="Calibri" w:hAnsi="Calibri"/>
          <w:sz w:val="22"/>
        </w:rPr>
        <w:t xml:space="preserve">Radoff and Torok are not merely proposing alternative directors. They are trying to install nominees who, in our view, appear selected to advance their short-term agenda. </w:t>
      </w:r>
    </w:p>
    <w:p>
      <w:pPr>
        <w:pStyle w:val="TextBody"/>
        <w:bidi w:val="0"/>
        <w:spacing w:before="240" w:after="0"/>
        <w:jc w:val="left"/>
        <w:rPr>
          <w:rFonts w:ascii="Calibri" w:hAnsi="Calibri"/>
          <w:b/>
          <w:sz w:val="22"/>
        </w:rPr>
      </w:pPr>
      <w:r>
        <w:rPr>
          <w:rFonts w:ascii="Calibri" w:hAnsi="Calibri"/>
          <w:b/>
          <w:sz w:val="22"/>
        </w:rPr>
        <w:t xml:space="preserve">Support Long-Term Value Creation, Vote “FOR” Seer Today </w:t>
      </w:r>
    </w:p>
    <w:p>
      <w:pPr>
        <w:pStyle w:val="TextBody"/>
        <w:bidi w:val="0"/>
        <w:spacing w:before="240" w:after="0"/>
        <w:jc w:val="left"/>
        <w:rPr>
          <w:rFonts w:ascii="Calibri" w:hAnsi="Calibri"/>
          <w:b/>
          <w:sz w:val="22"/>
        </w:rPr>
      </w:pPr>
      <w:r>
        <w:rPr>
          <w:rFonts w:ascii="Calibri" w:hAnsi="Calibri"/>
          <w:b/>
          <w:sz w:val="22"/>
        </w:rPr>
        <w:t xml:space="preserve">Do not let Radoff and Torok derail Seer’s progress by replacing three critical members of the Board as we continue to build a new market in deep, unbiased proteomics. </w:t>
      </w:r>
    </w:p>
    <w:p>
      <w:pPr>
        <w:pStyle w:val="TextBody"/>
        <w:bidi w:val="0"/>
        <w:spacing w:before="240" w:after="0"/>
        <w:jc w:val="left"/>
        <w:rPr>
          <w:rFonts w:ascii="Calibri" w:hAnsi="Calibri"/>
          <w:sz w:val="22"/>
        </w:rPr>
      </w:pPr>
      <w:r>
        <w:rPr>
          <w:rFonts w:ascii="Calibri" w:hAnsi="Calibri"/>
          <w:sz w:val="22"/>
        </w:rPr>
        <w:t xml:space="preserve">Protect the value of your investment and </w:t>
      </w:r>
      <w:r>
        <w:rPr>
          <w:rFonts w:ascii="Calibri" w:hAnsi="Calibri"/>
          <w:b/>
          <w:sz w:val="22"/>
        </w:rPr>
        <w:t>vote the BLUE proxy card today</w:t>
      </w:r>
      <w:r>
        <w:rPr>
          <w:rFonts w:ascii="Calibri" w:hAnsi="Calibri"/>
          <w:sz w:val="22"/>
        </w:rPr>
        <w:t xml:space="preserve"> “FOR” Seer’s seven highly qualified director nominees: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b/>
          <w:sz w:val="22"/>
        </w:rPr>
      </w:pPr>
      <w:r>
        <w:rPr>
          <w:rFonts w:ascii="Calibri" w:hAnsi="Calibri"/>
          <w:b/>
          <w:sz w:val="22"/>
        </w:rPr>
        <w:t xml:space="preserve">Omid Farokhzad, M.D.; Meeta Gulyani; Robert Langer, Sc.D.; Terrance McGuire; Dipchand (Deep) Nishar; Isaac Ro; and Nicolas Roelofs, Ph.D. </w:t>
      </w:r>
    </w:p>
    <w:p>
      <w:pPr>
        <w:pStyle w:val="TextBody"/>
        <w:bidi w:val="0"/>
        <w:spacing w:before="240" w:after="0"/>
        <w:jc w:val="left"/>
        <w:rPr>
          <w:rFonts w:ascii="Calibri" w:hAnsi="Calibri"/>
          <w:sz w:val="22"/>
        </w:rPr>
      </w:pPr>
      <w:r>
        <w:rPr>
          <w:rFonts w:ascii="Calibri" w:hAnsi="Calibri"/>
          <w:sz w:val="22"/>
        </w:rPr>
        <w:t xml:space="preserve">Thank you for your continued support of Seer. </w:t>
      </w:r>
    </w:p>
    <w:p>
      <w:pPr>
        <w:pStyle w:val="TextBody"/>
        <w:bidi w:val="0"/>
        <w:spacing w:before="240" w:after="0"/>
        <w:jc w:val="left"/>
        <w:rPr>
          <w:rFonts w:ascii="Calibri" w:hAnsi="Calibri"/>
          <w:sz w:val="22"/>
        </w:rPr>
      </w:pPr>
      <w:r>
        <w:rPr>
          <w:rFonts w:ascii="Calibri" w:hAnsi="Calibri"/>
          <w:sz w:val="22"/>
        </w:rPr>
        <w:t xml:space="preserve">Sincerely, </w:t>
      </w:r>
    </w:p>
    <w:p>
      <w:pPr>
        <w:pStyle w:val="TextBody"/>
        <w:bidi w:val="0"/>
        <w:spacing w:before="0" w:after="0"/>
        <w:jc w:val="left"/>
        <w:rPr>
          <w:rFonts w:ascii="Calibri" w:hAnsi="Calibri"/>
          <w:sz w:val="22"/>
        </w:rPr>
      </w:pPr>
      <w:r>
        <w:rPr>
          <w:rFonts w:ascii="Calibri" w:hAnsi="Calibri"/>
          <w:sz w:val="22"/>
        </w:rPr>
        <w:t xml:space="preserve">The Seer Board of Directors </w:t>
      </w:r>
    </w:p>
    <w:p>
      <w:pPr>
        <w:pStyle w:val="TextBody"/>
        <w:bidi w:val="0"/>
        <w:spacing w:before="240" w:after="0"/>
        <w:jc w:val="center"/>
        <w:rPr>
          <w:rFonts w:ascii="Calibri" w:hAnsi="Calibri"/>
          <w:b/>
          <w:sz w:val="22"/>
        </w:rPr>
      </w:pPr>
      <w:r>
        <w:rPr>
          <w:rFonts w:ascii="Calibri" w:hAnsi="Calibri"/>
          <w:b/>
          <w:sz w:val="22"/>
        </w:rPr>
        <w:t xml:space="preserve">If you have any questions or require any assistance with voting your shares, </w:t>
      </w:r>
    </w:p>
    <w:p>
      <w:pPr>
        <w:pStyle w:val="TextBody"/>
        <w:bidi w:val="0"/>
        <w:spacing w:before="0" w:after="0"/>
        <w:jc w:val="center"/>
        <w:rPr>
          <w:rFonts w:ascii="Calibri" w:hAnsi="Calibri"/>
          <w:b/>
          <w:sz w:val="22"/>
        </w:rPr>
      </w:pPr>
      <w:r>
        <w:rPr>
          <w:rFonts w:ascii="Calibri" w:hAnsi="Calibri"/>
          <w:b/>
          <w:sz w:val="22"/>
        </w:rPr>
        <w:t xml:space="preserve">please call: </w:t>
      </w:r>
    </w:p>
    <w:p>
      <w:pPr>
        <w:pStyle w:val="TextBody"/>
        <w:bidi w:val="0"/>
        <w:spacing w:before="240" w:after="0"/>
        <w:jc w:val="center"/>
        <w:rPr>
          <w:rFonts w:ascii="Calibri" w:hAnsi="Calibri"/>
          <w:sz w:val="22"/>
        </w:rPr>
      </w:pPr>
      <w:r>
        <w:rPr>
          <w:rFonts w:ascii="Calibri" w:hAnsi="Calibri"/>
          <w:sz w:val="22"/>
        </w:rPr>
        <w:t xml:space="preserve">Innisfree M&amp;A Incorporated </w:t>
      </w:r>
    </w:p>
    <w:p>
      <w:pPr>
        <w:pStyle w:val="TextBody"/>
        <w:bidi w:val="0"/>
        <w:spacing w:before="240" w:after="0"/>
        <w:jc w:val="center"/>
        <w:rPr>
          <w:rFonts w:ascii="Calibri" w:hAnsi="Calibri"/>
          <w:sz w:val="22"/>
        </w:rPr>
      </w:pPr>
      <w:r>
        <w:rPr>
          <w:rFonts w:ascii="Calibri" w:hAnsi="Calibri"/>
          <w:sz w:val="22"/>
        </w:rPr>
        <w:t xml:space="preserve">Stockholders may call toll free: (877) 456-3524 </w:t>
      </w:r>
    </w:p>
    <w:p>
      <w:pPr>
        <w:pStyle w:val="TextBody"/>
        <w:bidi w:val="0"/>
        <w:spacing w:before="240" w:after="0"/>
        <w:jc w:val="left"/>
        <w:rPr>
          <w:rFonts w:ascii="Calibri" w:hAnsi="Calibri"/>
          <w:b/>
          <w:sz w:val="22"/>
        </w:rPr>
      </w:pPr>
      <w:r>
        <w:rPr>
          <w:rFonts w:ascii="Calibri" w:hAnsi="Calibri"/>
          <w:b/>
          <w:sz w:val="22"/>
        </w:rPr>
        <w:t xml:space="preserve">Advisors </w:t>
      </w:r>
    </w:p>
    <w:p>
      <w:pPr>
        <w:pStyle w:val="TextBody"/>
        <w:bidi w:val="0"/>
        <w:spacing w:before="240" w:after="0"/>
        <w:jc w:val="left"/>
        <w:rPr>
          <w:rFonts w:ascii="Calibri" w:hAnsi="Calibri"/>
          <w:sz w:val="22"/>
        </w:rPr>
      </w:pPr>
      <w:r>
        <w:rPr>
          <w:rFonts w:ascii="Calibri" w:hAnsi="Calibri"/>
          <w:sz w:val="22"/>
        </w:rPr>
        <w:t xml:space="preserve">Perella Weinberg Partners LP is serving as financial advisor to Seer and Wilson Sonsini Goodrich &amp; Rosati, Professional Corporation is serving as legal counsel. </w:t>
      </w:r>
    </w:p>
    <w:p>
      <w:pPr>
        <w:pStyle w:val="TextBody"/>
        <w:bidi w:val="0"/>
        <w:spacing w:before="240" w:after="0"/>
        <w:jc w:val="left"/>
        <w:rPr>
          <w:rFonts w:ascii="Calibri" w:hAnsi="Calibri"/>
          <w:b/>
          <w:sz w:val="22"/>
        </w:rPr>
      </w:pPr>
      <w:r>
        <w:rPr>
          <w:rFonts w:ascii="Calibri" w:hAnsi="Calibri"/>
          <w:b/>
          <w:sz w:val="22"/>
        </w:rPr>
        <w:t xml:space="preserve">About Seer, Inc. </w:t>
      </w:r>
    </w:p>
    <w:p>
      <w:pPr>
        <w:pStyle w:val="TextBody"/>
        <w:bidi w:val="0"/>
        <w:spacing w:before="240" w:after="0"/>
        <w:jc w:val="left"/>
        <w:rPr>
          <w:rFonts w:ascii="Calibri" w:hAnsi="Calibri"/>
          <w:sz w:val="22"/>
        </w:rPr>
      </w:pPr>
      <w:r>
        <w:rPr>
          <w:rFonts w:ascii="Calibri" w:hAnsi="Calibri"/>
          <w:sz w:val="22"/>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Calibri" w:hAnsi="Calibri"/>
          <w:color w:val="467886"/>
          <w:sz w:val="22"/>
          <w:u w:val="single"/>
        </w:rPr>
        <w:t>www.seer.bio</w:t>
      </w:r>
      <w:r>
        <w:rPr>
          <w:rFonts w:ascii="Calibri" w:hAnsi="Calibri"/>
          <w:sz w:val="22"/>
        </w:rPr>
        <w:t xml:space="preserve">. </w:t>
      </w:r>
    </w:p>
    <w:p>
      <w:pPr>
        <w:pStyle w:val="TextBody"/>
        <w:bidi w:val="0"/>
        <w:spacing w:before="240" w:after="0"/>
        <w:jc w:val="left"/>
        <w:rPr>
          <w:rFonts w:ascii="Calibri" w:hAnsi="Calibri"/>
          <w:sz w:val="22"/>
        </w:rPr>
      </w:pPr>
      <w:r>
        <w:rPr>
          <w:rFonts w:ascii="Calibri" w:hAnsi="Calibri"/>
          <w:sz w:val="22"/>
        </w:rPr>
        <w:t>For more information, please email us at </w:t>
      </w:r>
      <w:r>
        <w:rPr>
          <w:rFonts w:ascii="Calibri" w:hAnsi="Calibri"/>
          <w:color w:val="467886"/>
          <w:sz w:val="22"/>
          <w:u w:val="single"/>
        </w:rPr>
        <w:t>pr@seer.bio</w:t>
      </w:r>
      <w:r>
        <w:rPr>
          <w:rFonts w:ascii="Calibri" w:hAnsi="Calibri"/>
          <w:sz w:val="22"/>
        </w:rPr>
        <w:t xml:space="preserve">. </w:t>
      </w:r>
    </w:p>
    <w:p>
      <w:pPr>
        <w:pStyle w:val="TextBody"/>
        <w:bidi w:val="0"/>
        <w:spacing w:before="240" w:after="0"/>
        <w:jc w:val="left"/>
        <w:rPr>
          <w:rFonts w:ascii="Calibri" w:hAnsi="Calibri"/>
          <w:b/>
          <w:sz w:val="22"/>
        </w:rPr>
      </w:pPr>
      <w:r>
        <w:rPr>
          <w:rFonts w:ascii="Calibri" w:hAnsi="Calibri"/>
          <w:b/>
          <w:sz w:val="22"/>
        </w:rPr>
        <w:t xml:space="preserve">Forward-Looking Statements </w:t>
      </w:r>
    </w:p>
    <w:p>
      <w:pPr>
        <w:pStyle w:val="TextBody"/>
        <w:bidi w:val="0"/>
        <w:spacing w:before="240" w:after="0"/>
        <w:jc w:val="left"/>
        <w:rPr>
          <w:rFonts w:ascii="Calibri" w:hAnsi="Calibri"/>
          <w:sz w:val="22"/>
        </w:rPr>
      </w:pPr>
      <w:r>
        <w:rPr>
          <w:rFonts w:ascii="Calibri" w:hAnsi="Calibri"/>
          <w:sz w:val="22"/>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business objectives,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b/>
          <w:sz w:val="22"/>
        </w:rPr>
        <w:t>Media Contact:</w:t>
      </w:r>
      <w:r>
        <w:rPr>
          <w:rFonts w:ascii="Calibri" w:hAnsi="Calibri"/>
          <w:sz w:val="22"/>
        </w:rPr>
        <w:t xml:space="preserve"> </w:t>
      </w:r>
    </w:p>
    <w:p>
      <w:pPr>
        <w:pStyle w:val="TextBody"/>
        <w:bidi w:val="0"/>
        <w:spacing w:before="0" w:after="0"/>
        <w:jc w:val="left"/>
        <w:rPr>
          <w:rFonts w:ascii="Calibri" w:hAnsi="Calibri"/>
          <w:sz w:val="22"/>
        </w:rPr>
      </w:pPr>
      <w:r>
        <w:rPr>
          <w:rFonts w:ascii="Calibri" w:hAnsi="Calibri"/>
          <w:sz w:val="22"/>
        </w:rPr>
        <w:t xml:space="preserve">Patrick Schmidt </w:t>
      </w:r>
    </w:p>
    <w:p>
      <w:pPr>
        <w:pStyle w:val="TextBody"/>
        <w:bidi w:val="0"/>
        <w:spacing w:before="0" w:after="0"/>
        <w:jc w:val="left"/>
        <w:rPr>
          <w:rFonts w:ascii="Calibri" w:hAnsi="Calibri"/>
          <w:color w:val="467886"/>
          <w:sz w:val="22"/>
          <w:u w:val="single"/>
        </w:rPr>
      </w:pPr>
      <w:r>
        <w:rPr>
          <w:rFonts w:ascii="Calibri" w:hAnsi="Calibri"/>
          <w:color w:val="467886"/>
          <w:sz w:val="22"/>
          <w:u w:val="single"/>
        </w:rPr>
        <w:t xml:space="preserve">pr@seer.bio </w:t>
      </w:r>
    </w:p>
    <w:p>
      <w:pPr>
        <w:pStyle w:val="TextBody"/>
        <w:bidi w:val="0"/>
        <w:spacing w:before="240" w:after="0"/>
        <w:jc w:val="left"/>
        <w:rPr>
          <w:rFonts w:ascii="Calibri" w:hAnsi="Calibri"/>
          <w:sz w:val="22"/>
        </w:rPr>
      </w:pPr>
      <w:r>
        <w:rPr>
          <w:rFonts w:ascii="Calibri" w:hAnsi="Calibri"/>
          <w:sz w:val="22"/>
        </w:rPr>
        <w:t xml:space="preserve">Joele Frank, Wilkinson Brimmer Katcher </w:t>
      </w:r>
    </w:p>
    <w:p>
      <w:pPr>
        <w:pStyle w:val="TextBody"/>
        <w:bidi w:val="0"/>
        <w:spacing w:before="0" w:after="0"/>
        <w:jc w:val="left"/>
        <w:rPr>
          <w:rFonts w:ascii="Calibri" w:hAnsi="Calibri"/>
          <w:sz w:val="22"/>
        </w:rPr>
      </w:pPr>
      <w:r>
        <w:rPr>
          <w:rFonts w:ascii="Calibri" w:hAnsi="Calibri"/>
          <w:sz w:val="22"/>
        </w:rPr>
        <w:t xml:space="preserve">Eric Brielmann / Joseph Sala </w:t>
      </w:r>
    </w:p>
    <w:p>
      <w:pPr>
        <w:pStyle w:val="TextBody"/>
        <w:bidi w:val="0"/>
        <w:spacing w:before="0" w:after="0"/>
        <w:jc w:val="left"/>
        <w:rPr>
          <w:rFonts w:ascii="Calibri" w:hAnsi="Calibri"/>
          <w:sz w:val="22"/>
        </w:rPr>
      </w:pPr>
      <w:r>
        <w:rPr>
          <w:rFonts w:ascii="Calibri" w:hAnsi="Calibri"/>
          <w:sz w:val="22"/>
        </w:rPr>
        <w:t xml:space="preserve">(212) 355-4449 </w:t>
      </w:r>
    </w:p>
    <w:p>
      <w:pPr>
        <w:pStyle w:val="TextBody"/>
        <w:bidi w:val="0"/>
        <w:spacing w:before="240" w:after="0"/>
        <w:jc w:val="left"/>
        <w:rPr>
          <w:rFonts w:ascii="Calibri" w:hAnsi="Calibri"/>
          <w:b/>
          <w:sz w:val="22"/>
        </w:rPr>
      </w:pPr>
      <w:r>
        <w:rPr>
          <w:rFonts w:ascii="Calibri" w:hAnsi="Calibri"/>
          <w:b/>
          <w:sz w:val="22"/>
        </w:rPr>
        <w:t xml:space="preserve">Investor Contact: </w:t>
      </w:r>
    </w:p>
    <w:p>
      <w:pPr>
        <w:pStyle w:val="TextBody"/>
        <w:bidi w:val="0"/>
        <w:spacing w:before="0" w:after="0"/>
        <w:jc w:val="left"/>
        <w:rPr>
          <w:rFonts w:ascii="Calibri" w:hAnsi="Calibri"/>
          <w:sz w:val="22"/>
        </w:rPr>
      </w:pPr>
      <w:r>
        <w:rPr>
          <w:rFonts w:ascii="Calibri" w:hAnsi="Calibri"/>
          <w:sz w:val="22"/>
        </w:rPr>
        <w:t xml:space="preserve">Marissa Bych </w:t>
      </w:r>
    </w:p>
    <w:p>
      <w:pPr>
        <w:pStyle w:val="TextBody"/>
        <w:bidi w:val="0"/>
        <w:spacing w:before="0" w:after="0"/>
        <w:jc w:val="left"/>
        <w:rPr>
          <w:rFonts w:ascii="Calibri" w:hAnsi="Calibri"/>
          <w:sz w:val="22"/>
        </w:rPr>
      </w:pPr>
      <w:r>
        <w:rPr>
          <w:rFonts w:ascii="Calibri" w:hAnsi="Calibri"/>
          <w:sz w:val="22"/>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1187</Words>
  <Characters>6817</Characters>
  <CharactersWithSpaces>8045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