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154305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163195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spacing w:after="0" w:line="230" w:lineRule="exact"/>
        <w:tabs>
          <w:tab w:leader="none" w:pos="2920" w:val="left"/>
        </w:tabs>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0"/>
          <w:szCs w:val="20"/>
          <w:color w:val="auto"/>
        </w:rPr>
        <w:t>☒</w:t>
      </w:r>
      <w:r>
        <w:rPr>
          <w:sz w:val="20"/>
          <w:szCs w:val="20"/>
          <w:color w:val="auto"/>
        </w:rPr>
        <w:tab/>
      </w:r>
      <w:r>
        <w:rPr>
          <w:rFonts w:ascii="Times New Roman" w:cs="Times New Roman" w:eastAsia="Times New Roman" w:hAnsi="Times New Roman"/>
          <w:sz w:val="19"/>
          <w:szCs w:val="19"/>
          <w:color w:val="auto"/>
        </w:rPr>
        <w:t xml:space="preserve">Filed by a Party other than the Registrant </w:t>
      </w:r>
      <w:r>
        <w:rPr>
          <w:rFonts w:ascii="MS PGothic" w:cs="MS PGothic" w:eastAsia="MS PGothic" w:hAnsi="MS PGothic"/>
          <w:sz w:val="19"/>
          <w:szCs w:val="19"/>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Preliminary Proxy Statement</w:t>
      </w:r>
    </w:p>
    <w:p>
      <w:pPr>
        <w:spacing w:after="0" w:line="7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Confidential, for Use of the Commission Only (as permitted by Rule 14a-6(e)(2))</w:t>
      </w:r>
    </w:p>
    <w:p>
      <w:pPr>
        <w:spacing w:after="0" w:line="53" w:lineRule="exact"/>
        <w:rPr>
          <w:rFonts w:ascii="MS PGothic" w:cs="MS PGothic" w:eastAsia="MS PGothic" w:hAnsi="MS PGothic"/>
          <w:sz w:val="20"/>
          <w:szCs w:val="20"/>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Proxy Statement</w:t>
      </w:r>
    </w:p>
    <w:p>
      <w:pPr>
        <w:spacing w:after="0" w:line="53" w:lineRule="exact"/>
        <w:rPr>
          <w:rFonts w:ascii="MS PGothic" w:cs="MS PGothic" w:eastAsia="MS PGothic" w:hAnsi="MS PGothic"/>
          <w:sz w:val="20"/>
          <w:szCs w:val="20"/>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Additional Materials</w:t>
      </w:r>
    </w:p>
    <w:p>
      <w:pPr>
        <w:spacing w:after="0" w:line="53" w:lineRule="exact"/>
        <w:rPr>
          <w:rFonts w:ascii="MS PGothic" w:cs="MS PGothic" w:eastAsia="MS PGothic" w:hAnsi="MS PGothic"/>
          <w:sz w:val="20"/>
          <w:szCs w:val="20"/>
          <w:color w:val="auto"/>
        </w:rPr>
      </w:pPr>
    </w:p>
    <w:p>
      <w:pPr>
        <w:ind w:left="460" w:hanging="452"/>
        <w:spacing w:after="0"/>
        <w:tabs>
          <w:tab w:leader="none" w:pos="4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§240.14a-12</w:t>
      </w:r>
    </w:p>
    <w:p>
      <w:pPr>
        <w:spacing w:after="0" w:line="19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22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7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53" w:lineRule="exact"/>
        <w:rPr>
          <w:rFonts w:ascii="MS PGothic" w:cs="MS PGothic" w:eastAsia="MS PGothic" w:hAnsi="MS PGothic"/>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PRELIMINARY PROXY STATEMENT - SUBJECT TO COMPLETION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3800 Bridge Parkway</w:t>
      </w:r>
    </w:p>
    <w:p>
      <w:pPr>
        <w:jc w:val="center"/>
        <w:spacing w:after="0"/>
        <w:rPr>
          <w:sz w:val="20"/>
          <w:szCs w:val="20"/>
          <w:color w:val="auto"/>
        </w:rPr>
      </w:pPr>
      <w:r>
        <w:rPr>
          <w:rFonts w:ascii="Times New Roman" w:cs="Times New Roman" w:eastAsia="Times New Roman" w:hAnsi="Times New Roman"/>
          <w:sz w:val="20"/>
          <w:szCs w:val="20"/>
          <w:b w:val="1"/>
          <w:bCs w:val="1"/>
          <w:color w:val="auto"/>
        </w:rPr>
        <w:t>Redwood City, CA 94065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SPECIAL MEETING OF STOCKHOLDERS</w:t>
      </w:r>
    </w:p>
    <w:p>
      <w:pPr>
        <w:sectPr>
          <w:pgSz w:w="11900" w:h="16838" w:orient="portrait"/>
          <w:cols w:equalWidth="0" w:num="1">
            <w:col w:w="11240"/>
          </w:cols>
          <w:pgMar w:left="320" w:top="1440"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Time and Date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2025, at 1:00 p.m. Pacific Time.</w:t>
      </w:r>
    </w:p>
    <w:p>
      <w:pPr>
        <w:spacing w:after="0" w:line="200"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special meeting of stockholders of Seer, Inc. (as it may be adjourned, continued or postponed from time to time, the “Special Meeting”) will be a completely virtual meeting of stockholders, to be conducted via live webcast. You will be able to attend the Special Meeting virtually, submit questions and vote online during the meeting by visiting www.virtualshareholdermeeting.com/SEER2025SM.</w:t>
      </w:r>
    </w:p>
    <w:p>
      <w:pPr>
        <w:spacing w:after="0" w:line="200"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1. To approve an amendment to our amended and restated certificate of incorporation to change the date upon which all of our shares of Class B common stock will automatically convert into Class A common stock;</w:t>
      </w:r>
    </w:p>
    <w:p>
      <w:pPr>
        <w:spacing w:after="0" w:line="162"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ind w:left="2420"/>
        <w:spacing w:after="0" w:line="282" w:lineRule="auto"/>
        <w:rPr>
          <w:sz w:val="20"/>
          <w:szCs w:val="20"/>
          <w:color w:val="auto"/>
        </w:rPr>
      </w:pPr>
      <w:r>
        <w:rPr>
          <w:rFonts w:ascii="Times New Roman" w:cs="Times New Roman" w:eastAsia="Times New Roman" w:hAnsi="Times New Roman"/>
          <w:sz w:val="18"/>
          <w:szCs w:val="18"/>
          <w:color w:val="auto"/>
        </w:rPr>
        <w:t>2. To approve one or more adjournments of the Special Meeting, if necessary, to solicit additional proxies if there are insufficient votes at the time of the Special Meeting to approve Proposal No. 1; and</w:t>
      </w:r>
    </w:p>
    <w:p>
      <w:pPr>
        <w:spacing w:after="0" w:line="162" w:lineRule="exact"/>
        <w:rPr>
          <w:sz w:val="20"/>
          <w:szCs w:val="20"/>
          <w:color w:val="auto"/>
        </w:rPr>
      </w:pPr>
    </w:p>
    <w:p>
      <w:pPr>
        <w:ind w:left="2420" w:right="20"/>
        <w:spacing w:after="0" w:line="282" w:lineRule="auto"/>
        <w:rPr>
          <w:sz w:val="20"/>
          <w:szCs w:val="20"/>
          <w:color w:val="auto"/>
        </w:rPr>
      </w:pPr>
      <w:r>
        <w:rPr>
          <w:rFonts w:ascii="Times New Roman" w:cs="Times New Roman" w:eastAsia="Times New Roman" w:hAnsi="Times New Roman"/>
          <w:sz w:val="18"/>
          <w:szCs w:val="18"/>
          <w:color w:val="auto"/>
        </w:rPr>
        <w:t>3. To transact such other business as may properly come before the Special Meeting by or at the direction of the board of directors.</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October 31, 2025. Only stockholders of record at the close of business on the Record Date are entitled to receive notice of, and to vote at, the Special Meeting.</w:t>
      </w:r>
    </w:p>
    <w:p>
      <w:pPr>
        <w:spacing w:after="0" w:line="158" w:lineRule="exact"/>
        <w:rPr>
          <w:sz w:val="20"/>
          <w:szCs w:val="20"/>
          <w:color w:val="auto"/>
        </w:rPr>
      </w:pPr>
    </w:p>
    <w:p>
      <w:pPr>
        <w:sectPr>
          <w:pgSz w:w="11900" w:h="16838" w:orient="portrait"/>
          <w:cols w:equalWidth="0" w:num="2">
            <w:col w:w="1700" w:space="720"/>
            <w:col w:w="882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Virtual Meeting Philosophy</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of Seer, Inc. (the “board”) believes that holding the Special Meeting in a virtual format provides the opportunity for participation by a broader group of stockholders, while reducing the costs associated with planning, holding and arranging logistics for in-person meeting proceedings and providing for the health and safety of the participants. This balance allows the meeting to remain focused on matters directly relevant to the interests of stockholders in a way that recognizes the value to stockholders of an efficient use of company resources. The board intends that the virtual meeting format provide stockholders a level of transparency as close as possible to the traditional in-person meeting format and takes the following steps to ensure such an experience:</w:t>
      </w:r>
    </w:p>
    <w:p>
      <w:pPr>
        <w:spacing w:after="0" w:line="189" w:lineRule="exact"/>
        <w:rPr>
          <w:sz w:val="20"/>
          <w:szCs w:val="20"/>
          <w:color w:val="auto"/>
        </w:rPr>
      </w:pPr>
    </w:p>
    <w:p>
      <w:pPr>
        <w:sectPr>
          <w:pgSz w:w="11900" w:h="16838" w:orient="portrait"/>
          <w:cols w:equalWidth="0" w:num="2">
            <w:col w:w="2140" w:space="280"/>
            <w:col w:w="8820"/>
          </w:cols>
          <w:pgMar w:left="320" w:top="1440" w:right="339" w:bottom="1440" w:gutter="0" w:footer="0" w:header="0"/>
          <w:type w:val="continuous"/>
        </w:sectPr>
      </w:pPr>
    </w:p>
    <w:p>
      <w:pPr>
        <w:ind w:left="3000" w:hanging="295"/>
        <w:spacing w:after="0" w:line="261" w:lineRule="auto"/>
        <w:tabs>
          <w:tab w:leader="none" w:pos="3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stockholders with the ability to submit appropriate questions in advance of the meeting to ensure thoughtful responses from management and the board;</w:t>
      </w:r>
    </w:p>
    <w:p>
      <w:pPr>
        <w:ind w:left="3000" w:right="20" w:hanging="295"/>
        <w:spacing w:after="0" w:line="250" w:lineRule="auto"/>
        <w:tabs>
          <w:tab w:leader="none" w:pos="3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stockholders with the ability to submit appropriate questions real-time either via telephone or the meeting website; and</w:t>
      </w:r>
    </w:p>
    <w:p>
      <w:pPr>
        <w:ind w:left="3000" w:right="20" w:hanging="295"/>
        <w:spacing w:after="0" w:line="260" w:lineRule="auto"/>
        <w:tabs>
          <w:tab w:leader="none" w:pos="3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answering as many questions submitted in accordance with the meeting rules of conduct as possible in the time allotted for the meeting without discrimination.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YOUR VOTE IS IMPORTANT. Whether or not you plan to attend the Special Meeting, we urge you to submit your vote via the Internet, telephone or mail as soon as possible to ensure your shares are represented. For additional instructions for each of these voting options, please refer to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Returning the proxy does not deprive you of your right to attend the Special Meeting and to vote your shares at the Special Meeting.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proxy statement explains proxy voting and the matters to be voted on in more detail.</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Omid Farokhzad, M.D.</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i w:val="1"/>
          <w:iCs w:val="1"/>
          <w:color w:val="auto"/>
        </w:rPr>
        <w:t>Chief Executive Officer and Chair of the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Redwood City, California</w:t>
      </w:r>
    </w:p>
    <w:p>
      <w:pPr>
        <w:spacing w:after="0" w:line="22"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2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780" w:type="dxa"/>
            <w:vAlign w:val="bottom"/>
            <w:gridSpan w:val="6"/>
          </w:tcPr>
          <w:p>
            <w:pPr>
              <w:ind w:left="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8"/>
              </w:rPr>
              <w:t>QUESTIONS AND ANSWERS ABOUT THE SPECIAL MEETING</w:t>
            </w:r>
          </w:p>
        </w:tc>
        <w:tc>
          <w:tcPr>
            <w:tcW w:w="4780" w:type="dxa"/>
            <w:vAlign w:val="bottom"/>
            <w:gridSpan w:val="5"/>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18"/>
        </w:trPr>
        <w:tc>
          <w:tcPr>
            <w:tcW w:w="103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INTRODUCTION TO THE PROPOSALS</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18"/>
        </w:trPr>
        <w:tc>
          <w:tcPr>
            <w:tcW w:w="3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BACKGROUND OF THE PROPOSALS</w:t>
            </w:r>
          </w:p>
        </w:tc>
        <w:tc>
          <w:tcPr>
            <w:tcW w:w="100" w:type="dxa"/>
            <w:vAlign w:val="bottom"/>
            <w:tcBorders>
              <w:top w:val="single" w:sz="8" w:color="0000FF"/>
            </w:tcBorders>
          </w:tcPr>
          <w:p>
            <w:pPr>
              <w:spacing w:after="0"/>
              <w:rPr>
                <w:sz w:val="24"/>
                <w:szCs w:val="24"/>
                <w:color w:val="auto"/>
              </w:rPr>
            </w:pPr>
          </w:p>
        </w:tc>
        <w:tc>
          <w:tcPr>
            <w:tcW w:w="6900" w:type="dxa"/>
            <w:vAlign w:val="bottom"/>
            <w:gridSpan w:val="7"/>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318"/>
        </w:trPr>
        <w:tc>
          <w:tcPr>
            <w:tcW w:w="100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rPr>
              <w:t>PROPOSAL ONE: AMENDMENT OF OUR AMENDED AND RESTATED CERTIFICATE TO CHANGE THE DATE</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20" w:type="dxa"/>
            <w:vAlign w:val="bottom"/>
            <w:tcBorders>
              <w:bottom w:val="single" w:sz="8" w:color="0000FF"/>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FF"/>
              </w:rPr>
              <w:t>UPON WHICH ALL OF OUR SHARES OF CLASS B COMMON STOCK WILL AUTOMATICALLY CONVERT INTO</w:t>
            </w:r>
          </w:p>
        </w:tc>
        <w:tc>
          <w:tcPr>
            <w:tcW w:w="300" w:type="dxa"/>
            <w:vAlign w:val="bottom"/>
          </w:tcPr>
          <w:p>
            <w:pPr>
              <w:spacing w:after="0"/>
              <w:rPr>
                <w:sz w:val="18"/>
                <w:szCs w:val="18"/>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0000FF"/>
            </w:tcBorders>
          </w:tcPr>
          <w:p>
            <w:pPr>
              <w:spacing w:after="0" w:line="209" w:lineRule="exact"/>
              <w:rPr>
                <w:sz w:val="20"/>
                <w:szCs w:val="20"/>
                <w:color w:val="auto"/>
              </w:rPr>
            </w:pPr>
            <w:r>
              <w:rPr>
                <w:rFonts w:ascii="Times New Roman" w:cs="Times New Roman" w:eastAsia="Times New Roman" w:hAnsi="Times New Roman"/>
                <w:sz w:val="20"/>
                <w:szCs w:val="20"/>
                <w:color w:val="0000FF"/>
                <w:w w:val="98"/>
              </w:rPr>
              <w:t>CLASS A COMMON STOCK</w:t>
            </w:r>
          </w:p>
        </w:tc>
        <w:tc>
          <w:tcPr>
            <w:tcW w:w="7840" w:type="dxa"/>
            <w:vAlign w:val="bottom"/>
            <w:gridSpan w:val="10"/>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10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PROPOSAL  TWO:  APPROVAL  OF  ONE  OR  MORE  ADJOURNMENTS  OF  THE  SPECIAL  MEETING,  IF</w:t>
            </w:r>
          </w:p>
        </w:tc>
        <w:tc>
          <w:tcPr>
            <w:tcW w:w="3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20" w:type="dxa"/>
            <w:vAlign w:val="bottom"/>
            <w:tcBorders>
              <w:bottom w:val="single" w:sz="8" w:color="0000FF"/>
            </w:tcBorders>
            <w:gridSpan w:val="10"/>
          </w:tcPr>
          <w:p>
            <w:pPr>
              <w:spacing w:after="0" w:line="209" w:lineRule="exact"/>
              <w:rPr>
                <w:sz w:val="20"/>
                <w:szCs w:val="20"/>
                <w:color w:val="auto"/>
              </w:rPr>
            </w:pPr>
            <w:r>
              <w:rPr>
                <w:rFonts w:ascii="Times New Roman" w:cs="Times New Roman" w:eastAsia="Times New Roman" w:hAnsi="Times New Roman"/>
                <w:sz w:val="20"/>
                <w:szCs w:val="20"/>
                <w:color w:val="0000FF"/>
                <w:w w:val="99"/>
              </w:rPr>
              <w:t>NECESSARY, TO SOLICIT ADDITIONAL PROXIES IF THERE ARE INSUFFICIENT VOTES AT THE TIME OF THE</w:t>
            </w:r>
          </w:p>
        </w:tc>
        <w:tc>
          <w:tcPr>
            <w:tcW w:w="300" w:type="dxa"/>
            <w:vAlign w:val="bottom"/>
          </w:tcPr>
          <w:p>
            <w:pPr>
              <w:spacing w:after="0"/>
              <w:rPr>
                <w:sz w:val="18"/>
                <w:szCs w:val="18"/>
                <w:color w:val="auto"/>
              </w:rPr>
            </w:pPr>
          </w:p>
        </w:tc>
        <w:tc>
          <w:tcPr>
            <w:tcW w:w="920" w:type="dxa"/>
            <w:vAlign w:val="bottom"/>
            <w:vMerge w:val="restart"/>
          </w:tcPr>
          <w:p>
            <w:pPr>
              <w:jc w:val="right"/>
              <w:ind w:right="1"/>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0000FF"/>
            </w:tcBorders>
            <w:gridSpan w:val="5"/>
          </w:tcPr>
          <w:p>
            <w:pPr>
              <w:spacing w:after="0" w:line="209" w:lineRule="exact"/>
              <w:rPr>
                <w:sz w:val="20"/>
                <w:szCs w:val="20"/>
                <w:color w:val="auto"/>
              </w:rPr>
            </w:pPr>
            <w:r>
              <w:rPr>
                <w:rFonts w:ascii="Times New Roman" w:cs="Times New Roman" w:eastAsia="Times New Roman" w:hAnsi="Times New Roman"/>
                <w:sz w:val="20"/>
                <w:szCs w:val="20"/>
                <w:color w:val="0000FF"/>
                <w:w w:val="98"/>
              </w:rPr>
              <w:t>SPECIAL MEETING TO APPROVE PROPOSAL ONE</w:t>
            </w:r>
          </w:p>
        </w:tc>
        <w:tc>
          <w:tcPr>
            <w:tcW w:w="5780" w:type="dxa"/>
            <w:vAlign w:val="bottom"/>
            <w:gridSpan w:val="6"/>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74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w:t>
            </w:r>
          </w:p>
        </w:tc>
        <w:tc>
          <w:tcPr>
            <w:tcW w:w="2880" w:type="dxa"/>
            <w:vAlign w:val="bottom"/>
            <w:gridSpan w:val="4"/>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318"/>
        </w:trPr>
        <w:tc>
          <w:tcPr>
            <w:tcW w:w="2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ADDITIONAL INFORMATION</w:t>
            </w:r>
          </w:p>
        </w:tc>
        <w:tc>
          <w:tcPr>
            <w:tcW w:w="7640" w:type="dxa"/>
            <w:vAlign w:val="bottom"/>
            <w:gridSpan w:val="9"/>
          </w:tcPr>
          <w:p>
            <w:pPr>
              <w:spacing w:after="0"/>
              <w:rPr>
                <w:sz w:val="24"/>
                <w:szCs w:val="24"/>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318"/>
        </w:trPr>
        <w:tc>
          <w:tcPr>
            <w:tcW w:w="1032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APPENDIX A: AMENDMENT TO OUR AMENDED AND RESTATED CERTIFICATE OF INCORPORATION</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A-1-1</w:t>
            </w:r>
          </w:p>
        </w:tc>
        <w:tc>
          <w:tcPr>
            <w:tcW w:w="0" w:type="dxa"/>
            <w:vAlign w:val="bottom"/>
          </w:tcPr>
          <w:p>
            <w:pPr>
              <w:spacing w:after="0"/>
              <w:rPr>
                <w:sz w:val="1"/>
                <w:szCs w:val="1"/>
                <w:color w:val="auto"/>
              </w:rPr>
            </w:pPr>
          </w:p>
        </w:tc>
      </w:tr>
      <w:tr>
        <w:trPr>
          <w:trHeight w:val="1648"/>
        </w:trPr>
        <w:tc>
          <w:tcPr>
            <w:tcW w:w="24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120" w:type="dxa"/>
            <w:vAlign w:val="bottom"/>
            <w:tcBorders>
              <w:top w:val="single" w:sz="8" w:color="0000FF"/>
              <w:bottom w:val="single" w:sz="8" w:color="9A9A9A"/>
            </w:tcBorders>
          </w:tcPr>
          <w:p>
            <w:pPr>
              <w:spacing w:after="0"/>
              <w:rPr>
                <w:sz w:val="24"/>
                <w:szCs w:val="24"/>
                <w:color w:val="auto"/>
              </w:rPr>
            </w:pPr>
          </w:p>
        </w:tc>
        <w:tc>
          <w:tcPr>
            <w:tcW w:w="1000" w:type="dxa"/>
            <w:vAlign w:val="bottom"/>
            <w:tcBorders>
              <w:top w:val="single" w:sz="8" w:color="0000FF"/>
              <w:bottom w:val="single" w:sz="8" w:color="9A9A9A"/>
            </w:tcBorders>
          </w:tcPr>
          <w:p>
            <w:pPr>
              <w:spacing w:after="0"/>
              <w:rPr>
                <w:sz w:val="24"/>
                <w:szCs w:val="24"/>
                <w:color w:val="auto"/>
              </w:rPr>
            </w:pPr>
          </w:p>
        </w:tc>
        <w:tc>
          <w:tcPr>
            <w:tcW w:w="1900" w:type="dxa"/>
            <w:vAlign w:val="bottom"/>
            <w:tcBorders>
              <w:top w:val="single" w:sz="8" w:color="0000FF"/>
              <w:bottom w:val="single" w:sz="8" w:color="9A9A9A"/>
            </w:tcBorders>
          </w:tcPr>
          <w:p>
            <w:pPr>
              <w:spacing w:after="0"/>
              <w:rPr>
                <w:sz w:val="24"/>
                <w:szCs w:val="24"/>
                <w:color w:val="auto"/>
              </w:rPr>
            </w:pPr>
          </w:p>
        </w:tc>
        <w:tc>
          <w:tcPr>
            <w:tcW w:w="176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SPECIAL MEETING OF STOCKHOLDERS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at 1:00 p.m. Pacific Time on [ ● ], 2025</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This proxy statement and the enclosed form of proxy are furnished in connection with the solicitation of proxies by the board of directors of Seer, Inc. (the “board of directors” or the “board”) for use at our special meeting of stockholders of Seer, Inc. (as it may be adjourned, continued or postponed from time to time, the “Special Meeting”). The Special Meeting will be held 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 at 1:00 p.m. Pacific Time virtually via live webcast. You will be able to attend the Special Meeting virtually by visiting www.virtualshareholdermeeting.com/SEER2025SM, where you will be able to listen to the meeting live, submit questions and vote online by entering the control number on your proxy card.</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QUESTIONS AND ANSWERS ABOUT THE SPECIAL MEETING</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 Information contained on, or that can be accessed through, our website is not intended to be incorporated by reference into this proxy statement and references to our website address in this proxy statement are inactive textual references only. Unless the context requires otherwise, the words “Seer,” “we,” “the Company,” “us,” and “our” refer to Seer,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am I receiving these materials?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Our board of directors is providing these proxy materials to you in connection with its solicitation of proxies for use at the Special Meeting, which will take place on </w:t>
      </w:r>
      <w:r>
        <w:rPr>
          <w:rFonts w:ascii="Times New Roman" w:cs="Times New Roman" w:eastAsia="Times New Roman" w:hAnsi="Times New Roman"/>
          <w:sz w:val="20"/>
          <w:szCs w:val="20"/>
          <w:b w:val="1"/>
          <w:bCs w:val="1"/>
          <w:color w:val="auto"/>
        </w:rPr>
        <w:t>[ ● ]</w:t>
      </w:r>
      <w:r>
        <w:rPr>
          <w:rFonts w:ascii="Times New Roman" w:cs="Times New Roman" w:eastAsia="Times New Roman" w:hAnsi="Times New Roman"/>
          <w:sz w:val="20"/>
          <w:szCs w:val="20"/>
          <w:color w:val="auto"/>
        </w:rPr>
        <w:t xml:space="preserve">, 2025. Stockholders are invited to attend the Special Meeting and are requested to vote on the proposals described in this proxy statement. This proxy statement and the accompanying proxy card are being mailed on or about </w:t>
      </w:r>
      <w:r>
        <w:rPr>
          <w:rFonts w:ascii="Times New Roman" w:cs="Times New Roman" w:eastAsia="Times New Roman" w:hAnsi="Times New Roman"/>
          <w:sz w:val="20"/>
          <w:szCs w:val="20"/>
          <w:b w:val="1"/>
          <w:bCs w:val="1"/>
          <w:color w:val="auto"/>
        </w:rPr>
        <w:t>[ ● ]</w:t>
      </w:r>
      <w:r>
        <w:rPr>
          <w:rFonts w:ascii="Times New Roman" w:cs="Times New Roman" w:eastAsia="Times New Roman" w:hAnsi="Times New Roman"/>
          <w:sz w:val="20"/>
          <w:szCs w:val="20"/>
          <w:color w:val="auto"/>
        </w:rPr>
        <w:t>, 2025 in connection with the solicitation of proxies on behalf of our board of directors. All stockholders will have the ability to access via the Internet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proposals will be voted on at the Special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two proposals scheduled to be voted on at the Special Meeting:</w:t>
      </w:r>
    </w:p>
    <w:p>
      <w:pPr>
        <w:spacing w:after="0" w:line="22" w:lineRule="exact"/>
        <w:rPr>
          <w:sz w:val="20"/>
          <w:szCs w:val="20"/>
          <w:color w:val="auto"/>
        </w:rPr>
      </w:pPr>
    </w:p>
    <w:p>
      <w:pPr>
        <w:ind w:left="1140" w:hanging="758"/>
        <w:spacing w:after="0" w:line="246"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amendment to our amended and restated certificate of incorporation to change the date upon which all of our shares of Class B common stock will automatically convert into Class A common stock; and</w:t>
      </w:r>
    </w:p>
    <w:p>
      <w:pPr>
        <w:spacing w:after="0" w:line="195" w:lineRule="exact"/>
        <w:rPr>
          <w:rFonts w:ascii="Times New Roman" w:cs="Times New Roman" w:eastAsia="Times New Roman" w:hAnsi="Times New Roman"/>
          <w:sz w:val="20"/>
          <w:szCs w:val="20"/>
          <w:color w:val="auto"/>
        </w:rPr>
      </w:pPr>
    </w:p>
    <w:p>
      <w:pPr>
        <w:ind w:left="1140" w:hanging="758"/>
        <w:spacing w:after="0" w:line="269" w:lineRule="auto"/>
        <w:tabs>
          <w:tab w:leader="none" w:pos="11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one or more adjournments of the Special Meeting, if necessary, to solicit additional proxies if there are insufficient votes at the time of the Special Meeting to approve Proposal No. 1.</w:t>
      </w:r>
    </w:p>
    <w:p>
      <w:pPr>
        <w:spacing w:after="0" w:line="15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approval by our stockholders of Proposal No. 1 will constitute stockholder approval and adoption of the amendment to our amended and restated certificate of incorporation, a copy of which is attached as Appendix A, under Delaware law.</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At the time this proxy statement was mailed, our management and board of directors were not aware of any other matters to be presented at the Special Meeting other than those set forth in this proxy statement.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does our board of directors recommend that I vote?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board of directors recommends that you vote:</w:t>
      </w:r>
    </w:p>
    <w:p>
      <w:pPr>
        <w:spacing w:after="0" w:line="22" w:lineRule="exact"/>
        <w:rPr>
          <w:sz w:val="20"/>
          <w:szCs w:val="20"/>
          <w:color w:val="auto"/>
        </w:rPr>
      </w:pPr>
    </w:p>
    <w:p>
      <w:pPr>
        <w:ind w:left="1140" w:hanging="758"/>
        <w:spacing w:after="0" w:line="246" w:lineRule="auto"/>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amendment to our amended and restated certificate of incorporation to change the date upon which all of our shares of Class B common stock will automatically convert into Class A common stock;</w:t>
      </w:r>
    </w:p>
    <w:p>
      <w:pPr>
        <w:spacing w:after="0" w:line="195" w:lineRule="exact"/>
        <w:rPr>
          <w:rFonts w:ascii="Times New Roman" w:cs="Times New Roman" w:eastAsia="Times New Roman" w:hAnsi="Times New Roman"/>
          <w:sz w:val="20"/>
          <w:szCs w:val="20"/>
          <w:color w:val="auto"/>
        </w:rPr>
      </w:pPr>
    </w:p>
    <w:p>
      <w:pPr>
        <w:ind w:left="1140" w:right="20" w:hanging="758"/>
        <w:spacing w:after="0" w:line="269" w:lineRule="auto"/>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of one or more adjournments of the Special Meeting, if necessary, to solicit additional proxies if there are insufficient votes at the time of the Special Meeting to approve Proposal No. 1; and</w:t>
      </w:r>
    </w:p>
    <w:p>
      <w:pPr>
        <w:spacing w:after="0" w:line="172" w:lineRule="exact"/>
        <w:rPr>
          <w:rFonts w:ascii="Times New Roman" w:cs="Times New Roman" w:eastAsia="Times New Roman" w:hAnsi="Times New Roman"/>
          <w:sz w:val="20"/>
          <w:szCs w:val="20"/>
          <w:color w:val="auto"/>
        </w:rPr>
      </w:pPr>
    </w:p>
    <w:p>
      <w:pPr>
        <w:ind w:left="1140" w:hanging="758"/>
        <w:spacing w:after="0"/>
        <w:tabs>
          <w:tab w:leader="none" w:pos="11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discretion of the named proxy holders regarding other matters properly presented for a vote at the Special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entitled to vote at the Special Meeting?</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Holders of our common stock (as defined below) at the close of business on October 31, 2025, the record date for the Special Meeting (the “Record Date”), are entitled to notice of and to vote at the Special Meeting. Each stockholder is entitled to one vote for each share of our Class A common stock and ten votes for each share of our Class B common stock held as of the Record Date. As of the Record Date, there were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shares of Class A common stock and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shares of Class B common stock outstanding and entitled to vote. Our Class A common stock and Class B common stock are collectively referred to in this proxy statement as our “common stock.”</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Stockholders of Record – Shares Registered in Your Name. </w:t>
      </w:r>
      <w:r>
        <w:rPr>
          <w:rFonts w:ascii="Times New Roman" w:cs="Times New Roman" w:eastAsia="Times New Roman" w:hAnsi="Times New Roman"/>
          <w:sz w:val="20"/>
          <w:szCs w:val="20"/>
          <w:color w:val="auto"/>
        </w:rPr>
        <w:t>If, at the close of business on the Record Date, your shares were registered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directly in your name with Computershare Trust Company, N.A., our transfer agent, then you are considered the stockholder of record with respect to those shares, and this proxy statement was provided to you directly by us. As the stockholder of record, you have the right to grant your voting proxy directly to the individuals listed on the proxy card or to vote virtually at the Special Meeting. Throughout this proxy statement, we refer to these registered stockholders as “stockholders of record.”</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Street Name Stockholders – Shares Registered in the Name of a Broker, Bank or Other Nominee. </w:t>
      </w:r>
      <w:r>
        <w:rPr>
          <w:rFonts w:ascii="Times New Roman" w:cs="Times New Roman" w:eastAsia="Times New Roman" w:hAnsi="Times New Roman"/>
          <w:sz w:val="20"/>
          <w:szCs w:val="20"/>
          <w:color w:val="auto"/>
        </w:rPr>
        <w:t>If, at the close of business on the Record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Date, your shares were held, not in your name, but rather in a stock brokerage account or by a bank or other nominee on your behalf, then you are considered the beneficial owner of shares held in “street name,” and this proxy statement was forwarded to you by your broker or nominee, who is considered the stockholder of record with respect to those shares.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We believe that under applicable rules both Proposal No. 1 and Proposal No. 2 are considered non-routine matters. Throughout this proxy statement, we refer to stockholders who hold their shares through a broker, bank or other nominee as “street name stockholders.”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quorum is the minimum number of shares required to be present at the Special Meeting for the meeting to be properly held under our amended and restated bylaws (our “Current Bylaws”) and Delaware law. A majority of the voting power of the shares of common stock outstanding and entitled to vote, in person (including virtually) or by proxy, constitutes a quorum for the transaction of business at the Special Meeting. Abstentions and broker non-votes, if any, are counted as shares present and entitled to vote for purposes of determining a quorum. If there is no quorum, then either (i) the chairperson of the Special Meeting or (2) a majority of the voting power of the shares present at the Special Meeting may adjourn the meeting to a later time or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 I need to do to attend the Special Meeting?</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You will be able to attend the Special Meeting virtually, submit your questions during the meeting and vote your shares electronically at the meeting by visiting www.virtualshareholdermeeting.com/SEER2025SM. To participate in the Special Meeting, you will need the control number from your proxy card. The Special Meeting webcast will begin promptly at 1:00 p.m. Pacific Time. We encourage you to access the meeting prior to the start time. Online check-in will begin at 12:45 p.m. Pacific Time on the date of the Special Meeting, and you should allow ample time for the check-in procedures.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 and what are the voting deadlines?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Stockholders of Record. </w:t>
      </w:r>
      <w:r>
        <w:rPr>
          <w:rFonts w:ascii="Times New Roman" w:cs="Times New Roman" w:eastAsia="Times New Roman" w:hAnsi="Times New Roman"/>
          <w:sz w:val="20"/>
          <w:szCs w:val="20"/>
          <w:color w:val="auto"/>
        </w:rPr>
        <w:t>If you are a stockholder of record, you can vote in one of the following ways:</w:t>
      </w:r>
    </w:p>
    <w:p>
      <w:pPr>
        <w:spacing w:after="0" w:line="26" w:lineRule="exact"/>
        <w:rPr>
          <w:sz w:val="20"/>
          <w:szCs w:val="20"/>
          <w:color w:val="auto"/>
        </w:rPr>
      </w:pPr>
    </w:p>
    <w:p>
      <w:pPr>
        <w:jc w:val="both"/>
        <w:ind w:left="760" w:hanging="378"/>
        <w:spacing w:after="0" w:line="241"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via the Internet. </w:t>
      </w:r>
      <w:r>
        <w:rPr>
          <w:rFonts w:ascii="Times New Roman" w:cs="Times New Roman" w:eastAsia="Times New Roman" w:hAnsi="Times New Roman"/>
          <w:sz w:val="20"/>
          <w:szCs w:val="20"/>
          <w:color w:val="auto"/>
        </w:rPr>
        <w:t>To vote via the Internet prior to the Special Meeting, go to www.proxyvote.com to complete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electronic proxy card. You will be asked to provide the control number from the proxy card you receive. Your vote must be received by 11:59 p.m. Eastern Time 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 to be counted. If you vote via the Internet prior to the Special Meeting, you do not need to return a proxy card by mail.</w:t>
      </w:r>
    </w:p>
    <w:p>
      <w:pPr>
        <w:spacing w:after="0" w:line="200" w:lineRule="exact"/>
        <w:rPr>
          <w:rFonts w:ascii="Times New Roman" w:cs="Times New Roman" w:eastAsia="Times New Roman" w:hAnsi="Times New Roman"/>
          <w:sz w:val="20"/>
          <w:szCs w:val="20"/>
          <w:color w:val="auto"/>
        </w:rPr>
      </w:pPr>
    </w:p>
    <w:p>
      <w:pPr>
        <w:spacing w:after="0" w:line="213"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by telephone. </w:t>
      </w:r>
      <w:r>
        <w:rPr>
          <w:rFonts w:ascii="Times New Roman" w:cs="Times New Roman" w:eastAsia="Times New Roman" w:hAnsi="Times New Roman"/>
          <w:sz w:val="20"/>
          <w:szCs w:val="20"/>
          <w:color w:val="auto"/>
        </w:rPr>
        <w:t>To vote by telephone, dial 1-800-690-6903 (toll-free in the United States and Canada; toll charges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apply to calls from other countries) and follow the recorded instructions. You will be asked to provide the control number from the proxy card. Your vote must be received by 11:59 p.m. Eastern Time 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 to be counted. If you vote by telephone, you do not need to return a proxy card by mail.</w:t>
      </w:r>
    </w:p>
    <w:p>
      <w:pPr>
        <w:spacing w:after="0" w:line="200" w:lineRule="exact"/>
        <w:rPr>
          <w:rFonts w:ascii="Times New Roman" w:cs="Times New Roman" w:eastAsia="Times New Roman" w:hAnsi="Times New Roman"/>
          <w:sz w:val="20"/>
          <w:szCs w:val="20"/>
          <w:color w:val="auto"/>
        </w:rPr>
      </w:pPr>
    </w:p>
    <w:p>
      <w:pPr>
        <w:spacing w:after="0" w:line="205"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by mail. </w:t>
      </w:r>
      <w:r>
        <w:rPr>
          <w:rFonts w:ascii="Times New Roman" w:cs="Times New Roman" w:eastAsia="Times New Roman" w:hAnsi="Times New Roman"/>
          <w:sz w:val="20"/>
          <w:szCs w:val="20"/>
          <w:color w:val="auto"/>
        </w:rPr>
        <w:t>To vote by mail, you need to complete, date and sign the proxy card that accompanies this proxy statement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return it promptly by mail. The persons named in the proxy card will vote the shares you own in accordance with your instructions on the proxy card you mail. If you return the proxy card, but do not give any instructions on a particular matter to be voted on at the Special Meeting, the persons named in the proxy card will vote the shares you own in accordance with the recommendations of our board of directors.</w:t>
      </w:r>
    </w:p>
    <w:p>
      <w:pPr>
        <w:spacing w:after="0" w:line="200" w:lineRule="exact"/>
        <w:rPr>
          <w:rFonts w:ascii="Times New Roman" w:cs="Times New Roman" w:eastAsia="Times New Roman" w:hAnsi="Times New Roman"/>
          <w:sz w:val="20"/>
          <w:szCs w:val="20"/>
          <w:color w:val="auto"/>
        </w:rPr>
      </w:pPr>
    </w:p>
    <w:p>
      <w:pPr>
        <w:spacing w:after="0" w:line="209" w:lineRule="exact"/>
        <w:rPr>
          <w:rFonts w:ascii="Times New Roman" w:cs="Times New Roman" w:eastAsia="Times New Roman" w:hAnsi="Times New Roman"/>
          <w:sz w:val="20"/>
          <w:szCs w:val="20"/>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You may vote virtually during the Special Meeting. </w:t>
      </w:r>
      <w:r>
        <w:rPr>
          <w:rFonts w:ascii="Times New Roman" w:cs="Times New Roman" w:eastAsia="Times New Roman" w:hAnsi="Times New Roman"/>
          <w:sz w:val="20"/>
          <w:szCs w:val="20"/>
          <w:color w:val="auto"/>
        </w:rPr>
        <w:t>If you plan to attend the Special Meeting by visiting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www.virtualshareholdermeeting.com/SEER2025SM, you may vote electronically and submit questions during the meeting. Please have your proxy card in hand when you visit the website.</w:t>
      </w:r>
    </w:p>
    <w:p>
      <w:pPr>
        <w:spacing w:after="0" w:line="200" w:lineRule="exact"/>
        <w:rPr>
          <w:sz w:val="20"/>
          <w:szCs w:val="20"/>
          <w:color w:val="auto"/>
        </w:rPr>
      </w:pP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Even if you plan to attend the Special Meeting, we recommend that you also vote by proxy so that your vote will be counted if you later decide not to attend the Special Meeting.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Street Name Stockholders. </w:t>
      </w:r>
      <w:r>
        <w:rPr>
          <w:rFonts w:ascii="Times New Roman" w:cs="Times New Roman" w:eastAsia="Times New Roman" w:hAnsi="Times New Roman"/>
          <w:sz w:val="20"/>
          <w:szCs w:val="20"/>
          <w:color w:val="auto"/>
        </w:rPr>
        <w:t>If you are the beneficial owner of shares held of record by a broker, bank or other nominee, you will receive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 </w:t>
      </w:r>
      <w:r>
        <w:rPr>
          <w:rFonts w:ascii="Times New Roman" w:cs="Times New Roman" w:eastAsia="Times New Roman" w:hAnsi="Times New Roman"/>
          <w:sz w:val="20"/>
          <w:szCs w:val="20"/>
          <w:b w:val="1"/>
          <w:bCs w:val="1"/>
          <w:color w:val="auto"/>
        </w:rPr>
        <w:t>As discussed above, if you are a street name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stockholder, you may not vote your shares live at the Special Meeting unless you obtain a legal proxy from your broker, bank or other nominee.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 or revoke my proxy?</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Stockholders of Record. </w:t>
      </w:r>
      <w:r>
        <w:rPr>
          <w:rFonts w:ascii="Times New Roman" w:cs="Times New Roman" w:eastAsia="Times New Roman" w:hAnsi="Times New Roman"/>
          <w:sz w:val="20"/>
          <w:szCs w:val="20"/>
          <w:color w:val="auto"/>
        </w:rPr>
        <w:t>If you are a stockholder of record, you may revoke your proxy or change your proxy instructions at any time before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your proxy is voted at the Special Meeting by:</w:t>
      </w:r>
    </w:p>
    <w:p>
      <w:pPr>
        <w:spacing w:after="0" w:line="156"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entering a new vote by Internet or telephone;</w:t>
      </w:r>
    </w:p>
    <w:p>
      <w:pPr>
        <w:spacing w:after="0" w:line="229"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signing and returning a new proxy card with a later date;</w:t>
      </w:r>
    </w:p>
    <w:p>
      <w:pPr>
        <w:spacing w:after="0" w:line="229"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a written revocation to our President and Chief Financial Officer at Seer, Inc., 3800 Bridge Parkway, Suite 102, Redwood City, California 94065; or</w:t>
      </w:r>
    </w:p>
    <w:p>
      <w:pPr>
        <w:spacing w:after="0" w:line="17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attending the Special Meeting and voting virtually.</w:t>
      </w:r>
    </w:p>
    <w:p>
      <w:pPr>
        <w:spacing w:after="0" w:line="21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Street Name Stockholders. </w:t>
      </w:r>
      <w:r>
        <w:rPr>
          <w:rFonts w:ascii="Times New Roman" w:cs="Times New Roman" w:eastAsia="Times New Roman" w:hAnsi="Times New Roman"/>
          <w:sz w:val="20"/>
          <w:szCs w:val="20"/>
          <w:color w:val="auto"/>
        </w:rPr>
        <w:t>If you are a street name stockholder, you must contact the broker, bank or other nominee holding your shares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 their instructions to change your vote or revoke your proxy.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effect of giving a proxy?</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Proxies are solicited by and on behalf of our board of directors. Omid Farokhzad, M.D. and David Horn have been designated as the proxy holders by our board of directors. When a proxy is properly dated, executed and returned, the shares represented by such proxy will be voted at the Special Meeting in accordance with the instructions of the stockholder. If the proxy is dated and signed, but no specific instructions are given, the shares will be voted in accordance with the recommendations of our board of directors. If any matters not described in this proxy statement are properly presented at the Special Meeting, the proxy holders will use their own judgment to determine how to vote your shares. If the Special Meeting is postponed or adjourned, the proxy holders can vote your shares on the new meeting date, unless you have properly revoked your proxy, as described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do not specify how my shares are to be voted?</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i w:val="1"/>
          <w:iCs w:val="1"/>
          <w:color w:val="auto"/>
        </w:rPr>
        <w:t xml:space="preserve">Stockholders of Record. </w:t>
      </w:r>
      <w:r>
        <w:rPr>
          <w:rFonts w:ascii="Times New Roman" w:cs="Times New Roman" w:eastAsia="Times New Roman" w:hAnsi="Times New Roman"/>
          <w:sz w:val="20"/>
          <w:szCs w:val="20"/>
          <w:color w:val="auto"/>
        </w:rPr>
        <w:t>If you are a stockholder of record and you submit a proxy, but you do not provide voting instructions, your shares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will be voted:</w:t>
      </w:r>
    </w:p>
    <w:p>
      <w:pPr>
        <w:ind w:left="760" w:right="20" w:hanging="378"/>
        <w:spacing w:after="0" w:line="246"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amendment to our amended and restated certificate of incorporation to change the date upon which all of our shares of Class B common stock will automatically convert into Class A common stock (Proposal No. 1); and</w:t>
      </w:r>
    </w:p>
    <w:p>
      <w:pPr>
        <w:spacing w:after="0" w:line="195"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approval of one or more adjournments of the Special Meeting, if necessary, to solicit additional proxies if there are insufficient votes at the time of the Special Meeting to approve Proposal No. 1 (Proposal No. 2).</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Street Name Stockholders. </w:t>
      </w:r>
      <w:r>
        <w:rPr>
          <w:rFonts w:ascii="Times New Roman" w:cs="Times New Roman" w:eastAsia="Times New Roman" w:hAnsi="Times New Roman"/>
          <w:sz w:val="20"/>
          <w:szCs w:val="20"/>
          <w:color w:val="auto"/>
        </w:rPr>
        <w:t>If you are a street name stockholder and you do not provide your broker, bank or other nominee that holds your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with voting instructions, then your broker, bank or other nominee will determine if it has discretion to vote on each matter. Brokers do not have discretion to vote on non-routine matters. We believe Proposal No. 1 (amendment to the amended and restated certificate incorporation) and Proposal No. 2 (approval of one or more adjournments of the Special Meeting) are both non-routine matters under applicable rules. As a result, if you do not provide voting instructions to your broker, bank or other nominee, then your broker, bank or other nominee may not vote your shares with respect to Proposal No. 1 or Proposal No. 2, and your shares will not be counted for purposes of calculating whether a quorum is present at the Special Meeting. For additional information regarding broker non-votes, see “What are the effects of abstentions and broker non-votes?”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effects of abstentions and broker non-votes?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Special Meeting. As a result, abstentions will be counted for purposes of determining the presence or absence of a quorum and will also count as votes against the proposals being voted on at the Special Meeting.</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broker non-vote occurs when a broker, bank or other nominee holding shares for a beneficial owner has discretionary authority to vote on one or more proposals but does not vote on a particular proposal because the broker, bank or other nominee does not have discretionary voting power with respect to such proposal and has not received voting instructions from the beneficial owner of the shares. Broker non-votes, if any, will be counted for purposes of calculating whether a quorum is present at the Special Meeting, will count as votes against Proposal No.1, and will not affect the outcome of the vote with respect to Proposal No 2. We do not expect there to be any broker non-votes at the Special Meeting because we believe that both Proposal No. 1 and Proposal No. 2 are considered non-routine matters under applicable rules.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proxies solicited for the Special Meeting and who is paying for such solicitation?</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Our board of directors is soliciting proxies for use at the Special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We have engaged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FFFF00"/>
        </w:rPr>
        <w:t>,</w:t>
      </w:r>
      <w:r>
        <w:rPr>
          <w:rFonts w:ascii="Times New Roman" w:cs="Times New Roman" w:eastAsia="Times New Roman" w:hAnsi="Times New Roman"/>
          <w:sz w:val="20"/>
          <w:szCs w:val="20"/>
          <w:color w:val="auto"/>
        </w:rPr>
        <w:t xml:space="preserve"> which we refer to as the “proxy solicitor,” to assist in the solicitation of proxies for the Special Meeting. We have agreed to pay the proxy solicitor a fee of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plus disbursements. We will also reimburse the proxy solicitor for reasonable out-of-pocket expenses and will indemnify the proxy solicitor and its affiliates against certain claims, liabilities, losses, damages and expenses. The original solicitation of proxies may also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does it mean if I received more than one paper copy of the proxy materials?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receive more than one copy of the proxy materials, your shares may be registered in more than one name or in different accounts.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follow the voting instructions on the proxy materials to ensure that all of your shares are voted.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 my vote confidential?</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70"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color w:val="auto"/>
        </w:rPr>
        <w:t>I share an address with another stockholder, and we received only one paper copy of the proxy materials. How may I obtain an additional copy of the proxy materials?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adopted a procedure approved by the U.S. Securities and Exchange Commission (the “SEC”) called “householding,” under which we can deliver a single copy of the proxy materials to multiple stockholders who share the same address unless we received contrary instructions from one or more of the stockholders. This procedure reduces our printing and mailing costs. Stockholders who participate in householding will continue to be able to access and receive separate proxy cards. Upon written or oral request, we will promptly deliver a separate copy of the proxy materials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Seer,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Attention: President and Chief Financial Officer</w:t>
      </w:r>
    </w:p>
    <w:p>
      <w:pPr>
        <w:jc w:val="center"/>
        <w:spacing w:after="0"/>
        <w:rPr>
          <w:sz w:val="20"/>
          <w:szCs w:val="20"/>
          <w:color w:val="auto"/>
        </w:rPr>
      </w:pPr>
      <w:r>
        <w:rPr>
          <w:rFonts w:ascii="Times New Roman" w:cs="Times New Roman" w:eastAsia="Times New Roman" w:hAnsi="Times New Roman"/>
          <w:sz w:val="20"/>
          <w:szCs w:val="20"/>
          <w:color w:val="auto"/>
        </w:rPr>
        <w:t>3800 Bridge Parkway, Suite 102</w:t>
      </w:r>
    </w:p>
    <w:p>
      <w:pPr>
        <w:jc w:val="center"/>
        <w:spacing w:after="0"/>
        <w:rPr>
          <w:sz w:val="20"/>
          <w:szCs w:val="20"/>
          <w:color w:val="auto"/>
        </w:rPr>
      </w:pPr>
      <w:r>
        <w:rPr>
          <w:rFonts w:ascii="Times New Roman" w:cs="Times New Roman" w:eastAsia="Times New Roman" w:hAnsi="Times New Roman"/>
          <w:sz w:val="20"/>
          <w:szCs w:val="20"/>
          <w:color w:val="auto"/>
        </w:rPr>
        <w:t>Redwood City, California 94065</w:t>
      </w:r>
    </w:p>
    <w:p>
      <w:pPr>
        <w:jc w:val="center"/>
        <w:spacing w:after="0"/>
        <w:rPr>
          <w:sz w:val="20"/>
          <w:szCs w:val="20"/>
          <w:color w:val="auto"/>
        </w:rPr>
      </w:pPr>
      <w:r>
        <w:rPr>
          <w:rFonts w:ascii="Times New Roman" w:cs="Times New Roman" w:eastAsia="Times New Roman" w:hAnsi="Times New Roman"/>
          <w:sz w:val="20"/>
          <w:szCs w:val="20"/>
          <w:color w:val="auto"/>
        </w:rPr>
        <w:t>(650) 453-0000</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may also obtain an additional copy of the proxy materials by requesting them in writing or by telephone from our proxy solicitor at the following address and telephone number:</w:t>
      </w:r>
    </w:p>
    <w:p>
      <w:pPr>
        <w:spacing w:after="0" w:line="385" w:lineRule="exact"/>
        <w:rPr>
          <w:sz w:val="20"/>
          <w:szCs w:val="20"/>
          <w:color w:val="auto"/>
        </w:rPr>
      </w:pPr>
    </w:p>
    <w:p>
      <w:pPr>
        <w:ind w:left="5560" w:hanging="111"/>
        <w:spacing w:after="0"/>
        <w:tabs>
          <w:tab w:leader="none" w:pos="556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Stockholders who hold shares in street name may contact their brokerage firm, bank, broker-dealer or other nominee to request information about householding.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Special Meeting?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will announce preliminary voting results at the Special Meeting. In addition, we will disclose final voting results on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we will file an amendment to the Form 8-K to disclose the final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INTRODUCTION TO THE PROPOSALS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Proposal No. 1 requires us to amend our existing amended and restated certificate of incorporation.</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approval by our stockholders of Proposal No. 1 will constitute stockholder approval and adoption of the amendment to our amended and restated certificate of incorporation, a copy of which is attached as Appendix A (the “Charter Amendment”) under Delaware law. Our board of directors, upon unanimous recommendation of a special committee comprised of members of our board, has unanimously determined that it is advisable and in our best interests, and in the best interests of our stockholders, to adopt the Charter Amendment described in Proposal No. 1.</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approval of Proposal No. 1 by our stockholders is required to authorize the adoption of the Charter Amendment. When we refer to the approval of the adoption of the Charter Amendment, we are referring to the approval by our stockholders of Proposal No. 1.</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approval of Proposal No. 1 requires the affirmative vote of a majority of the voting power of the outstanding shares of our capital stock entitled to vote on this matter.</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Proposal No. 2, our Current Bylaws require the affirmative vote of a majority of the voting power of the shares present in person (including virtually) or represented by proxy at the Special Meeting and entitled to vote on this matter.</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the Charter Amendment is adopted by the stockholders, we intend to file the Charter Amendment with the Secretary of State of Delaware. The Charter Amendment will be effective immediately upon acceptance of filing by the Secretary of State. Our board of directors reserves the right to abandon or delay the filing of the Charter Amendment even if it is approved by our stockholders. The Company will not effect any changes to the terms of the dual class structure if Proposal No. 1 is not approved by our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Stockholders will have no appraisal rights with respect to the adoption of the Charter Amendment.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Additionally, upon the effectiveness of the Charter Amendment, certain governance provisions will take into effect, including: (i) the Amended and Restated Corporate Governance Guidelines which will provide that prior to the 2026 annual meeting of stockholders, the board will appoint a non-employee, independent director as Chair (and that the Chair position would continue to be filled by a non-employee, independent director for so long as the dual class structure remained in place); and (ii) at each annual meeting of stockholders held while the dual class structure remains in place, the board will submit to stockholders a non-binding, advisory vote on the compensation of Seer’s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BACKGROUND OF THE PROPOSALS</w:t>
      </w:r>
    </w:p>
    <w:p>
      <w:pPr>
        <w:spacing w:after="0" w:line="200" w:lineRule="exact"/>
        <w:rPr>
          <w:sz w:val="20"/>
          <w:szCs w:val="20"/>
          <w:color w:val="auto"/>
        </w:rPr>
      </w:pPr>
    </w:p>
    <w:p>
      <w:pPr>
        <w:spacing w:after="0" w:line="2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board has considered from time to time the Current Sunset (as defined below) along with related governance considerations and potential impacts of the occurrence of the Current Sunset on the Company and all of its stockholders. In particular, at meetings of the board on February 26, 2025 and May 8 - 9, 2025, and at meetings of the Corporate Governance and Nominating Committee on February 18, 2025 and July 17, 2025, the directors discussed such matters, but in each case determined that the board would not take any action with respect to the Current Sunset unless a properly empowered committee of disinterested directors were formed.</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July 23, 2025, the board met by video conference, with all members of the board and representatives of Wilson Sonsini Goodrich &amp; Rosati, Professional Corporation (“Wilson Sonsini”), the Company’s outside counsel, in attendance. The Wilson Sonsini representatives reviewed the provisions of the Company’s Amended and Restated Certificate of Incorporation (the “Current Certificate”), which provides that each share of Class B common stock will automatically convert into one share of Class A common stock no later than the close of business on December 9, 2025 (the “Current Sunset”). The Wilson Sonsini representatives also discussed fiduciary considerations relevant to how the board might evaluate the Company’s capital structure in the context of the Current Sunset.</w:t>
      </w:r>
    </w:p>
    <w:p>
      <w:pPr>
        <w:spacing w:after="0" w:line="18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discussion, the board determined that it was in the best interests of the Company and its stockholders to establish a special committee (the “Committee”) to consider and evaluate a potential modification to the Company’s capital structure, including through a potential amendment to the Company’s Current Certificate (such action, together with any alternatives thereto, the “Potential Action”), and unanimously adopted resolutions to establish and empower the Committee.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board appointed Nicolas Roelofs, Ph.D. and Meeta Gulyani as the members of the Committee and determined that each of Dr. Roelofs and Ms. Gulyani satisfied the applicable criteria for determining director independence within the meaning of the listing standards of the Nasdaq Stock Market LLC (“Nasdaq”) with respect to the Company and Omid Farokhzad, M.D. (treating Dr. Farokhzad as if he were the Company for purposes of applying such criteria) and was disinterested with respect to the Potential Action under Delaware law.</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board delegated to the Committee the full power and authority of the board to: (i) explore, consider, evaluate, review, negotiate (or oversee the negotiation of), approve, reject, and (if applicable) recommend to the board for approval or rejection the Potential Action, and to take any actions with respect to the Potential Action as the Committee may deem necessary, appropriate, or advisable (including selecting a Chair of the Committee and retaining or using, at the Company’s expense, legal counsel and any additional third parties or advisors that the Committee may deem necessary, useful or advisable); (ii) determine whether the Potential Action is in the best interests of the Company and its stockholders; and (iii) if applicable, recommend to the board what action, if any, should be taken by the Company with respect to the Potential Action. The board also agreed that the Company would not proceed with a Potential Action unless it had first been approved or recommended by the Committee.</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board provided that the Chair of the Committee (if one was selected by the Committee) would receive a cash retainer of $20,000, and each other member of the Committee would receive a cash retainer of $10,000, for service on the Committee.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July 2025, the Committee (acting through Dr. Roelofs) interviewed three law firms, including Morris, Nichols, Arsht &amp; Tunnell LLP (“Morris Nichols”) on July 31, 2025. On August 21, 2025, the Committee determined to engage Morris Nichols to serve as the Committee’s independent legal advisor, based upon the firm’s independence and experience advising special committees.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2, 2025, the board appointed Isaac Ro to the board. Mr. Ro’s appointment was recommended by the Corporate Governance and Nominating Committee, which, at the time the Committee was formed, was in the process of identifying an additional independent director to join the board. Mr. Ro also serves as a director of PrognomiQ, Inc., a related party of the Company.</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5, 2025, the Committee met by video conference, with all members of the Committee, Mr. Ro, and representatives of Morris Nichols in attendance. The Committee and the Morris Nichols representatives discussed (i) the Company’s dual class structure and stockholder base; (ii) process and timing considerations, including the appropriate process for engaging with Dr. Farokhzad; (iii) the Committee’s mandate and fiduciary duties; (iv) potential investor reaction to an extension of the dual class structure, as well as the positions of certain advisory firms with respect to such matters; and (v) the potential role of a financial advisor in the Committee’s process. The Committee (acting through Dr. Roelofs) noted that it had preliminary discussions with Canaccord Genuity LLC (“Canaccord”) and another firm and would gather further information regarding their respective capabilities, availability and fee structures in advance of the next Committee meeting.</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September 5, 2025 meeting, the Morris Nichols representatives confirmed the independence of Morris Nichols, reporting that the firm did not have a prior relationship with the Company and had no current or prior engagements with any holder of Class B common stock. The Morris Nichols representatives noted that they had received the annual director questionnaires with respect to each Committee member (and Mr. Ro) and explained that they would hold separate calls with each Committee member, which would provide an opportunity to discuss and evaluate any facts potentially relevant to such member’s disinterestedness and independence. The Committee appointed Dr. Roelofs as the Chair of the Committee and Dr. Roelofs reported that he planned to meet with Dr. Farokhzad to discuss the annual updates to management’s strategic plan, which were underway, but which would require board input and refinement before being finalized. The Committee agreed that it would be helpful, when appropriate, to receive a presentation from Dr. Farokhzad on the strategic plan even if the plan was still preliminary.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September 10, 2025, the board appointed Mr. Ro to the Committee and determined that Mr. Ro satisfied the applicable criteria for determining director independence within the meaning of the listing standards of Nasdaq with respect to the Company and Dr. Farokhzad (treating Dr. Farokhzad as if he were the Company for purposes of applying such criteria) and was disinterested with respect to the Potential Action under Delaware law.</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Between September 10, 2025 and September 12, 2025, representatives of Morris Nichols held separate calls with each Committee member to discuss and evaluate any facts potentially relevant to such member’s disinterestedness and independence. During this period, representatives of Morris Nichols also spoke with representatives of Wilson Sonsini regarding the background of the Company and its dual class structure and to receive input regarding timing considerations to ensure that, if the Committee ultimately determined to recommend an action requiring stockholder approval, there would be an opportunity to obtain stockholder approval prior to the Current Sunset.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September 12, 2025, the Committee met by video conference, with all members of the Committee and representatives of Morris Nichols in attendance. The Morris Nichols representatives reported on the separate calls held with each Committee member to discuss and evaluate any facts potentially relevant to such member’s disinterestedness and independence (which calls confirmed the board’s determinations with respect to each Committee member) and each Committee member confirmed his or her independence and disinterestedness with respect to Dr. Farokhzad, the holders of Class B common stock and any Potential Action. The Morris Nichols representatives also reported on the input received from Wilson Sonsini regarding timing considerations to ensure that, if the Committee ultimately determined to recommend an action requiring stockholder approval, there would be an opportunity to obtain stockholder approval prior to the Current Sunset. Based on this input, it was noted that if the Committee ultimately determined to recommend an action requiring stockholder approval, such recommendation should be made during the first half of October. The Morris Nichols representatives then reviewed and discussed the Company’s current dual class structure, significant stockholders, governance profile, precedent transactions involving dual class companies and recent stockholder campaigns at biotechnology companies. The Committee deliberated on the benefits of the Company’s dual class structure in light of the Company’s current stage, leadership and cash position, and the implications of the expiration of the dual class structure on the achievability of the Company’s long-term plan. The Committee determined to invite Dr. Farokhzad to the next Committee meeting and request that he present his perspectives on management’s strategic plan, including the use of cash thereunder.</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September 19, 2025, the Committee met by video conference, with all members of the Committee and representatives of Morris Nichols in attendance. Dr. Roelofs reported on his discussions with Canaccord and another potential financial advisor and following discussion, the Committee determined to engage Canaccord to serve as its independent financial advisor. The Committee then deliberated on the merits of extending the Company’s dual class structure for a specified period of time and other potential governance changes, during which the Committee discussed, among other things, the unique value of Dr. Farokhzad’s expertise and leadership, the Company’s current cash position and long-term prospects. In its deliberations, the Committee also discussed the time required to achieve broad commercial success, the current state of the proteomics market and the potential for opportunities that might require quick action, founder insight and available capital. The Committee and the Morris Nichols representatives then discussed the potential parameters of an extension of the dual class structure (and considerations relating to the length of any such extension) and governance changes that could be implemented in connection with an extension, including providing for a director elected exclusively by the holders of Class A common stock, an independent chair of the board and annual say-on-pay votes.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At the invitation of the Committee, Dr. Farokhzad then joined the meeting to present his perspectives on management’s strategic plan, including the use of cash thereunder. During his presentation, Dr. Farokhzad discussed (i) the Company’s historical financial performance;</w:t>
      </w:r>
    </w:p>
    <w:p>
      <w:pPr>
        <w:spacing w:after="0" w:line="1" w:lineRule="exact"/>
        <w:rPr>
          <w:sz w:val="20"/>
          <w:szCs w:val="20"/>
          <w:color w:val="auto"/>
        </w:rPr>
      </w:pPr>
    </w:p>
    <w:p>
      <w:pPr>
        <w:ind w:left="300" w:hanging="292"/>
        <w:spacing w:after="0"/>
        <w:tabs>
          <w:tab w:leader="none" w:pos="3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innovations and pipeline; (iii) the proteomics market and growth opportunities; (iv) challenges facing the Company; and</w:t>
      </w:r>
    </w:p>
    <w:p>
      <w:pPr>
        <w:jc w:val="both"/>
        <w:ind w:firstLine="8"/>
        <w:spacing w:after="0" w:line="241" w:lineRule="auto"/>
        <w:tabs>
          <w:tab w:leader="none" w:pos="29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preliminary and illustrative forecast of financial performance for the next five years, based on the achievement of certain commercial milestones. Dr. Farokhzad responded to questions from the Committee, including regarding such illustrative forecast, which had not been presented to or approved by the board, and reflected that by 2031, the Company was expected to reach profitability and have approximately $100 million of cash. Dr. Farokhzad provided his overall perspective on value creation at the Company and also discussed his views on potential opportunities for strategic acquisitions and growth opportunities as the proteomics market develops.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9"/>
          <w:szCs w:val="19"/>
          <w:color w:val="auto"/>
        </w:rPr>
        <w:t>After Dr. Farokhzad left the meeting, the Committee (i) discussed the Company’s long-term prospects and the potential growth opportunities in the proteomics market; (ii) expressed confidence in Dr. Farokhzad’s vision, goals and leadership and a view that Dr. Farokhzad’s expertise in proteomics is uniquely valuable to the Company; (iii) discussed the benefits afforded by the Company’s cash position, including that the Company’s cash position could enable the Company to engage in strategic acquisitions as the Company, and the broader proteomics market, mature; and (iv) discussed Dr. Farokhzad’s sound stewardship of the Company to date. The Committee expressed its views that Dr. Farokhzad and his management team were integral to the Company reaching profitability, that the path forward required deep, capital intensive innovation, and that the Company’s cash position preserved flexibility. The Committee and the Morris Nichols representatives then discussed next steps and receiving input and advice from representatives of Canaccord. The Committee confirmed that it would be advisable to begin drafting a proxy statement, to ensure that, if the Committee ultimately determined to recommend that the board approve an action requiring stockholder approval, there would be an opportunity to obtain such approval prior to the Current Sunset.</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23, 2025, the Committee entered into an engagement letter with Canaccord, which provided for an up-front fee and an additional fee payable upon the delivery of a written presentation regarding dual class structures, an assessment of the Company’s potential vulnerability to third-party activity (including stockholder activism) and perspectives on options for use of excess cash. Canaccord did not have any prior engagements with the Company and does not have any current or prior engagements with any holder of Class B common stock.</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September 25, 2025, the Committee met by video conference, with all members of the Committee and representatives of Morris Nichols and Canaccord in attendance. The Canaccord representatives provided an overview of the Company’s historical financial and stock price performance and discussed the Company’s cash position, noting that the Company’s stock price implies a negative enterprise value for the Company. The Canaccord representatives reviewed a summary of the Company’s stockholder base, the strategies that certain Company stockholders have utilized in their investments in other companies and the Company’s corporate preparedness provisions, and discussed the extent to which the Company may be vulnerable to opportunistic behavior. During such discussion, the Canaccord representatives noted that although the Company’s limited trading volume and certain of the existing corporate preparedness provisions might mitigate the Company’s vulnerability, the Company’s cash position and trading price could attract interest from investors with a short-term horizon. The Canaccord representatives also discussed that the relative scarcity of proteomics companies, together with the Company’s size, tended to increase the Company’s vulnerability. The participants then discussed dual class structures, sunset provisions, market views on dual class structures and precedent transactions involving dual class companies.</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September 26, 2025, the Committee met by video conference, with all members of the Committee and representatives of Morris Nichols and Canaccord in attendance. The participants discussed the topics addressed at the meeting held the day prior, with the Canaccord representatives further discussing the Company’s capital allocation strategy and investor relations considerations. The Canaccord representatives then left the meeting. The Committee then deliberated on the merits of an extension of the Company’s dual class structure, during which the Committee expressed continued confidence in Dr. Farokhzad’s expertise, leadership and long-term strategy (including with respect to capital allocation) and expressed its view that maintaining the Company’s dual class structure was the best path to drive long-term value creation, including by mitigating potential pressure to deliver short-term returns and furthering the Company’s ability to make strategic investments as the proteomics market evolves and matures. The Committee noted that the size of the Company, stock price and cash position potentially would enable third parties to pursue opportunistic strategies that could be detrimental, including pursuing a sale of the Company in a non-value maximizing transaction, abandoning the Company’s plan to commercialization and profitability, distributing capital necessary to execute on the long-term plan and replacing Dr. Farokhzad.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Following discussion, the Committee directed Dr. Roelofs to convey a proposal to Dr. Farokhzad providing that (i) the time-based sunset under the Current Certificate would be extended to December 9, 2030 (the “Extension”); (ii) while the dual class structure remained in place, the holders of Class A common stock, voting as a separate class, would have the right to elect one director (the “Class A Director Seat”); (iii) prior to the 2026 annual meeting of stockholders, the board would appoint a non-employee, independent director as Chair (and that the Chair position would continue to be filled by a non-employee, independent director for so long as the dual class structure remained in place) (the “Independent Chair Provision”); (iv) at each annual meeting of stockholders held while the dual class structure remained in place, the board would submit to stockholders a non-binding, advisory vote on the compensation of Seer’s named executive officers (the “Annual Say-on-Pay Provision”); and (v) the Independent Chair Provision and the Annual Say-on-Pay Provision would be reflected in an amendment and restatement of the Company’s Corporate Governance Guidelines (the “Amended Guidelines”).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its deliberations, the Committee determined that an extension of fewer than five years may not provide sufficient time for the Company to execute on its long-term strategy, and that a commitment to annual say-on-pay votes and the implementation of an independent board chair together would meaningfully improve the Company’s governance profile. The Committee also discussed that providing the holders of Class A common stock with a more direct path to board representation could facilitate a greater diversity of viewpoints in the boardroom, but that a stockholder with a short-term investment horizon could utilize the Class A Director Seat to exert pressure to pursue a short-term strategy. The Committee and the Morris Nichols representatives discussed these considerations, following which the Committee determined that, on balance, proposing that one member of the board be elected by the holders of Class A common stock was advisable. Following the meeting, Dr. Roelofs conveyed the Committee’s proposal to Dr. Farokhzad.</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29, 2025, Dr. Roelofs, together with representatives of Morris Nichols and a representative of Wilson Sonsini, spoke with Dr. Farokhzad’s counsel, who conveyed that Dr. Farokhzad was supportive of the Extension, the Independent Chair Provision and the Annual Say-on-Pay Provision, but not the Class A Director Seat because it could facilitate the appointment of a director primarily focused on short-term objectives, and that Dr. Farokhzad offered to be excluded from the vote and deliberations regarding the selection of the board’s independent chair.</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September 30, 2025, the Committee met by video conference, with all members of the Committee and representatives of Morris Nichols in attendance. The Committee and the Morris Nichols representatives discussed the counterproposal conveyed by Dr. Farokhzad’s counsel. The Committee deliberated on potential counterproposals, including whether to insist on its original proposal for the Class A Director Seat. Discussion continued, including regarding the possibility that a stockholder with a short-term investment horizon could utilize the Class A Director Seat to exert pressure to pursue a short-term strategy that is not in the interests of the Company and all of its stockholders or otherwise cause disruption and distraction. The Committee weighed the benefits of the Class A Director Seat with the downsides and determined not to insist on its inclusion in the Committee’s proposal. The Committee and the Morris Nichols representatives then discussed the process relating to the selection of an independent chair and clarifying that Dr. Farokhzad (and any other directors who are not independent) be excluded from the vote and deliberations regarding the selection of the board’s independent chair. At the direction of the Committee, Morris Nichols conveyed this clarification to Dr. Farokhzad’s counsel, who confirmed it was acceptable.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October 3, 2025, the Committee met by video conference, with all members of the Committee and representatives of Morris Nichols in attendance. The Morris Nichols representatives reported that Dr. Farokhzad, through his counsel, was supportive of the Committee’s proposal conveyed on September 30, 2025. The Committee continued its deliberation regarding the proposal and the merits of the Extension. The Committee discussed its continued support of the Extension, the Independent Chair Provision and the Annual Say-on-Pay Provision and discussed with the Morris Nichols representatives the process for providing a recommendation to the board.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October 7, 2025, the Committee met by video conference, with all members of the Committee and representatives of Morris Nichols in attendance. The Committee unanimously adopted resolutions (i) determining that the Charter Amendment and the Amended Guidelines are advisable and in the best interests of the Company and the disinterested holders of Class A common stock; (ii) recommending that the board declare advisable and adopt the Charter Amendment and adopt the Amended Guidelines (to become effective upon the effectiveness of the Charter Amendment); and (iii) recommending that the board submit the Charter Amendment to the Company’s stockholders for approval.</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Later on October 7, 2025, the board met by video conference, with all members of the board and representatives of Wilson Sonsini and Morris Nichols in attendance. The board determined that the Charter Amendment and Amended Guidelines were in the best interests of the Company and its stockholders. Following the meeting, effective on October 8, 2025, the board unanimously adopted formal resolutions by written consent (i) determining that the Charter Amendment is advisable and in the best interests of the Company and its stockholders; (ii) adopting the Charter Amendment and adopting the Amended Guidelines (to become effective upon the effectiveness of the Charter Amendment); and (iii) recommending that the Company’s stockholders approve the Charter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Reasons for the Proposals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Committee recommended that the board approve the proposals because the Committee believes that the Charter Amendment and governance changes are advisable and in the best interests of the Company and the disinterested holders of Class A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Supports the Company’s Long-Term Strategy</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mission is to imagine and pioneer new ways to decode the biology of the proteome to improve human health. Since the Company’s initial public offering in 2020, the development and commercialization of the Proteograph Product Suite has been a key component of the Company’s long-term strategy. The Company has made substantial investments to develop, improve and drive adoption of the Proteograph Product Suite, which the Company is still in the early stages of commercializing. In addition to the Proteograph Product Suite, the Company’s growth prospects depend on its continued ability to shape the proteomics market through innovation and realization of strategic opportunities.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Under the Company’s dual class structure, Omid Farokhzad, M.D. one of the Company’s founders, the Company’s Chief Executive Officer and the most significant holder of the high vote Class B common stock, has significant influence over the Company as an officer, director and stockholder. The Committee believes that Dr. Farokhzad’s vision and leadership has been instrumental in the Company’s product development and other achievements to date and that the dual class structure, which allows Dr. Farokhzad to exert significant influence, has mitigated pressure to deliver short-term returns at the expense of long-term value creation. The Committee believes that the dual class structure has enabled the Company to make the substantial investments required to develop and begin to commercialize the Proteograph Product Suite.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absence of the dual class structure, third parties could exert greater influence and potentially pursue a strategy that does not align with the Company’s current, long-term strategy. The Committee believes that the vision and efforts of Dr. Farokhzad, as the Company’s founder are critical to the Company’s success over the next five years. The Committee also believes that Dr. Farokhzad’s position as a leader in proteomics is uniquely valuable, especially given that the proteomics market is poised for rapid development and growth. However, in supporting the proposals, the Committee also took into account that the dual class structure does not prevent the board from pursuing an alternative strategy and that Dr. Farokhzad does not control a majority of the outstanding voting power of the Company. The Committee also considered that under the Company’s Current Certificate, Dr. Farokhzad’s shares of Class B common stock will convert into shares of Class A common stock if he no longer provides services to the Company as a consultant, director or employee.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Dual Class Structure May Protect the Company’s Capital from Opportunistic Third Parties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Committee recognizes that the Company’s strong cash position has enabled it to fund key investments to date and will provide the capital needed for future investments aligned with the Company’s long-term strategy. The Committee considered that ongoing investments will be needed in commercializing the Proteograph Product Suite and that the Company’s cash position could support growth by enabling the Company to pursue strategic acquisitions and other opportunities that may arise as the proteomics market evolves.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Committee, however, also recognized that the Company’s cash position, market capitalization and stock price could make the Company a target for third parties interested in pursuing a different capital allocation strategy that is focused on short-term results or that abandons the Company’s long-term strategy entirely. The Committee believes that the continuation of the dual class structure for five years may deter third parties from pursuing opportunistic strategies that could potentially destroy long-term value for stockholders.</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the Charter Amendment is approved by the Company’s stockholders, the Company’s dual class structure will remain in place for up to five additional years, which the Committee believes provides the Company with sufficient time to execute on its long-term strategy.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Company’s Governance Structure is Balanced and Consistent with its Long-Term Strategy</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reaching its determination, the Committee considered the Charter Amendment in the context of the other provisions of the Company’s Current Certificate relevant to the Company’s dual class structure. The Committee also considered the Company’s governance profile generally, including the recent elimination of the Company’s classified board to allow for annual director elections. The Committee determined that a commitment to annual say-on-pay votes and the implementation of an independent chair would meaningfully improve the Company’s governance profile. The Committee considered that an independent chair could provide a greater degree of protection for public stockholders, relative to the Company’s existing lead independent director role, including because an independent chair would be responsible for setting meeting agendas and could more directly lead the board’s oversight functions.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foregoing discussion is a summary of the factors that the Committee considered in reaching its determination and is not intended to be exhaustive. The Committee did not find it practicable to, and did not, quantify or otherwise assign relative weights to the specific factors considered in reaching its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1:</w:t>
      </w:r>
    </w:p>
    <w:p>
      <w:pPr>
        <w:spacing w:after="0" w:line="229"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AMENDMENT TO OUR AMENDED AND RESTATED CERTIFICATE OF INCORPORATION TO CHANGE THE DATE UPON WHICH ALL OF OUR SHARES OF CLASS B COMMON STOCK WILL AUTOMATICALLY CONVERT INTO CLASS A COMMON STOCK</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board of directors, upon receiving the unanimous recommendation of the Committee, has determined that it is advisable and in our best interests, and in the best interests of our stockholders, to amend our Current Certificate to make certain changes to the events upon which all of our shares of Class B common stock will automatically convert into Class A common stock. Our board of directors recommends that the stockholders vote in favor of this proposal, which will require an amendment to Article IV, Part A, Section 3.4 of our Current Certificate. The description of the proposed amendment is qualified in its entirety by reference to, and should be read in conjunction with, the full text of the Charter Amendment attached as Appendix 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Current Certificate</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Current Certificate provides for the automatic conversion of each share of Class B common stock held of record by a Class B Stockholder (as defined in the Current Certificate), or by such Class B Stockholder’s Permitted Entities (as defined in the Current Certificate), into one fully paid and nonassessable share of Class A common stock upon the occurrence of the following events (the “Triggering Events”):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(the “Death or Disability Trigger”), (ii) the close of business on the first day following any period of 90 consecutive days during which such Class B Stockholder does not directly, or, in the case of a Class B Stockholder that is not a natural person, through a member, nominee or designee, provide services to the Company as an employee, consultant or director (the “Separation Trigger”), (iii) the time, including a time determined by the happening of a future event, specified in a written consent or agreement of holders of at least fifty percent (50%) of the then outstanding shares of Class B common stock (the “Class B Notice Trigger”) or (iv) the earlier of (x) the close of business on the first day following the fifth anniversary of the closing of the first firm-commitment underwritten public offering pursuant to an effective registration statement under the Securities Act of 1933, as amended, resulting in the listing of shares of the Company’s capital stock on a securities exchange registered with the SEC as a national securities exchange pursuant to Section 6(a) of the Securities Exchange Act of 1934, as amended, and (y) the close of business on December 31, 2025 (the “Current Time-Based Trigger”).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w:t>
      </w:r>
    </w:p>
    <w:p>
      <w:pPr>
        <w:spacing w:after="0" w:line="200" w:lineRule="exact"/>
        <w:rPr>
          <w:sz w:val="20"/>
          <w:szCs w:val="20"/>
          <w:color w:val="auto"/>
        </w:rPr>
      </w:pP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Current Certificate would be amended to provide that the Current Time-Based Trigger for the automatic conversion of each share of Class B common stock to Class A common stock be extended to December 9, 2030, which is the 5-year anniversary of the Current Time-Based Trigger date. The other Triggering Events, including the Death or Disability Trigger, Separation Trigger and Class B Notice Trigger will remain unchanged and in effect.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Text of the Amendment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propose to amend and restate Article IV, Part A, Section 3.4 as follows:</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Automatic Conversion</w:t>
      </w:r>
      <w:r>
        <w:rPr>
          <w:rFonts w:ascii="Times New Roman" w:cs="Times New Roman" w:eastAsia="Times New Roman" w:hAnsi="Times New Roman"/>
          <w:sz w:val="20"/>
          <w:szCs w:val="20"/>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 (i) 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close of business on the first day following any period of 90 consecutive days during which such Class B Stockholder does not directly, or, in the case of a Class B Stockholder that is not a natural person, through a member, nominee or designee, provide services to the Corporation as an employee, consultant or director, (iii) the time, including a time determined by the happening of a future event, specified in a written consent or agreement of holders of at least fifty percent (50%) of the then outstanding shares of Class B common stock or (iv) the close of business on December 9, 2030.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Proposal No. 1 requires the affirmative vote of a majority of the voting power of the outstanding shares of capital stock of the Company entitled to vote on this matter. Abstentions and broker non-votes, if any, will have the same effect as votes against this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our Board of Directors</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THE BOARD OF DIRECTORS RECOMMENDS A VOTE “FOR” THE APPROVAL OF THE AMENDMENT TO OUR</w:t>
      </w:r>
    </w:p>
    <w:p>
      <w:pPr>
        <w:spacing w:after="0" w:line="26" w:lineRule="exact"/>
        <w:rPr>
          <w:sz w:val="20"/>
          <w:szCs w:val="20"/>
          <w:color w:val="auto"/>
        </w:rPr>
      </w:pPr>
    </w:p>
    <w:p>
      <w:pPr>
        <w:ind w:left="400" w:right="80" w:hanging="348"/>
        <w:spacing w:after="0" w:line="271" w:lineRule="auto"/>
        <w:rPr>
          <w:sz w:val="20"/>
          <w:szCs w:val="20"/>
          <w:color w:val="auto"/>
        </w:rPr>
      </w:pPr>
      <w:r>
        <w:rPr>
          <w:rFonts w:ascii="Times New Roman" w:cs="Times New Roman" w:eastAsia="Times New Roman" w:hAnsi="Times New Roman"/>
          <w:sz w:val="19"/>
          <w:szCs w:val="19"/>
          <w:b w:val="1"/>
          <w:bCs w:val="1"/>
          <w:color w:val="auto"/>
        </w:rPr>
        <w:t>AMENDED AND RESTATED CERTIFICATE OF INCORPORATION TO CHANGE THE DATE UPON WHICH ALL OF OUR SHARES OF CLASS B COMMON STOCK WILL AUTOMATICALLY CONVERT INTO CLASS A COMMON STOCK.</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NO. 2:</w:t>
      </w:r>
    </w:p>
    <w:p>
      <w:pPr>
        <w:spacing w:after="0" w:line="229"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APPROVAL OF ONE OR MORE ADJOURNMENTS OF THE SPECIAL MEETING, IF NECESSARY, TO SOLICIT ADDITIONAL PROXIES IF THERE ARE INSUFFICIENT VOTES AT THE TIME OF THE SPECIAL MEETING TO APPROVE PROPOSAL NO. 1</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is asking its stockholders to approve a proposal for one or more adjournments of the Special Meeting, if necessary, to solicit additional proxies if we have not obtained sufficient affirmative stockholder votes to approve Proposal No. 1. If our stockholders approve this proposal, we could adjourn the Special Meeting, and any adjourned session of the Special Meeting, and use the additional time to solicit additional proxies. If, at the Special Meeting, the number of shares present in person (including virtually) or by proxy and voting in favor of Proposal No. 1 is not sufficient to approve the proposal, then we may move to adjourn the Special Meeting in order to enable our directors, officers and employees to solicit additional proxies for the adoption of Proposal No. 1. In that event, we will ask our stockholders to vote only upon Proposal No. 2 and not Proposal No. 1.</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Proposal No. 2 relates only to an adjournment of the Special Meeting for purposes of soliciting additional proxies to obtain the requisite stockholder approval to approve Proposal No. 1. The Company retains full authority to the extent set forth in the Current Certificate and its Current Bylaws to adjourn the Special Meeting for any other purpose, or to postpone the Special Meeting before it is convened, without the consent of any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 Required</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Proposal No. 2 requires the affirmative vote of a majority of the voting power of the shares present in person (including virtually) or represented by proxy at the Special Meeting and entitled to vote on this matter. Abstentions will have the same effect as votes against the proposal, and broker non-votes will have no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our Board of Directors</w:t>
      </w:r>
    </w:p>
    <w:p>
      <w:pPr>
        <w:spacing w:after="0" w:line="216"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THE BOARD OF DIRECTORS RECOMMENDS A VOTE “FOR” THE APPROVAL OF ONE OR MORE ADJOURNMENTS OF THE SPECIAL MEETING, IF NECESSARY, TO SOLICIT ADDITIONAL PROXIES IF THERE ARE INSUFFICIENT VOTES AT THE TIME OF THE SPECIAL MEETING TO APPROVE PROPOSAL NO.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sets forth certain information with respect to the beneficial ownership of our common stock as of September 30, 2025 for:</w:t>
      </w:r>
    </w:p>
    <w:p>
      <w:pPr>
        <w:spacing w:after="0" w:line="159" w:lineRule="exact"/>
        <w:rPr>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directors;</w:t>
      </w:r>
    </w:p>
    <w:p>
      <w:pPr>
        <w:spacing w:after="0" w:line="21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our named executive officers;</w:t>
      </w:r>
    </w:p>
    <w:p>
      <w:pPr>
        <w:spacing w:after="0" w:line="21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our current directors and executive officers as a group; and</w:t>
      </w:r>
    </w:p>
    <w:p>
      <w:pPr>
        <w:spacing w:after="0" w:line="21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or group known by us to be the beneficial owner of more than 5% of our common stock.</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 of 1933, as amended.</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based our calculation of the percentage of beneficial ownership on 51,759,773 shares of our Class A common stock and 4,026,571 shares of our Class B common stock outstanding as of September 30, 2025. We have deemed shares of our Class A common stock subject to stock options that are currently exercisable or exercisable within 60 days of September 30, 2025 to be outstanding and to be beneficially owned by the person holding the stock option for the purpose of computing the percentage ownership of that person. We did not deem these shares outstanding, however, for the purpose of computing the percentage ownership of any other person or entity.</w:t>
      </w:r>
    </w:p>
    <w:p>
      <w:pPr>
        <w:spacing w:after="0" w:line="18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Unless otherwise indicated, the address of each beneficial owner listed in the table below is c/o Seer, Inc., 3800 Bridge Parkway, Suite 102, Redwood City, California 94065.</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080" w:type="dxa"/>
            <w:vAlign w:val="bottom"/>
            <w:tcBorders>
              <w:bottom w:val="single" w:sz="8" w:color="auto"/>
            </w:tcBorders>
            <w:gridSpan w:val="7"/>
          </w:tcPr>
          <w:p>
            <w:pPr>
              <w:ind w:left="1180"/>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10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2220" w:type="dxa"/>
            <w:vAlign w:val="bottom"/>
            <w:tcBorders>
              <w:bottom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Borders>
              <w:bottom w:val="single" w:sz="8" w:color="auto"/>
            </w:tcBorders>
            <w:gridSpan w:val="3"/>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Class B Common Stock</w:t>
            </w:r>
          </w:p>
        </w:tc>
        <w:tc>
          <w:tcPr>
            <w:tcW w:w="220" w:type="dxa"/>
            <w:vAlign w:val="bottom"/>
          </w:tcPr>
          <w:p>
            <w:pPr>
              <w:spacing w:after="0"/>
              <w:rPr>
                <w:sz w:val="12"/>
                <w:szCs w:val="12"/>
                <w:color w:val="auto"/>
              </w:rPr>
            </w:pPr>
          </w:p>
        </w:tc>
        <w:tc>
          <w:tcPr>
            <w:tcW w:w="1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Voting % of</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Omid Farokhzad, M.D.</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1,083,304</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3,555,195</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David Horn</w:t>
            </w:r>
            <w:r>
              <w:rPr>
                <w:rFonts w:ascii="Times New Roman" w:cs="Times New Roman" w:eastAsia="Times New Roman" w:hAnsi="Times New Roman"/>
                <w:sz w:val="24"/>
                <w:szCs w:val="24"/>
                <w:color w:val="auto"/>
                <w:vertAlign w:val="superscript"/>
              </w:rPr>
              <w:t>(2)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362,023</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Meeta Gulyani</w:t>
            </w:r>
            <w:r>
              <w:rPr>
                <w:rFonts w:ascii="Times New Roman" w:cs="Times New Roman" w:eastAsia="Times New Roman" w:hAnsi="Times New Roman"/>
                <w:sz w:val="24"/>
                <w:szCs w:val="24"/>
                <w:color w:val="auto"/>
                <w:vertAlign w:val="superscript"/>
              </w:rPr>
              <w:t>(3)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167,937</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Robert Langer, Sc.D.</w:t>
            </w:r>
            <w:r>
              <w:rPr>
                <w:rFonts w:ascii="Times New Roman" w:cs="Times New Roman" w:eastAsia="Times New Roman" w:hAnsi="Times New Roman"/>
                <w:sz w:val="24"/>
                <w:szCs w:val="24"/>
                <w:color w:val="auto"/>
                <w:vertAlign w:val="superscript"/>
              </w:rPr>
              <w:t>(4)</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1,349,773</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Terrance McGuire</w:t>
            </w:r>
            <w:r>
              <w:rPr>
                <w:rFonts w:ascii="Times New Roman" w:cs="Times New Roman" w:eastAsia="Times New Roman" w:hAnsi="Times New Roman"/>
                <w:sz w:val="24"/>
                <w:szCs w:val="24"/>
                <w:color w:val="auto"/>
                <w:vertAlign w:val="superscript"/>
              </w:rPr>
              <w:t>(5)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639,862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Dipchand (Deep) Nishar</w:t>
            </w:r>
            <w:r>
              <w:rPr>
                <w:rFonts w:ascii="Times New Roman" w:cs="Times New Roman" w:eastAsia="Times New Roman" w:hAnsi="Times New Roman"/>
                <w:sz w:val="24"/>
                <w:szCs w:val="24"/>
                <w:color w:val="auto"/>
                <w:vertAlign w:val="superscript"/>
              </w:rPr>
              <w:t>(6)</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122,300</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Nicolas Roelofs, Ph.D.</w:t>
            </w:r>
            <w:r>
              <w:rPr>
                <w:rFonts w:ascii="Times New Roman" w:cs="Times New Roman" w:eastAsia="Times New Roman" w:hAnsi="Times New Roman"/>
                <w:sz w:val="24"/>
                <w:szCs w:val="24"/>
                <w:color w:val="auto"/>
                <w:vertAlign w:val="superscript"/>
              </w:rPr>
              <w:t>(7)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4"/>
                <w:szCs w:val="24"/>
                <w:color w:val="auto"/>
                <w:vertAlign w:val="superscript"/>
              </w:rPr>
              <w:t>(8)</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All executive officers and directors as a group (8 persons)</w:t>
            </w:r>
            <w:r>
              <w:rPr>
                <w:rFonts w:ascii="Times New Roman" w:cs="Times New Roman" w:eastAsia="Times New Roman" w:hAnsi="Times New Roman"/>
                <w:sz w:val="24"/>
                <w:szCs w:val="24"/>
                <w:color w:val="auto"/>
                <w:vertAlign w:val="superscript"/>
              </w:rPr>
              <w:t>(9)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3,775,012</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3,559,283</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SoftBank SB Global Advisers Limited</w:t>
            </w:r>
            <w:r>
              <w:rPr>
                <w:rFonts w:ascii="Times New Roman" w:cs="Times New Roman" w:eastAsia="Times New Roman" w:hAnsi="Times New Roman"/>
                <w:sz w:val="24"/>
                <w:szCs w:val="24"/>
                <w:color w:val="auto"/>
                <w:vertAlign w:val="superscript"/>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5,135,383</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aMoon Fund Growth Fund Limited Partnership</w:t>
            </w:r>
            <w:r>
              <w:rPr>
                <w:rFonts w:ascii="Times New Roman" w:cs="Times New Roman" w:eastAsia="Times New Roman" w:hAnsi="Times New Roman"/>
                <w:sz w:val="24"/>
                <w:szCs w:val="24"/>
                <w:color w:val="auto"/>
                <w:vertAlign w:val="superscript"/>
              </w:rPr>
              <w:t>(11)</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4,923,196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Invus Public Equities, LP </w:t>
            </w:r>
            <w:r>
              <w:rPr>
                <w:rFonts w:ascii="Times New Roman" w:cs="Times New Roman" w:eastAsia="Times New Roman" w:hAnsi="Times New Roman"/>
                <w:sz w:val="24"/>
                <w:szCs w:val="24"/>
                <w:color w:val="auto"/>
                <w:vertAlign w:val="superscript"/>
              </w:rPr>
              <w:t>(12)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4,195,185</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Represents beneficial ownership of less than 1%.</w:t>
      </w:r>
    </w:p>
    <w:p>
      <w:pPr>
        <w:spacing w:after="0" w:line="216" w:lineRule="exact"/>
        <w:rPr>
          <w:sz w:val="20"/>
          <w:szCs w:val="20"/>
          <w:color w:val="auto"/>
        </w:rPr>
      </w:pPr>
    </w:p>
    <w:p>
      <w:pPr>
        <w:jc w:val="both"/>
        <w:ind w:firstLine="8"/>
        <w:spacing w:after="0" w:line="246" w:lineRule="auto"/>
        <w:tabs>
          <w:tab w:leader="none" w:pos="15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of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77" w:lineRule="exact"/>
        <w:rPr>
          <w:sz w:val="20"/>
          <w:szCs w:val="20"/>
          <w:color w:val="auto"/>
        </w:rPr>
      </w:pPr>
    </w:p>
    <w:p>
      <w:pPr>
        <w:jc w:val="both"/>
        <w:ind w:left="760" w:hanging="752"/>
        <w:spacing w:after="0" w:line="249"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770,923 shares of Class A common stock and 1,438,057 shares of Class B common stock held of record by Dr. Farokhzad; (ii) 2,117,138 shares of Class B common stock held of record by SAF-BND Trust for which Dr. Farokhzad’s spouse serves as trustee; and (iii) 312,381 shares of Class A common stock subject to options exercisable within 60 days of September 30, 2025, of which are fully vested. Dr. Farokhzad disclaims beneficial ownership of the shares held by the SAF-BND Trust.</w:t>
      </w:r>
    </w:p>
    <w:p>
      <w:pPr>
        <w:spacing w:after="0" w:line="7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299,654 shares of Class A common stock held of record by Mr. Horn and (ii) 62,369 shares of Class A common stock subject to options exercisable within 60 days of September 30, 2025, of which are fully vested.</w:t>
      </w:r>
    </w:p>
    <w:p>
      <w:pPr>
        <w:spacing w:after="0" w:line="5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87,043 shares of Class A common stock held of record by Ms. Gulyani, and (ii) 80,894 shares of Class A common stock subject to options exercisable within 60 days of September 30, 2025, of which are fully vested.</w:t>
      </w:r>
    </w:p>
    <w:p>
      <w:pPr>
        <w:spacing w:after="0" w:line="5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924,211 shares of Class A common stock held of record by Dr. Langer, and (ii) 425,562 shares of Class A common stock subject to options exercisable within 60 days of September 30, 2025, of which are fully vested.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 w:name="page24"/>
    <w:bookmarkEnd w:id="23"/>
    <w:p>
      <w:pPr>
        <w:spacing w:after="0" w:line="81" w:lineRule="exact"/>
        <w:rPr>
          <w:sz w:val="20"/>
          <w:szCs w:val="20"/>
          <w:color w:val="auto"/>
        </w:rPr>
      </w:pPr>
    </w:p>
    <w:p>
      <w:pPr>
        <w:jc w:val="both"/>
        <w:ind w:left="760" w:hanging="752"/>
        <w:spacing w:after="0" w:line="246"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210,982 shares of Class A common stock and 4,088 shares of Class B common stock held of record by Strong Bridge, LLC for which Mr. McGuire serves as an operating manager; (ii) 91,566 shares of Class A common stock held of record for Mr. McGuire; (iii) 258,367 shares of Class A common stock subject to options exercisable within 60 days of September 30, 2025, of which are fully vested; and (iv) 78,947 shares of Class A common stock held of record by Polaris Founders Capital Fund I, L.P., for which Mr. McGuire serves as general partner of the managing member.</w:t>
      </w:r>
    </w:p>
    <w:p>
      <w:pPr>
        <w:spacing w:after="0" w:line="76"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27,925 shares of Class A common stock held of record by Mr. Nishar, and (ii) 94,375 shares of Class A common stock subject to options exercisable within 60 days of September 30, 2025, of which are fully vested.</w:t>
      </w:r>
    </w:p>
    <w:p>
      <w:pPr>
        <w:spacing w:after="0" w:line="51" w:lineRule="exact"/>
        <w:rPr>
          <w:rFonts w:ascii="Times New Roman" w:cs="Times New Roman" w:eastAsia="Times New Roman" w:hAnsi="Times New Roman"/>
          <w:sz w:val="20"/>
          <w:szCs w:val="20"/>
          <w:color w:val="auto"/>
        </w:rPr>
      </w:pPr>
    </w:p>
    <w:p>
      <w:pPr>
        <w:ind w:left="760" w:hanging="752"/>
        <w:spacing w:after="0" w:line="269"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26,656 shares of Class A common stock held of record by Dr. Roelofs, and (ii) 23,157 shares of Class A common stock subject to options exercisable within 60 days of September 30, 2025, of which are fully vested.</w:t>
      </w:r>
    </w:p>
    <w:p>
      <w:pPr>
        <w:spacing w:after="0" w:line="5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Ro joined our board of directors in September 2025.</w:t>
      </w:r>
    </w:p>
    <w:p>
      <w:pPr>
        <w:spacing w:after="0" w:line="107" w:lineRule="exact"/>
        <w:rPr>
          <w:rFonts w:ascii="Times New Roman" w:cs="Times New Roman" w:eastAsia="Times New Roman" w:hAnsi="Times New Roman"/>
          <w:sz w:val="20"/>
          <w:szCs w:val="20"/>
          <w:color w:val="auto"/>
        </w:rPr>
      </w:pPr>
    </w:p>
    <w:p>
      <w:pPr>
        <w:jc w:val="both"/>
        <w:ind w:left="760" w:right="20" w:hanging="752"/>
        <w:spacing w:after="0" w:line="254"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(i) 2,517,907 shares of Class A common stock and 3,559,283 shares of Class B common stock beneficially owned by our current executive officers and directors and (ii) 1,257,105 shares of Class A common stock subject to options exercisable within 60 days of September 30, 2025 and held by our current executive officers and directors, of which are fully vested.</w:t>
      </w:r>
    </w:p>
    <w:p>
      <w:pPr>
        <w:spacing w:after="0" w:line="66" w:lineRule="exact"/>
        <w:rPr>
          <w:rFonts w:ascii="Times New Roman" w:cs="Times New Roman" w:eastAsia="Times New Roman" w:hAnsi="Times New Roman"/>
          <w:sz w:val="20"/>
          <w:szCs w:val="20"/>
          <w:color w:val="auto"/>
        </w:rPr>
      </w:pPr>
    </w:p>
    <w:p>
      <w:pPr>
        <w:jc w:val="both"/>
        <w:ind w:left="760" w:hanging="752"/>
        <w:spacing w:after="0" w:line="242"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information reported by SoftBank Group Corp. (“SoftBank”) on a Schedule 13G/A filed with the SEC on February 13, 2024, SB Global Advisers Limited (“SBGA”) has shared voting and dispositive power with respect to 5,135,383 shares of Class A common stock. SVF II Armadillo (DE) LLC is the record holder of the shares of Class A common stock.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Class A common stock. The address for SoftBank is 1-7-1 Kaigan, Minato-ku, Tokyo, 105-7537, Japan. The address for SBGA is 69 Grosvenor Street, London W1K 3JP, United Kingdom. The address for each of SoftBank Vision Fund II-2 L.P. and SVF II Aggregator (Jersey) L.P. is Crestbridge Limited, 47 Esplanade, St. Helier, Jersey, JE1 0BD. The address for each of the other reporting persons is 251 Little Falls Drive, Wilmington, DE 19808.</w:t>
      </w:r>
    </w:p>
    <w:p>
      <w:pPr>
        <w:spacing w:after="0" w:line="79" w:lineRule="exact"/>
        <w:rPr>
          <w:rFonts w:ascii="Times New Roman" w:cs="Times New Roman" w:eastAsia="Times New Roman" w:hAnsi="Times New Roman"/>
          <w:sz w:val="20"/>
          <w:szCs w:val="20"/>
          <w:color w:val="auto"/>
        </w:rPr>
      </w:pPr>
    </w:p>
    <w:p>
      <w:pPr>
        <w:jc w:val="both"/>
        <w:ind w:left="760" w:hanging="752"/>
        <w:spacing w:after="0" w:line="242" w:lineRule="auto"/>
        <w:tabs>
          <w:tab w:leader="none" w:pos="7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information reported by Schindel Yair Chaim on a Schedule 13G/A filed with the SEC on January 8, 2025, Dr. Schindel holds shared voting and dispositive power with respect to 4,923,196 shares of Class A common stock. aMoon Growth Fund Limited Partnership (“aMoon”) holds shared voting and dispositive power with respect to 4,112,235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held by aMoon, aMoon Co-Investment, aMoon G.P. and aMoon Ltd., except to the extent of his pecuniary interest therein, if any. The address for the reporting persons is 34 Yerushalaim Road, Beit Gamla, 6th Floor, Ra'anana, 4350110, Israel.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1" w:lineRule="exact"/>
        <w:rPr>
          <w:sz w:val="20"/>
          <w:szCs w:val="20"/>
          <w:color w:val="auto"/>
        </w:rPr>
      </w:pPr>
    </w:p>
    <w:p>
      <w:pPr>
        <w:jc w:val="both"/>
        <w:ind w:left="760" w:hanging="752"/>
        <w:spacing w:after="0" w:line="242" w:lineRule="auto"/>
        <w:tabs>
          <w:tab w:leader="none" w:pos="7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information reported by Invus Global Management, LLC (“Invus”) on a Schedule 13G/A filed with the SEC on August 2, 2024, Invus Public Equities, L.P. (“Invus Public Equities”) holds sole voting and dispositive power with respect to 4,195,185 shares of Class A common stock. Invus Public Equities Advisors, LLC (“Invus PE Advisors”), the general partner of Invus Public Equities, may be deemed to beneficially own the shares held by Invus Public Equities. Invus, the managing member of Invus PE Advisors, may be deemed to beneficially own the shares of Class A common stock that Invus PE Advisors may be deemed to beneficially own. Siren, L.L.C. (“Siren”), as the managing member of Invus, may be deemed to beneficially own the shares of Class A common stock that Invus may be deemed to beneficially own. Raymond Debbane, as the managing member of Siren, controls Siren and, accordingly, may be deemed to beneficially own the shares of Class A common stock that Siren may be deemed to beneficially own. The address for the reporting persons is 750 Lexington Avenue, 30th Floor, New York, New York 10022.</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ADDITIONAL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know of no other matters to be submitted at the Special Meeting. If any other matters properly come before the Special Meeting, it is the intention of the proxy holders to vote the shares they represent as the board of directors may recommend.</w:t>
      </w: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-10795</wp:posOffset>
            </wp:positionV>
            <wp:extent cx="12560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Omid Farokhzad, M.D.</w:t>
      </w:r>
    </w:p>
    <w:p>
      <w:pPr>
        <w:spacing w:after="0" w:line="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i w:val="1"/>
          <w:iCs w:val="1"/>
          <w:color w:val="auto"/>
        </w:rPr>
        <w:t>Chief Executive Officer and Chair of the Board of Directors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26" w:name="page27"/>
    <w:bookmarkEnd w:id="26"/>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2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Seer, Inc., a corporation organized and existing under the laws of the State of Delaware (the “</w:t>
      </w:r>
      <w:r>
        <w:rPr>
          <w:rFonts w:ascii="Times New Roman" w:cs="Times New Roman" w:eastAsia="Times New Roman" w:hAnsi="Times New Roman"/>
          <w:sz w:val="19"/>
          <w:szCs w:val="19"/>
          <w:u w:val="single" w:color="auto"/>
          <w:color w:val="auto"/>
        </w:rPr>
        <w:t>Corporation</w:t>
      </w:r>
      <w:r>
        <w:rPr>
          <w:rFonts w:ascii="Times New Roman" w:cs="Times New Roman" w:eastAsia="Times New Roman" w:hAnsi="Times New Roman"/>
          <w:sz w:val="19"/>
          <w:szCs w:val="19"/>
          <w:color w:val="auto"/>
        </w:rPr>
        <w:t>”), does hereby certify as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4" w:lineRule="exact"/>
        <w:rPr>
          <w:sz w:val="20"/>
          <w:szCs w:val="20"/>
          <w:color w:val="auto"/>
        </w:rPr>
      </w:pPr>
    </w:p>
    <w:p>
      <w:pPr>
        <w:ind w:right="20" w:firstLine="757"/>
        <w:spacing w:after="0" w:line="269" w:lineRule="auto"/>
        <w:tabs>
          <w:tab w:leader="none" w:pos="1145"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3.4 of Article IV, Part A of the Amended and Restated Certificate of Incorporation of the Corporation is hereby amended and restated in its entirety to read as follows:</w:t>
      </w:r>
    </w:p>
    <w:p>
      <w:pPr>
        <w:spacing w:after="0" w:line="159" w:lineRule="exact"/>
        <w:rPr>
          <w:sz w:val="20"/>
          <w:szCs w:val="20"/>
          <w:color w:val="auto"/>
        </w:rPr>
      </w:pPr>
    </w:p>
    <w:p>
      <w:pPr>
        <w:jc w:val="both"/>
        <w:ind w:left="1500" w:right="1480" w:firstLine="633"/>
        <w:spacing w:after="0" w:line="247"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Automatic Conversion</w:t>
      </w:r>
      <w:r>
        <w:rPr>
          <w:rFonts w:ascii="Times New Roman" w:cs="Times New Roman" w:eastAsia="Times New Roman" w:hAnsi="Times New Roman"/>
          <w:sz w:val="20"/>
          <w:szCs w:val="20"/>
          <w:color w:val="auto"/>
        </w:rPr>
        <w:t>. Each share of Class B common stock held of record by a Class B Stockholder, or by such Class B Stockholder’s Permitted Entities, shall automatically, without any further action, convert into one (1) fully paid and nonassessable share of Class A common stock upon</w:t>
      </w:r>
    </w:p>
    <w:p>
      <w:pPr>
        <w:jc w:val="both"/>
        <w:ind w:left="1500" w:right="1480" w:firstLine="5"/>
        <w:spacing w:after="0" w:line="252" w:lineRule="auto"/>
        <w:tabs>
          <w:tab w:leader="none" w:pos="1786"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death or permanent disability of such Class B Stockholder, or, in the case of a Class B Stockholder that is a single-member limited liability company, the death or permanent disability of the individual who is the sole member of such Class B Stockholder at the time of the original issuance of such shares of Class B common stock, (ii) the close of business on the first day following any period of</w:t>
      </w:r>
    </w:p>
    <w:p>
      <w:pPr>
        <w:jc w:val="both"/>
        <w:ind w:left="1500" w:right="14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90 consecutive days during which such Class B Stockholder does not directly, or, in the case of a Class B Stockholder that is not a natural person, through a member, nominee or designee, provide services to the Corporation as an employee, consultant or director, (iii) the time, including a time determined by the happening of a future event, specified in a written consent or agreement of holders of at least fifty percent (50%) of the then outstanding shares of Class B common stock or (iv) the close of business on December 9, 2030.</w:t>
      </w:r>
    </w:p>
    <w:p>
      <w:pPr>
        <w:spacing w:after="0" w:line="191" w:lineRule="exact"/>
        <w:rPr>
          <w:rFonts w:ascii="Times New Roman" w:cs="Times New Roman" w:eastAsia="Times New Roman" w:hAnsi="Times New Roman"/>
          <w:sz w:val="19"/>
          <w:szCs w:val="19"/>
          <w:color w:val="auto"/>
        </w:rPr>
      </w:pPr>
    </w:p>
    <w:p>
      <w:pPr>
        <w:ind w:left="4660" w:right="560" w:hanging="3903"/>
        <w:spacing w:after="0" w:line="494" w:lineRule="auto"/>
        <w:tabs>
          <w:tab w:leader="none" w:pos="115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foregoing amendment was duly adopted in accordance with Section 242 of the Delaware General Corporation Law. [signature page follows]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Seer, Inc. has caused this Certificate of Amendment to be signed by Omid Farokhzad, a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authorized officer of the Corporation, on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3333750</wp:posOffset>
            </wp:positionH>
            <wp:positionV relativeFrom="paragraph">
              <wp:posOffset>379095</wp:posOffset>
            </wp:positionV>
            <wp:extent cx="1507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Omid Farokhzad</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409" w:right="1119"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8837295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09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09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9060180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1125220</wp:posOffset>
            </wp:positionH>
            <wp:positionV relativeFrom="page">
              <wp:posOffset>1049020</wp:posOffset>
            </wp:positionV>
            <wp:extent cx="5297805" cy="6858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297805" cy="6858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Roman"/>
      <w:start w:val="2"/>
    </w:lvl>
  </w:abstractNum>
  <w:abstractNum w:abstractNumId="13">
    <w:nsid w:val="431BD7B7"/>
    <w:multiLevelType w:val="hybridMultilevel"/>
    <w:lvl w:ilvl="0">
      <w:lvlJc w:val="left"/>
      <w:lvlText w:val="(%1)"/>
      <w:numFmt w:val="lowerRoman"/>
      <w:start w:val="5"/>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5"/>
    </w:lvl>
  </w:abstractNum>
  <w:abstractNum w:abstractNumId="18">
    <w:nsid w:val="436C6125"/>
    <w:multiLevelType w:val="hybridMultilevel"/>
    <w:lvl w:ilvl="0">
      <w:lvlJc w:val="left"/>
      <w:lvlText w:val="(%1)"/>
      <w:numFmt w:val="decimal"/>
      <w:start w:val="12"/>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lvl w:ilvl="1">
      <w:lvlJc w:val="left"/>
      <w:lvlText w:val="(%2)"/>
      <w:numFmt w:val="lowerRoman"/>
      <w:start w:val="1"/>
    </w:lvl>
  </w:abstractNum>
  <w:abstractNum w:abstractNumId="21">
    <w:nsid w:val="721DA317"/>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2025-10-10T08:10:04Z</dcterms:created>
  <dcterms:modified xsi:type="dcterms:W3CDTF">2025-10-10T08:10:04Z</dcterms:modified>
</cp:coreProperties>
</file>