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9"/>
        <w:spacing w:after="0"/>
        <w:rPr>
          <w:sz w:val="20"/>
          <w:szCs w:val="20"/>
          <w:color w:val="auto"/>
        </w:rPr>
      </w:pPr>
      <w:r>
        <w:rPr>
          <w:rFonts w:ascii="Arial" w:cs="Arial" w:eastAsia="Arial" w:hAnsi="Arial"/>
          <w:sz w:val="22"/>
          <w:szCs w:val="22"/>
          <w:b w:val="1"/>
          <w:bCs w:val="1"/>
          <w:color w:val="auto"/>
        </w:rPr>
        <w:t>UNITED STATES</w:t>
      </w:r>
    </w:p>
    <w:p>
      <w:pPr>
        <w:spacing w:after="0" w:line="4"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SECURITIES AND EXCHANGE COMMISSION</w:t>
      </w:r>
    </w:p>
    <w:p>
      <w:pPr>
        <w:jc w:val="center"/>
        <w:ind w:right="-119"/>
        <w:spacing w:after="0"/>
        <w:rPr>
          <w:sz w:val="20"/>
          <w:szCs w:val="20"/>
          <w:color w:val="auto"/>
        </w:rPr>
      </w:pPr>
      <w:r>
        <w:rPr>
          <w:rFonts w:ascii="Arial" w:cs="Arial" w:eastAsia="Arial" w:hAnsi="Arial"/>
          <w:sz w:val="22"/>
          <w:szCs w:val="22"/>
          <w:b w:val="1"/>
          <w:bCs w:val="1"/>
          <w:color w:val="auto"/>
        </w:rPr>
        <w:t>Washington, D.C. 20549</w:t>
      </w:r>
    </w:p>
    <w:p>
      <w:pPr>
        <w:spacing w:after="0" w:line="253" w:lineRule="exact"/>
        <w:rPr>
          <w:sz w:val="24"/>
          <w:szCs w:val="24"/>
          <w:color w:val="auto"/>
        </w:rPr>
      </w:pPr>
    </w:p>
    <w:p>
      <w:pPr>
        <w:jc w:val="center"/>
        <w:ind w:right="-119"/>
        <w:spacing w:after="0"/>
        <w:rPr>
          <w:sz w:val="20"/>
          <w:szCs w:val="20"/>
          <w:color w:val="auto"/>
        </w:rPr>
      </w:pPr>
      <w:r>
        <w:rPr>
          <w:rFonts w:ascii="Arial" w:cs="Arial" w:eastAsia="Arial" w:hAnsi="Arial"/>
          <w:sz w:val="25"/>
          <w:szCs w:val="25"/>
          <w:b w:val="1"/>
          <w:bCs w:val="1"/>
          <w:color w:val="auto"/>
        </w:rPr>
        <w:t>SCHEDULE 13G</w:t>
      </w:r>
    </w:p>
    <w:p>
      <w:pPr>
        <w:spacing w:after="0" w:line="303"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Under the Securities Exchange Act of 1934</w:t>
      </w:r>
    </w:p>
    <w:p>
      <w:pPr>
        <w:spacing w:after="0" w:line="283"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(Amendment No. _ )</w:t>
      </w:r>
      <w:r>
        <w:rPr>
          <w:rFonts w:ascii="Arial" w:cs="Arial" w:eastAsia="Arial" w:hAnsi="Arial"/>
          <w:sz w:val="35"/>
          <w:szCs w:val="35"/>
          <w:b w:val="1"/>
          <w:bCs w:val="1"/>
          <w:color w:val="auto"/>
          <w:vertAlign w:val="superscript"/>
        </w:rPr>
        <w:t>*</w:t>
      </w:r>
    </w:p>
    <w:p>
      <w:pPr>
        <w:spacing w:after="0" w:line="200" w:lineRule="exact"/>
        <w:rPr>
          <w:sz w:val="24"/>
          <w:szCs w:val="24"/>
          <w:color w:val="auto"/>
        </w:rPr>
      </w:pPr>
    </w:p>
    <w:p>
      <w:pPr>
        <w:spacing w:after="0" w:line="393" w:lineRule="exact"/>
        <w:rPr>
          <w:sz w:val="24"/>
          <w:szCs w:val="24"/>
          <w:color w:val="auto"/>
        </w:rPr>
      </w:pPr>
    </w:p>
    <w:p>
      <w:pPr>
        <w:jc w:val="center"/>
        <w:ind w:right="-79"/>
        <w:spacing w:after="0"/>
        <w:rPr>
          <w:sz w:val="20"/>
          <w:szCs w:val="20"/>
          <w:color w:val="auto"/>
        </w:rPr>
      </w:pPr>
      <w:r>
        <w:rPr>
          <w:rFonts w:ascii="Arial" w:cs="Arial" w:eastAsia="Arial" w:hAnsi="Arial"/>
          <w:sz w:val="22"/>
          <w:szCs w:val="22"/>
          <w:color w:val="auto"/>
        </w:rPr>
        <w:t>Seer,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706120</wp:posOffset>
            </wp:positionH>
            <wp:positionV relativeFrom="paragraph">
              <wp:posOffset>142240</wp:posOffset>
            </wp:positionV>
            <wp:extent cx="5730240" cy="209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730240" cy="20955"/>
                    </a:xfrm>
                    <a:prstGeom prst="rect">
                      <a:avLst/>
                    </a:prstGeom>
                    <a:noFill/>
                  </pic:spPr>
                </pic:pic>
              </a:graphicData>
            </a:graphic>
          </wp:anchor>
        </w:drawing>
      </w:r>
    </w:p>
    <w:p>
      <w:pPr>
        <w:spacing w:after="0" w:line="321" w:lineRule="exact"/>
        <w:rPr>
          <w:sz w:val="24"/>
          <w:szCs w:val="24"/>
          <w:color w:val="auto"/>
        </w:rPr>
      </w:pPr>
    </w:p>
    <w:p>
      <w:pPr>
        <w:ind w:left="4900"/>
        <w:spacing w:after="0"/>
        <w:rPr>
          <w:sz w:val="20"/>
          <w:szCs w:val="20"/>
          <w:color w:val="auto"/>
        </w:rPr>
      </w:pPr>
      <w:r>
        <w:rPr>
          <w:rFonts w:ascii="Arial" w:cs="Arial" w:eastAsia="Arial" w:hAnsi="Arial"/>
          <w:sz w:val="22"/>
          <w:szCs w:val="22"/>
          <w:color w:val="auto"/>
        </w:rPr>
        <w:t>(Name of Issuer)</w:t>
      </w:r>
    </w:p>
    <w:p>
      <w:pPr>
        <w:spacing w:after="0" w:line="206" w:lineRule="exact"/>
        <w:rPr>
          <w:sz w:val="24"/>
          <w:szCs w:val="24"/>
          <w:color w:val="auto"/>
        </w:rPr>
      </w:pPr>
    </w:p>
    <w:p>
      <w:pPr>
        <w:ind w:left="4920"/>
        <w:spacing w:after="0"/>
        <w:rPr>
          <w:sz w:val="20"/>
          <w:szCs w:val="20"/>
          <w:color w:val="auto"/>
        </w:rPr>
      </w:pPr>
      <w:r>
        <w:rPr>
          <w:rFonts w:ascii="Arial" w:cs="Arial" w:eastAsia="Arial" w:hAnsi="Arial"/>
          <w:sz w:val="22"/>
          <w:szCs w:val="22"/>
          <w:color w:val="auto"/>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706120</wp:posOffset>
            </wp:positionH>
            <wp:positionV relativeFrom="paragraph">
              <wp:posOffset>142240</wp:posOffset>
            </wp:positionV>
            <wp:extent cx="5730240" cy="209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730240" cy="20955"/>
                    </a:xfrm>
                    <a:prstGeom prst="rect">
                      <a:avLst/>
                    </a:prstGeom>
                    <a:noFill/>
                  </pic:spPr>
                </pic:pic>
              </a:graphicData>
            </a:graphic>
          </wp:anchor>
        </w:drawing>
      </w:r>
    </w:p>
    <w:p>
      <w:pPr>
        <w:spacing w:after="0" w:line="321" w:lineRule="exact"/>
        <w:rPr>
          <w:sz w:val="24"/>
          <w:szCs w:val="24"/>
          <w:color w:val="auto"/>
        </w:rPr>
      </w:pPr>
    </w:p>
    <w:p>
      <w:pPr>
        <w:jc w:val="center"/>
        <w:ind w:right="-119"/>
        <w:spacing w:after="0"/>
        <w:rPr>
          <w:sz w:val="20"/>
          <w:szCs w:val="20"/>
          <w:color w:val="auto"/>
        </w:rPr>
      </w:pPr>
      <w:r>
        <w:rPr>
          <w:rFonts w:ascii="Arial" w:cs="Arial" w:eastAsia="Arial" w:hAnsi="Arial"/>
          <w:sz w:val="22"/>
          <w:szCs w:val="22"/>
          <w:color w:val="auto"/>
        </w:rPr>
        <w:t>(Title of Class of Securities)</w:t>
      </w:r>
    </w:p>
    <w:p>
      <w:pPr>
        <w:spacing w:after="0" w:line="206" w:lineRule="exact"/>
        <w:rPr>
          <w:sz w:val="24"/>
          <w:szCs w:val="24"/>
          <w:color w:val="auto"/>
        </w:rPr>
      </w:pPr>
    </w:p>
    <w:p>
      <w:pPr>
        <w:jc w:val="center"/>
        <w:ind w:right="-79"/>
        <w:spacing w:after="0"/>
        <w:rPr>
          <w:sz w:val="20"/>
          <w:szCs w:val="20"/>
          <w:color w:val="auto"/>
        </w:rPr>
      </w:pPr>
      <w:r>
        <w:rPr>
          <w:rFonts w:ascii="Arial" w:cs="Arial" w:eastAsia="Arial" w:hAnsi="Arial"/>
          <w:sz w:val="22"/>
          <w:szCs w:val="22"/>
          <w:color w:val="auto"/>
        </w:rPr>
        <w:t>81578P106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706120</wp:posOffset>
            </wp:positionH>
            <wp:positionV relativeFrom="paragraph">
              <wp:posOffset>142240</wp:posOffset>
            </wp:positionV>
            <wp:extent cx="5730240" cy="209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30240" cy="20955"/>
                    </a:xfrm>
                    <a:prstGeom prst="rect">
                      <a:avLst/>
                    </a:prstGeom>
                    <a:noFill/>
                  </pic:spPr>
                </pic:pic>
              </a:graphicData>
            </a:graphic>
          </wp:anchor>
        </w:drawing>
      </w:r>
    </w:p>
    <w:p>
      <w:pPr>
        <w:spacing w:after="0" w:line="321" w:lineRule="exact"/>
        <w:rPr>
          <w:sz w:val="24"/>
          <w:szCs w:val="24"/>
          <w:color w:val="auto"/>
        </w:rPr>
      </w:pPr>
    </w:p>
    <w:p>
      <w:pPr>
        <w:ind w:left="4860"/>
        <w:spacing w:after="0"/>
        <w:rPr>
          <w:sz w:val="20"/>
          <w:szCs w:val="20"/>
          <w:color w:val="auto"/>
        </w:rPr>
      </w:pPr>
      <w:r>
        <w:rPr>
          <w:rFonts w:ascii="Arial" w:cs="Arial" w:eastAsia="Arial" w:hAnsi="Arial"/>
          <w:sz w:val="22"/>
          <w:szCs w:val="22"/>
          <w:color w:val="auto"/>
        </w:rPr>
        <w:t>(CUSIP Number)</w:t>
      </w:r>
    </w:p>
    <w:p>
      <w:pPr>
        <w:spacing w:after="0" w:line="206" w:lineRule="exact"/>
        <w:rPr>
          <w:sz w:val="24"/>
          <w:szCs w:val="24"/>
          <w:color w:val="auto"/>
        </w:rPr>
      </w:pPr>
    </w:p>
    <w:p>
      <w:pPr>
        <w:ind w:left="4740"/>
        <w:spacing w:after="0"/>
        <w:rPr>
          <w:sz w:val="20"/>
          <w:szCs w:val="20"/>
          <w:color w:val="auto"/>
        </w:rPr>
      </w:pPr>
      <w:r>
        <w:rPr>
          <w:rFonts w:ascii="Arial" w:cs="Arial" w:eastAsia="Arial" w:hAnsi="Arial"/>
          <w:sz w:val="22"/>
          <w:szCs w:val="22"/>
          <w:color w:val="auto"/>
        </w:rPr>
        <w:t>December 30, 2022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706120</wp:posOffset>
            </wp:positionH>
            <wp:positionV relativeFrom="paragraph">
              <wp:posOffset>142240</wp:posOffset>
            </wp:positionV>
            <wp:extent cx="5730240" cy="215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30240" cy="21590"/>
                    </a:xfrm>
                    <a:prstGeom prst="rect">
                      <a:avLst/>
                    </a:prstGeom>
                    <a:noFill/>
                  </pic:spPr>
                </pic:pic>
              </a:graphicData>
            </a:graphic>
          </wp:anchor>
        </w:drawing>
      </w:r>
    </w:p>
    <w:p>
      <w:pPr>
        <w:spacing w:after="0" w:line="321" w:lineRule="exact"/>
        <w:rPr>
          <w:sz w:val="24"/>
          <w:szCs w:val="24"/>
          <w:color w:val="auto"/>
        </w:rPr>
      </w:pPr>
    </w:p>
    <w:p>
      <w:pPr>
        <w:ind w:left="3180"/>
        <w:spacing w:after="0"/>
        <w:rPr>
          <w:sz w:val="20"/>
          <w:szCs w:val="20"/>
          <w:color w:val="auto"/>
        </w:rPr>
      </w:pPr>
      <w:r>
        <w:rPr>
          <w:rFonts w:ascii="Arial" w:cs="Arial" w:eastAsia="Arial" w:hAnsi="Arial"/>
          <w:sz w:val="22"/>
          <w:szCs w:val="22"/>
          <w:color w:val="auto"/>
        </w:rPr>
        <w:t>(Date of Event Which Requires Filing of this Statement)</w:t>
      </w:r>
    </w:p>
    <w:p>
      <w:pPr>
        <w:spacing w:after="0" w:line="206" w:lineRule="exact"/>
        <w:rPr>
          <w:sz w:val="24"/>
          <w:szCs w:val="24"/>
          <w:color w:val="auto"/>
        </w:rPr>
      </w:pPr>
    </w:p>
    <w:p>
      <w:pPr>
        <w:spacing w:after="0"/>
        <w:rPr>
          <w:sz w:val="20"/>
          <w:szCs w:val="20"/>
          <w:color w:val="auto"/>
        </w:rPr>
      </w:pPr>
      <w:r>
        <w:rPr>
          <w:rFonts w:ascii="Arial" w:cs="Arial" w:eastAsia="Arial" w:hAnsi="Arial"/>
          <w:sz w:val="22"/>
          <w:szCs w:val="22"/>
          <w:color w:val="auto"/>
        </w:rPr>
        <w:t>Check the appropriate box to designate the rule pursuant to which this Schedule is filed:</w:t>
      </w:r>
    </w:p>
    <w:p>
      <w:pPr>
        <w:spacing w:after="0" w:line="287" w:lineRule="exact"/>
        <w:rPr>
          <w:sz w:val="24"/>
          <w:szCs w:val="24"/>
          <w:color w:val="auto"/>
        </w:rPr>
      </w:pPr>
    </w:p>
    <w:p>
      <w:pPr>
        <w:jc w:val="both"/>
        <w:ind w:left="60" w:right="9420" w:firstLine="2"/>
        <w:spacing w:after="0" w:line="385" w:lineRule="auto"/>
        <w:tabs>
          <w:tab w:leader="none" w:pos="478" w:val="left"/>
        </w:tabs>
        <w:numPr>
          <w:ilvl w:val="1"/>
          <w:numId w:val="1"/>
        </w:numPr>
        <w:rPr>
          <w:rFonts w:ascii="Arial" w:cs="Arial" w:eastAsia="Arial" w:hAnsi="Arial"/>
          <w:sz w:val="19"/>
          <w:szCs w:val="19"/>
          <w:color w:val="auto"/>
        </w:rPr>
      </w:pPr>
      <w:r>
        <w:rPr>
          <w:rFonts w:ascii="Arial" w:cs="Arial" w:eastAsia="Arial" w:hAnsi="Arial"/>
          <w:sz w:val="19"/>
          <w:szCs w:val="19"/>
          <w:color w:val="auto"/>
        </w:rPr>
        <w:t>Rule 13d-1(b) [ ] Rule 13d-1(c)</w:t>
      </w:r>
    </w:p>
    <w:p>
      <w:pPr>
        <w:spacing w:after="0" w:line="1" w:lineRule="exact"/>
        <w:rPr>
          <w:rFonts w:ascii="Arial" w:cs="Arial" w:eastAsia="Arial" w:hAnsi="Arial"/>
          <w:sz w:val="19"/>
          <w:szCs w:val="19"/>
          <w:color w:val="auto"/>
        </w:rPr>
      </w:pPr>
    </w:p>
    <w:p>
      <w:pPr>
        <w:ind w:left="60"/>
        <w:spacing w:after="0"/>
        <w:rPr>
          <w:rFonts w:ascii="Arial" w:cs="Arial" w:eastAsia="Arial" w:hAnsi="Arial"/>
          <w:sz w:val="19"/>
          <w:szCs w:val="19"/>
          <w:color w:val="auto"/>
        </w:rPr>
      </w:pPr>
      <w:r>
        <w:rPr>
          <w:rFonts w:ascii="Arial" w:cs="Arial" w:eastAsia="Arial" w:hAnsi="Arial"/>
          <w:sz w:val="22"/>
          <w:szCs w:val="22"/>
          <w:color w:val="auto"/>
        </w:rPr>
        <w:t>[ ]  Rule 13d-1(d)</w:t>
      </w:r>
    </w:p>
    <w:p>
      <w:pPr>
        <w:spacing w:after="0" w:line="267" w:lineRule="exact"/>
        <w:rPr>
          <w:rFonts w:ascii="Arial" w:cs="Arial" w:eastAsia="Arial" w:hAnsi="Arial"/>
          <w:sz w:val="19"/>
          <w:szCs w:val="19"/>
          <w:color w:val="auto"/>
        </w:rPr>
      </w:pPr>
    </w:p>
    <w:p>
      <w:pPr>
        <w:spacing w:after="0" w:line="213" w:lineRule="auto"/>
        <w:rPr>
          <w:rFonts w:ascii="Arial" w:cs="Arial" w:eastAsia="Arial" w:hAnsi="Arial"/>
          <w:sz w:val="19"/>
          <w:szCs w:val="19"/>
          <w:color w:val="auto"/>
        </w:rPr>
      </w:pPr>
      <w:r>
        <w:rPr>
          <w:rFonts w:ascii="Arial" w:cs="Arial" w:eastAsia="Arial" w:hAnsi="Arial"/>
          <w:sz w:val="35"/>
          <w:szCs w:val="35"/>
          <w:color w:val="auto"/>
          <w:vertAlign w:val="superscript"/>
        </w:rPr>
        <w:t>*</w:t>
      </w:r>
      <w:r>
        <w:rPr>
          <w:rFonts w:ascii="Arial" w:cs="Arial" w:eastAsia="Arial" w:hAnsi="Arial"/>
          <w:sz w:val="22"/>
          <w:szCs w:val="22"/>
          <w:color w:val="auto"/>
        </w:rPr>
        <w:t xml:space="preserve"> 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86" w:lineRule="exact"/>
        <w:rPr>
          <w:sz w:val="24"/>
          <w:szCs w:val="24"/>
          <w:color w:val="auto"/>
        </w:rPr>
      </w:pPr>
    </w:p>
    <w:p>
      <w:pPr>
        <w:ind w:right="180"/>
        <w:spacing w:after="0"/>
        <w:rPr>
          <w:sz w:val="20"/>
          <w:szCs w:val="20"/>
          <w:color w:val="auto"/>
        </w:rPr>
      </w:pPr>
      <w:r>
        <w:rPr>
          <w:rFonts w:ascii="Arial" w:cs="Arial" w:eastAsia="Arial" w:hAnsi="Arial"/>
          <w:sz w:val="22"/>
          <w:szCs w:val="22"/>
          <w:color w:val="auto"/>
        </w:rPr>
        <w:t>The information required in the remainder of this cover page shall not be deemed to be "filed" for the purpose of Section 18 of the Securities Exchange Act of 1934 (the "Act") or otherwise subject to the liabilities of that section of the Act, but shall be subject to all other provisions of the Act (however, see the Notes.)</w:t>
      </w:r>
    </w:p>
    <w:p>
      <w:pPr>
        <w:sectPr>
          <w:pgSz w:w="11900" w:h="16838" w:orient="portrait"/>
          <w:cols w:equalWidth="0" w:num="1">
            <w:col w:w="11120"/>
          </w:cols>
          <w:pgMar w:left="320" w:top="220" w:right="459" w:bottom="1440" w:gutter="0" w:footer="0" w:header="0"/>
        </w:sectPr>
      </w:pPr>
    </w:p>
    <w:bookmarkStart w:id="1" w:name="page2"/>
    <w:bookmarkEnd w:id="1"/>
    <w:p>
      <w:pPr>
        <w:ind w:left="40"/>
        <w:spacing w:after="0"/>
        <w:rPr>
          <w:sz w:val="20"/>
          <w:szCs w:val="20"/>
          <w:color w:val="auto"/>
        </w:rPr>
      </w:pPr>
      <w:r>
        <w:rPr>
          <w:rFonts w:ascii="Arial" w:cs="Arial" w:eastAsia="Arial" w:hAnsi="Arial"/>
          <w:sz w:val="22"/>
          <w:szCs w:val="22"/>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49465" cy="8890"/>
                    </a:xfrm>
                    <a:prstGeom prst="rect">
                      <a:avLst/>
                    </a:prstGeom>
                    <a:noFill/>
                  </pic:spPr>
                </pic:pic>
              </a:graphicData>
            </a:graphic>
          </wp:anchor>
        </w:drawing>
        <w:t>CUSIP No. 81578P106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170180</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1720" w:type="dxa"/>
            <w:vAlign w:val="bottom"/>
          </w:tcPr>
          <w:p>
            <w:pPr>
              <w:ind w:left="120"/>
              <w:spacing w:after="0"/>
              <w:rPr>
                <w:sz w:val="20"/>
                <w:szCs w:val="20"/>
                <w:color w:val="auto"/>
              </w:rPr>
            </w:pPr>
            <w:r>
              <w:rPr>
                <w:rFonts w:ascii="Arial" w:cs="Arial" w:eastAsia="Arial" w:hAnsi="Arial"/>
                <w:sz w:val="22"/>
                <w:szCs w:val="22"/>
                <w:color w:val="auto"/>
              </w:rPr>
              <w:t>1.</w:t>
            </w:r>
          </w:p>
        </w:tc>
        <w:tc>
          <w:tcPr>
            <w:tcW w:w="3760" w:type="dxa"/>
            <w:vAlign w:val="bottom"/>
          </w:tcPr>
          <w:p>
            <w:pPr>
              <w:ind w:left="100"/>
              <w:spacing w:after="0"/>
              <w:rPr>
                <w:sz w:val="20"/>
                <w:szCs w:val="20"/>
                <w:color w:val="auto"/>
              </w:rPr>
            </w:pPr>
            <w:r>
              <w:rPr>
                <w:rFonts w:ascii="Arial" w:cs="Arial" w:eastAsia="Arial" w:hAnsi="Arial"/>
                <w:sz w:val="22"/>
                <w:szCs w:val="22"/>
                <w:color w:val="auto"/>
                <w:w w:val="99"/>
              </w:rPr>
              <w:t>NAMES OF REPORTING PERSONS</w:t>
            </w:r>
          </w:p>
        </w:tc>
        <w:tc>
          <w:tcPr>
            <w:tcW w:w="57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4"/>
        </w:trPr>
        <w:tc>
          <w:tcPr>
            <w:tcW w:w="1720" w:type="dxa"/>
            <w:vAlign w:val="bottom"/>
          </w:tcPr>
          <w:p>
            <w:pPr>
              <w:spacing w:after="0"/>
              <w:rPr>
                <w:sz w:val="23"/>
                <w:szCs w:val="23"/>
                <w:color w:val="auto"/>
              </w:rPr>
            </w:pPr>
          </w:p>
        </w:tc>
        <w:tc>
          <w:tcPr>
            <w:tcW w:w="9520" w:type="dxa"/>
            <w:vAlign w:val="bottom"/>
            <w:gridSpan w:val="2"/>
          </w:tcPr>
          <w:p>
            <w:pPr>
              <w:ind w:left="100"/>
              <w:spacing w:after="0"/>
              <w:rPr>
                <w:sz w:val="20"/>
                <w:szCs w:val="20"/>
                <w:color w:val="auto"/>
              </w:rPr>
            </w:pPr>
            <w:r>
              <w:rPr>
                <w:rFonts w:ascii="Arial" w:cs="Arial" w:eastAsia="Arial" w:hAnsi="Arial"/>
                <w:sz w:val="22"/>
                <w:szCs w:val="22"/>
                <w:color w:val="auto"/>
              </w:rPr>
              <w:t>I.R.S. IDENTIFICATION NO. OF ABOVE PERSONS (ENTITIES ONLY)</w:t>
            </w:r>
          </w:p>
        </w:tc>
        <w:tc>
          <w:tcPr>
            <w:tcW w:w="0" w:type="dxa"/>
            <w:vAlign w:val="bottom"/>
          </w:tcPr>
          <w:p>
            <w:pPr>
              <w:spacing w:after="0"/>
              <w:rPr>
                <w:sz w:val="1"/>
                <w:szCs w:val="1"/>
                <w:color w:val="auto"/>
              </w:rPr>
            </w:pPr>
          </w:p>
        </w:tc>
      </w:tr>
      <w:tr>
        <w:trPr>
          <w:trHeight w:val="455"/>
        </w:trPr>
        <w:tc>
          <w:tcPr>
            <w:tcW w:w="1720" w:type="dxa"/>
            <w:vAlign w:val="bottom"/>
          </w:tcPr>
          <w:p>
            <w:pPr>
              <w:spacing w:after="0"/>
              <w:rPr>
                <w:sz w:val="24"/>
                <w:szCs w:val="24"/>
                <w:color w:val="auto"/>
              </w:rPr>
            </w:pPr>
          </w:p>
        </w:tc>
        <w:tc>
          <w:tcPr>
            <w:tcW w:w="3760" w:type="dxa"/>
            <w:vAlign w:val="bottom"/>
          </w:tcPr>
          <w:p>
            <w:pPr>
              <w:ind w:left="100"/>
              <w:spacing w:after="0"/>
              <w:rPr>
                <w:sz w:val="20"/>
                <w:szCs w:val="20"/>
                <w:color w:val="auto"/>
              </w:rPr>
            </w:pPr>
            <w:r>
              <w:rPr>
                <w:rFonts w:ascii="Arial" w:cs="Arial" w:eastAsia="Arial" w:hAnsi="Arial"/>
                <w:sz w:val="22"/>
                <w:szCs w:val="22"/>
                <w:color w:val="auto"/>
              </w:rPr>
              <w:t>Capital World Investors</w:t>
            </w:r>
          </w:p>
        </w:tc>
        <w:tc>
          <w:tcPr>
            <w:tcW w:w="5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4"/>
        </w:trPr>
        <w:tc>
          <w:tcPr>
            <w:tcW w:w="1720" w:type="dxa"/>
            <w:vAlign w:val="bottom"/>
          </w:tcPr>
          <w:p>
            <w:pPr>
              <w:spacing w:after="0"/>
              <w:rPr>
                <w:sz w:val="23"/>
                <w:szCs w:val="23"/>
                <w:color w:val="auto"/>
              </w:rPr>
            </w:pPr>
          </w:p>
        </w:tc>
        <w:tc>
          <w:tcPr>
            <w:tcW w:w="3760" w:type="dxa"/>
            <w:vAlign w:val="bottom"/>
          </w:tcPr>
          <w:p>
            <w:pPr>
              <w:ind w:left="100"/>
              <w:spacing w:after="0"/>
              <w:rPr>
                <w:sz w:val="20"/>
                <w:szCs w:val="20"/>
                <w:color w:val="auto"/>
              </w:rPr>
            </w:pPr>
            <w:r>
              <w:rPr>
                <w:rFonts w:ascii="Arial" w:cs="Arial" w:eastAsia="Arial" w:hAnsi="Arial"/>
                <w:sz w:val="22"/>
                <w:szCs w:val="22"/>
                <w:color w:val="auto"/>
              </w:rPr>
              <w:t>95-1411037</w:t>
            </w:r>
          </w:p>
        </w:tc>
        <w:tc>
          <w:tcPr>
            <w:tcW w:w="57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59"/>
        </w:trPr>
        <w:tc>
          <w:tcPr>
            <w:tcW w:w="1720" w:type="dxa"/>
            <w:vAlign w:val="bottom"/>
          </w:tcPr>
          <w:p>
            <w:pPr>
              <w:ind w:left="120"/>
              <w:spacing w:after="0"/>
              <w:rPr>
                <w:sz w:val="20"/>
                <w:szCs w:val="20"/>
                <w:color w:val="auto"/>
              </w:rPr>
            </w:pPr>
            <w:r>
              <w:rPr>
                <w:rFonts w:ascii="Arial" w:cs="Arial" w:eastAsia="Arial" w:hAnsi="Arial"/>
                <w:sz w:val="22"/>
                <w:szCs w:val="22"/>
                <w:color w:val="auto"/>
              </w:rPr>
              <w:t>2.</w:t>
            </w:r>
          </w:p>
        </w:tc>
        <w:tc>
          <w:tcPr>
            <w:tcW w:w="9520" w:type="dxa"/>
            <w:vAlign w:val="bottom"/>
            <w:gridSpan w:val="2"/>
          </w:tcPr>
          <w:p>
            <w:pPr>
              <w:ind w:left="100"/>
              <w:spacing w:after="0"/>
              <w:rPr>
                <w:sz w:val="20"/>
                <w:szCs w:val="20"/>
                <w:color w:val="auto"/>
              </w:rPr>
            </w:pPr>
            <w:r>
              <w:rPr>
                <w:rFonts w:ascii="Arial" w:cs="Arial" w:eastAsia="Arial" w:hAnsi="Arial"/>
                <w:sz w:val="22"/>
                <w:szCs w:val="22"/>
                <w:color w:val="auto"/>
              </w:rPr>
              <w:t>CHECK THE APPROPRIATE BOX IF A MEMBER OF A GROUP*</w:t>
            </w:r>
          </w:p>
        </w:tc>
        <w:tc>
          <w:tcPr>
            <w:tcW w:w="0" w:type="dxa"/>
            <w:vAlign w:val="bottom"/>
          </w:tcPr>
          <w:p>
            <w:pPr>
              <w:spacing w:after="0"/>
              <w:rPr>
                <w:sz w:val="1"/>
                <w:szCs w:val="1"/>
                <w:color w:val="auto"/>
              </w:rPr>
            </w:pPr>
          </w:p>
        </w:tc>
      </w:tr>
      <w:tr>
        <w:trPr>
          <w:trHeight w:val="455"/>
        </w:trPr>
        <w:tc>
          <w:tcPr>
            <w:tcW w:w="1720" w:type="dxa"/>
            <w:vAlign w:val="bottom"/>
          </w:tcPr>
          <w:p>
            <w:pPr>
              <w:spacing w:after="0"/>
              <w:rPr>
                <w:sz w:val="24"/>
                <w:szCs w:val="24"/>
                <w:color w:val="auto"/>
              </w:rPr>
            </w:pPr>
          </w:p>
        </w:tc>
        <w:tc>
          <w:tcPr>
            <w:tcW w:w="3760" w:type="dxa"/>
            <w:vAlign w:val="bottom"/>
          </w:tcPr>
          <w:p>
            <w:pPr>
              <w:ind w:left="100"/>
              <w:spacing w:after="0"/>
              <w:rPr>
                <w:sz w:val="20"/>
                <w:szCs w:val="20"/>
                <w:color w:val="auto"/>
              </w:rPr>
            </w:pPr>
            <w:r>
              <w:rPr>
                <w:rFonts w:ascii="Arial" w:cs="Arial" w:eastAsia="Arial" w:hAnsi="Arial"/>
                <w:sz w:val="22"/>
                <w:szCs w:val="22"/>
                <w:color w:val="auto"/>
              </w:rPr>
              <w:t>(a) [ ]</w:t>
            </w:r>
          </w:p>
        </w:tc>
        <w:tc>
          <w:tcPr>
            <w:tcW w:w="5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4"/>
        </w:trPr>
        <w:tc>
          <w:tcPr>
            <w:tcW w:w="1720" w:type="dxa"/>
            <w:vAlign w:val="bottom"/>
          </w:tcPr>
          <w:p>
            <w:pPr>
              <w:spacing w:after="0"/>
              <w:rPr>
                <w:sz w:val="23"/>
                <w:szCs w:val="23"/>
                <w:color w:val="auto"/>
              </w:rPr>
            </w:pPr>
          </w:p>
        </w:tc>
        <w:tc>
          <w:tcPr>
            <w:tcW w:w="3760" w:type="dxa"/>
            <w:vAlign w:val="bottom"/>
          </w:tcPr>
          <w:p>
            <w:pPr>
              <w:ind w:left="100"/>
              <w:spacing w:after="0"/>
              <w:rPr>
                <w:sz w:val="20"/>
                <w:szCs w:val="20"/>
                <w:color w:val="auto"/>
              </w:rPr>
            </w:pPr>
            <w:r>
              <w:rPr>
                <w:rFonts w:ascii="Arial" w:cs="Arial" w:eastAsia="Arial" w:hAnsi="Arial"/>
                <w:sz w:val="22"/>
                <w:szCs w:val="22"/>
                <w:color w:val="auto"/>
              </w:rPr>
              <w:t>(b) [ ]</w:t>
            </w:r>
          </w:p>
        </w:tc>
        <w:tc>
          <w:tcPr>
            <w:tcW w:w="57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59"/>
        </w:trPr>
        <w:tc>
          <w:tcPr>
            <w:tcW w:w="1720" w:type="dxa"/>
            <w:vAlign w:val="bottom"/>
          </w:tcPr>
          <w:p>
            <w:pPr>
              <w:ind w:left="120"/>
              <w:spacing w:after="0"/>
              <w:rPr>
                <w:sz w:val="20"/>
                <w:szCs w:val="20"/>
                <w:color w:val="auto"/>
              </w:rPr>
            </w:pPr>
            <w:r>
              <w:rPr>
                <w:rFonts w:ascii="Arial" w:cs="Arial" w:eastAsia="Arial" w:hAnsi="Arial"/>
                <w:sz w:val="22"/>
                <w:szCs w:val="22"/>
                <w:color w:val="auto"/>
              </w:rPr>
              <w:t>3.</w:t>
            </w:r>
          </w:p>
        </w:tc>
        <w:tc>
          <w:tcPr>
            <w:tcW w:w="3760" w:type="dxa"/>
            <w:vAlign w:val="bottom"/>
          </w:tcPr>
          <w:p>
            <w:pPr>
              <w:ind w:left="100"/>
              <w:spacing w:after="0"/>
              <w:rPr>
                <w:sz w:val="20"/>
                <w:szCs w:val="20"/>
                <w:color w:val="auto"/>
              </w:rPr>
            </w:pPr>
            <w:r>
              <w:rPr>
                <w:rFonts w:ascii="Arial" w:cs="Arial" w:eastAsia="Arial" w:hAnsi="Arial"/>
                <w:sz w:val="22"/>
                <w:szCs w:val="22"/>
                <w:color w:val="auto"/>
              </w:rPr>
              <w:t>SEC USE ONLY</w:t>
            </w:r>
          </w:p>
        </w:tc>
        <w:tc>
          <w:tcPr>
            <w:tcW w:w="5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1720" w:type="dxa"/>
            <w:vAlign w:val="bottom"/>
          </w:tcPr>
          <w:p>
            <w:pPr>
              <w:ind w:left="120"/>
              <w:spacing w:after="0"/>
              <w:rPr>
                <w:sz w:val="20"/>
                <w:szCs w:val="20"/>
                <w:color w:val="auto"/>
              </w:rPr>
            </w:pPr>
            <w:r>
              <w:rPr>
                <w:rFonts w:ascii="Arial" w:cs="Arial" w:eastAsia="Arial" w:hAnsi="Arial"/>
                <w:sz w:val="22"/>
                <w:szCs w:val="22"/>
                <w:color w:val="auto"/>
              </w:rPr>
              <w:t>4.</w:t>
            </w:r>
          </w:p>
        </w:tc>
        <w:tc>
          <w:tcPr>
            <w:tcW w:w="9520" w:type="dxa"/>
            <w:vAlign w:val="bottom"/>
            <w:gridSpan w:val="2"/>
          </w:tcPr>
          <w:p>
            <w:pPr>
              <w:ind w:left="100"/>
              <w:spacing w:after="0"/>
              <w:rPr>
                <w:sz w:val="20"/>
                <w:szCs w:val="20"/>
                <w:color w:val="auto"/>
              </w:rPr>
            </w:pPr>
            <w:r>
              <w:rPr>
                <w:rFonts w:ascii="Arial" w:cs="Arial" w:eastAsia="Arial" w:hAnsi="Arial"/>
                <w:sz w:val="22"/>
                <w:szCs w:val="22"/>
                <w:color w:val="auto"/>
              </w:rPr>
              <w:t>CITIZENSHIP OR PLACE OF ORGANIZATION</w:t>
            </w:r>
          </w:p>
        </w:tc>
        <w:tc>
          <w:tcPr>
            <w:tcW w:w="0" w:type="dxa"/>
            <w:vAlign w:val="bottom"/>
          </w:tcPr>
          <w:p>
            <w:pPr>
              <w:spacing w:after="0"/>
              <w:rPr>
                <w:sz w:val="1"/>
                <w:szCs w:val="1"/>
                <w:color w:val="auto"/>
              </w:rPr>
            </w:pPr>
          </w:p>
        </w:tc>
      </w:tr>
      <w:tr>
        <w:trPr>
          <w:trHeight w:val="486"/>
        </w:trPr>
        <w:tc>
          <w:tcPr>
            <w:tcW w:w="1720" w:type="dxa"/>
            <w:vAlign w:val="bottom"/>
          </w:tcPr>
          <w:p>
            <w:pPr>
              <w:spacing w:after="0"/>
              <w:rPr>
                <w:sz w:val="24"/>
                <w:szCs w:val="24"/>
                <w:color w:val="auto"/>
              </w:rPr>
            </w:pPr>
          </w:p>
        </w:tc>
        <w:tc>
          <w:tcPr>
            <w:tcW w:w="3760" w:type="dxa"/>
            <w:vAlign w:val="bottom"/>
          </w:tcPr>
          <w:p>
            <w:pPr>
              <w:ind w:left="100"/>
              <w:spacing w:after="0"/>
              <w:rPr>
                <w:sz w:val="20"/>
                <w:szCs w:val="20"/>
                <w:color w:val="auto"/>
              </w:rPr>
            </w:pPr>
            <w:r>
              <w:rPr>
                <w:rFonts w:ascii="Arial" w:cs="Arial" w:eastAsia="Arial" w:hAnsi="Arial"/>
                <w:sz w:val="22"/>
                <w:szCs w:val="22"/>
                <w:color w:val="auto"/>
              </w:rPr>
              <w:t>Delaware</w:t>
            </w:r>
          </w:p>
        </w:tc>
        <w:tc>
          <w:tcPr>
            <w:tcW w:w="5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8"/>
        </w:trPr>
        <w:tc>
          <w:tcPr>
            <w:tcW w:w="1720" w:type="dxa"/>
            <w:vAlign w:val="bottom"/>
          </w:tcPr>
          <w:p>
            <w:pPr>
              <w:ind w:left="120"/>
              <w:spacing w:after="0"/>
              <w:rPr>
                <w:sz w:val="20"/>
                <w:szCs w:val="20"/>
                <w:color w:val="auto"/>
              </w:rPr>
            </w:pPr>
            <w:r>
              <w:rPr>
                <w:rFonts w:ascii="Arial" w:cs="Arial" w:eastAsia="Arial" w:hAnsi="Arial"/>
                <w:sz w:val="22"/>
                <w:szCs w:val="22"/>
                <w:color w:val="auto"/>
              </w:rPr>
              <w:t>NUMBER OF</w:t>
            </w:r>
          </w:p>
        </w:tc>
        <w:tc>
          <w:tcPr>
            <w:tcW w:w="3760" w:type="dxa"/>
            <w:vAlign w:val="bottom"/>
          </w:tcPr>
          <w:p>
            <w:pPr>
              <w:ind w:left="160"/>
              <w:spacing w:after="0"/>
              <w:rPr>
                <w:sz w:val="20"/>
                <w:szCs w:val="20"/>
                <w:color w:val="auto"/>
              </w:rPr>
            </w:pPr>
            <w:r>
              <w:rPr>
                <w:rFonts w:ascii="Arial" w:cs="Arial" w:eastAsia="Arial" w:hAnsi="Arial"/>
                <w:sz w:val="22"/>
                <w:szCs w:val="22"/>
                <w:color w:val="auto"/>
              </w:rPr>
              <w:t>5. SOLE VOTING POWER</w:t>
            </w:r>
          </w:p>
        </w:tc>
        <w:tc>
          <w:tcPr>
            <w:tcW w:w="5760" w:type="dxa"/>
            <w:vAlign w:val="bottom"/>
          </w:tcPr>
          <w:p>
            <w:pPr>
              <w:ind w:left="320"/>
              <w:spacing w:after="0"/>
              <w:rPr>
                <w:sz w:val="20"/>
                <w:szCs w:val="20"/>
                <w:color w:val="auto"/>
              </w:rPr>
            </w:pPr>
            <w:r>
              <w:rPr>
                <w:rFonts w:ascii="Arial" w:cs="Arial" w:eastAsia="Arial" w:hAnsi="Arial"/>
                <w:sz w:val="22"/>
                <w:szCs w:val="22"/>
                <w:color w:val="auto"/>
              </w:rPr>
              <w:t>4,671,000</w:t>
            </w:r>
          </w:p>
        </w:tc>
        <w:tc>
          <w:tcPr>
            <w:tcW w:w="0" w:type="dxa"/>
            <w:vAlign w:val="bottom"/>
          </w:tcPr>
          <w:p>
            <w:pPr>
              <w:spacing w:after="0"/>
              <w:rPr>
                <w:sz w:val="1"/>
                <w:szCs w:val="1"/>
                <w:color w:val="auto"/>
              </w:rPr>
            </w:pPr>
          </w:p>
        </w:tc>
      </w:tr>
      <w:tr>
        <w:trPr>
          <w:trHeight w:val="243"/>
        </w:trPr>
        <w:tc>
          <w:tcPr>
            <w:tcW w:w="1720" w:type="dxa"/>
            <w:vAlign w:val="bottom"/>
          </w:tcPr>
          <w:p>
            <w:pPr>
              <w:ind w:left="120"/>
              <w:spacing w:after="0" w:line="243" w:lineRule="exact"/>
              <w:rPr>
                <w:sz w:val="20"/>
                <w:szCs w:val="20"/>
                <w:color w:val="auto"/>
              </w:rPr>
            </w:pPr>
            <w:r>
              <w:rPr>
                <w:rFonts w:ascii="Arial" w:cs="Arial" w:eastAsia="Arial" w:hAnsi="Arial"/>
                <w:sz w:val="22"/>
                <w:szCs w:val="22"/>
                <w:color w:val="auto"/>
              </w:rPr>
              <w:t>SHARES</w:t>
            </w:r>
          </w:p>
        </w:tc>
        <w:tc>
          <w:tcPr>
            <w:tcW w:w="3760" w:type="dxa"/>
            <w:vAlign w:val="bottom"/>
          </w:tcPr>
          <w:p>
            <w:pPr>
              <w:spacing w:after="0"/>
              <w:rPr>
                <w:sz w:val="21"/>
                <w:szCs w:val="21"/>
                <w:color w:val="auto"/>
              </w:rPr>
            </w:pPr>
          </w:p>
        </w:tc>
        <w:tc>
          <w:tcPr>
            <w:tcW w:w="57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720" w:type="dxa"/>
            <w:vAlign w:val="bottom"/>
          </w:tcPr>
          <w:p>
            <w:pPr>
              <w:ind w:left="120"/>
              <w:spacing w:after="0" w:line="243" w:lineRule="exact"/>
              <w:rPr>
                <w:sz w:val="20"/>
                <w:szCs w:val="20"/>
                <w:color w:val="auto"/>
              </w:rPr>
            </w:pPr>
            <w:r>
              <w:rPr>
                <w:rFonts w:ascii="Arial" w:cs="Arial" w:eastAsia="Arial" w:hAnsi="Arial"/>
                <w:sz w:val="22"/>
                <w:szCs w:val="22"/>
                <w:color w:val="auto"/>
              </w:rPr>
              <w:t>BENEFICIALLY</w:t>
            </w:r>
          </w:p>
        </w:tc>
        <w:tc>
          <w:tcPr>
            <w:tcW w:w="3760" w:type="dxa"/>
            <w:vAlign w:val="bottom"/>
          </w:tcPr>
          <w:p>
            <w:pPr>
              <w:ind w:left="160"/>
              <w:spacing w:after="0" w:line="243" w:lineRule="exact"/>
              <w:rPr>
                <w:sz w:val="20"/>
                <w:szCs w:val="20"/>
                <w:color w:val="auto"/>
              </w:rPr>
            </w:pPr>
            <w:r>
              <w:rPr>
                <w:rFonts w:ascii="Arial" w:cs="Arial" w:eastAsia="Arial" w:hAnsi="Arial"/>
                <w:sz w:val="22"/>
                <w:szCs w:val="22"/>
                <w:color w:val="auto"/>
              </w:rPr>
              <w:t>6. SHARED VOTING POWER</w:t>
            </w:r>
          </w:p>
        </w:tc>
        <w:tc>
          <w:tcPr>
            <w:tcW w:w="5760" w:type="dxa"/>
            <w:vAlign w:val="bottom"/>
          </w:tcPr>
          <w:p>
            <w:pPr>
              <w:ind w:left="320"/>
              <w:spacing w:after="0" w:line="243" w:lineRule="exact"/>
              <w:rPr>
                <w:sz w:val="20"/>
                <w:szCs w:val="20"/>
                <w:color w:val="auto"/>
              </w:rPr>
            </w:pPr>
            <w:r>
              <w:rPr>
                <w:rFonts w:ascii="Arial" w:cs="Arial" w:eastAsia="Arial" w:hAnsi="Arial"/>
                <w:sz w:val="22"/>
                <w:szCs w:val="22"/>
                <w:color w:val="auto"/>
              </w:rPr>
              <w:t>0</w:t>
            </w:r>
          </w:p>
        </w:tc>
        <w:tc>
          <w:tcPr>
            <w:tcW w:w="0" w:type="dxa"/>
            <w:vAlign w:val="bottom"/>
          </w:tcPr>
          <w:p>
            <w:pPr>
              <w:spacing w:after="0"/>
              <w:rPr>
                <w:sz w:val="1"/>
                <w:szCs w:val="1"/>
                <w:color w:val="auto"/>
              </w:rPr>
            </w:pPr>
          </w:p>
        </w:tc>
      </w:tr>
      <w:tr>
        <w:trPr>
          <w:trHeight w:val="243"/>
        </w:trPr>
        <w:tc>
          <w:tcPr>
            <w:tcW w:w="1720" w:type="dxa"/>
            <w:vAlign w:val="bottom"/>
          </w:tcPr>
          <w:p>
            <w:pPr>
              <w:ind w:left="120"/>
              <w:spacing w:after="0" w:line="243" w:lineRule="exact"/>
              <w:rPr>
                <w:sz w:val="20"/>
                <w:szCs w:val="20"/>
                <w:color w:val="auto"/>
              </w:rPr>
            </w:pPr>
            <w:r>
              <w:rPr>
                <w:rFonts w:ascii="Arial" w:cs="Arial" w:eastAsia="Arial" w:hAnsi="Arial"/>
                <w:sz w:val="22"/>
                <w:szCs w:val="22"/>
                <w:color w:val="auto"/>
              </w:rPr>
              <w:t>OWNED BY</w:t>
            </w:r>
          </w:p>
        </w:tc>
        <w:tc>
          <w:tcPr>
            <w:tcW w:w="3760" w:type="dxa"/>
            <w:vAlign w:val="bottom"/>
            <w:vMerge w:val="restart"/>
          </w:tcPr>
          <w:p>
            <w:pPr>
              <w:ind w:left="160"/>
              <w:spacing w:after="0"/>
              <w:rPr>
                <w:sz w:val="20"/>
                <w:szCs w:val="20"/>
                <w:color w:val="auto"/>
              </w:rPr>
            </w:pPr>
            <w:r>
              <w:rPr>
                <w:rFonts w:ascii="Arial" w:cs="Arial" w:eastAsia="Arial" w:hAnsi="Arial"/>
                <w:sz w:val="22"/>
                <w:szCs w:val="22"/>
                <w:color w:val="auto"/>
              </w:rPr>
              <w:t>7. SOLE DISPOSITIVE POWER</w:t>
            </w:r>
          </w:p>
        </w:tc>
        <w:tc>
          <w:tcPr>
            <w:tcW w:w="5760" w:type="dxa"/>
            <w:vAlign w:val="bottom"/>
            <w:vMerge w:val="restart"/>
          </w:tcPr>
          <w:p>
            <w:pPr>
              <w:ind w:left="320"/>
              <w:spacing w:after="0"/>
              <w:rPr>
                <w:sz w:val="20"/>
                <w:szCs w:val="20"/>
                <w:color w:val="auto"/>
              </w:rPr>
            </w:pPr>
            <w:r>
              <w:rPr>
                <w:rFonts w:ascii="Arial" w:cs="Arial" w:eastAsia="Arial" w:hAnsi="Arial"/>
                <w:sz w:val="22"/>
                <w:szCs w:val="22"/>
                <w:color w:val="auto"/>
              </w:rPr>
              <w:t>4,671,000</w:t>
            </w:r>
          </w:p>
        </w:tc>
        <w:tc>
          <w:tcPr>
            <w:tcW w:w="0" w:type="dxa"/>
            <w:vAlign w:val="bottom"/>
          </w:tcPr>
          <w:p>
            <w:pPr>
              <w:spacing w:after="0"/>
              <w:rPr>
                <w:sz w:val="1"/>
                <w:szCs w:val="1"/>
                <w:color w:val="auto"/>
              </w:rPr>
            </w:pPr>
          </w:p>
        </w:tc>
      </w:tr>
      <w:tr>
        <w:trPr>
          <w:trHeight w:val="243"/>
        </w:trPr>
        <w:tc>
          <w:tcPr>
            <w:tcW w:w="1720" w:type="dxa"/>
            <w:vAlign w:val="bottom"/>
          </w:tcPr>
          <w:p>
            <w:pPr>
              <w:ind w:left="120"/>
              <w:spacing w:after="0" w:line="243" w:lineRule="exact"/>
              <w:rPr>
                <w:sz w:val="20"/>
                <w:szCs w:val="20"/>
                <w:color w:val="auto"/>
              </w:rPr>
            </w:pPr>
            <w:r>
              <w:rPr>
                <w:rFonts w:ascii="Arial" w:cs="Arial" w:eastAsia="Arial" w:hAnsi="Arial"/>
                <w:sz w:val="22"/>
                <w:szCs w:val="22"/>
                <w:color w:val="auto"/>
              </w:rPr>
              <w:t>EACH</w:t>
            </w:r>
          </w:p>
        </w:tc>
        <w:tc>
          <w:tcPr>
            <w:tcW w:w="3760" w:type="dxa"/>
            <w:vAlign w:val="bottom"/>
            <w:vMerge w:val="continue"/>
          </w:tcPr>
          <w:p>
            <w:pPr>
              <w:spacing w:after="0"/>
              <w:rPr>
                <w:sz w:val="21"/>
                <w:szCs w:val="21"/>
                <w:color w:val="auto"/>
              </w:rPr>
            </w:pPr>
          </w:p>
        </w:tc>
        <w:tc>
          <w:tcPr>
            <w:tcW w:w="576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720" w:type="dxa"/>
            <w:vAlign w:val="bottom"/>
          </w:tcPr>
          <w:p>
            <w:pPr>
              <w:ind w:left="120"/>
              <w:spacing w:after="0" w:line="243" w:lineRule="exact"/>
              <w:rPr>
                <w:sz w:val="20"/>
                <w:szCs w:val="20"/>
                <w:color w:val="auto"/>
              </w:rPr>
            </w:pPr>
            <w:r>
              <w:rPr>
                <w:rFonts w:ascii="Arial" w:cs="Arial" w:eastAsia="Arial" w:hAnsi="Arial"/>
                <w:sz w:val="22"/>
                <w:szCs w:val="22"/>
                <w:color w:val="auto"/>
              </w:rPr>
              <w:t>REPORTING</w:t>
            </w:r>
          </w:p>
        </w:tc>
        <w:tc>
          <w:tcPr>
            <w:tcW w:w="3760" w:type="dxa"/>
            <w:vAlign w:val="bottom"/>
            <w:vMerge w:val="restart"/>
          </w:tcPr>
          <w:p>
            <w:pPr>
              <w:ind w:left="160"/>
              <w:spacing w:after="0"/>
              <w:rPr>
                <w:sz w:val="20"/>
                <w:szCs w:val="20"/>
                <w:color w:val="auto"/>
              </w:rPr>
            </w:pPr>
            <w:r>
              <w:rPr>
                <w:rFonts w:ascii="Arial" w:cs="Arial" w:eastAsia="Arial" w:hAnsi="Arial"/>
                <w:sz w:val="22"/>
                <w:szCs w:val="22"/>
                <w:color w:val="auto"/>
              </w:rPr>
              <w:t>8. SHARED DISPOSITIVE POWER</w:t>
            </w:r>
          </w:p>
        </w:tc>
        <w:tc>
          <w:tcPr>
            <w:tcW w:w="5760" w:type="dxa"/>
            <w:vAlign w:val="bottom"/>
            <w:vMerge w:val="restart"/>
          </w:tcPr>
          <w:p>
            <w:pPr>
              <w:ind w:left="320"/>
              <w:spacing w:after="0"/>
              <w:rPr>
                <w:sz w:val="20"/>
                <w:szCs w:val="20"/>
                <w:color w:val="auto"/>
              </w:rPr>
            </w:pPr>
            <w:r>
              <w:rPr>
                <w:rFonts w:ascii="Arial" w:cs="Arial" w:eastAsia="Arial" w:hAnsi="Arial"/>
                <w:sz w:val="22"/>
                <w:szCs w:val="22"/>
                <w:color w:val="auto"/>
              </w:rPr>
              <w:t>0</w:t>
            </w:r>
          </w:p>
        </w:tc>
        <w:tc>
          <w:tcPr>
            <w:tcW w:w="0" w:type="dxa"/>
            <w:vAlign w:val="bottom"/>
          </w:tcPr>
          <w:p>
            <w:pPr>
              <w:spacing w:after="0"/>
              <w:rPr>
                <w:sz w:val="1"/>
                <w:szCs w:val="1"/>
                <w:color w:val="auto"/>
              </w:rPr>
            </w:pPr>
          </w:p>
        </w:tc>
      </w:tr>
      <w:tr>
        <w:trPr>
          <w:trHeight w:val="274"/>
        </w:trPr>
        <w:tc>
          <w:tcPr>
            <w:tcW w:w="1720" w:type="dxa"/>
            <w:vAlign w:val="bottom"/>
          </w:tcPr>
          <w:p>
            <w:pPr>
              <w:ind w:left="120"/>
              <w:spacing w:after="0"/>
              <w:rPr>
                <w:sz w:val="20"/>
                <w:szCs w:val="20"/>
                <w:color w:val="auto"/>
              </w:rPr>
            </w:pPr>
            <w:r>
              <w:rPr>
                <w:rFonts w:ascii="Arial" w:cs="Arial" w:eastAsia="Arial" w:hAnsi="Arial"/>
                <w:sz w:val="22"/>
                <w:szCs w:val="22"/>
                <w:color w:val="auto"/>
              </w:rPr>
              <w:t>PERSON WITH</w:t>
            </w:r>
          </w:p>
        </w:tc>
        <w:tc>
          <w:tcPr>
            <w:tcW w:w="3760" w:type="dxa"/>
            <w:vAlign w:val="bottom"/>
            <w:vMerge w:val="continue"/>
          </w:tcPr>
          <w:p>
            <w:pPr>
              <w:spacing w:after="0"/>
              <w:rPr>
                <w:sz w:val="23"/>
                <w:szCs w:val="23"/>
                <w:color w:val="auto"/>
              </w:rPr>
            </w:pPr>
          </w:p>
        </w:tc>
        <w:tc>
          <w:tcPr>
            <w:tcW w:w="5760" w:type="dxa"/>
            <w:vAlign w:val="bottom"/>
            <w:vMerge w:val="continue"/>
          </w:tcPr>
          <w:p>
            <w:pPr>
              <w:spacing w:after="0"/>
              <w:rPr>
                <w:sz w:val="23"/>
                <w:szCs w:val="23"/>
                <w:color w:val="auto"/>
              </w:rPr>
            </w:pPr>
          </w:p>
        </w:tc>
        <w:tc>
          <w:tcPr>
            <w:tcW w:w="0" w:type="dxa"/>
            <w:vAlign w:val="bottom"/>
          </w:tcPr>
          <w:p>
            <w:pPr>
              <w:spacing w:after="0"/>
              <w:rPr>
                <w:sz w:val="1"/>
                <w:szCs w:val="1"/>
                <w:color w:val="auto"/>
              </w:rPr>
            </w:pPr>
          </w:p>
        </w:tc>
      </w:tr>
      <w:tr>
        <w:trPr>
          <w:trHeight w:val="459"/>
        </w:trPr>
        <w:tc>
          <w:tcPr>
            <w:tcW w:w="1720" w:type="dxa"/>
            <w:vAlign w:val="bottom"/>
          </w:tcPr>
          <w:p>
            <w:pPr>
              <w:ind w:left="120"/>
              <w:spacing w:after="0"/>
              <w:rPr>
                <w:sz w:val="20"/>
                <w:szCs w:val="20"/>
                <w:color w:val="auto"/>
              </w:rPr>
            </w:pPr>
            <w:r>
              <w:rPr>
                <w:rFonts w:ascii="Arial" w:cs="Arial" w:eastAsia="Arial" w:hAnsi="Arial"/>
                <w:sz w:val="22"/>
                <w:szCs w:val="22"/>
                <w:color w:val="auto"/>
              </w:rPr>
              <w:t>9.</w:t>
            </w:r>
          </w:p>
        </w:tc>
        <w:tc>
          <w:tcPr>
            <w:tcW w:w="9520" w:type="dxa"/>
            <w:vAlign w:val="bottom"/>
            <w:gridSpan w:val="2"/>
          </w:tcPr>
          <w:p>
            <w:pPr>
              <w:ind w:left="100"/>
              <w:spacing w:after="0"/>
              <w:rPr>
                <w:sz w:val="20"/>
                <w:szCs w:val="20"/>
                <w:color w:val="auto"/>
              </w:rPr>
            </w:pPr>
            <w:r>
              <w:rPr>
                <w:rFonts w:ascii="Arial" w:cs="Arial" w:eastAsia="Arial" w:hAnsi="Arial"/>
                <w:sz w:val="22"/>
                <w:szCs w:val="22"/>
                <w:color w:val="auto"/>
              </w:rPr>
              <w:t>AGGREGATE AMOUNT BENEFICIALLY OWNED BY EACH REPORTING PERSON</w:t>
            </w:r>
          </w:p>
        </w:tc>
        <w:tc>
          <w:tcPr>
            <w:tcW w:w="0" w:type="dxa"/>
            <w:vAlign w:val="bottom"/>
          </w:tcPr>
          <w:p>
            <w:pPr>
              <w:spacing w:after="0"/>
              <w:rPr>
                <w:sz w:val="1"/>
                <w:szCs w:val="1"/>
                <w:color w:val="auto"/>
              </w:rPr>
            </w:pPr>
          </w:p>
        </w:tc>
      </w:tr>
      <w:tr>
        <w:trPr>
          <w:trHeight w:val="486"/>
        </w:trPr>
        <w:tc>
          <w:tcPr>
            <w:tcW w:w="1720" w:type="dxa"/>
            <w:vAlign w:val="bottom"/>
          </w:tcPr>
          <w:p>
            <w:pPr>
              <w:spacing w:after="0"/>
              <w:rPr>
                <w:sz w:val="24"/>
                <w:szCs w:val="24"/>
                <w:color w:val="auto"/>
              </w:rPr>
            </w:pPr>
          </w:p>
        </w:tc>
        <w:tc>
          <w:tcPr>
            <w:tcW w:w="9520" w:type="dxa"/>
            <w:vAlign w:val="bottom"/>
            <w:gridSpan w:val="2"/>
          </w:tcPr>
          <w:p>
            <w:pPr>
              <w:ind w:left="100"/>
              <w:spacing w:after="0"/>
              <w:rPr>
                <w:sz w:val="20"/>
                <w:szCs w:val="20"/>
                <w:color w:val="auto"/>
              </w:rPr>
            </w:pPr>
            <w:r>
              <w:rPr>
                <w:rFonts w:ascii="Arial" w:cs="Arial" w:eastAsia="Arial" w:hAnsi="Arial"/>
                <w:sz w:val="22"/>
                <w:szCs w:val="22"/>
                <w:color w:val="auto"/>
              </w:rPr>
              <w:t>4,671,000 Beneficial ownership disclaimed pursuant to Rule 13d-4</w:t>
            </w:r>
          </w:p>
        </w:tc>
        <w:tc>
          <w:tcPr>
            <w:tcW w:w="0" w:type="dxa"/>
            <w:vAlign w:val="bottom"/>
          </w:tcPr>
          <w:p>
            <w:pPr>
              <w:spacing w:after="0"/>
              <w:rPr>
                <w:sz w:val="1"/>
                <w:szCs w:val="1"/>
                <w:color w:val="auto"/>
              </w:rPr>
            </w:pPr>
          </w:p>
        </w:tc>
      </w:tr>
      <w:tr>
        <w:trPr>
          <w:trHeight w:val="459"/>
        </w:trPr>
        <w:tc>
          <w:tcPr>
            <w:tcW w:w="1720" w:type="dxa"/>
            <w:vAlign w:val="bottom"/>
          </w:tcPr>
          <w:p>
            <w:pPr>
              <w:ind w:left="120"/>
              <w:spacing w:after="0"/>
              <w:rPr>
                <w:sz w:val="20"/>
                <w:szCs w:val="20"/>
                <w:color w:val="auto"/>
              </w:rPr>
            </w:pPr>
            <w:r>
              <w:rPr>
                <w:rFonts w:ascii="Arial" w:cs="Arial" w:eastAsia="Arial" w:hAnsi="Arial"/>
                <w:sz w:val="22"/>
                <w:szCs w:val="22"/>
                <w:color w:val="auto"/>
              </w:rPr>
              <w:t>10.</w:t>
            </w:r>
          </w:p>
        </w:tc>
        <w:tc>
          <w:tcPr>
            <w:tcW w:w="9520" w:type="dxa"/>
            <w:vAlign w:val="bottom"/>
            <w:gridSpan w:val="2"/>
          </w:tcPr>
          <w:p>
            <w:pPr>
              <w:ind w:left="100"/>
              <w:spacing w:after="0"/>
              <w:rPr>
                <w:sz w:val="20"/>
                <w:szCs w:val="20"/>
                <w:color w:val="auto"/>
              </w:rPr>
            </w:pPr>
            <w:r>
              <w:rPr>
                <w:rFonts w:ascii="Arial" w:cs="Arial" w:eastAsia="Arial" w:hAnsi="Arial"/>
                <w:sz w:val="22"/>
                <w:szCs w:val="22"/>
                <w:color w:val="auto"/>
              </w:rPr>
              <w:t>CHECK IF THE AGGREGATE AMOUNT IN ROW (9) EXCLUDES CERTAIN SHARES</w:t>
            </w:r>
          </w:p>
        </w:tc>
        <w:tc>
          <w:tcPr>
            <w:tcW w:w="0" w:type="dxa"/>
            <w:vAlign w:val="bottom"/>
          </w:tcPr>
          <w:p>
            <w:pPr>
              <w:spacing w:after="0"/>
              <w:rPr>
                <w:sz w:val="1"/>
                <w:szCs w:val="1"/>
                <w:color w:val="auto"/>
              </w:rPr>
            </w:pPr>
          </w:p>
        </w:tc>
      </w:tr>
      <w:tr>
        <w:trPr>
          <w:trHeight w:val="486"/>
        </w:trPr>
        <w:tc>
          <w:tcPr>
            <w:tcW w:w="1720" w:type="dxa"/>
            <w:vAlign w:val="bottom"/>
          </w:tcPr>
          <w:p>
            <w:pPr>
              <w:spacing w:after="0"/>
              <w:rPr>
                <w:sz w:val="24"/>
                <w:szCs w:val="24"/>
                <w:color w:val="auto"/>
              </w:rPr>
            </w:pPr>
          </w:p>
        </w:tc>
        <w:tc>
          <w:tcPr>
            <w:tcW w:w="3760" w:type="dxa"/>
            <w:vAlign w:val="bottom"/>
          </w:tcPr>
          <w:p>
            <w:pPr>
              <w:ind w:left="100"/>
              <w:spacing w:after="0"/>
              <w:rPr>
                <w:sz w:val="20"/>
                <w:szCs w:val="20"/>
                <w:color w:val="auto"/>
              </w:rPr>
            </w:pPr>
            <w:r>
              <w:rPr>
                <w:rFonts w:ascii="Arial" w:cs="Arial" w:eastAsia="Arial" w:hAnsi="Arial"/>
                <w:sz w:val="22"/>
                <w:szCs w:val="22"/>
                <w:color w:val="auto"/>
              </w:rPr>
              <w:t>[ ]</w:t>
            </w:r>
          </w:p>
        </w:tc>
        <w:tc>
          <w:tcPr>
            <w:tcW w:w="5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1720" w:type="dxa"/>
            <w:vAlign w:val="bottom"/>
          </w:tcPr>
          <w:p>
            <w:pPr>
              <w:ind w:left="120"/>
              <w:spacing w:after="0"/>
              <w:rPr>
                <w:sz w:val="20"/>
                <w:szCs w:val="20"/>
                <w:color w:val="auto"/>
              </w:rPr>
            </w:pPr>
            <w:r>
              <w:rPr>
                <w:rFonts w:ascii="Arial" w:cs="Arial" w:eastAsia="Arial" w:hAnsi="Arial"/>
                <w:sz w:val="22"/>
                <w:szCs w:val="22"/>
                <w:color w:val="auto"/>
              </w:rPr>
              <w:t>11.</w:t>
            </w:r>
          </w:p>
        </w:tc>
        <w:tc>
          <w:tcPr>
            <w:tcW w:w="9520" w:type="dxa"/>
            <w:vAlign w:val="bottom"/>
            <w:gridSpan w:val="2"/>
          </w:tcPr>
          <w:p>
            <w:pPr>
              <w:ind w:left="100"/>
              <w:spacing w:after="0"/>
              <w:rPr>
                <w:sz w:val="20"/>
                <w:szCs w:val="20"/>
                <w:color w:val="auto"/>
              </w:rPr>
            </w:pPr>
            <w:r>
              <w:rPr>
                <w:rFonts w:ascii="Arial" w:cs="Arial" w:eastAsia="Arial" w:hAnsi="Arial"/>
                <w:sz w:val="22"/>
                <w:szCs w:val="22"/>
                <w:color w:val="auto"/>
              </w:rPr>
              <w:t>PERCENT OF CLASS REPRESENTED BY AMOUNT IN ROW (9)</w:t>
            </w:r>
          </w:p>
        </w:tc>
        <w:tc>
          <w:tcPr>
            <w:tcW w:w="0" w:type="dxa"/>
            <w:vAlign w:val="bottom"/>
          </w:tcPr>
          <w:p>
            <w:pPr>
              <w:spacing w:after="0"/>
              <w:rPr>
                <w:sz w:val="1"/>
                <w:szCs w:val="1"/>
                <w:color w:val="auto"/>
              </w:rPr>
            </w:pPr>
          </w:p>
        </w:tc>
      </w:tr>
      <w:tr>
        <w:trPr>
          <w:trHeight w:val="486"/>
        </w:trPr>
        <w:tc>
          <w:tcPr>
            <w:tcW w:w="1720" w:type="dxa"/>
            <w:vAlign w:val="bottom"/>
          </w:tcPr>
          <w:p>
            <w:pPr>
              <w:spacing w:after="0"/>
              <w:rPr>
                <w:sz w:val="24"/>
                <w:szCs w:val="24"/>
                <w:color w:val="auto"/>
              </w:rPr>
            </w:pPr>
          </w:p>
        </w:tc>
        <w:tc>
          <w:tcPr>
            <w:tcW w:w="3760" w:type="dxa"/>
            <w:vAlign w:val="bottom"/>
          </w:tcPr>
          <w:p>
            <w:pPr>
              <w:ind w:left="100"/>
              <w:spacing w:after="0"/>
              <w:rPr>
                <w:sz w:val="20"/>
                <w:szCs w:val="20"/>
                <w:color w:val="auto"/>
              </w:rPr>
            </w:pPr>
            <w:r>
              <w:rPr>
                <w:rFonts w:ascii="Arial" w:cs="Arial" w:eastAsia="Arial" w:hAnsi="Arial"/>
                <w:sz w:val="22"/>
                <w:szCs w:val="22"/>
                <w:color w:val="auto"/>
              </w:rPr>
              <w:t>8.0%</w:t>
            </w:r>
          </w:p>
        </w:tc>
        <w:tc>
          <w:tcPr>
            <w:tcW w:w="5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1720" w:type="dxa"/>
            <w:vAlign w:val="bottom"/>
          </w:tcPr>
          <w:p>
            <w:pPr>
              <w:ind w:left="120"/>
              <w:spacing w:after="0"/>
              <w:rPr>
                <w:sz w:val="20"/>
                <w:szCs w:val="20"/>
                <w:color w:val="auto"/>
              </w:rPr>
            </w:pPr>
            <w:r>
              <w:rPr>
                <w:rFonts w:ascii="Arial" w:cs="Arial" w:eastAsia="Arial" w:hAnsi="Arial"/>
                <w:sz w:val="22"/>
                <w:szCs w:val="22"/>
                <w:color w:val="auto"/>
              </w:rPr>
              <w:t>12.</w:t>
            </w:r>
          </w:p>
        </w:tc>
        <w:tc>
          <w:tcPr>
            <w:tcW w:w="3760" w:type="dxa"/>
            <w:vAlign w:val="bottom"/>
          </w:tcPr>
          <w:p>
            <w:pPr>
              <w:ind w:left="100"/>
              <w:spacing w:after="0"/>
              <w:rPr>
                <w:sz w:val="20"/>
                <w:szCs w:val="20"/>
                <w:color w:val="auto"/>
              </w:rPr>
            </w:pPr>
            <w:r>
              <w:rPr>
                <w:rFonts w:ascii="Arial" w:cs="Arial" w:eastAsia="Arial" w:hAnsi="Arial"/>
                <w:sz w:val="22"/>
                <w:szCs w:val="22"/>
                <w:color w:val="auto"/>
              </w:rPr>
              <w:t>TYPE OF REPORTING PERSON</w:t>
            </w:r>
          </w:p>
        </w:tc>
        <w:tc>
          <w:tcPr>
            <w:tcW w:w="5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6"/>
        </w:trPr>
        <w:tc>
          <w:tcPr>
            <w:tcW w:w="1720" w:type="dxa"/>
            <w:vAlign w:val="bottom"/>
          </w:tcPr>
          <w:p>
            <w:pPr>
              <w:spacing w:after="0"/>
              <w:rPr>
                <w:sz w:val="24"/>
                <w:szCs w:val="24"/>
                <w:color w:val="auto"/>
              </w:rPr>
            </w:pPr>
          </w:p>
        </w:tc>
        <w:tc>
          <w:tcPr>
            <w:tcW w:w="3760" w:type="dxa"/>
            <w:vAlign w:val="bottom"/>
          </w:tcPr>
          <w:p>
            <w:pPr>
              <w:ind w:left="100"/>
              <w:spacing w:after="0"/>
              <w:rPr>
                <w:sz w:val="20"/>
                <w:szCs w:val="20"/>
                <w:color w:val="auto"/>
              </w:rPr>
            </w:pPr>
            <w:r>
              <w:rPr>
                <w:rFonts w:ascii="Arial" w:cs="Arial" w:eastAsia="Arial" w:hAnsi="Arial"/>
                <w:sz w:val="22"/>
                <w:szCs w:val="22"/>
                <w:color w:val="auto"/>
              </w:rPr>
              <w:t>IA</w:t>
            </w:r>
          </w:p>
        </w:tc>
        <w:tc>
          <w:tcPr>
            <w:tcW w:w="5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8"/>
        </w:trPr>
        <w:tc>
          <w:tcPr>
            <w:tcW w:w="1720" w:type="dxa"/>
            <w:vAlign w:val="bottom"/>
            <w:tcBorders>
              <w:bottom w:val="single" w:sz="8" w:color="808080"/>
            </w:tcBorders>
          </w:tcPr>
          <w:p>
            <w:pPr>
              <w:spacing w:after="0"/>
              <w:rPr>
                <w:sz w:val="8"/>
                <w:szCs w:val="8"/>
                <w:color w:val="auto"/>
              </w:rPr>
            </w:pPr>
          </w:p>
        </w:tc>
        <w:tc>
          <w:tcPr>
            <w:tcW w:w="3760" w:type="dxa"/>
            <w:vAlign w:val="bottom"/>
            <w:tcBorders>
              <w:bottom w:val="single" w:sz="8" w:color="808080"/>
            </w:tcBorders>
          </w:tcPr>
          <w:p>
            <w:pPr>
              <w:spacing w:after="0"/>
              <w:rPr>
                <w:sz w:val="8"/>
                <w:szCs w:val="8"/>
                <w:color w:val="auto"/>
              </w:rPr>
            </w:pPr>
          </w:p>
        </w:tc>
        <w:tc>
          <w:tcPr>
            <w:tcW w:w="576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388" w:right="339" w:bottom="1440" w:gutter="0" w:footer="0" w:header="0"/>
        </w:sectPr>
      </w:pPr>
    </w:p>
    <w:bookmarkStart w:id="2" w:name="page3"/>
    <w:bookmarkEnd w:id="2"/>
    <w:p>
      <w:pPr>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49465" cy="8255"/>
                    </a:xfrm>
                    <a:prstGeom prst="rect">
                      <a:avLst/>
                    </a:prstGeom>
                    <a:noFill/>
                  </pic:spPr>
                </pic:pic>
              </a:graphicData>
            </a:graphic>
          </wp:anchor>
        </w:drawing>
        <w:t>Item 1.</w:t>
      </w:r>
    </w:p>
    <w:p>
      <w:pPr>
        <w:spacing w:after="0" w:line="125" w:lineRule="exact"/>
        <w:rPr>
          <w:sz w:val="20"/>
          <w:szCs w:val="20"/>
          <w:color w:val="auto"/>
        </w:rPr>
      </w:pPr>
    </w:p>
    <w:p>
      <w:pPr>
        <w:ind w:left="1620" w:right="8020" w:hanging="707"/>
        <w:spacing w:after="0" w:line="334" w:lineRule="auto"/>
        <w:tabs>
          <w:tab w:leader="none" w:pos="1620" w:val="left"/>
        </w:tabs>
        <w:numPr>
          <w:ilvl w:val="0"/>
          <w:numId w:val="2"/>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Name of Issuer </w:t>
      </w:r>
      <w:r>
        <w:rPr>
          <w:rFonts w:ascii="Arial" w:cs="Arial" w:eastAsia="Arial" w:hAnsi="Arial"/>
          <w:sz w:val="19"/>
          <w:szCs w:val="19"/>
          <w:color w:val="auto"/>
        </w:rPr>
        <w:t>Seer, Inc.</w:t>
      </w:r>
    </w:p>
    <w:p>
      <w:pPr>
        <w:spacing w:after="0" w:line="12" w:lineRule="exact"/>
        <w:rPr>
          <w:rFonts w:ascii="Arial" w:cs="Arial" w:eastAsia="Arial" w:hAnsi="Arial"/>
          <w:sz w:val="19"/>
          <w:szCs w:val="19"/>
          <w:b w:val="1"/>
          <w:bCs w:val="1"/>
          <w:color w:val="auto"/>
        </w:rPr>
      </w:pPr>
    </w:p>
    <w:p>
      <w:pPr>
        <w:ind w:left="1620" w:hanging="707"/>
        <w:spacing w:after="0"/>
        <w:tabs>
          <w:tab w:leader="none" w:pos="1620" w:val="left"/>
        </w:tabs>
        <w:numPr>
          <w:ilvl w:val="0"/>
          <w:numId w:val="2"/>
        </w:numPr>
        <w:rPr>
          <w:rFonts w:ascii="Arial" w:cs="Arial" w:eastAsia="Arial" w:hAnsi="Arial"/>
          <w:sz w:val="22"/>
          <w:szCs w:val="22"/>
          <w:b w:val="1"/>
          <w:bCs w:val="1"/>
          <w:color w:val="auto"/>
        </w:rPr>
      </w:pPr>
      <w:r>
        <w:rPr>
          <w:rFonts w:ascii="Arial" w:cs="Arial" w:eastAsia="Arial" w:hAnsi="Arial"/>
          <w:sz w:val="22"/>
          <w:szCs w:val="22"/>
          <w:b w:val="1"/>
          <w:bCs w:val="1"/>
          <w:color w:val="auto"/>
        </w:rPr>
        <w:t>Address of Issuer's Principal Executive Offices</w:t>
      </w:r>
    </w:p>
    <w:p>
      <w:pPr>
        <w:spacing w:after="0" w:line="14" w:lineRule="exact"/>
        <w:rPr>
          <w:rFonts w:ascii="Arial" w:cs="Arial" w:eastAsia="Arial" w:hAnsi="Arial"/>
          <w:sz w:val="22"/>
          <w:szCs w:val="22"/>
          <w:b w:val="1"/>
          <w:bCs w:val="1"/>
          <w:color w:val="auto"/>
        </w:rPr>
      </w:pPr>
    </w:p>
    <w:p>
      <w:pPr>
        <w:ind w:left="1620"/>
        <w:spacing w:after="0"/>
        <w:rPr>
          <w:rFonts w:ascii="Arial" w:cs="Arial" w:eastAsia="Arial" w:hAnsi="Arial"/>
          <w:sz w:val="22"/>
          <w:szCs w:val="22"/>
          <w:b w:val="1"/>
          <w:bCs w:val="1"/>
          <w:color w:val="auto"/>
        </w:rPr>
      </w:pPr>
      <w:r>
        <w:rPr>
          <w:rFonts w:ascii="Arial" w:cs="Arial" w:eastAsia="Arial" w:hAnsi="Arial"/>
          <w:sz w:val="22"/>
          <w:szCs w:val="22"/>
          <w:color w:val="auto"/>
        </w:rPr>
        <w:t>3800 Bridge Parkway, Suite 102, Redwood City, CA 94065</w:t>
      </w:r>
    </w:p>
    <w:p>
      <w:pPr>
        <w:spacing w:after="0" w:line="10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2.</w:t>
      </w:r>
    </w:p>
    <w:p>
      <w:pPr>
        <w:spacing w:after="0" w:line="125" w:lineRule="exact"/>
        <w:rPr>
          <w:sz w:val="20"/>
          <w:szCs w:val="20"/>
          <w:color w:val="auto"/>
        </w:rPr>
      </w:pPr>
    </w:p>
    <w:p>
      <w:pPr>
        <w:jc w:val="both"/>
        <w:ind w:left="1620" w:right="7340" w:hanging="707"/>
        <w:spacing w:after="0" w:line="334" w:lineRule="auto"/>
        <w:tabs>
          <w:tab w:leader="none" w:pos="1620" w:val="left"/>
        </w:tabs>
        <w:numPr>
          <w:ilvl w:val="0"/>
          <w:numId w:val="3"/>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Name of Person Filing </w:t>
      </w:r>
      <w:r>
        <w:rPr>
          <w:rFonts w:ascii="Arial" w:cs="Arial" w:eastAsia="Arial" w:hAnsi="Arial"/>
          <w:sz w:val="19"/>
          <w:szCs w:val="19"/>
          <w:color w:val="auto"/>
        </w:rPr>
        <w:t>Capital World Investors</w:t>
      </w:r>
    </w:p>
    <w:p>
      <w:pPr>
        <w:spacing w:after="0" w:line="12" w:lineRule="exact"/>
        <w:rPr>
          <w:rFonts w:ascii="Arial" w:cs="Arial" w:eastAsia="Arial" w:hAnsi="Arial"/>
          <w:sz w:val="19"/>
          <w:szCs w:val="19"/>
          <w:b w:val="1"/>
          <w:bCs w:val="1"/>
          <w:color w:val="auto"/>
        </w:rPr>
      </w:pPr>
    </w:p>
    <w:p>
      <w:pPr>
        <w:ind w:left="1620" w:hanging="707"/>
        <w:spacing w:after="0"/>
        <w:tabs>
          <w:tab w:leader="none" w:pos="1620" w:val="left"/>
        </w:tabs>
        <w:numPr>
          <w:ilvl w:val="0"/>
          <w:numId w:val="3"/>
        </w:numPr>
        <w:rPr>
          <w:rFonts w:ascii="Arial" w:cs="Arial" w:eastAsia="Arial" w:hAnsi="Arial"/>
          <w:sz w:val="22"/>
          <w:szCs w:val="22"/>
          <w:b w:val="1"/>
          <w:bCs w:val="1"/>
          <w:color w:val="auto"/>
        </w:rPr>
      </w:pPr>
      <w:r>
        <w:rPr>
          <w:rFonts w:ascii="Arial" w:cs="Arial" w:eastAsia="Arial" w:hAnsi="Arial"/>
          <w:sz w:val="22"/>
          <w:szCs w:val="22"/>
          <w:b w:val="1"/>
          <w:bCs w:val="1"/>
          <w:color w:val="auto"/>
        </w:rPr>
        <w:t>Address of Principal Business Office or, if None, Residence</w:t>
      </w:r>
    </w:p>
    <w:p>
      <w:pPr>
        <w:spacing w:after="0" w:line="14" w:lineRule="exact"/>
        <w:rPr>
          <w:rFonts w:ascii="Arial" w:cs="Arial" w:eastAsia="Arial" w:hAnsi="Arial"/>
          <w:sz w:val="22"/>
          <w:szCs w:val="22"/>
          <w:b w:val="1"/>
          <w:bCs w:val="1"/>
          <w:color w:val="auto"/>
        </w:rPr>
      </w:pPr>
    </w:p>
    <w:p>
      <w:pPr>
        <w:ind w:left="1620"/>
        <w:spacing w:after="0"/>
        <w:rPr>
          <w:rFonts w:ascii="Arial" w:cs="Arial" w:eastAsia="Arial" w:hAnsi="Arial"/>
          <w:sz w:val="22"/>
          <w:szCs w:val="22"/>
          <w:b w:val="1"/>
          <w:bCs w:val="1"/>
          <w:color w:val="auto"/>
        </w:rPr>
      </w:pPr>
      <w:r>
        <w:rPr>
          <w:rFonts w:ascii="Arial" w:cs="Arial" w:eastAsia="Arial" w:hAnsi="Arial"/>
          <w:sz w:val="22"/>
          <w:szCs w:val="22"/>
          <w:color w:val="auto"/>
        </w:rPr>
        <w:t>333 SOUTH HOPE STREET, 55TH FLOOR, LOS ANGELES, CALIFORNIA 90071</w:t>
      </w:r>
    </w:p>
    <w:p>
      <w:pPr>
        <w:spacing w:after="0" w:line="101" w:lineRule="exact"/>
        <w:rPr>
          <w:rFonts w:ascii="Arial" w:cs="Arial" w:eastAsia="Arial" w:hAnsi="Arial"/>
          <w:sz w:val="22"/>
          <w:szCs w:val="22"/>
          <w:b w:val="1"/>
          <w:bCs w:val="1"/>
          <w:color w:val="auto"/>
        </w:rPr>
      </w:pPr>
    </w:p>
    <w:p>
      <w:pPr>
        <w:ind w:left="1620" w:right="8360" w:hanging="707"/>
        <w:spacing w:after="0" w:line="334" w:lineRule="auto"/>
        <w:tabs>
          <w:tab w:leader="none" w:pos="1620" w:val="left"/>
        </w:tabs>
        <w:numPr>
          <w:ilvl w:val="0"/>
          <w:numId w:val="3"/>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Citizenship </w:t>
      </w:r>
      <w:r>
        <w:rPr>
          <w:rFonts w:ascii="Arial" w:cs="Arial" w:eastAsia="Arial" w:hAnsi="Arial"/>
          <w:sz w:val="19"/>
          <w:szCs w:val="19"/>
          <w:color w:val="auto"/>
        </w:rPr>
        <w:t>N/A</w:t>
      </w:r>
    </w:p>
    <w:p>
      <w:pPr>
        <w:spacing w:after="0" w:line="12" w:lineRule="exact"/>
        <w:rPr>
          <w:rFonts w:ascii="Arial" w:cs="Arial" w:eastAsia="Arial" w:hAnsi="Arial"/>
          <w:sz w:val="19"/>
          <w:szCs w:val="19"/>
          <w:b w:val="1"/>
          <w:bCs w:val="1"/>
          <w:color w:val="auto"/>
        </w:rPr>
      </w:pPr>
    </w:p>
    <w:p>
      <w:pPr>
        <w:ind w:left="1620" w:right="7000" w:hanging="707"/>
        <w:spacing w:after="0" w:line="334" w:lineRule="auto"/>
        <w:tabs>
          <w:tab w:leader="none" w:pos="1620" w:val="left"/>
        </w:tabs>
        <w:numPr>
          <w:ilvl w:val="0"/>
          <w:numId w:val="3"/>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Title of Class of Securities </w:t>
      </w:r>
      <w:r>
        <w:rPr>
          <w:rFonts w:ascii="Arial" w:cs="Arial" w:eastAsia="Arial" w:hAnsi="Arial"/>
          <w:sz w:val="19"/>
          <w:szCs w:val="19"/>
          <w:color w:val="auto"/>
        </w:rPr>
        <w:t>Common Stock</w:t>
      </w:r>
    </w:p>
    <w:p>
      <w:pPr>
        <w:spacing w:after="0" w:line="12" w:lineRule="exact"/>
        <w:rPr>
          <w:rFonts w:ascii="Arial" w:cs="Arial" w:eastAsia="Arial" w:hAnsi="Arial"/>
          <w:sz w:val="19"/>
          <w:szCs w:val="19"/>
          <w:b w:val="1"/>
          <w:bCs w:val="1"/>
          <w:color w:val="auto"/>
        </w:rPr>
      </w:pPr>
    </w:p>
    <w:p>
      <w:pPr>
        <w:ind w:left="1620" w:right="7940" w:hanging="707"/>
        <w:spacing w:after="0" w:line="334" w:lineRule="auto"/>
        <w:tabs>
          <w:tab w:leader="none" w:pos="1620" w:val="left"/>
        </w:tabs>
        <w:numPr>
          <w:ilvl w:val="0"/>
          <w:numId w:val="3"/>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CUSIP Number </w:t>
      </w:r>
      <w:r>
        <w:rPr>
          <w:rFonts w:ascii="Arial" w:cs="Arial" w:eastAsia="Arial" w:hAnsi="Arial"/>
          <w:sz w:val="19"/>
          <w:szCs w:val="19"/>
          <w:color w:val="auto"/>
        </w:rPr>
        <w:t>81578P106</w:t>
      </w:r>
    </w:p>
    <w:p>
      <w:pPr>
        <w:spacing w:after="0" w:line="13" w:lineRule="exact"/>
        <w:rPr>
          <w:sz w:val="20"/>
          <w:szCs w:val="20"/>
          <w:color w:val="auto"/>
        </w:rPr>
      </w:pPr>
    </w:p>
    <w:p>
      <w:pPr>
        <w:spacing w:after="0"/>
        <w:tabs>
          <w:tab w:leader="none" w:pos="900" w:val="left"/>
        </w:tabs>
        <w:rPr>
          <w:sz w:val="20"/>
          <w:szCs w:val="20"/>
          <w:color w:val="auto"/>
        </w:rPr>
      </w:pPr>
      <w:r>
        <w:rPr>
          <w:rFonts w:ascii="Arial" w:cs="Arial" w:eastAsia="Arial" w:hAnsi="Arial"/>
          <w:sz w:val="22"/>
          <w:szCs w:val="22"/>
          <w:b w:val="1"/>
          <w:bCs w:val="1"/>
          <w:color w:val="auto"/>
        </w:rPr>
        <w:t>Item 3.</w:t>
      </w:r>
      <w:r>
        <w:rPr>
          <w:sz w:val="20"/>
          <w:szCs w:val="20"/>
          <w:color w:val="auto"/>
        </w:rPr>
        <w:tab/>
      </w:r>
      <w:r>
        <w:rPr>
          <w:rFonts w:ascii="Arial" w:cs="Arial" w:eastAsia="Arial" w:hAnsi="Arial"/>
          <w:sz w:val="19"/>
          <w:szCs w:val="19"/>
          <w:b w:val="1"/>
          <w:bCs w:val="1"/>
          <w:color w:val="auto"/>
        </w:rPr>
        <w:t>If This Statement is Filed Pursuant to Rule 13d-1(b), or 13d-2(b) or (c), Check Whether the Person Filing is a:</w:t>
      </w:r>
    </w:p>
    <w:p>
      <w:pPr>
        <w:sectPr>
          <w:pgSz w:w="11900" w:h="16838" w:orient="portrait"/>
          <w:cols w:equalWidth="0" w:num="1">
            <w:col w:w="11020"/>
          </w:cols>
          <w:pgMar w:left="400" w:top="423" w:right="479" w:bottom="0" w:gutter="0" w:footer="0" w:header="0"/>
        </w:sectPr>
      </w:pPr>
    </w:p>
    <w:p>
      <w:pPr>
        <w:spacing w:after="0" w:line="131" w:lineRule="exact"/>
        <w:rPr>
          <w:sz w:val="20"/>
          <w:szCs w:val="20"/>
          <w:color w:val="auto"/>
        </w:rPr>
      </w:pPr>
    </w:p>
    <w:p>
      <w:pPr>
        <w:ind w:left="920"/>
        <w:spacing w:after="0"/>
        <w:tabs>
          <w:tab w:leader="none" w:pos="1600" w:val="left"/>
        </w:tabs>
        <w:rPr>
          <w:sz w:val="20"/>
          <w:szCs w:val="20"/>
          <w:color w:val="auto"/>
        </w:rPr>
      </w:pPr>
      <w:r>
        <w:rPr>
          <w:rFonts w:ascii="Arial" w:cs="Arial" w:eastAsia="Arial" w:hAnsi="Arial"/>
          <w:sz w:val="22"/>
          <w:szCs w:val="22"/>
          <w:color w:val="auto"/>
        </w:rPr>
        <w:t>(a)</w:t>
      </w:r>
      <w:r>
        <w:rPr>
          <w:sz w:val="20"/>
          <w:szCs w:val="20"/>
          <w:color w:val="auto"/>
        </w:rPr>
        <w:tab/>
      </w:r>
      <w:r>
        <w:rPr>
          <w:rFonts w:ascii="Arial" w:cs="Arial" w:eastAsia="Arial" w:hAnsi="Arial"/>
          <w:sz w:val="22"/>
          <w:szCs w:val="22"/>
          <w:color w:val="auto"/>
        </w:rPr>
        <w:t>[ ]</w:t>
      </w:r>
    </w:p>
    <w:p>
      <w:pPr>
        <w:spacing w:after="0" w:line="125" w:lineRule="exact"/>
        <w:rPr>
          <w:sz w:val="20"/>
          <w:szCs w:val="20"/>
          <w:color w:val="auto"/>
        </w:rPr>
      </w:pPr>
    </w:p>
    <w:p>
      <w:pPr>
        <w:ind w:left="920"/>
        <w:spacing w:after="0"/>
        <w:tabs>
          <w:tab w:leader="none" w:pos="1600" w:val="left"/>
        </w:tabs>
        <w:rPr>
          <w:sz w:val="20"/>
          <w:szCs w:val="20"/>
          <w:color w:val="auto"/>
        </w:rPr>
      </w:pPr>
      <w:r>
        <w:rPr>
          <w:rFonts w:ascii="Arial" w:cs="Arial" w:eastAsia="Arial" w:hAnsi="Arial"/>
          <w:sz w:val="22"/>
          <w:szCs w:val="22"/>
          <w:color w:val="auto"/>
        </w:rPr>
        <w:t>(b)</w:t>
      </w:r>
      <w:r>
        <w:rPr>
          <w:sz w:val="20"/>
          <w:szCs w:val="20"/>
          <w:color w:val="auto"/>
        </w:rPr>
        <w:tab/>
      </w:r>
      <w:r>
        <w:rPr>
          <w:rFonts w:ascii="Arial" w:cs="Arial" w:eastAsia="Arial" w:hAnsi="Arial"/>
          <w:sz w:val="22"/>
          <w:szCs w:val="22"/>
          <w:color w:val="auto"/>
        </w:rPr>
        <w:t>[ ]</w:t>
      </w:r>
    </w:p>
    <w:p>
      <w:pPr>
        <w:spacing w:after="0" w:line="125" w:lineRule="exact"/>
        <w:rPr>
          <w:sz w:val="20"/>
          <w:szCs w:val="20"/>
          <w:color w:val="auto"/>
        </w:rPr>
      </w:pPr>
    </w:p>
    <w:p>
      <w:pPr>
        <w:ind w:left="920"/>
        <w:spacing w:after="0"/>
        <w:tabs>
          <w:tab w:leader="none" w:pos="1600" w:val="left"/>
        </w:tabs>
        <w:rPr>
          <w:sz w:val="20"/>
          <w:szCs w:val="20"/>
          <w:color w:val="auto"/>
        </w:rPr>
      </w:pPr>
      <w:r>
        <w:rPr>
          <w:rFonts w:ascii="Arial" w:cs="Arial" w:eastAsia="Arial" w:hAnsi="Arial"/>
          <w:sz w:val="22"/>
          <w:szCs w:val="22"/>
          <w:color w:val="auto"/>
        </w:rPr>
        <w:t>(c)</w:t>
      </w:r>
      <w:r>
        <w:rPr>
          <w:sz w:val="20"/>
          <w:szCs w:val="20"/>
          <w:color w:val="auto"/>
        </w:rPr>
        <w:tab/>
      </w:r>
      <w:r>
        <w:rPr>
          <w:rFonts w:ascii="Arial" w:cs="Arial" w:eastAsia="Arial" w:hAnsi="Arial"/>
          <w:sz w:val="22"/>
          <w:szCs w:val="22"/>
          <w:color w:val="auto"/>
        </w:rPr>
        <w:t>[ ]</w:t>
      </w:r>
    </w:p>
    <w:p>
      <w:pPr>
        <w:spacing w:after="0" w:line="247" w:lineRule="exact"/>
        <w:rPr>
          <w:sz w:val="20"/>
          <w:szCs w:val="20"/>
          <w:color w:val="auto"/>
        </w:rPr>
      </w:pPr>
    </w:p>
    <w:p>
      <w:pPr>
        <w:ind w:left="920"/>
        <w:spacing w:after="0"/>
        <w:tabs>
          <w:tab w:leader="none" w:pos="1600" w:val="left"/>
        </w:tabs>
        <w:rPr>
          <w:sz w:val="20"/>
          <w:szCs w:val="20"/>
          <w:color w:val="auto"/>
        </w:rPr>
      </w:pPr>
      <w:r>
        <w:rPr>
          <w:rFonts w:ascii="Arial" w:cs="Arial" w:eastAsia="Arial" w:hAnsi="Arial"/>
          <w:sz w:val="22"/>
          <w:szCs w:val="22"/>
          <w:color w:val="auto"/>
        </w:rPr>
        <w:t>(d)</w:t>
      </w:r>
      <w:r>
        <w:rPr>
          <w:sz w:val="20"/>
          <w:szCs w:val="20"/>
          <w:color w:val="auto"/>
        </w:rPr>
        <w:tab/>
      </w:r>
      <w:r>
        <w:rPr>
          <w:rFonts w:ascii="Arial" w:cs="Arial" w:eastAsia="Arial" w:hAnsi="Arial"/>
          <w:sz w:val="22"/>
          <w:szCs w:val="22"/>
          <w:color w:val="auto"/>
        </w:rPr>
        <w:t>[ ]</w:t>
      </w:r>
    </w:p>
    <w:p>
      <w:pPr>
        <w:spacing w:after="0" w:line="247" w:lineRule="exact"/>
        <w:rPr>
          <w:sz w:val="20"/>
          <w:szCs w:val="20"/>
          <w:color w:val="auto"/>
        </w:rPr>
      </w:pPr>
    </w:p>
    <w:p>
      <w:pPr>
        <w:ind w:left="920"/>
        <w:spacing w:after="0"/>
        <w:tabs>
          <w:tab w:leader="none" w:pos="1600" w:val="left"/>
        </w:tabs>
        <w:rPr>
          <w:sz w:val="20"/>
          <w:szCs w:val="20"/>
          <w:color w:val="auto"/>
        </w:rPr>
      </w:pPr>
      <w:r>
        <w:rPr>
          <w:rFonts w:ascii="Arial" w:cs="Arial" w:eastAsia="Arial" w:hAnsi="Arial"/>
          <w:sz w:val="22"/>
          <w:szCs w:val="22"/>
          <w:color w:val="auto"/>
        </w:rPr>
        <w:t>(e)</w:t>
      </w:r>
      <w:r>
        <w:rPr>
          <w:sz w:val="20"/>
          <w:szCs w:val="20"/>
          <w:color w:val="auto"/>
        </w:rPr>
        <w:tab/>
      </w:r>
      <w:r>
        <w:rPr>
          <w:rFonts w:ascii="Arial" w:cs="Arial" w:eastAsia="Arial" w:hAnsi="Arial"/>
          <w:sz w:val="22"/>
          <w:szCs w:val="22"/>
          <w:color w:val="auto"/>
        </w:rPr>
        <w:t>[X]</w:t>
      </w:r>
    </w:p>
    <w:p>
      <w:pPr>
        <w:spacing w:after="0" w:line="125" w:lineRule="exact"/>
        <w:rPr>
          <w:sz w:val="20"/>
          <w:szCs w:val="20"/>
          <w:color w:val="auto"/>
        </w:rPr>
      </w:pPr>
    </w:p>
    <w:p>
      <w:pPr>
        <w:ind w:left="920"/>
        <w:spacing w:after="0"/>
        <w:tabs>
          <w:tab w:leader="none" w:pos="1600" w:val="left"/>
        </w:tabs>
        <w:rPr>
          <w:sz w:val="20"/>
          <w:szCs w:val="20"/>
          <w:color w:val="auto"/>
        </w:rPr>
      </w:pPr>
      <w:r>
        <w:rPr>
          <w:rFonts w:ascii="Arial" w:cs="Arial" w:eastAsia="Arial" w:hAnsi="Arial"/>
          <w:sz w:val="22"/>
          <w:szCs w:val="22"/>
          <w:color w:val="auto"/>
        </w:rPr>
        <w:t>(f)</w:t>
      </w:r>
      <w:r>
        <w:rPr>
          <w:sz w:val="20"/>
          <w:szCs w:val="20"/>
          <w:color w:val="auto"/>
        </w:rPr>
        <w:tab/>
      </w:r>
      <w:r>
        <w:rPr>
          <w:rFonts w:ascii="Arial" w:cs="Arial" w:eastAsia="Arial" w:hAnsi="Arial"/>
          <w:sz w:val="22"/>
          <w:szCs w:val="22"/>
          <w:color w:val="auto"/>
        </w:rPr>
        <w:t>[ ]</w:t>
      </w:r>
    </w:p>
    <w:p>
      <w:pPr>
        <w:spacing w:after="0" w:line="125" w:lineRule="exact"/>
        <w:rPr>
          <w:sz w:val="20"/>
          <w:szCs w:val="20"/>
          <w:color w:val="auto"/>
        </w:rPr>
      </w:pPr>
    </w:p>
    <w:p>
      <w:pPr>
        <w:ind w:left="920"/>
        <w:spacing w:after="0"/>
        <w:tabs>
          <w:tab w:leader="none" w:pos="1600" w:val="left"/>
        </w:tabs>
        <w:rPr>
          <w:sz w:val="20"/>
          <w:szCs w:val="20"/>
          <w:color w:val="auto"/>
        </w:rPr>
      </w:pPr>
      <w:r>
        <w:rPr>
          <w:rFonts w:ascii="Arial" w:cs="Arial" w:eastAsia="Arial" w:hAnsi="Arial"/>
          <w:sz w:val="22"/>
          <w:szCs w:val="22"/>
          <w:color w:val="auto"/>
        </w:rPr>
        <w:t>(g)</w:t>
      </w:r>
      <w:r>
        <w:rPr>
          <w:sz w:val="20"/>
          <w:szCs w:val="20"/>
          <w:color w:val="auto"/>
        </w:rPr>
        <w:tab/>
      </w:r>
      <w:r>
        <w:rPr>
          <w:rFonts w:ascii="Arial" w:cs="Arial" w:eastAsia="Arial" w:hAnsi="Arial"/>
          <w:sz w:val="22"/>
          <w:szCs w:val="22"/>
          <w:color w:val="auto"/>
        </w:rPr>
        <w:t>[ ]</w:t>
      </w:r>
    </w:p>
    <w:p>
      <w:pPr>
        <w:spacing w:after="0" w:line="247" w:lineRule="exact"/>
        <w:rPr>
          <w:sz w:val="20"/>
          <w:szCs w:val="20"/>
          <w:color w:val="auto"/>
        </w:rPr>
      </w:pPr>
    </w:p>
    <w:p>
      <w:pPr>
        <w:ind w:left="920"/>
        <w:spacing w:after="0"/>
        <w:tabs>
          <w:tab w:leader="none" w:pos="1600" w:val="left"/>
        </w:tabs>
        <w:rPr>
          <w:sz w:val="20"/>
          <w:szCs w:val="20"/>
          <w:color w:val="auto"/>
        </w:rPr>
      </w:pPr>
      <w:r>
        <w:rPr>
          <w:rFonts w:ascii="Arial" w:cs="Arial" w:eastAsia="Arial" w:hAnsi="Arial"/>
          <w:sz w:val="22"/>
          <w:szCs w:val="22"/>
          <w:color w:val="auto"/>
        </w:rPr>
        <w:t>(h)</w:t>
      </w:r>
      <w:r>
        <w:rPr>
          <w:sz w:val="20"/>
          <w:szCs w:val="20"/>
          <w:color w:val="auto"/>
        </w:rPr>
        <w:tab/>
      </w:r>
      <w:r>
        <w:rPr>
          <w:rFonts w:ascii="Arial" w:cs="Arial" w:eastAsia="Arial" w:hAnsi="Arial"/>
          <w:sz w:val="22"/>
          <w:szCs w:val="22"/>
          <w:color w:val="auto"/>
        </w:rPr>
        <w:t>[ ]</w:t>
      </w:r>
    </w:p>
    <w:p>
      <w:pPr>
        <w:spacing w:after="0" w:line="368" w:lineRule="exact"/>
        <w:rPr>
          <w:sz w:val="20"/>
          <w:szCs w:val="20"/>
          <w:color w:val="auto"/>
        </w:rPr>
      </w:pPr>
    </w:p>
    <w:p>
      <w:pPr>
        <w:ind w:left="920"/>
        <w:spacing w:after="0"/>
        <w:tabs>
          <w:tab w:leader="none" w:pos="1600" w:val="left"/>
        </w:tabs>
        <w:rPr>
          <w:sz w:val="20"/>
          <w:szCs w:val="20"/>
          <w:color w:val="auto"/>
        </w:rPr>
      </w:pPr>
      <w:r>
        <w:rPr>
          <w:rFonts w:ascii="Arial" w:cs="Arial" w:eastAsia="Arial" w:hAnsi="Arial"/>
          <w:sz w:val="22"/>
          <w:szCs w:val="22"/>
          <w:color w:val="auto"/>
        </w:rPr>
        <w:t>(i)</w:t>
      </w:r>
      <w:r>
        <w:rPr>
          <w:sz w:val="20"/>
          <w:szCs w:val="20"/>
          <w:color w:val="auto"/>
        </w:rPr>
        <w:tab/>
      </w:r>
      <w:r>
        <w:rPr>
          <w:rFonts w:ascii="Arial" w:cs="Arial" w:eastAsia="Arial" w:hAnsi="Arial"/>
          <w:sz w:val="22"/>
          <w:szCs w:val="22"/>
          <w:color w:val="auto"/>
        </w:rPr>
        <w:t>[ ]</w:t>
      </w:r>
    </w:p>
    <w:p>
      <w:pPr>
        <w:spacing w:after="0" w:line="247" w:lineRule="exact"/>
        <w:rPr>
          <w:sz w:val="20"/>
          <w:szCs w:val="20"/>
          <w:color w:val="auto"/>
        </w:rPr>
      </w:pPr>
    </w:p>
    <w:p>
      <w:pPr>
        <w:ind w:left="920"/>
        <w:spacing w:after="0"/>
        <w:tabs>
          <w:tab w:leader="none" w:pos="1600" w:val="left"/>
        </w:tabs>
        <w:rPr>
          <w:sz w:val="20"/>
          <w:szCs w:val="20"/>
          <w:color w:val="auto"/>
        </w:rPr>
      </w:pPr>
      <w:r>
        <w:rPr>
          <w:rFonts w:ascii="Arial" w:cs="Arial" w:eastAsia="Arial" w:hAnsi="Arial"/>
          <w:sz w:val="22"/>
          <w:szCs w:val="22"/>
          <w:color w:val="auto"/>
        </w:rPr>
        <w:t>(j)</w:t>
      </w:r>
      <w:r>
        <w:rPr>
          <w:sz w:val="20"/>
          <w:szCs w:val="20"/>
          <w:color w:val="auto"/>
        </w:rPr>
        <w:tab/>
      </w:r>
      <w:r>
        <w:rPr>
          <w:rFonts w:ascii="Arial" w:cs="Arial" w:eastAsia="Arial" w:hAnsi="Arial"/>
          <w:sz w:val="22"/>
          <w:szCs w:val="22"/>
          <w:color w:val="auto"/>
        </w:rPr>
        <w:t>[ ]</w:t>
      </w:r>
    </w:p>
    <w:p>
      <w:pPr>
        <w:spacing w:after="0" w:line="119" w:lineRule="exact"/>
        <w:rPr>
          <w:sz w:val="20"/>
          <w:szCs w:val="20"/>
          <w:color w:val="auto"/>
        </w:rPr>
      </w:pPr>
    </w:p>
    <w:p>
      <w:pPr>
        <w:spacing w:after="0"/>
        <w:tabs>
          <w:tab w:leader="none" w:pos="900" w:val="left"/>
        </w:tabs>
        <w:rPr>
          <w:sz w:val="20"/>
          <w:szCs w:val="20"/>
          <w:color w:val="auto"/>
        </w:rPr>
      </w:pPr>
      <w:r>
        <w:rPr>
          <w:rFonts w:ascii="Arial" w:cs="Arial" w:eastAsia="Arial" w:hAnsi="Arial"/>
          <w:sz w:val="22"/>
          <w:szCs w:val="22"/>
          <w:b w:val="1"/>
          <w:bCs w:val="1"/>
          <w:color w:val="auto"/>
        </w:rPr>
        <w:t>Item 4.</w:t>
      </w:r>
      <w:r>
        <w:rPr>
          <w:sz w:val="20"/>
          <w:szCs w:val="20"/>
          <w:color w:val="auto"/>
        </w:rPr>
        <w:tab/>
      </w:r>
      <w:r>
        <w:rPr>
          <w:rFonts w:ascii="Arial" w:cs="Arial" w:eastAsia="Arial" w:hAnsi="Arial"/>
          <w:sz w:val="19"/>
          <w:szCs w:val="19"/>
          <w:b w:val="1"/>
          <w:bCs w:val="1"/>
          <w:color w:val="auto"/>
        </w:rPr>
        <w:t>Ownership.</w:t>
      </w:r>
    </w:p>
    <w:p>
      <w:pPr>
        <w:spacing w:after="0" w:line="20" w:lineRule="exact"/>
        <w:rPr>
          <w:sz w:val="20"/>
          <w:szCs w:val="20"/>
          <w:color w:val="auto"/>
        </w:rPr>
      </w:pPr>
      <w:r>
        <w:rPr>
          <w:sz w:val="20"/>
          <w:szCs w:val="20"/>
          <w:color w:val="auto"/>
        </w:rPr>
        <w:br w:type="column"/>
      </w:r>
    </w:p>
    <w:p>
      <w:pPr>
        <w:spacing w:after="0" w:line="111" w:lineRule="exact"/>
        <w:rPr>
          <w:sz w:val="20"/>
          <w:szCs w:val="20"/>
          <w:color w:val="auto"/>
        </w:rPr>
      </w:pPr>
    </w:p>
    <w:p>
      <w:pPr>
        <w:ind w:left="8"/>
        <w:spacing w:after="0"/>
        <w:rPr>
          <w:sz w:val="20"/>
          <w:szCs w:val="20"/>
          <w:color w:val="auto"/>
        </w:rPr>
      </w:pPr>
      <w:r>
        <w:rPr>
          <w:rFonts w:ascii="Arial" w:cs="Arial" w:eastAsia="Arial" w:hAnsi="Arial"/>
          <w:sz w:val="22"/>
          <w:szCs w:val="22"/>
          <w:color w:val="auto"/>
        </w:rPr>
        <w:t>Broker or dealer registered under Section 15 of the Act (15 U.S.C. 78o).</w:t>
      </w:r>
    </w:p>
    <w:p>
      <w:pPr>
        <w:spacing w:after="0" w:line="125" w:lineRule="exact"/>
        <w:rPr>
          <w:sz w:val="20"/>
          <w:szCs w:val="20"/>
          <w:color w:val="auto"/>
        </w:rPr>
      </w:pPr>
    </w:p>
    <w:p>
      <w:pPr>
        <w:ind w:left="8"/>
        <w:spacing w:after="0"/>
        <w:rPr>
          <w:sz w:val="20"/>
          <w:szCs w:val="20"/>
          <w:color w:val="auto"/>
        </w:rPr>
      </w:pPr>
      <w:r>
        <w:rPr>
          <w:rFonts w:ascii="Arial" w:cs="Arial" w:eastAsia="Arial" w:hAnsi="Arial"/>
          <w:sz w:val="22"/>
          <w:szCs w:val="22"/>
          <w:color w:val="auto"/>
        </w:rPr>
        <w:t>Bank as defined in Section 3(a)(6) of the Act (15 U.S.C. 78c).</w:t>
      </w:r>
    </w:p>
    <w:p>
      <w:pPr>
        <w:spacing w:after="0" w:line="125" w:lineRule="exact"/>
        <w:rPr>
          <w:sz w:val="20"/>
          <w:szCs w:val="20"/>
          <w:color w:val="auto"/>
        </w:rPr>
      </w:pPr>
    </w:p>
    <w:p>
      <w:pPr>
        <w:ind w:left="8"/>
        <w:spacing w:after="0"/>
        <w:rPr>
          <w:sz w:val="20"/>
          <w:szCs w:val="20"/>
          <w:color w:val="auto"/>
        </w:rPr>
      </w:pPr>
      <w:r>
        <w:rPr>
          <w:rFonts w:ascii="Arial" w:cs="Arial" w:eastAsia="Arial" w:hAnsi="Arial"/>
          <w:sz w:val="22"/>
          <w:szCs w:val="22"/>
          <w:color w:val="auto"/>
        </w:rPr>
        <w:t>Insurance Company as defined in Section 3(a)(19) of the Act (15 U.S.C. 78c).</w:t>
      </w:r>
    </w:p>
    <w:p>
      <w:pPr>
        <w:spacing w:after="0" w:line="125" w:lineRule="exact"/>
        <w:rPr>
          <w:sz w:val="20"/>
          <w:szCs w:val="20"/>
          <w:color w:val="auto"/>
        </w:rPr>
      </w:pPr>
    </w:p>
    <w:p>
      <w:pPr>
        <w:ind w:left="8" w:right="560"/>
        <w:spacing w:after="0" w:line="250" w:lineRule="auto"/>
        <w:rPr>
          <w:sz w:val="20"/>
          <w:szCs w:val="20"/>
          <w:color w:val="auto"/>
        </w:rPr>
      </w:pPr>
      <w:r>
        <w:rPr>
          <w:rFonts w:ascii="Arial" w:cs="Arial" w:eastAsia="Arial" w:hAnsi="Arial"/>
          <w:sz w:val="22"/>
          <w:szCs w:val="22"/>
          <w:color w:val="auto"/>
        </w:rPr>
        <w:t>Investment Company registered under Section 8 of the Investment Company Act of 1940 (15 U.S.C. 80a-8).</w:t>
      </w:r>
    </w:p>
    <w:p>
      <w:pPr>
        <w:spacing w:after="0" w:line="94" w:lineRule="exact"/>
        <w:rPr>
          <w:sz w:val="20"/>
          <w:szCs w:val="20"/>
          <w:color w:val="auto"/>
        </w:rPr>
      </w:pPr>
    </w:p>
    <w:p>
      <w:pPr>
        <w:ind w:left="8"/>
        <w:spacing w:after="0"/>
        <w:rPr>
          <w:sz w:val="20"/>
          <w:szCs w:val="20"/>
          <w:color w:val="auto"/>
        </w:rPr>
      </w:pPr>
      <w:r>
        <w:rPr>
          <w:rFonts w:ascii="Arial" w:cs="Arial" w:eastAsia="Arial" w:hAnsi="Arial"/>
          <w:sz w:val="22"/>
          <w:szCs w:val="22"/>
          <w:color w:val="auto"/>
        </w:rPr>
        <w:t>An investment adviser in accordance with Rule 240.13d-1(b)(1)(ii)(E);</w:t>
      </w:r>
    </w:p>
    <w:p>
      <w:pPr>
        <w:spacing w:after="0" w:line="125" w:lineRule="exact"/>
        <w:rPr>
          <w:sz w:val="20"/>
          <w:szCs w:val="20"/>
          <w:color w:val="auto"/>
        </w:rPr>
      </w:pPr>
    </w:p>
    <w:p>
      <w:pPr>
        <w:ind w:left="8" w:right="440"/>
        <w:spacing w:after="0" w:line="415" w:lineRule="auto"/>
        <w:rPr>
          <w:sz w:val="20"/>
          <w:szCs w:val="20"/>
          <w:color w:val="auto"/>
        </w:rPr>
      </w:pPr>
      <w:r>
        <w:rPr>
          <w:rFonts w:ascii="Arial" w:cs="Arial" w:eastAsia="Arial" w:hAnsi="Arial"/>
          <w:sz w:val="19"/>
          <w:szCs w:val="19"/>
          <w:color w:val="auto"/>
        </w:rPr>
        <w:t>An employee benefit plan or endowment fund in accordance with Rule 240.13d-1(b)(1)(ii)(F); A parent holding company or control person in accordance with Rule 240.13d-1(b)(1)(ii)(G);</w:t>
      </w:r>
    </w:p>
    <w:p>
      <w:pPr>
        <w:ind w:left="8" w:right="240"/>
        <w:spacing w:after="0" w:line="250" w:lineRule="auto"/>
        <w:rPr>
          <w:sz w:val="20"/>
          <w:szCs w:val="20"/>
          <w:color w:val="auto"/>
        </w:rPr>
      </w:pPr>
      <w:r>
        <w:rPr>
          <w:rFonts w:ascii="Arial" w:cs="Arial" w:eastAsia="Arial" w:hAnsi="Arial"/>
          <w:sz w:val="22"/>
          <w:szCs w:val="22"/>
          <w:color w:val="auto"/>
        </w:rPr>
        <w:t>A savings association as defined in Section 3(b) of the Federal Deposit Insurance Act (12 U.S.C. 1813);</w:t>
      </w:r>
    </w:p>
    <w:p>
      <w:pPr>
        <w:spacing w:after="0" w:line="94" w:lineRule="exact"/>
        <w:rPr>
          <w:sz w:val="20"/>
          <w:szCs w:val="20"/>
          <w:color w:val="auto"/>
        </w:rPr>
      </w:pPr>
    </w:p>
    <w:p>
      <w:pPr>
        <w:ind w:left="8"/>
        <w:spacing w:after="0"/>
        <w:rPr>
          <w:sz w:val="20"/>
          <w:szCs w:val="20"/>
          <w:color w:val="auto"/>
        </w:rPr>
      </w:pPr>
      <w:r>
        <w:rPr>
          <w:rFonts w:ascii="Arial" w:cs="Arial" w:eastAsia="Arial" w:hAnsi="Arial"/>
          <w:sz w:val="19"/>
          <w:szCs w:val="19"/>
          <w:color w:val="auto"/>
        </w:rPr>
        <w:t>A church plan that is excluded from the definition of an investment company under Section 3(c)</w:t>
      </w:r>
    </w:p>
    <w:p>
      <w:pPr>
        <w:spacing w:after="0" w:line="43" w:lineRule="exact"/>
        <w:rPr>
          <w:sz w:val="20"/>
          <w:szCs w:val="20"/>
          <w:color w:val="auto"/>
        </w:rPr>
      </w:pPr>
    </w:p>
    <w:p>
      <w:pPr>
        <w:ind w:left="8" w:right="3040" w:hanging="8"/>
        <w:spacing w:after="0" w:line="456" w:lineRule="auto"/>
        <w:tabs>
          <w:tab w:leader="none" w:pos="422" w:val="left"/>
        </w:tabs>
        <w:numPr>
          <w:ilvl w:val="0"/>
          <w:numId w:val="4"/>
        </w:numPr>
        <w:rPr>
          <w:rFonts w:ascii="Arial" w:cs="Arial" w:eastAsia="Arial" w:hAnsi="Arial"/>
          <w:sz w:val="19"/>
          <w:szCs w:val="19"/>
          <w:color w:val="auto"/>
        </w:rPr>
      </w:pPr>
      <w:r>
        <w:rPr>
          <w:rFonts w:ascii="Arial" w:cs="Arial" w:eastAsia="Arial" w:hAnsi="Arial"/>
          <w:sz w:val="19"/>
          <w:szCs w:val="19"/>
          <w:color w:val="auto"/>
        </w:rPr>
        <w:t>of the Investment Company Act of 1940 (15 U.S.C. 80a-3); Group, in accordance with Rule 240.13d-1(b)(1)(ii)(J).</w:t>
      </w:r>
    </w:p>
    <w:p>
      <w:pPr>
        <w:spacing w:after="0" w:line="285" w:lineRule="exact"/>
        <w:rPr>
          <w:sz w:val="20"/>
          <w:szCs w:val="20"/>
          <w:color w:val="auto"/>
        </w:rPr>
      </w:pPr>
    </w:p>
    <w:p>
      <w:pPr>
        <w:sectPr>
          <w:pgSz w:w="11900" w:h="16838" w:orient="portrait"/>
          <w:cols w:equalWidth="0" w:num="2">
            <w:col w:w="1980" w:space="432"/>
            <w:col w:w="8608"/>
          </w:cols>
          <w:pgMar w:left="400" w:top="423" w:right="479" w:bottom="0" w:gutter="0" w:footer="0" w:header="0"/>
          <w:type w:val="continuous"/>
        </w:sectPr>
      </w:pPr>
    </w:p>
    <w:p>
      <w:pPr>
        <w:ind w:right="660"/>
        <w:spacing w:after="0" w:line="250" w:lineRule="auto"/>
        <w:rPr>
          <w:sz w:val="20"/>
          <w:szCs w:val="20"/>
          <w:color w:val="auto"/>
        </w:rPr>
      </w:pPr>
      <w:r>
        <w:rPr>
          <w:rFonts w:ascii="Arial" w:cs="Arial" w:eastAsia="Arial" w:hAnsi="Arial"/>
          <w:sz w:val="22"/>
          <w:szCs w:val="22"/>
          <w:color w:val="auto"/>
        </w:rPr>
        <w:t>Provide the following information regarding the aggregate number and percentage of the class of securities of the issuer identified in Item 1.</w:t>
      </w:r>
    </w:p>
    <w:p>
      <w:pPr>
        <w:sectPr>
          <w:pgSz w:w="11900" w:h="16838" w:orient="portrait"/>
          <w:cols w:equalWidth="0" w:num="1">
            <w:col w:w="11020"/>
          </w:cols>
          <w:pgMar w:left="400" w:top="423" w:right="479" w:bottom="0" w:gutter="0" w:footer="0" w:header="0"/>
          <w:type w:val="continuous"/>
        </w:sectPr>
      </w:pPr>
    </w:p>
    <w:p>
      <w:pPr>
        <w:spacing w:after="0" w:line="94" w:lineRule="exact"/>
        <w:rPr>
          <w:sz w:val="20"/>
          <w:szCs w:val="20"/>
          <w:color w:val="auto"/>
        </w:rPr>
      </w:pPr>
    </w:p>
    <w:p>
      <w:pPr>
        <w:ind w:left="1620" w:hanging="707"/>
        <w:spacing w:after="0"/>
        <w:tabs>
          <w:tab w:leader="none" w:pos="1620" w:val="left"/>
        </w:tabs>
        <w:numPr>
          <w:ilvl w:val="0"/>
          <w:numId w:val="5"/>
        </w:numPr>
        <w:rPr>
          <w:rFonts w:ascii="Arial" w:cs="Arial" w:eastAsia="Arial" w:hAnsi="Arial"/>
          <w:sz w:val="22"/>
          <w:szCs w:val="22"/>
          <w:color w:val="auto"/>
        </w:rPr>
      </w:pPr>
      <w:r>
        <w:rPr>
          <w:rFonts w:ascii="Arial" w:cs="Arial" w:eastAsia="Arial" w:hAnsi="Arial"/>
          <w:sz w:val="22"/>
          <w:szCs w:val="22"/>
          <w:color w:val="auto"/>
        </w:rPr>
        <w:t>Amount Beneficially Owned:</w:t>
      </w:r>
    </w:p>
    <w:p>
      <w:pPr>
        <w:spacing w:after="0" w:line="125" w:lineRule="exact"/>
        <w:rPr>
          <w:rFonts w:ascii="Arial" w:cs="Arial" w:eastAsia="Arial" w:hAnsi="Arial"/>
          <w:sz w:val="22"/>
          <w:szCs w:val="22"/>
          <w:color w:val="auto"/>
        </w:rPr>
      </w:pPr>
    </w:p>
    <w:p>
      <w:pPr>
        <w:ind w:left="1620"/>
        <w:spacing w:after="0"/>
        <w:rPr>
          <w:rFonts w:ascii="Arial" w:cs="Arial" w:eastAsia="Arial" w:hAnsi="Arial"/>
          <w:sz w:val="22"/>
          <w:szCs w:val="22"/>
          <w:color w:val="auto"/>
        </w:rPr>
      </w:pPr>
      <w:r>
        <w:rPr>
          <w:rFonts w:ascii="Arial" w:cs="Arial" w:eastAsia="Arial" w:hAnsi="Arial"/>
          <w:sz w:val="22"/>
          <w:szCs w:val="22"/>
          <w:color w:val="auto"/>
        </w:rPr>
        <w:t>4,671,000 **</w:t>
      </w:r>
    </w:p>
    <w:p>
      <w:pPr>
        <w:spacing w:after="0" w:line="125" w:lineRule="exact"/>
        <w:rPr>
          <w:rFonts w:ascii="Arial" w:cs="Arial" w:eastAsia="Arial" w:hAnsi="Arial"/>
          <w:sz w:val="22"/>
          <w:szCs w:val="22"/>
          <w:color w:val="auto"/>
        </w:rPr>
      </w:pPr>
    </w:p>
    <w:p>
      <w:pPr>
        <w:ind w:left="1620" w:hanging="707"/>
        <w:spacing w:after="0"/>
        <w:tabs>
          <w:tab w:leader="none" w:pos="1620" w:val="left"/>
        </w:tabs>
        <w:numPr>
          <w:ilvl w:val="0"/>
          <w:numId w:val="5"/>
        </w:numPr>
        <w:rPr>
          <w:rFonts w:ascii="Arial" w:cs="Arial" w:eastAsia="Arial" w:hAnsi="Arial"/>
          <w:sz w:val="22"/>
          <w:szCs w:val="22"/>
          <w:color w:val="auto"/>
        </w:rPr>
      </w:pPr>
      <w:r>
        <w:rPr>
          <w:rFonts w:ascii="Arial" w:cs="Arial" w:eastAsia="Arial" w:hAnsi="Arial"/>
          <w:sz w:val="22"/>
          <w:szCs w:val="22"/>
          <w:color w:val="auto"/>
        </w:rPr>
        <w:t>Percent of Class:</w:t>
      </w:r>
    </w:p>
    <w:p>
      <w:pPr>
        <w:spacing w:after="0" w:line="125" w:lineRule="exact"/>
        <w:rPr>
          <w:rFonts w:ascii="Arial" w:cs="Arial" w:eastAsia="Arial" w:hAnsi="Arial"/>
          <w:sz w:val="22"/>
          <w:szCs w:val="22"/>
          <w:color w:val="auto"/>
        </w:rPr>
      </w:pPr>
    </w:p>
    <w:p>
      <w:pPr>
        <w:ind w:left="1620"/>
        <w:spacing w:after="0"/>
        <w:rPr>
          <w:rFonts w:ascii="Arial" w:cs="Arial" w:eastAsia="Arial" w:hAnsi="Arial"/>
          <w:sz w:val="22"/>
          <w:szCs w:val="22"/>
          <w:color w:val="auto"/>
        </w:rPr>
      </w:pPr>
      <w:r>
        <w:rPr>
          <w:rFonts w:ascii="Arial" w:cs="Arial" w:eastAsia="Arial" w:hAnsi="Arial"/>
          <w:sz w:val="22"/>
          <w:szCs w:val="22"/>
          <w:color w:val="auto"/>
        </w:rPr>
        <w:t>8.0%</w:t>
      </w:r>
    </w:p>
    <w:p>
      <w:pPr>
        <w:spacing w:after="0" w:line="125" w:lineRule="exact"/>
        <w:rPr>
          <w:rFonts w:ascii="Arial" w:cs="Arial" w:eastAsia="Arial" w:hAnsi="Arial"/>
          <w:sz w:val="22"/>
          <w:szCs w:val="22"/>
          <w:color w:val="auto"/>
        </w:rPr>
      </w:pPr>
    </w:p>
    <w:p>
      <w:pPr>
        <w:ind w:left="1620" w:hanging="707"/>
        <w:spacing w:after="0"/>
        <w:tabs>
          <w:tab w:leader="none" w:pos="1620" w:val="left"/>
        </w:tabs>
        <w:numPr>
          <w:ilvl w:val="0"/>
          <w:numId w:val="5"/>
        </w:numPr>
        <w:rPr>
          <w:rFonts w:ascii="Arial" w:cs="Arial" w:eastAsia="Arial" w:hAnsi="Arial"/>
          <w:sz w:val="22"/>
          <w:szCs w:val="22"/>
          <w:color w:val="auto"/>
        </w:rPr>
      </w:pPr>
      <w:r>
        <w:rPr>
          <w:rFonts w:ascii="Arial" w:cs="Arial" w:eastAsia="Arial" w:hAnsi="Arial"/>
          <w:sz w:val="22"/>
          <w:szCs w:val="22"/>
          <w:color w:val="auto"/>
        </w:rPr>
        <w:t>Number of shares as to which such person has:</w:t>
      </w:r>
    </w:p>
    <w:p>
      <w:pPr>
        <w:spacing w:after="0" w:line="125" w:lineRule="exact"/>
        <w:rPr>
          <w:rFonts w:ascii="Arial" w:cs="Arial" w:eastAsia="Arial" w:hAnsi="Arial"/>
          <w:sz w:val="22"/>
          <w:szCs w:val="22"/>
          <w:color w:val="auto"/>
        </w:rPr>
      </w:pPr>
    </w:p>
    <w:p>
      <w:pPr>
        <w:ind w:left="2420" w:hanging="805"/>
        <w:spacing w:after="0"/>
        <w:tabs>
          <w:tab w:leader="none" w:pos="2420" w:val="left"/>
        </w:tabs>
        <w:numPr>
          <w:ilvl w:val="1"/>
          <w:numId w:val="5"/>
        </w:numPr>
        <w:rPr>
          <w:rFonts w:ascii="Arial" w:cs="Arial" w:eastAsia="Arial" w:hAnsi="Arial"/>
          <w:sz w:val="22"/>
          <w:szCs w:val="22"/>
          <w:color w:val="auto"/>
        </w:rPr>
      </w:pPr>
      <w:r>
        <w:rPr>
          <w:rFonts w:ascii="Arial" w:cs="Arial" w:eastAsia="Arial" w:hAnsi="Arial"/>
          <w:sz w:val="22"/>
          <w:szCs w:val="22"/>
          <w:color w:val="auto"/>
        </w:rPr>
        <w:t>sole power to vote or to direct the vote</w:t>
      </w:r>
    </w:p>
    <w:p>
      <w:pPr>
        <w:spacing w:after="0" w:line="125" w:lineRule="exact"/>
        <w:rPr>
          <w:rFonts w:ascii="Arial" w:cs="Arial" w:eastAsia="Arial" w:hAnsi="Arial"/>
          <w:sz w:val="22"/>
          <w:szCs w:val="22"/>
          <w:color w:val="auto"/>
        </w:rPr>
      </w:pPr>
    </w:p>
    <w:p>
      <w:pPr>
        <w:ind w:left="2420" w:hanging="805"/>
        <w:spacing w:after="0"/>
        <w:tabs>
          <w:tab w:leader="none" w:pos="2420" w:val="left"/>
        </w:tabs>
        <w:numPr>
          <w:ilvl w:val="1"/>
          <w:numId w:val="5"/>
        </w:numPr>
        <w:rPr>
          <w:rFonts w:ascii="Arial" w:cs="Arial" w:eastAsia="Arial" w:hAnsi="Arial"/>
          <w:sz w:val="22"/>
          <w:szCs w:val="22"/>
          <w:color w:val="auto"/>
        </w:rPr>
      </w:pPr>
      <w:r>
        <w:rPr>
          <w:rFonts w:ascii="Arial" w:cs="Arial" w:eastAsia="Arial" w:hAnsi="Arial"/>
          <w:sz w:val="22"/>
          <w:szCs w:val="22"/>
          <w:color w:val="auto"/>
        </w:rPr>
        <w:t>shared power to vote or to direct the vote</w:t>
      </w:r>
    </w:p>
    <w:p>
      <w:pPr>
        <w:spacing w:after="0" w:line="125" w:lineRule="exact"/>
        <w:rPr>
          <w:rFonts w:ascii="Arial" w:cs="Arial" w:eastAsia="Arial" w:hAnsi="Arial"/>
          <w:sz w:val="22"/>
          <w:szCs w:val="22"/>
          <w:color w:val="auto"/>
        </w:rPr>
      </w:pPr>
    </w:p>
    <w:p>
      <w:pPr>
        <w:ind w:left="2420" w:hanging="805"/>
        <w:spacing w:after="0" w:line="183" w:lineRule="auto"/>
        <w:tabs>
          <w:tab w:leader="none" w:pos="2420" w:val="left"/>
        </w:tabs>
        <w:numPr>
          <w:ilvl w:val="1"/>
          <w:numId w:val="5"/>
        </w:numPr>
        <w:rPr>
          <w:rFonts w:ascii="Arial" w:cs="Arial" w:eastAsia="Arial" w:hAnsi="Arial"/>
          <w:sz w:val="39"/>
          <w:szCs w:val="39"/>
          <w:color w:val="auto"/>
          <w:vertAlign w:val="subscript"/>
        </w:rPr>
      </w:pPr>
      <w:r>
        <w:rPr>
          <w:rFonts w:ascii="Arial" w:cs="Arial" w:eastAsia="Arial" w:hAnsi="Arial"/>
          <w:sz w:val="20"/>
          <w:szCs w:val="20"/>
          <w:color w:val="auto"/>
        </w:rPr>
        <w:t>sole power to dispose or to direct the disposition of</w:t>
      </w:r>
    </w:p>
    <w:p>
      <w:pPr>
        <w:spacing w:after="0" w:line="103" w:lineRule="exact"/>
        <w:rPr>
          <w:rFonts w:ascii="Arial" w:cs="Arial" w:eastAsia="Arial" w:hAnsi="Arial"/>
          <w:sz w:val="39"/>
          <w:szCs w:val="39"/>
          <w:color w:val="auto"/>
          <w:vertAlign w:val="subscript"/>
        </w:rPr>
      </w:pPr>
    </w:p>
    <w:p>
      <w:pPr>
        <w:ind w:left="2420" w:right="780" w:hanging="805"/>
        <w:spacing w:after="0" w:line="183" w:lineRule="auto"/>
        <w:tabs>
          <w:tab w:leader="none" w:pos="2420" w:val="left"/>
        </w:tabs>
        <w:numPr>
          <w:ilvl w:val="1"/>
          <w:numId w:val="5"/>
        </w:numPr>
        <w:rPr>
          <w:rFonts w:ascii="Arial" w:cs="Arial" w:eastAsia="Arial" w:hAnsi="Arial"/>
          <w:sz w:val="39"/>
          <w:szCs w:val="39"/>
          <w:color w:val="auto"/>
          <w:vertAlign w:val="subscript"/>
        </w:rPr>
      </w:pPr>
      <w:r>
        <w:rPr>
          <w:rFonts w:ascii="Arial" w:cs="Arial" w:eastAsia="Arial" w:hAnsi="Arial"/>
          <w:sz w:val="20"/>
          <w:szCs w:val="20"/>
          <w:color w:val="auto"/>
        </w:rPr>
        <w:t>shared power to dispose or to direct the disposition of</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spacing w:after="0"/>
        <w:rPr>
          <w:sz w:val="20"/>
          <w:szCs w:val="20"/>
          <w:color w:val="auto"/>
        </w:rPr>
      </w:pPr>
      <w:r>
        <w:rPr>
          <w:rFonts w:ascii="Arial" w:cs="Arial" w:eastAsia="Arial" w:hAnsi="Arial"/>
          <w:sz w:val="19"/>
          <w:szCs w:val="19"/>
          <w:color w:val="auto"/>
        </w:rPr>
        <w:t>4,671,000</w:t>
      </w:r>
    </w:p>
    <w:p>
      <w:pPr>
        <w:spacing w:after="0" w:line="160" w:lineRule="exact"/>
        <w:rPr>
          <w:sz w:val="20"/>
          <w:szCs w:val="20"/>
          <w:color w:val="auto"/>
        </w:rPr>
      </w:pPr>
    </w:p>
    <w:p>
      <w:pPr>
        <w:spacing w:after="0"/>
        <w:rPr>
          <w:sz w:val="20"/>
          <w:szCs w:val="20"/>
          <w:color w:val="auto"/>
        </w:rPr>
      </w:pPr>
      <w:r>
        <w:rPr>
          <w:rFonts w:ascii="Arial" w:cs="Arial" w:eastAsia="Arial" w:hAnsi="Arial"/>
          <w:sz w:val="22"/>
          <w:szCs w:val="22"/>
          <w:color w:val="auto"/>
        </w:rPr>
        <w:t>0</w:t>
      </w:r>
    </w:p>
    <w:p>
      <w:pPr>
        <w:spacing w:after="0" w:line="247" w:lineRule="exact"/>
        <w:rPr>
          <w:sz w:val="20"/>
          <w:szCs w:val="20"/>
          <w:color w:val="auto"/>
        </w:rPr>
      </w:pPr>
    </w:p>
    <w:p>
      <w:pPr>
        <w:spacing w:after="0"/>
        <w:rPr>
          <w:sz w:val="20"/>
          <w:szCs w:val="20"/>
          <w:color w:val="auto"/>
        </w:rPr>
      </w:pPr>
      <w:r>
        <w:rPr>
          <w:rFonts w:ascii="Arial" w:cs="Arial" w:eastAsia="Arial" w:hAnsi="Arial"/>
          <w:sz w:val="19"/>
          <w:szCs w:val="19"/>
          <w:color w:val="auto"/>
        </w:rPr>
        <w:t>4,671,000</w:t>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Arial" w:cs="Arial" w:eastAsia="Arial" w:hAnsi="Arial"/>
          <w:sz w:val="22"/>
          <w:szCs w:val="22"/>
          <w:color w:val="auto"/>
        </w:rPr>
        <w:t>0</w:t>
      </w:r>
    </w:p>
    <w:p>
      <w:pPr>
        <w:spacing w:after="0" w:line="246" w:lineRule="exact"/>
        <w:rPr>
          <w:sz w:val="20"/>
          <w:szCs w:val="20"/>
          <w:color w:val="auto"/>
        </w:rPr>
      </w:pPr>
    </w:p>
    <w:p>
      <w:pPr>
        <w:sectPr>
          <w:pgSz w:w="11900" w:h="16838" w:orient="portrait"/>
          <w:cols w:equalWidth="0" w:num="2">
            <w:col w:w="6600" w:space="260"/>
            <w:col w:w="4160"/>
          </w:cols>
          <w:pgMar w:left="400" w:top="423" w:right="479" w:bottom="0" w:gutter="0" w:footer="0" w:header="0"/>
          <w:type w:val="continuous"/>
        </w:sectPr>
      </w:pPr>
    </w:p>
    <w:p>
      <w:pPr>
        <w:ind w:right="80"/>
        <w:spacing w:after="0" w:line="282" w:lineRule="auto"/>
        <w:rPr>
          <w:sz w:val="20"/>
          <w:szCs w:val="20"/>
          <w:color w:val="auto"/>
        </w:rPr>
      </w:pPr>
      <w:r>
        <w:rPr>
          <w:rFonts w:ascii="Arial" w:cs="Arial" w:eastAsia="Arial" w:hAnsi="Arial"/>
          <w:sz w:val="19"/>
          <w:szCs w:val="19"/>
          <w:color w:val="auto"/>
        </w:rPr>
        <w:t>**Capital World Investors ("CWI") is a division of Capital Research and Management Company ("CRMC"), as well as its investment management subsidiaries and affiliates Capital Bank and Trust Company, Capital International, Inc., Capital International Limited, Capital International Sarl, Capital International K.K., Capital Group Private Client Services, Inc., and Capital Group Investment Management Private Limited (together with CRMC, the "investment management entities"). CWI's divisions of each of the investment management entities collectively provide investment management services under the name</w:t>
      </w:r>
    </w:p>
    <w:p>
      <w:pPr>
        <w:sectPr>
          <w:pgSz w:w="11900" w:h="16838" w:orient="portrait"/>
          <w:cols w:equalWidth="0" w:num="1">
            <w:col w:w="11020"/>
          </w:cols>
          <w:pgMar w:left="400" w:top="423" w:right="479" w:bottom="0" w:gutter="0" w:footer="0" w:header="0"/>
          <w:type w:val="continuous"/>
        </w:sectPr>
      </w:pPr>
    </w:p>
    <w:bookmarkStart w:id="3" w:name="page4"/>
    <w:bookmarkEnd w:id="3"/>
    <w:p>
      <w:pPr>
        <w:ind w:right="360"/>
        <w:spacing w:after="0" w:line="251" w:lineRule="auto"/>
        <w:rPr>
          <w:sz w:val="20"/>
          <w:szCs w:val="20"/>
          <w:color w:val="auto"/>
        </w:rPr>
      </w:pPr>
      <w:r>
        <w:rPr>
          <w:rFonts w:ascii="Arial" w:cs="Arial" w:eastAsia="Arial" w:hAnsi="Arial"/>
          <w:sz w:val="22"/>
          <w:szCs w:val="22"/>
          <w:color w:val="auto"/>
        </w:rPr>
        <w:t>"Capital World Investors." CWI is deemed to be the beneficial owner of 4,671,000 shares or 8.0% of the 58,596,598 shares believed to be outstanding.</w:t>
      </w:r>
    </w:p>
    <w:p>
      <w:pPr>
        <w:spacing w:after="0" w:line="86" w:lineRule="exact"/>
        <w:rPr>
          <w:sz w:val="20"/>
          <w:szCs w:val="20"/>
          <w:color w:val="auto"/>
        </w:rPr>
      </w:pPr>
    </w:p>
    <w:p>
      <w:pPr>
        <w:spacing w:after="0"/>
        <w:tabs>
          <w:tab w:leader="none" w:pos="900" w:val="left"/>
        </w:tabs>
        <w:rPr>
          <w:sz w:val="20"/>
          <w:szCs w:val="20"/>
          <w:color w:val="auto"/>
        </w:rPr>
      </w:pPr>
      <w:r>
        <w:rPr>
          <w:rFonts w:ascii="Arial" w:cs="Arial" w:eastAsia="Arial" w:hAnsi="Arial"/>
          <w:sz w:val="22"/>
          <w:szCs w:val="22"/>
          <w:b w:val="1"/>
          <w:bCs w:val="1"/>
          <w:color w:val="auto"/>
        </w:rPr>
        <w:t>Item 5.</w:t>
      </w:r>
      <w:r>
        <w:rPr>
          <w:sz w:val="20"/>
          <w:szCs w:val="20"/>
          <w:color w:val="auto"/>
        </w:rPr>
        <w:tab/>
      </w:r>
      <w:r>
        <w:rPr>
          <w:rFonts w:ascii="Arial" w:cs="Arial" w:eastAsia="Arial" w:hAnsi="Arial"/>
          <w:sz w:val="19"/>
          <w:szCs w:val="19"/>
          <w:b w:val="1"/>
          <w:bCs w:val="1"/>
          <w:color w:val="auto"/>
        </w:rPr>
        <w:t>Ownership of Five Percent or Less of Class.</w:t>
      </w:r>
    </w:p>
    <w:p>
      <w:pPr>
        <w:spacing w:after="0" w:line="131" w:lineRule="exact"/>
        <w:rPr>
          <w:sz w:val="20"/>
          <w:szCs w:val="20"/>
          <w:color w:val="auto"/>
        </w:rPr>
      </w:pPr>
    </w:p>
    <w:p>
      <w:pPr>
        <w:ind w:left="920" w:right="280"/>
        <w:spacing w:after="0" w:line="274" w:lineRule="auto"/>
        <w:rPr>
          <w:sz w:val="20"/>
          <w:szCs w:val="20"/>
          <w:color w:val="auto"/>
        </w:rPr>
      </w:pPr>
      <w:r>
        <w:rPr>
          <w:rFonts w:ascii="Arial" w:cs="Arial" w:eastAsia="Arial" w:hAnsi="Arial"/>
          <w:sz w:val="21"/>
          <w:szCs w:val="21"/>
          <w:color w:val="auto"/>
        </w:rPr>
        <w:t>If this statement is being filed to report the fact that as of the date hereof the reporting person has ceased to be the beneficial owner of more than five percent of the class of securities, check the following: [ ]</w:t>
      </w:r>
    </w:p>
    <w:p>
      <w:pPr>
        <w:spacing w:after="0" w:line="64" w:lineRule="exact"/>
        <w:rPr>
          <w:sz w:val="20"/>
          <w:szCs w:val="20"/>
          <w:color w:val="auto"/>
        </w:rPr>
      </w:pPr>
    </w:p>
    <w:p>
      <w:pPr>
        <w:spacing w:after="0"/>
        <w:tabs>
          <w:tab w:leader="none" w:pos="900" w:val="left"/>
        </w:tabs>
        <w:rPr>
          <w:sz w:val="20"/>
          <w:szCs w:val="20"/>
          <w:color w:val="auto"/>
        </w:rPr>
      </w:pPr>
      <w:r>
        <w:rPr>
          <w:rFonts w:ascii="Arial" w:cs="Arial" w:eastAsia="Arial" w:hAnsi="Arial"/>
          <w:sz w:val="22"/>
          <w:szCs w:val="22"/>
          <w:b w:val="1"/>
          <w:bCs w:val="1"/>
          <w:color w:val="auto"/>
        </w:rPr>
        <w:t>Item 6.</w:t>
      </w:r>
      <w:r>
        <w:rPr>
          <w:sz w:val="20"/>
          <w:szCs w:val="20"/>
          <w:color w:val="auto"/>
        </w:rPr>
        <w:tab/>
      </w:r>
      <w:r>
        <w:rPr>
          <w:rFonts w:ascii="Arial" w:cs="Arial" w:eastAsia="Arial" w:hAnsi="Arial"/>
          <w:sz w:val="19"/>
          <w:szCs w:val="19"/>
          <w:b w:val="1"/>
          <w:bCs w:val="1"/>
          <w:color w:val="auto"/>
        </w:rPr>
        <w:t>Ownership of More than Five Percent on Behalf of Another Person.</w:t>
      </w:r>
    </w:p>
    <w:p>
      <w:pPr>
        <w:spacing w:after="0" w:line="131" w:lineRule="exact"/>
        <w:rPr>
          <w:sz w:val="20"/>
          <w:szCs w:val="20"/>
          <w:color w:val="auto"/>
        </w:rPr>
      </w:pPr>
    </w:p>
    <w:p>
      <w:pPr>
        <w:ind w:left="920"/>
        <w:spacing w:after="0"/>
        <w:rPr>
          <w:sz w:val="20"/>
          <w:szCs w:val="20"/>
          <w:color w:val="auto"/>
        </w:rPr>
      </w:pPr>
      <w:r>
        <w:rPr>
          <w:rFonts w:ascii="Arial" w:cs="Arial" w:eastAsia="Arial" w:hAnsi="Arial"/>
          <w:sz w:val="22"/>
          <w:szCs w:val="22"/>
          <w:color w:val="auto"/>
        </w:rPr>
        <w:t>SMALLCAP World Fund, Inc.</w:t>
      </w:r>
    </w:p>
    <w:p>
      <w:pPr>
        <w:spacing w:after="0" w:line="119" w:lineRule="exact"/>
        <w:rPr>
          <w:sz w:val="20"/>
          <w:szCs w:val="20"/>
          <w:color w:val="auto"/>
        </w:rPr>
      </w:pPr>
    </w:p>
    <w:p>
      <w:pPr>
        <w:ind w:left="920" w:right="360" w:hanging="903"/>
        <w:spacing w:after="0" w:line="256" w:lineRule="auto"/>
        <w:tabs>
          <w:tab w:leader="none" w:pos="900" w:val="left"/>
        </w:tabs>
        <w:rPr>
          <w:sz w:val="20"/>
          <w:szCs w:val="20"/>
          <w:color w:val="auto"/>
        </w:rPr>
      </w:pPr>
      <w:r>
        <w:rPr>
          <w:rFonts w:ascii="Arial" w:cs="Arial" w:eastAsia="Arial" w:hAnsi="Arial"/>
          <w:sz w:val="22"/>
          <w:szCs w:val="22"/>
          <w:b w:val="1"/>
          <w:bCs w:val="1"/>
          <w:color w:val="auto"/>
        </w:rPr>
        <w:t>Item 7.</w:t>
        <w:tab/>
        <w:t>Identification and Classification of the Subsidiary Which Acquired the Security Being Reported on by the Parent Holding Company.</w:t>
      </w:r>
    </w:p>
    <w:p>
      <w:pPr>
        <w:spacing w:after="0" w:line="87" w:lineRule="exact"/>
        <w:rPr>
          <w:sz w:val="20"/>
          <w:szCs w:val="20"/>
          <w:color w:val="auto"/>
        </w:rPr>
      </w:pPr>
    </w:p>
    <w:p>
      <w:pPr>
        <w:ind w:left="920"/>
        <w:spacing w:after="0"/>
        <w:rPr>
          <w:sz w:val="20"/>
          <w:szCs w:val="20"/>
          <w:color w:val="auto"/>
        </w:rPr>
      </w:pPr>
      <w:r>
        <w:rPr>
          <w:rFonts w:ascii="Arial" w:cs="Arial" w:eastAsia="Arial" w:hAnsi="Arial"/>
          <w:sz w:val="22"/>
          <w:szCs w:val="22"/>
          <w:color w:val="auto"/>
        </w:rPr>
        <w:t>Not Applicable</w:t>
      </w:r>
    </w:p>
    <w:p>
      <w:pPr>
        <w:spacing w:after="0" w:line="119" w:lineRule="exact"/>
        <w:rPr>
          <w:sz w:val="20"/>
          <w:szCs w:val="20"/>
          <w:color w:val="auto"/>
        </w:rPr>
      </w:pPr>
    </w:p>
    <w:p>
      <w:pPr>
        <w:spacing w:after="0"/>
        <w:tabs>
          <w:tab w:leader="none" w:pos="900" w:val="left"/>
        </w:tabs>
        <w:rPr>
          <w:sz w:val="20"/>
          <w:szCs w:val="20"/>
          <w:color w:val="auto"/>
        </w:rPr>
      </w:pPr>
      <w:r>
        <w:rPr>
          <w:rFonts w:ascii="Arial" w:cs="Arial" w:eastAsia="Arial" w:hAnsi="Arial"/>
          <w:sz w:val="22"/>
          <w:szCs w:val="22"/>
          <w:b w:val="1"/>
          <w:bCs w:val="1"/>
          <w:color w:val="auto"/>
        </w:rPr>
        <w:t>Item 8.</w:t>
      </w:r>
      <w:r>
        <w:rPr>
          <w:sz w:val="20"/>
          <w:szCs w:val="20"/>
          <w:color w:val="auto"/>
        </w:rPr>
        <w:tab/>
      </w:r>
      <w:r>
        <w:rPr>
          <w:rFonts w:ascii="Arial" w:cs="Arial" w:eastAsia="Arial" w:hAnsi="Arial"/>
          <w:sz w:val="19"/>
          <w:szCs w:val="19"/>
          <w:b w:val="1"/>
          <w:bCs w:val="1"/>
          <w:color w:val="auto"/>
        </w:rPr>
        <w:t>Identification and Classification of Members of the Group.</w:t>
      </w:r>
    </w:p>
    <w:p>
      <w:pPr>
        <w:spacing w:after="0" w:line="239" w:lineRule="exact"/>
        <w:rPr>
          <w:sz w:val="20"/>
          <w:szCs w:val="20"/>
          <w:color w:val="auto"/>
        </w:rPr>
      </w:pPr>
    </w:p>
    <w:p>
      <w:pPr>
        <w:ind w:left="920"/>
        <w:spacing w:after="0"/>
        <w:rPr>
          <w:sz w:val="20"/>
          <w:szCs w:val="20"/>
          <w:color w:val="auto"/>
        </w:rPr>
      </w:pPr>
      <w:r>
        <w:rPr>
          <w:rFonts w:ascii="Arial" w:cs="Arial" w:eastAsia="Arial" w:hAnsi="Arial"/>
          <w:sz w:val="22"/>
          <w:szCs w:val="22"/>
          <w:color w:val="auto"/>
        </w:rPr>
        <w:t>Not Applicable. This schedule is not being filed pursuant to Rule 13d-1(b)(1)(ii)(J) or Rule 13d-1(d).</w:t>
      </w:r>
    </w:p>
    <w:p>
      <w:pPr>
        <w:spacing w:after="0" w:line="119" w:lineRule="exact"/>
        <w:rPr>
          <w:sz w:val="20"/>
          <w:szCs w:val="20"/>
          <w:color w:val="auto"/>
        </w:rPr>
      </w:pPr>
    </w:p>
    <w:p>
      <w:pPr>
        <w:spacing w:after="0"/>
        <w:tabs>
          <w:tab w:leader="none" w:pos="900" w:val="left"/>
        </w:tabs>
        <w:rPr>
          <w:sz w:val="20"/>
          <w:szCs w:val="20"/>
          <w:color w:val="auto"/>
        </w:rPr>
      </w:pPr>
      <w:r>
        <w:rPr>
          <w:rFonts w:ascii="Arial" w:cs="Arial" w:eastAsia="Arial" w:hAnsi="Arial"/>
          <w:sz w:val="22"/>
          <w:szCs w:val="22"/>
          <w:b w:val="1"/>
          <w:bCs w:val="1"/>
          <w:color w:val="auto"/>
        </w:rPr>
        <w:t>Item 9.</w:t>
      </w:r>
      <w:r>
        <w:rPr>
          <w:sz w:val="20"/>
          <w:szCs w:val="20"/>
          <w:color w:val="auto"/>
        </w:rPr>
        <w:tab/>
      </w:r>
      <w:r>
        <w:rPr>
          <w:rFonts w:ascii="Arial" w:cs="Arial" w:eastAsia="Arial" w:hAnsi="Arial"/>
          <w:sz w:val="19"/>
          <w:szCs w:val="19"/>
          <w:b w:val="1"/>
          <w:bCs w:val="1"/>
          <w:color w:val="auto"/>
        </w:rPr>
        <w:t>Notice of Dissolution of Group.</w:t>
      </w:r>
    </w:p>
    <w:p>
      <w:pPr>
        <w:spacing w:after="0" w:line="239" w:lineRule="exact"/>
        <w:rPr>
          <w:sz w:val="20"/>
          <w:szCs w:val="20"/>
          <w:color w:val="auto"/>
        </w:rPr>
      </w:pPr>
    </w:p>
    <w:p>
      <w:pPr>
        <w:ind w:left="920"/>
        <w:spacing w:after="0"/>
        <w:rPr>
          <w:sz w:val="20"/>
          <w:szCs w:val="20"/>
          <w:color w:val="auto"/>
        </w:rPr>
      </w:pPr>
      <w:r>
        <w:rPr>
          <w:rFonts w:ascii="Arial" w:cs="Arial" w:eastAsia="Arial" w:hAnsi="Arial"/>
          <w:sz w:val="22"/>
          <w:szCs w:val="22"/>
          <w:color w:val="auto"/>
        </w:rPr>
        <w:t>Not Applicable</w:t>
      </w:r>
    </w:p>
    <w:p>
      <w:pPr>
        <w:spacing w:after="0" w:line="11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10.  Certification.</w:t>
      </w:r>
    </w:p>
    <w:p>
      <w:pPr>
        <w:spacing w:after="0" w:line="239" w:lineRule="exact"/>
        <w:rPr>
          <w:sz w:val="20"/>
          <w:szCs w:val="20"/>
          <w:color w:val="auto"/>
        </w:rPr>
      </w:pPr>
    </w:p>
    <w:p>
      <w:pPr>
        <w:ind w:left="920"/>
        <w:spacing w:after="0" w:line="287" w:lineRule="auto"/>
        <w:rPr>
          <w:sz w:val="20"/>
          <w:szCs w:val="20"/>
          <w:color w:val="auto"/>
        </w:rPr>
      </w:pPr>
      <w:r>
        <w:rPr>
          <w:rFonts w:ascii="Arial" w:cs="Arial" w:eastAsia="Arial" w:hAnsi="Arial"/>
          <w:sz w:val="19"/>
          <w:szCs w:val="19"/>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ectPr>
          <w:pgSz w:w="11900" w:h="16838" w:orient="portrait"/>
          <w:cols w:equalWidth="0" w:num="1">
            <w:col w:w="11000"/>
          </w:cols>
          <w:pgMar w:left="400" w:top="118" w:right="499" w:bottom="1440" w:gutter="0" w:footer="0" w:header="0"/>
        </w:sectPr>
      </w:pPr>
    </w:p>
    <w:bookmarkStart w:id="4" w:name="page5"/>
    <w:bookmarkEnd w:id="4"/>
    <w:p>
      <w:pPr>
        <w:ind w:left="3880"/>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49465" cy="8890"/>
                    </a:xfrm>
                    <a:prstGeom prst="rect">
                      <a:avLst/>
                    </a:prstGeom>
                    <a:noFill/>
                  </pic:spPr>
                </pic:pic>
              </a:graphicData>
            </a:graphic>
          </wp:anchor>
        </w:drawing>
        <w:t>SIGNATURE</w:t>
      </w:r>
    </w:p>
    <w:p>
      <w:pPr>
        <w:spacing w:after="0" w:line="334" w:lineRule="exact"/>
        <w:rPr>
          <w:sz w:val="20"/>
          <w:szCs w:val="20"/>
          <w:color w:val="auto"/>
        </w:rPr>
      </w:pPr>
    </w:p>
    <w:p>
      <w:pPr>
        <w:ind w:left="60" w:right="1020"/>
        <w:spacing w:after="0" w:line="250" w:lineRule="auto"/>
        <w:rPr>
          <w:sz w:val="20"/>
          <w:szCs w:val="20"/>
          <w:color w:val="auto"/>
        </w:rPr>
      </w:pPr>
      <w:r>
        <w:rPr>
          <w:rFonts w:ascii="Arial" w:cs="Arial" w:eastAsia="Arial" w:hAnsi="Arial"/>
          <w:sz w:val="22"/>
          <w:szCs w:val="22"/>
          <w:color w:val="auto"/>
        </w:rPr>
        <w:t>After reasonable inquiry and to the best of my knowledge and belief, I certify that the information set forth in this statement is true, complete and correct.</w:t>
      </w:r>
    </w:p>
    <w:p>
      <w:pPr>
        <w:spacing w:after="0" w:line="256" w:lineRule="exact"/>
        <w:rPr>
          <w:sz w:val="20"/>
          <w:szCs w:val="20"/>
          <w:color w:val="auto"/>
        </w:rPr>
      </w:pPr>
    </w:p>
    <w:p>
      <w:pPr>
        <w:ind w:left="600"/>
        <w:spacing w:after="0"/>
        <w:rPr>
          <w:sz w:val="20"/>
          <w:szCs w:val="20"/>
          <w:color w:val="auto"/>
        </w:rPr>
      </w:pPr>
      <w:r>
        <w:rPr>
          <w:rFonts w:ascii="Arial" w:cs="Arial" w:eastAsia="Arial" w:hAnsi="Arial"/>
          <w:sz w:val="22"/>
          <w:szCs w:val="22"/>
          <w:color w:val="auto"/>
        </w:rPr>
        <w:t>Capital World Investors</w:t>
      </w:r>
    </w:p>
    <w:p>
      <w:pPr>
        <w:spacing w:after="0" w:line="44" w:lineRule="exact"/>
        <w:rPr>
          <w:sz w:val="20"/>
          <w:szCs w:val="20"/>
          <w:color w:val="auto"/>
        </w:rPr>
      </w:pPr>
    </w:p>
    <w:p>
      <w:pPr>
        <w:ind w:left="600"/>
        <w:spacing w:after="0"/>
        <w:rPr>
          <w:sz w:val="20"/>
          <w:szCs w:val="20"/>
          <w:color w:val="auto"/>
        </w:rPr>
      </w:pPr>
      <w:r>
        <w:rPr>
          <w:rFonts w:ascii="Arial" w:cs="Arial" w:eastAsia="Arial" w:hAnsi="Arial"/>
          <w:sz w:val="22"/>
          <w:szCs w:val="22"/>
          <w:color w:val="auto"/>
        </w:rPr>
        <w:t xml:space="preserve">By: </w:t>
      </w:r>
      <w:r>
        <w:rPr>
          <w:rFonts w:ascii="Arial" w:cs="Arial" w:eastAsia="Arial" w:hAnsi="Arial"/>
          <w:sz w:val="22"/>
          <w:szCs w:val="22"/>
          <w:u w:val="single" w:color="auto"/>
          <w:color w:val="auto"/>
        </w:rPr>
        <w:t>/s/ Erik A. Vayntrub</w:t>
      </w:r>
    </w:p>
    <w:p>
      <w:pPr>
        <w:spacing w:after="0" w:line="44" w:lineRule="exact"/>
        <w:rPr>
          <w:sz w:val="20"/>
          <w:szCs w:val="20"/>
          <w:color w:val="auto"/>
        </w:rPr>
      </w:pPr>
    </w:p>
    <w:p>
      <w:pPr>
        <w:ind w:left="600"/>
        <w:spacing w:after="0"/>
        <w:rPr>
          <w:sz w:val="20"/>
          <w:szCs w:val="20"/>
          <w:color w:val="auto"/>
        </w:rPr>
      </w:pPr>
      <w:r>
        <w:rPr>
          <w:rFonts w:ascii="Arial" w:cs="Arial" w:eastAsia="Arial" w:hAnsi="Arial"/>
          <w:sz w:val="22"/>
          <w:szCs w:val="22"/>
          <w:color w:val="auto"/>
        </w:rPr>
        <w:t>Date: February 14, 2023</w:t>
      </w:r>
    </w:p>
    <w:p>
      <w:pPr>
        <w:spacing w:after="0" w:line="44" w:lineRule="exact"/>
        <w:rPr>
          <w:sz w:val="20"/>
          <w:szCs w:val="20"/>
          <w:color w:val="auto"/>
        </w:rPr>
      </w:pPr>
    </w:p>
    <w:p>
      <w:pPr>
        <w:ind w:left="600"/>
        <w:spacing w:after="0"/>
        <w:rPr>
          <w:sz w:val="20"/>
          <w:szCs w:val="20"/>
          <w:color w:val="auto"/>
        </w:rPr>
      </w:pPr>
      <w:r>
        <w:rPr>
          <w:rFonts w:ascii="Arial" w:cs="Arial" w:eastAsia="Arial" w:hAnsi="Arial"/>
          <w:sz w:val="22"/>
          <w:szCs w:val="22"/>
          <w:color w:val="auto"/>
        </w:rPr>
        <w:t>Name: Erik A. Vayntrub</w:t>
      </w:r>
    </w:p>
    <w:p>
      <w:pPr>
        <w:spacing w:after="0" w:line="44" w:lineRule="exact"/>
        <w:rPr>
          <w:sz w:val="20"/>
          <w:szCs w:val="20"/>
          <w:color w:val="auto"/>
        </w:rPr>
      </w:pPr>
    </w:p>
    <w:p>
      <w:pPr>
        <w:ind w:left="600"/>
        <w:spacing w:after="0" w:line="250" w:lineRule="auto"/>
        <w:rPr>
          <w:sz w:val="20"/>
          <w:szCs w:val="20"/>
          <w:color w:val="auto"/>
        </w:rPr>
      </w:pPr>
      <w:r>
        <w:rPr>
          <w:rFonts w:ascii="Arial" w:cs="Arial" w:eastAsia="Arial" w:hAnsi="Arial"/>
          <w:sz w:val="22"/>
          <w:szCs w:val="22"/>
          <w:color w:val="auto"/>
        </w:rPr>
        <w:t>Title: Senior Vice President and Senior Counsel, Fund Business Management Group, Capital Research and Management Company</w:t>
      </w:r>
    </w:p>
    <w:sectPr>
      <w:pgSz w:w="11900" w:h="16838" w:orient="portrait"/>
      <w:cols w:equalWidth="0" w:num="1">
        <w:col w:w="9840"/>
      </w:cols>
      <w:pgMar w:left="1440" w:top="409" w:right="6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
      <w:numFmt w:val="bullet"/>
      <w:start w:val="1"/>
    </w:lvl>
    <w:lvl w:ilvl="1">
      <w:lvlJc w:val="left"/>
      <w:lvlText w:val="[%2]"/>
      <w:numFmt w:val="upperLetter"/>
      <w:start w:val="24"/>
    </w:lvl>
  </w:abstractNum>
  <w:abstractNum w:abstractNumId="1">
    <w:nsid w:val="2AE8944A"/>
    <w:multiLevelType w:val="hybridMultilevel"/>
    <w:lvl w:ilvl="0">
      <w:lvlJc w:val="left"/>
      <w:lvlText w:val="(%1)"/>
      <w:numFmt w:val="lowerLetter"/>
      <w:start w:val="1"/>
    </w:lvl>
  </w:abstractNum>
  <w:abstractNum w:abstractNumId="2">
    <w:nsid w:val="625558EC"/>
    <w:multiLevelType w:val="hybridMultilevel"/>
    <w:lvl w:ilvl="0">
      <w:lvlJc w:val="left"/>
      <w:lvlText w:val="(%1)"/>
      <w:numFmt w:val="lowerLetter"/>
      <w:start w:val="1"/>
    </w:lvl>
  </w:abstractNum>
  <w:abstractNum w:abstractNumId="3">
    <w:nsid w:val="238E1F29"/>
    <w:multiLevelType w:val="hybridMultilevel"/>
    <w:lvl w:ilvl="0">
      <w:lvlJc w:val="left"/>
      <w:lvlText w:val="(%1)"/>
      <w:numFmt w:val="decimal"/>
      <w:start w:val="14"/>
    </w:lvl>
  </w:abstractNum>
  <w:abstractNum w:abstractNumId="4">
    <w:nsid w:val="46E87CCD"/>
    <w:multiLevelType w:val="hybridMultilevel"/>
    <w:lvl w:ilvl="0">
      <w:lvlJc w:val="left"/>
      <w:lvlText w:val="(%1)"/>
      <w:numFmt w:val="lowerLetter"/>
      <w:start w:val="1"/>
    </w:lvl>
    <w:lvl w:ilvl="1">
      <w:lvlJc w:val="left"/>
      <w:lvlText w:val="(%2)"/>
      <w:numFmt w:val="lowerRoman"/>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2023-02-13T13:58:03Z</dcterms:created>
  <dcterms:modified xsi:type="dcterms:W3CDTF">2023-02-13T13:58:03Z</dcterms:modified>
</cp:coreProperties>
</file>