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26445-20260811.htm"/>
      <w:bookmarkStart w:id="1" w:name="ksck000172644520260811"/>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August 11,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110" w:type="dxa"/>
        <w:jc w:val="left"/>
        <w:tblInd w:w="0" w:type="dxa"/>
        <w:tblLayout w:type="fixed"/>
        <w:tblCellMar>
          <w:top w:w="28" w:type="dxa"/>
          <w:left w:w="28" w:type="dxa"/>
          <w:bottom w:w="28" w:type="dxa"/>
          <w:right w:w="28" w:type="dxa"/>
        </w:tblCellMar>
      </w:tblPr>
      <w:tblGrid>
        <w:gridCol w:w="2266"/>
        <w:gridCol w:w="146"/>
        <w:gridCol w:w="1066"/>
        <w:gridCol w:w="14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82-1153150</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(I.R.S. Employer</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spacing w:before="80" w:after="283"/>
        <w:jc w:val="center"/>
        <w:rPr>
          <w:rFonts w:ascii="Times New Roman" w:hAnsi="Times New Roman"/>
          <w:sz w:val="20"/>
        </w:rPr>
      </w:pPr>
      <w:r>
        <w:rPr>
          <w:rFonts w:ascii="Times New Roman" w:hAnsi="Times New Roman"/>
          <w:b/>
          <w:color w:val="000000"/>
          <w:sz w:val="20"/>
        </w:rPr>
        <w:t>Redwood City, California</w:t>
      </w:r>
      <w:r>
        <w:rPr>
          <w:rFonts w:ascii="Times New Roman" w:hAnsi="Times New Roman"/>
          <w:color w:val="000000"/>
          <w:sz w:val="20"/>
        </w:rPr>
        <w:t xml:space="preserve"> </w:t>
      </w:r>
      <w:r>
        <w:rPr>
          <w:rFonts w:ascii="Times New Roman" w:hAnsi="Times New Roman"/>
          <w:b/>
          <w:color w:val="000000"/>
          <w:sz w:val="20"/>
        </w:rPr>
        <w:t>94065</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 xml:space="preserve">650-453-0000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center"/>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Exchange Act:</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8733" w:type="dxa"/>
        <w:jc w:val="left"/>
        <w:tblInd w:w="0" w:type="dxa"/>
        <w:tblLayout w:type="fixed"/>
        <w:tblCellMar>
          <w:top w:w="28" w:type="dxa"/>
          <w:left w:w="28" w:type="dxa"/>
          <w:bottom w:w="28" w:type="dxa"/>
          <w:right w:w="28" w:type="dxa"/>
        </w:tblCellMar>
      </w:tblPr>
      <w:tblGrid>
        <w:gridCol w:w="3886"/>
        <w:gridCol w:w="1366"/>
        <w:gridCol w:w="3481"/>
      </w:tblGrid>
      <w:tr>
        <w:trPr/>
        <w:tc>
          <w:tcPr>
            <w:tcW w:w="38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Class A Common Stock, par value $0.00001 per share</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SEER</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3" w:after="30"/>
              <w:jc w:val="center"/>
              <w:rPr>
                <w:rFonts w:ascii="Times New Roman" w:hAnsi="Times New Roman"/>
                <w:color w:val="000000"/>
                <w:sz w:val="18"/>
              </w:rPr>
            </w:pPr>
            <w:r>
              <w:rPr>
                <w:rFonts w:ascii="Times New Roman" w:hAnsi="Times New Roman"/>
                <w:color w:val="000000"/>
                <w:sz w:val="18"/>
              </w:rPr>
              <w:t>(The NASDAQ Global Select Market)</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Preferred Stock Purchase Rights</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N/A</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sz w:val="20"/>
        </w:rPr>
      </w:pPr>
      <w:r>
        <w:rPr>
          <w:rFonts w:ascii="Times New Roman" w:hAnsi="Times New Roman"/>
          <w:color w:val="000000"/>
          <w:sz w:val="14"/>
        </w:rPr>
        <w:t xml:space="preserve">Emerging growth company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951" w:type="dxa"/>
        <w:jc w:val="left"/>
        <w:tblInd w:w="0" w:type="dxa"/>
        <w:tblLayout w:type="fixed"/>
        <w:tblCellMar>
          <w:top w:w="28" w:type="dxa"/>
          <w:left w:w="28" w:type="dxa"/>
          <w:bottom w:w="28" w:type="dxa"/>
          <w:right w:w="28" w:type="dxa"/>
        </w:tblCellMar>
      </w:tblPr>
      <w:tblGrid>
        <w:gridCol w:w="4951"/>
      </w:tblGrid>
      <w:tr>
        <w:trPr/>
        <w:tc>
          <w:tcPr>
            <w:tcW w:w="4951"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11, 2026, Seer, Inc. issued a press release (the “Press Release”) announcing results for the quarter ended June 30, 2026. A copy of the Press Release is attached as Exhibit 99.1 to this current report on Form 8-K and is incorporated by reference herein.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b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 Financial Statements and Exhibits.</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 Exhibits</w:t>
            </w:r>
          </w:p>
        </w:tc>
      </w:tr>
    </w:tbl>
    <w:p>
      <w:pPr>
        <w:pStyle w:val="TextBody"/>
        <w:bidi w:val="0"/>
        <w:jc w:val="left"/>
        <w:rPr/>
      </w:pPr>
      <w:r>
        <w:rPr/>
        <w:t> </w:t>
      </w:r>
    </w:p>
    <w:tbl>
      <w:tblPr>
        <w:tblW w:w="7618" w:type="dxa"/>
        <w:jc w:val="left"/>
        <w:tblInd w:w="0" w:type="dxa"/>
        <w:tblLayout w:type="fixed"/>
        <w:tblCellMar>
          <w:top w:w="28" w:type="dxa"/>
          <w:left w:w="28" w:type="dxa"/>
          <w:bottom w:w="28" w:type="dxa"/>
          <w:right w:w="28" w:type="dxa"/>
        </w:tblCellMar>
      </w:tblPr>
      <w:tblGrid>
        <w:gridCol w:w="1081"/>
        <w:gridCol w:w="146"/>
        <w:gridCol w:w="63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ck0001726445-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August 11, 2026.</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ection4"/>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800" w:type="dxa"/>
        <w:jc w:val="left"/>
        <w:tblInd w:w="0" w:type="dxa"/>
        <w:tblLayout w:type="fixed"/>
        <w:tblCellMar>
          <w:top w:w="28" w:type="dxa"/>
          <w:left w:w="28" w:type="dxa"/>
          <w:bottom w:w="28" w:type="dxa"/>
          <w:right w:w="28" w:type="dxa"/>
        </w:tblCellMar>
      </w:tblPr>
      <w:tblGrid>
        <w:gridCol w:w="1951"/>
        <w:gridCol w:w="146"/>
        <w:gridCol w:w="406"/>
        <w:gridCol w:w="146"/>
        <w:gridCol w:w="315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Horn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3" w:name="ck0001726445-ex99_1.htm"/>
      <w:bookmarkStart w:id="4" w:name="ksck0001726445ex99_1"/>
      <w:bookmarkEnd w:id="3"/>
      <w:bookmarkEnd w:id="4"/>
      <w:r>
        <w:rPr>
          <w:rFonts w:ascii="Times New Roman" w:hAnsi="Times New Roman"/>
          <w:b/>
          <w:color w:val="000000"/>
          <w:sz w:val="24"/>
        </w:rPr>
        <w:t>Seer Reports Second Quarter 2026 Financial Results</w:t>
      </w:r>
      <w:r>
        <w:rPr>
          <w:rFonts w:ascii="Times New Roman" w:hAnsi="Times New Roman"/>
          <w:color w:val="000000"/>
          <w:sz w:val="20"/>
        </w:rPr>
        <w:t xml:space="preserve">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and Reaffirms Full Year 2026 Outlook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REDWOOD CITY, Calif. – August 11, 2026</w:t>
      </w:r>
      <w:r>
        <w:rPr>
          <w:rFonts w:ascii="Times New Roman" w:hAnsi="Times New Roman"/>
          <w:color w:val="000000"/>
          <w:sz w:val="20"/>
        </w:rPr>
        <w:t xml:space="preserve"> – Seer, Inc. (Nasdaq: SEER) (“Seer” or the “Company”), the pioneer and trusted partner for deep, unbiased proteomic insights, today announced financial results for the quarter ended June 30,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Recent Highlights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Achieved revenue of $3.1 million in the second quarter of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Our collaborators from Korea University presented preliminary data at the 74</w:t>
      </w:r>
      <w:r>
        <w:rPr>
          <w:rFonts w:ascii="Times New Roman" w:hAnsi="Times New Roman"/>
          <w:color w:val="000000"/>
          <w:sz w:val="13"/>
        </w:rPr>
        <w:t>th</w:t>
      </w:r>
      <w:r>
        <w:rPr>
          <w:color w:val="000000"/>
        </w:rPr>
        <w:t xml:space="preserve"> </w:t>
      </w:r>
      <w:r>
        <w:rPr>
          <w:rFonts w:ascii="Times New Roman" w:hAnsi="Times New Roman"/>
          <w:color w:val="000000"/>
          <w:sz w:val="20"/>
        </w:rPr>
        <w:t>American Society for Mass Spectrometry Conference (ASMS), demonstrating potential of AI-driven plasma proteomics for multi-cancer screening</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Proteograph leveraged in an independent study published in </w:t>
      </w:r>
      <w:r>
        <w:rPr>
          <w:rFonts w:ascii="Times New Roman" w:hAnsi="Times New Roman"/>
          <w:i/>
          <w:color w:val="000000"/>
          <w:sz w:val="20"/>
        </w:rPr>
        <w:t>Nature Genetics</w:t>
      </w:r>
      <w:r>
        <w:rPr>
          <w:rFonts w:ascii="Times New Roman" w:hAnsi="Times New Roman"/>
          <w:color w:val="000000"/>
          <w:sz w:val="20"/>
        </w:rPr>
        <w:t>, “Nanoparticle-enriched mass spectrometry proteomics in British South Asians identifies links between genetic variants, plasma protein levels and disease risk”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Initiated enforcement of our intellectual property rights against Nanomics Biotechnology Co., Ltd., with the U.S. International Trade Commission opening an investigation into Nanomics' importation of products believed to infringe Seer’s patents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Strong patent position exemplified by the European Patent Office concluding that Brigham and Women’s Hospital’s patent, exclusively licensed by Seer, will be maintained on the basis of claims covering particle-based enrichment for proteomics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Repurchased approximately 200,000 Class A common shares under our share repurchase program authorization as of June 30, 2026</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Ended the quarter with approximately $209.5 million of cash, cash equivalents, and investments</w:t>
        <w:br/>
      </w:r>
      <w:r>
        <w:rPr>
          <w:color w:val="000000"/>
        </w:rPr>
        <w:t> </w:t>
      </w:r>
    </w:p>
    <w:p>
      <w:pPr>
        <w:pStyle w:val="TextBody"/>
        <w:bidi w:val="0"/>
        <w:jc w:val="left"/>
        <w:rPr>
          <w:rFonts w:ascii="Times New Roman" w:hAnsi="Times New Roman"/>
          <w:color w:val="000000"/>
          <w:sz w:val="20"/>
        </w:rPr>
      </w:pPr>
      <w:r>
        <w:rPr>
          <w:rFonts w:ascii="Times New Roman" w:hAnsi="Times New Roman"/>
          <w:color w:val="000000"/>
          <w:sz w:val="20"/>
        </w:rPr>
        <w:t>"I’m proud that our technology is enabling the scientific community to do impactful work previously not possible. An important highlight this quarter was the presentation at the ASMS from our customers on how AI-driven proteomics can impact early detection of cancer,” said Omid Farokhzad, Chair and Chief Executive Officer. “During the quarter, we strengthened our commercial team, positioning Seer to better convert scientific leadership into revenue, and we took action to protect our core intellectual property on two continents."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jc w:val="left"/>
        <w:rPr>
          <w:rFonts w:ascii="Times New Roman" w:hAnsi="Times New Roman"/>
          <w:color w:val="000000"/>
          <w:sz w:val="20"/>
        </w:rPr>
      </w:pPr>
      <w:r>
        <w:rPr>
          <w:rFonts w:ascii="Times New Roman" w:hAnsi="Times New Roman"/>
          <w:color w:val="000000"/>
          <w:sz w:val="20"/>
        </w:rPr>
        <w:t>Revenue was $3.1 million for the second quarter of 2026, a 23% decrease, compared to $4.1 million for the corresponding prior year period, primarily due to lower product and service revenue as a result of continuing macroeconomic headwinds in academic and government funding and continued elongation of sales cycles in some commercial accounts related to extended customer evaluations. Product revenue for the second quarter of 2026 was $2.3 million, consisting of sales of Proteograph instruments and consumable kits. Service revenue was $0.7 million for the second quarter of 2026. Other revenue was $0.1 million for the second quarter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was $1.5 million and gross margin was 49% for the second quarter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expenses were $18.3 million for the second quarter of 2026, including $1.5 million in stock-based compensation, a 19% decrease, compared to $22.6 million for the corresponding prior year period, including $3.7 million in stock-based compensation. The decrease in operating expenses was primarily driven by a decrease in employee compensation expenses, including stock-based compensation.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Net loss was $16.9 million for the second quarter of 2026, compared to $19.4 million for the corresponding prior year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Free cash flow, defined as net cash used in operating activities of approximately $25.0 million, less net purchases of property and equipment of approximately $265 thousand, for the six months ended June 30, 2026 was approximately negative $25.3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cash equivalents and investments were approximately $209.5 million as of June 30,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2026 Guidance</w:t>
      </w:r>
    </w:p>
    <w:p>
      <w:pPr>
        <w:pStyle w:val="TextBody"/>
        <w:bidi w:val="0"/>
        <w:jc w:val="left"/>
        <w:rPr>
          <w:rFonts w:ascii="Times New Roman" w:hAnsi="Times New Roman"/>
          <w:color w:val="000000"/>
          <w:sz w:val="20"/>
        </w:rPr>
      </w:pPr>
      <w:r>
        <w:rPr>
          <w:rFonts w:ascii="Times New Roman" w:hAnsi="Times New Roman"/>
          <w:color w:val="000000"/>
          <w:sz w:val="20"/>
        </w:rPr>
        <w:t>Seer continues to expect full year 2026 revenue to be in the range of $16 million to $18 million, representing growth of 3% at the midpoint over full year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Webcast Information</w:t>
      </w:r>
    </w:p>
    <w:p>
      <w:pPr>
        <w:pStyle w:val="TextBody"/>
        <w:bidi w:val="0"/>
        <w:jc w:val="left"/>
        <w:rPr>
          <w:rFonts w:ascii="Times New Roman" w:hAnsi="Times New Roman"/>
          <w:color w:val="000000"/>
          <w:sz w:val="20"/>
        </w:rPr>
      </w:pPr>
      <w:r>
        <w:rPr>
          <w:rFonts w:ascii="Times New Roman" w:hAnsi="Times New Roman"/>
          <w:color w:val="000000"/>
          <w:sz w:val="20"/>
        </w:rPr>
        <w:t>Seer will host a conference call to discuss the second quarter 2026 financial results on Tuesday, August 11, 2026, at 1:30 pm Pacific Time / 4:30 pm Eastern Time. A webcast of the conference call can be accessed at https://investor.seer.bio. The webcast will be archived and available for replay for at least 90 days after the event.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Seer, Inc.</w:t>
      </w:r>
    </w:p>
    <w:p>
      <w:pPr>
        <w:pStyle w:val="TextBody"/>
        <w:bidi w:val="0"/>
        <w:jc w:val="left"/>
        <w:rPr>
          <w:rFonts w:ascii="Times New Roman" w:hAnsi="Times New Roman"/>
          <w:color w:val="000000"/>
          <w:sz w:val="20"/>
        </w:rPr>
      </w:pPr>
      <w:r>
        <w:rPr>
          <w:rFonts w:ascii="Times New Roman" w:hAnsi="Times New Roman"/>
          <w:color w:val="000000"/>
          <w:sz w:val="20"/>
        </w:rPr>
        <w:t>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www.seer.bio.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For more information, please email us at </w:t>
      </w:r>
      <w:r>
        <w:rPr>
          <w:rFonts w:ascii="Times New Roman" w:hAnsi="Times New Roman"/>
          <w:color w:val="467886"/>
          <w:sz w:val="20"/>
        </w:rPr>
        <w:t>pr@seer.bio</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left"/>
        <w:rPr>
          <w:rFonts w:ascii="Times New Roman" w:hAnsi="Times New Roman"/>
          <w:color w:val="000000"/>
          <w:sz w:val="20"/>
        </w:rPr>
      </w:pPr>
      <w:r>
        <w:rPr>
          <w:rFonts w:ascii="Times New Roman" w:hAnsi="Times New Roman"/>
          <w:color w:val="000000"/>
          <w:sz w:val="20"/>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and expectations regarding the adoption of Seer’s products, revenue growth, and the enforcement of its intellectual property rights.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Media Contact:</w:t>
      </w:r>
    </w:p>
    <w:p>
      <w:pPr>
        <w:pStyle w:val="TextBody"/>
        <w:bidi w:val="0"/>
        <w:jc w:val="left"/>
        <w:rPr>
          <w:rFonts w:ascii="Times New Roman" w:hAnsi="Times New Roman"/>
          <w:color w:val="000000"/>
          <w:sz w:val="20"/>
        </w:rPr>
      </w:pPr>
      <w:r>
        <w:rPr>
          <w:rFonts w:ascii="Times New Roman" w:hAnsi="Times New Roman"/>
          <w:color w:val="000000"/>
          <w:sz w:val="20"/>
        </w:rPr>
        <w:t>Patrick Schmidt</w:t>
      </w:r>
    </w:p>
    <w:p>
      <w:pPr>
        <w:pStyle w:val="TextBody"/>
        <w:bidi w:val="0"/>
        <w:jc w:val="left"/>
        <w:rPr>
          <w:rFonts w:ascii="Times New Roman" w:hAnsi="Times New Roman"/>
          <w:color w:val="000000"/>
          <w:sz w:val="20"/>
        </w:rPr>
      </w:pPr>
      <w:r>
        <w:rPr>
          <w:rFonts w:ascii="Times New Roman" w:hAnsi="Times New Roman"/>
          <w:color w:val="000000"/>
          <w:sz w:val="20"/>
        </w:rPr>
        <w:t>pr@seer.bio</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Contact:</w:t>
      </w:r>
    </w:p>
    <w:p>
      <w:pPr>
        <w:pStyle w:val="TextBody"/>
        <w:bidi w:val="0"/>
        <w:jc w:val="left"/>
        <w:rPr>
          <w:rFonts w:ascii="Times New Roman" w:hAnsi="Times New Roman"/>
          <w:color w:val="000000"/>
          <w:sz w:val="20"/>
        </w:rPr>
      </w:pPr>
      <w:r>
        <w:rPr>
          <w:rFonts w:ascii="Times New Roman" w:hAnsi="Times New Roman"/>
          <w:color w:val="000000"/>
          <w:sz w:val="20"/>
        </w:rPr>
        <w:t>Marissa Bych</w:t>
      </w:r>
    </w:p>
    <w:p>
      <w:pPr>
        <w:pStyle w:val="TextBody"/>
        <w:bidi w:val="0"/>
        <w:jc w:val="left"/>
        <w:rPr>
          <w:rFonts w:ascii="Times New Roman" w:hAnsi="Times New Roman"/>
          <w:color w:val="467886"/>
          <w:sz w:val="20"/>
        </w:rPr>
      </w:pPr>
      <w:r>
        <w:rPr>
          <w:rFonts w:ascii="Times New Roman" w:hAnsi="Times New Roman"/>
          <w:color w:val="467886"/>
          <w:sz w:val="20"/>
        </w:rPr>
        <w:t>investor@seer.bio</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5" w:name="consolidated_statements_of_operations"/>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90"/>
        <w:gridCol w:w="211"/>
        <w:gridCol w:w="1036"/>
        <w:gridCol w:w="566"/>
        <w:gridCol w:w="546"/>
        <w:gridCol w:w="211"/>
        <w:gridCol w:w="1036"/>
        <w:gridCol w:w="546"/>
        <w:gridCol w:w="546"/>
        <w:gridCol w:w="211"/>
        <w:gridCol w:w="1036"/>
        <w:gridCol w:w="166"/>
        <w:gridCol w:w="146"/>
        <w:gridCol w:w="211"/>
        <w:gridCol w:w="1036"/>
        <w:gridCol w:w="611"/>
      </w:tblGrid>
      <w:tr>
        <w:trPr/>
        <w:tc>
          <w:tcPr>
            <w:tcW w:w="2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(17,171</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and Class B</w:t>
              <w:br/>
              <w:t>   common stockholders,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in computing net loss per </w:t>
              <w:br/>
              <w:t xml:space="preserve">   share attributable to Class A and Class B common </w:t>
              <w:br/>
              <w:t>   stockholders,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55,164,080</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58,087,565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55,577,709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58,744,490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80"/>
        <w:jc w:val="left"/>
        <w:rPr/>
      </w:pPr>
      <w:r>
        <w:rPr/>
        <w:t> </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6" w:name="consolidated_balance_sheets"/>
      <w:bookmarkEnd w:id="6"/>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9537" w:type="dxa"/>
        <w:jc w:val="left"/>
        <w:tblInd w:w="0" w:type="dxa"/>
        <w:tblLayout w:type="fixed"/>
        <w:tblCellMar>
          <w:top w:w="28" w:type="dxa"/>
          <w:left w:w="28" w:type="dxa"/>
          <w:bottom w:w="28" w:type="dxa"/>
          <w:right w:w="28" w:type="dxa"/>
        </w:tblCellMar>
      </w:tblPr>
      <w:tblGrid>
        <w:gridCol w:w="6321"/>
        <w:gridCol w:w="146"/>
        <w:gridCol w:w="211"/>
        <w:gridCol w:w="841"/>
        <w:gridCol w:w="166"/>
        <w:gridCol w:w="146"/>
        <w:gridCol w:w="219"/>
        <w:gridCol w:w="876"/>
        <w:gridCol w:w="611"/>
      </w:tblGrid>
      <w:tr>
        <w:trPr/>
        <w:tc>
          <w:tcPr>
            <w:tcW w:w="6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47,285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138,612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Related party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201,534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54,686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296,083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Preferred stock, $0.00001 par value; 5,000,000 shares authorized as of</w:t>
              <w:br/>
              <w:t xml:space="preserve">    June 30, 2026 and December 31, 2025; zero shares issued and </w:t>
              <w:br/>
              <w:t>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Class A common stock, $0.00001 par value; 94,000,000 shares authorized</w:t>
              <w:br/>
              <w:t xml:space="preserve">    as of June 30, 2026 and December 31, 2025; 55,300,389 and </w:t>
              <w:br/>
              <w:t xml:space="preserve">    56,219,599 shares issued and outstanding as of June 30, 2026 and </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Class B common stock, $0.00001 par value; 134,268 shares authorized</w:t>
              <w:br/>
              <w:t>   as of June 30, 2026 and December 31, 2025; zero shares</w:t>
              <w:br/>
              <w:t>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725,723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724,819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(499,708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(465,972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259,307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256,638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296,083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2024</Words>
  <Characters>11292</Characters>
  <CharactersWithSpaces>13567</CharactersWithSpaces>
  <Paragraphs>1021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