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180"/>
        <w:jc w:val="center"/>
        <w:rPr/>
      </w:pPr>
      <w:r>
        <w:rPr/>
      </w:r>
    </w:p>
    <w:p>
      <w:pPr>
        <w:pStyle w:val="TextBody"/>
        <w:spacing w:before="0" w:after="0"/>
        <w:jc w:val="center"/>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8"/>
          <w:highlight w:val="white"/>
        </w:rPr>
      </w:pPr>
      <w:r>
        <w:rPr>
          <w:rFonts w:ascii="Times New Roman;sans-serif" w:hAnsi="Times New Roman;sans-serif"/>
          <w:b/>
          <w:color w:val="000000"/>
          <w:sz w:val="28"/>
          <w:highlight w:val="white"/>
        </w:rPr>
        <w:t>UNITED STATES</w:t>
      </w:r>
    </w:p>
    <w:p>
      <w:pPr>
        <w:pStyle w:val="TextBody"/>
        <w:spacing w:lineRule="auto" w:line="288" w:before="0" w:after="0"/>
        <w:jc w:val="center"/>
        <w:rPr>
          <w:rFonts w:ascii="Times New Roman;sans-serif" w:hAnsi="Times New Roman;sans-serif"/>
          <w:b/>
          <w:color w:val="000000"/>
          <w:sz w:val="28"/>
          <w:highlight w:val="white"/>
        </w:rPr>
      </w:pPr>
      <w:r>
        <w:rPr>
          <w:rFonts w:ascii="Times New Roman;sans-serif" w:hAnsi="Times New Roman;sans-serif"/>
          <w:b/>
          <w:color w:val="000000"/>
          <w:sz w:val="28"/>
          <w:highlight w:val="white"/>
        </w:rPr>
        <w:t>SECURITIES AND EXCHANGE COMMISSION</w:t>
      </w:r>
    </w:p>
    <w:p>
      <w:pPr>
        <w:pStyle w:val="TextBody"/>
        <w:spacing w:lineRule="auto" w:line="288" w:before="0" w:after="40"/>
        <w:jc w:val="center"/>
        <w:rPr>
          <w:rFonts w:ascii="Times New Roman;sans-serif" w:hAnsi="Times New Roman;sans-serif"/>
          <w:b/>
          <w:color w:val="000000"/>
          <w:sz w:val="28"/>
          <w:highlight w:val="white"/>
        </w:rPr>
      </w:pPr>
      <w:r>
        <w:rPr>
          <w:rFonts w:ascii="Times New Roman;sans-serif" w:hAnsi="Times New Roman;sans-serif"/>
          <w:b/>
          <w:color w:val="000000"/>
          <w:sz w:val="28"/>
          <w:highlight w:val="white"/>
        </w:rPr>
        <w:t>Washington, D.C. 20549</w:t>
      </w:r>
    </w:p>
    <w:p>
      <w:pPr>
        <w:pStyle w:val="TextBody"/>
        <w:spacing w:before="0" w:after="0"/>
        <w:jc w:val="center"/>
        <w:rPr/>
      </w:pPr>
      <w:r>
        <w:rPr/>
      </w:r>
    </w:p>
    <w:p>
      <w:pPr>
        <w:pStyle w:val="TextBody"/>
        <w:spacing w:lineRule="auto" w:line="288" w:before="0" w:after="180"/>
        <w:jc w:val="center"/>
        <w:rPr>
          <w:rFonts w:ascii="Times New Roman;sans-serif" w:hAnsi="Times New Roman;sans-serif"/>
          <w:b/>
          <w:color w:val="000000"/>
          <w:sz w:val="32"/>
          <w:highlight w:val="white"/>
        </w:rPr>
      </w:pPr>
      <w:r>
        <w:rPr>
          <w:rFonts w:ascii="Times New Roman;sans-serif" w:hAnsi="Times New Roman;sans-serif"/>
          <w:b/>
          <w:color w:val="000000"/>
          <w:sz w:val="32"/>
          <w:highlight w:val="white"/>
        </w:rPr>
        <w:t>FORM 10-Q</w:t>
      </w:r>
    </w:p>
    <w:p>
      <w:pPr>
        <w:pStyle w:val="TextBody"/>
        <w:spacing w:lineRule="auto" w:line="288" w:before="0" w:after="18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(Mark one)</w:t>
      </w:r>
    </w:p>
    <w:p>
      <w:pPr>
        <w:pStyle w:val="TextBody"/>
        <w:spacing w:lineRule="auto" w:line="288" w:before="0" w:after="18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[X] QUARTERLY REPORT PURSUANT TO SECTION 13 OR 15(d) OF THE SECURITIES EXCHANGE ACT OF 1934</w:t>
      </w:r>
    </w:p>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For the quarterly period ended March 31, 2023</w:t>
      </w:r>
    </w:p>
    <w:p>
      <w:pPr>
        <w:pStyle w:val="TextBody"/>
        <w:spacing w:lineRule="auto" w:line="288" w:before="0" w:after="18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or</w:t>
      </w:r>
    </w:p>
    <w:p>
      <w:pPr>
        <w:pStyle w:val="TextBody"/>
        <w:spacing w:lineRule="auto" w:line="288" w:before="0" w:after="18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 TRANSITION REPORT PURSUANT TO SECTION 13 OR 15(d) OF THE SECURITIES EXCHANGE ACT OF 1934</w:t>
      </w:r>
    </w:p>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For the transition period from _______________ to _______________</w:t>
      </w:r>
    </w:p>
    <w:p>
      <w:pPr>
        <w:pStyle w:val="TextBody"/>
        <w:spacing w:lineRule="auto" w:line="288" w:before="0" w:after="18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Commission file number 001-39747</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44"/>
          <w:highlight w:val="white"/>
        </w:rPr>
      </w:pPr>
      <w:r>
        <w:rPr>
          <w:rFonts w:ascii="Times New Roman;sans-serif" w:hAnsi="Times New Roman;sans-serif"/>
          <w:b/>
          <w:color w:val="000000"/>
          <w:sz w:val="44"/>
          <w:highlight w:val="white"/>
        </w:rPr>
        <w:t>SEER, INC.</w:t>
      </w:r>
    </w:p>
    <w:p>
      <w:pPr>
        <w:pStyle w:val="TextBody"/>
        <w:spacing w:lineRule="auto" w:line="288" w:before="0" w:after="0"/>
        <w:jc w:val="center"/>
        <w:rPr>
          <w:rFonts w:ascii="Times New Roman;sans-serif" w:hAnsi="Times New Roman;sans-serif"/>
          <w:b/>
          <w:color w:val="000000"/>
          <w:sz w:val="16"/>
          <w:highlight w:val="white"/>
        </w:rPr>
      </w:pPr>
      <w:r>
        <w:rPr>
          <w:rFonts w:ascii="Times New Roman;sans-serif" w:hAnsi="Times New Roman;sans-serif"/>
          <w:b/>
          <w:color w:val="000000"/>
          <w:sz w:val="16"/>
          <w:highlight w:val="white"/>
        </w:rPr>
        <w:t>(Exact name of Registrant as specified in its charter)</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tbl>
      <w:tblPr>
        <w:tblW w:w="7962" w:type="dxa"/>
        <w:jc w:val="left"/>
        <w:tblInd w:w="0" w:type="dxa"/>
        <w:tblCellMar>
          <w:top w:w="28" w:type="dxa"/>
          <w:left w:w="28" w:type="dxa"/>
          <w:bottom w:w="28" w:type="dxa"/>
          <w:right w:w="28" w:type="dxa"/>
        </w:tblCellMar>
      </w:tblPr>
      <w:tblGrid>
        <w:gridCol w:w="1652"/>
        <w:gridCol w:w="1450"/>
        <w:gridCol w:w="1458"/>
        <w:gridCol w:w="109"/>
        <w:gridCol w:w="109"/>
        <w:gridCol w:w="109"/>
        <w:gridCol w:w="896"/>
        <w:gridCol w:w="896"/>
        <w:gridCol w:w="1283"/>
      </w:tblGrid>
      <w:tr>
        <w:trPr/>
        <w:tc>
          <w:tcPr>
            <w:tcW w:w="1652" w:type="dxa"/>
            <w:tcBorders/>
            <w:shd w:fill="auto" w:val="clear"/>
            <w:vAlign w:val="center"/>
          </w:tcPr>
          <w:p>
            <w:pPr>
              <w:pStyle w:val="TableContents"/>
              <w:spacing w:before="0" w:after="283"/>
              <w:rPr>
                <w:sz w:val="4"/>
                <w:szCs w:val="4"/>
              </w:rPr>
            </w:pPr>
            <w:r>
              <w:rPr>
                <w:sz w:val="4"/>
                <w:szCs w:val="4"/>
              </w:rPr>
            </w:r>
          </w:p>
        </w:tc>
        <w:tc>
          <w:tcPr>
            <w:tcW w:w="1450" w:type="dxa"/>
            <w:tcBorders/>
            <w:shd w:fill="auto" w:val="clear"/>
            <w:vAlign w:val="center"/>
          </w:tcPr>
          <w:p>
            <w:pPr>
              <w:pStyle w:val="TableContents"/>
              <w:spacing w:before="0" w:after="283"/>
              <w:rPr>
                <w:sz w:val="4"/>
                <w:szCs w:val="4"/>
              </w:rPr>
            </w:pPr>
            <w:r>
              <w:rPr>
                <w:sz w:val="4"/>
                <w:szCs w:val="4"/>
              </w:rPr>
            </w:r>
          </w:p>
        </w:tc>
        <w:tc>
          <w:tcPr>
            <w:tcW w:w="14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1283" w:type="dxa"/>
            <w:tcBorders/>
            <w:shd w:fill="auto" w:val="clear"/>
            <w:vAlign w:val="cente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highlight w:val="white"/>
              </w:rPr>
            </w:pPr>
            <w:r>
              <w:rPr>
                <w:rFonts w:ascii="Times New Roman;sans-serif" w:hAnsi="Times New Roman;sans-serif"/>
                <w:b/>
                <w:color w:val="000000"/>
                <w:sz w:val="16"/>
                <w:highlight w:val="white"/>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highlight w:val="white"/>
              </w:rPr>
            </w:pPr>
            <w:r>
              <w:rPr>
                <w:rFonts w:ascii="Times New Roman;sans-serif" w:hAnsi="Times New Roman;sans-serif"/>
                <w:b/>
                <w:color w:val="000000"/>
                <w:sz w:val="16"/>
                <w:highlight w:val="white"/>
              </w:rPr>
              <w:t>82-1153150</w:t>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highlight w:val="white"/>
              </w:rPr>
            </w:pPr>
            <w:r>
              <w:rPr>
                <w:rFonts w:ascii="Times New Roman;sans-serif" w:hAnsi="Times New Roman;sans-serif"/>
                <w:b/>
                <w:color w:val="000000"/>
                <w:sz w:val="16"/>
                <w:highlight w:val="white"/>
              </w:rPr>
              <w:t>(State or other jurisdiction of 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highlight w:val="white"/>
              </w:rPr>
            </w:pPr>
            <w:r>
              <w:rPr>
                <w:rFonts w:ascii="Times New Roman;sans-serif" w:hAnsi="Times New Roman;sans-serif"/>
                <w:b/>
                <w:color w:val="000000"/>
                <w:sz w:val="16"/>
                <w:highlight w:val="white"/>
              </w:rPr>
              <w:t>(I.R.S. Employer Identification Number)</w:t>
            </w:r>
          </w:p>
        </w:tc>
      </w:tr>
    </w:tbl>
    <w:p>
      <w:pPr>
        <w:pStyle w:val="TextBody"/>
        <w:spacing w:lineRule="auto" w:line="288" w:before="0" w:after="0"/>
        <w:jc w:val="center"/>
        <w:rPr>
          <w:rFonts w:ascii="Times New Roman;sans-serif" w:hAnsi="Times New Roman;sans-serif"/>
          <w:b/>
          <w:color w:val="000000"/>
          <w:sz w:val="16"/>
          <w:highlight w:val="white"/>
        </w:rPr>
      </w:pPr>
      <w:r>
        <w:rPr>
          <w:rFonts w:ascii="Times New Roman;sans-serif" w:hAnsi="Times New Roman;sans-serif"/>
          <w:b/>
          <w:color w:val="000000"/>
          <w:sz w:val="16"/>
          <w:highlight w:val="white"/>
        </w:rPr>
        <w:t>3800 Bridge Parkway, Suite 102</w:t>
      </w:r>
    </w:p>
    <w:p>
      <w:pPr>
        <w:pStyle w:val="TextBody"/>
        <w:spacing w:lineRule="auto" w:line="288" w:before="0" w:after="0"/>
        <w:jc w:val="center"/>
        <w:rPr>
          <w:rFonts w:ascii="Times New Roman;sans-serif" w:hAnsi="Times New Roman;sans-serif"/>
          <w:b/>
          <w:color w:val="000000"/>
          <w:sz w:val="16"/>
          <w:highlight w:val="white"/>
        </w:rPr>
      </w:pPr>
      <w:r>
        <w:rPr>
          <w:rFonts w:ascii="Times New Roman;sans-serif" w:hAnsi="Times New Roman;sans-serif"/>
          <w:b/>
          <w:color w:val="000000"/>
          <w:sz w:val="16"/>
          <w:highlight w:val="white"/>
        </w:rPr>
        <w:t>Redwood City, California 94065</w:t>
      </w:r>
    </w:p>
    <w:p>
      <w:pPr>
        <w:pStyle w:val="TextBody"/>
        <w:spacing w:lineRule="auto" w:line="288" w:before="0" w:after="0"/>
        <w:jc w:val="center"/>
        <w:rPr>
          <w:rFonts w:ascii="Times New Roman;sans-serif" w:hAnsi="Times New Roman;sans-serif"/>
          <w:b/>
          <w:color w:val="000000"/>
          <w:sz w:val="16"/>
          <w:highlight w:val="white"/>
        </w:rPr>
      </w:pPr>
      <w:r>
        <w:rPr>
          <w:rFonts w:ascii="Times New Roman;sans-serif" w:hAnsi="Times New Roman;sans-serif"/>
          <w:b/>
          <w:color w:val="000000"/>
          <w:sz w:val="16"/>
          <w:highlight w:val="white"/>
        </w:rPr>
        <w:t>650-453-0000</w:t>
      </w:r>
    </w:p>
    <w:p>
      <w:pPr>
        <w:pStyle w:val="TextBody"/>
        <w:spacing w:lineRule="auto" w:line="288" w:before="0" w:after="0"/>
        <w:jc w:val="center"/>
        <w:rPr>
          <w:rFonts w:ascii="Times New Roman;sans-serif" w:hAnsi="Times New Roman;sans-serif"/>
          <w:b/>
          <w:color w:val="000000"/>
          <w:sz w:val="16"/>
          <w:highlight w:val="white"/>
        </w:rPr>
      </w:pPr>
      <w:r>
        <w:rPr>
          <w:rFonts w:ascii="Times New Roman;sans-serif" w:hAnsi="Times New Roman;sans-serif"/>
          <w:b/>
          <w:color w:val="000000"/>
          <w:sz w:val="16"/>
          <w:highlight w:val="white"/>
        </w:rPr>
        <w:t>(Address, including zip code and telephone number, including area code, of Registrant’s principal executive offices)</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Securities registered pursuant to section 12(b) of the Act:</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i/>
          <w:color w:val="000000"/>
          <w:sz w:val="18"/>
          <w:highlight w:val="white"/>
        </w:rPr>
      </w:pPr>
      <w:r>
        <w:rPr>
          <w:rFonts w:ascii="Times New Roman;sans-serif" w:hAnsi="Times New Roman;sans-serif"/>
          <w:b w:val="false"/>
          <w:i/>
          <w:color w:val="000000"/>
          <w:sz w:val="18"/>
          <w:highlight w:val="white"/>
        </w:rPr>
        <w:t>Copies to:</w:t>
      </w:r>
    </w:p>
    <w:tbl>
      <w:tblPr>
        <w:tblW w:w="8032" w:type="dxa"/>
        <w:jc w:val="left"/>
        <w:tblInd w:w="0" w:type="dxa"/>
        <w:tblCellMar>
          <w:top w:w="28" w:type="dxa"/>
          <w:left w:w="28" w:type="dxa"/>
          <w:bottom w:w="28" w:type="dxa"/>
          <w:right w:w="28" w:type="dxa"/>
        </w:tblCellMar>
      </w:tblPr>
      <w:tblGrid>
        <w:gridCol w:w="971"/>
        <w:gridCol w:w="854"/>
        <w:gridCol w:w="860"/>
        <w:gridCol w:w="109"/>
        <w:gridCol w:w="109"/>
        <w:gridCol w:w="109"/>
        <w:gridCol w:w="519"/>
        <w:gridCol w:w="519"/>
        <w:gridCol w:w="521"/>
        <w:gridCol w:w="109"/>
        <w:gridCol w:w="109"/>
        <w:gridCol w:w="109"/>
        <w:gridCol w:w="918"/>
        <w:gridCol w:w="918"/>
        <w:gridCol w:w="1298"/>
      </w:tblGrid>
      <w:tr>
        <w:trPr/>
        <w:tc>
          <w:tcPr>
            <w:tcW w:w="971"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8" w:type="dxa"/>
            <w:tcBorders/>
            <w:shd w:fill="auto" w:val="clear"/>
            <w:vAlign w:val="center"/>
          </w:tcPr>
          <w:p>
            <w:pPr>
              <w:pStyle w:val="TableContents"/>
              <w:spacing w:before="0" w:after="283"/>
              <w:rPr>
                <w:sz w:val="4"/>
                <w:szCs w:val="4"/>
              </w:rPr>
            </w:pPr>
            <w:r>
              <w:rPr>
                <w:sz w:val="4"/>
                <w:szCs w:val="4"/>
              </w:rPr>
            </w:r>
          </w:p>
        </w:tc>
        <w:tc>
          <w:tcPr>
            <w:tcW w:w="918" w:type="dxa"/>
            <w:tcBorders/>
            <w:shd w:fill="auto" w:val="clear"/>
            <w:vAlign w:val="center"/>
          </w:tcPr>
          <w:p>
            <w:pPr>
              <w:pStyle w:val="TableContents"/>
              <w:spacing w:before="0" w:after="283"/>
              <w:rPr>
                <w:sz w:val="4"/>
                <w:szCs w:val="4"/>
              </w:rPr>
            </w:pPr>
            <w:r>
              <w:rPr>
                <w:sz w:val="4"/>
                <w:szCs w:val="4"/>
              </w:rPr>
            </w:r>
          </w:p>
        </w:tc>
        <w:tc>
          <w:tcPr>
            <w:tcW w:w="1298" w:type="dxa"/>
            <w:tcBorders/>
            <w:shd w:fill="auto" w:val="clear"/>
            <w:vAlign w:val="center"/>
          </w:tcPr>
          <w:p>
            <w:pPr>
              <w:pStyle w:val="TableContents"/>
              <w:spacing w:before="0" w:after="283"/>
              <w:rPr>
                <w:sz w:val="4"/>
                <w:szCs w:val="4"/>
              </w:rPr>
            </w:pPr>
            <w:r>
              <w:rPr>
                <w:sz w:val="4"/>
                <w:szCs w:val="4"/>
              </w:rPr>
            </w:r>
          </w:p>
        </w:tc>
      </w:tr>
      <w:tr>
        <w:trPr/>
        <w:tc>
          <w:tcPr>
            <w:tcW w:w="268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highlight w:val="white"/>
              </w:rPr>
            </w:pPr>
            <w:r>
              <w:rPr>
                <w:rFonts w:ascii="Times New Roman;sans-serif" w:hAnsi="Times New Roman;sans-serif"/>
                <w:b/>
                <w:color w:val="000000"/>
                <w:sz w:val="18"/>
                <w:highlight w:val="white"/>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highlight w:val="white"/>
              </w:rPr>
            </w:pPr>
            <w:r>
              <w:rPr>
                <w:rFonts w:ascii="Times New Roman;sans-serif" w:hAnsi="Times New Roman;sans-serif"/>
                <w:b/>
                <w:color w:val="000000"/>
                <w:sz w:val="18"/>
                <w:highlight w:val="white"/>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highlight w:val="white"/>
              </w:rPr>
            </w:pPr>
            <w:r>
              <w:rPr>
                <w:rFonts w:ascii="Times New Roman;sans-serif" w:hAnsi="Times New Roman;sans-serif"/>
                <w:b/>
                <w:color w:val="000000"/>
                <w:sz w:val="18"/>
                <w:highlight w:val="white"/>
              </w:rPr>
              <w:t>Name of Exchange on which registered</w:t>
            </w:r>
          </w:p>
        </w:tc>
      </w:tr>
      <w:tr>
        <w:trPr/>
        <w:tc>
          <w:tcPr>
            <w:tcW w:w="26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18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Common Stock, par value $0.00001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SEER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NASDAQ Global Select Market</w:t>
            </w:r>
          </w:p>
        </w:tc>
      </w:tr>
    </w:tbl>
    <w:p>
      <w:pPr>
        <w:pStyle w:val="TextBody"/>
        <w:spacing w:before="0" w:after="60"/>
        <w:jc w:val="center"/>
        <w:rPr/>
      </w:pPr>
      <w:r>
        <w:rPr/>
      </w:r>
    </w:p>
    <w:p>
      <w:pPr>
        <w:pStyle w:val="TextBody"/>
        <w:spacing w:lineRule="auto" w:line="288" w:before="0" w:after="180"/>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lineRule="auto" w:line="288" w:before="0" w:after="180"/>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 </w:t>
      </w:r>
    </w:p>
    <w:p>
      <w:pPr>
        <w:pStyle w:val="TextBody"/>
        <w:spacing w:lineRule="auto" w:line="288" w:before="0" w:after="60"/>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731" w:type="dxa"/>
        <w:jc w:val="left"/>
        <w:tblInd w:w="0" w:type="dxa"/>
        <w:tblCellMar>
          <w:top w:w="28" w:type="dxa"/>
          <w:left w:w="28" w:type="dxa"/>
          <w:bottom w:w="28" w:type="dxa"/>
          <w:right w:w="28" w:type="dxa"/>
        </w:tblCellMar>
      </w:tblPr>
      <w:tblGrid>
        <w:gridCol w:w="603"/>
        <w:gridCol w:w="530"/>
        <w:gridCol w:w="532"/>
        <w:gridCol w:w="109"/>
        <w:gridCol w:w="109"/>
        <w:gridCol w:w="109"/>
        <w:gridCol w:w="109"/>
        <w:gridCol w:w="109"/>
        <w:gridCol w:w="109"/>
        <w:gridCol w:w="679"/>
        <w:gridCol w:w="679"/>
        <w:gridCol w:w="682"/>
        <w:gridCol w:w="109"/>
        <w:gridCol w:w="109"/>
        <w:gridCol w:w="154"/>
      </w:tblGrid>
      <w:tr>
        <w:trPr/>
        <w:tc>
          <w:tcPr>
            <w:tcW w:w="603"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highlight w:val="white"/>
              </w:rPr>
            </w:pPr>
            <w:r>
              <w:rPr>
                <w:color w:val="000000"/>
                <w:highlight w:val="white"/>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highlight w:val="white"/>
              </w:rPr>
            </w:pPr>
            <w:r>
              <w:rPr>
                <w:color w:val="000000"/>
                <w:highlight w:val="white"/>
              </w:rPr>
              <w:t>☐</w:t>
            </w:r>
          </w:p>
        </w:tc>
      </w:tr>
      <w:tr>
        <w:trPr/>
        <w:tc>
          <w:tcPr>
            <w:tcW w:w="1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highlight w:val="white"/>
              </w:rPr>
            </w:pPr>
            <w:r>
              <w:rPr>
                <w:color w:val="000000"/>
                <w:highlight w:val="white"/>
              </w:rPr>
              <w:t>☒</w:t>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highlight w:val="white"/>
              </w:rPr>
            </w:pPr>
            <w:r>
              <w:rPr>
                <w:color w:val="000000"/>
                <w:highlight w:val="white"/>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highlight w:val="white"/>
              </w:rPr>
            </w:pPr>
            <w:r>
              <w:rPr>
                <w:color w:val="000000"/>
                <w:highlight w:val="white"/>
              </w:rPr>
              <w:t>☐</w:t>
            </w:r>
          </w:p>
        </w:tc>
      </w:tr>
    </w:tbl>
    <w:p>
      <w:pPr>
        <w:pStyle w:val="TextBody"/>
        <w:spacing w:lineRule="auto" w:line="288" w:before="0" w:after="180"/>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lineRule="auto" w:line="288" w:before="0" w:after="180"/>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 xml:space="preserve">Indicate by check mark whether the registrant is a shell company (as defined in Rule 12b-2 of the Exchange Act). Yes ☐ No ☒ </w:t>
      </w:r>
    </w:p>
    <w:p>
      <w:pPr>
        <w:pStyle w:val="TextBody"/>
        <w:spacing w:lineRule="auto" w:line="288" w:before="0" w:after="180"/>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As of May 5, 2023, the registrant had 59,696,350 shares of Class A common stock, $0.00001 par value per share, and 4,044,969 shares of Class B common stock, $0.00001 par value per share, outstanding.</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692265" cy="175260"/>
                <wp:effectExtent l="0" t="0" r="0" b="0"/>
                <wp:wrapNone/>
                <wp:docPr id="1" name="Frame1"/>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txbxContent>
                </v:textbox>
              </v:rect>
            </w:pict>
          </mc:Fallback>
        </mc:AlternateContent>
      </w:r>
    </w:p>
    <w:p>
      <w:pPr>
        <w:pStyle w:val="TextBody"/>
        <w:spacing w:before="0" w:after="180"/>
        <w:rPr/>
      </w:pPr>
      <w:r>
        <w:rPr/>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spacing w:before="0" w:after="180"/>
        <w:rPr/>
      </w:pPr>
      <w:r>
        <w:rPr/>
      </w:r>
    </w:p>
    <w:p>
      <w:pPr>
        <w:pStyle w:val="TextBody"/>
        <w:spacing w:before="0" w:after="180"/>
        <w:rPr/>
      </w:pPr>
      <w:r>
        <w:rPr/>
      </w:r>
    </w:p>
    <w:tbl>
      <w:tblPr>
        <w:tblW w:w="8561" w:type="dxa"/>
        <w:jc w:val="left"/>
        <w:tblInd w:w="0" w:type="dxa"/>
        <w:tblCellMar>
          <w:top w:w="28" w:type="dxa"/>
          <w:left w:w="28" w:type="dxa"/>
          <w:bottom w:w="28" w:type="dxa"/>
          <w:right w:w="28" w:type="dxa"/>
        </w:tblCellMar>
      </w:tblPr>
      <w:tblGrid>
        <w:gridCol w:w="299"/>
        <w:gridCol w:w="262"/>
        <w:gridCol w:w="263"/>
        <w:gridCol w:w="2454"/>
        <w:gridCol w:w="2454"/>
        <w:gridCol w:w="2457"/>
        <w:gridCol w:w="109"/>
        <w:gridCol w:w="109"/>
        <w:gridCol w:w="154"/>
      </w:tblGrid>
      <w:tr>
        <w:trPr/>
        <w:tc>
          <w:tcPr>
            <w:tcW w:w="29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454" w:type="dxa"/>
            <w:tcBorders/>
            <w:shd w:fill="auto" w:val="clear"/>
            <w:vAlign w:val="center"/>
          </w:tcPr>
          <w:p>
            <w:pPr>
              <w:pStyle w:val="TableContents"/>
              <w:spacing w:before="0" w:after="283"/>
              <w:rPr>
                <w:sz w:val="4"/>
                <w:szCs w:val="4"/>
              </w:rPr>
            </w:pPr>
            <w:r>
              <w:rPr>
                <w:sz w:val="4"/>
                <w:szCs w:val="4"/>
              </w:rPr>
            </w:r>
          </w:p>
        </w:tc>
        <w:tc>
          <w:tcPr>
            <w:tcW w:w="2454" w:type="dxa"/>
            <w:tcBorders/>
            <w:shd w:fill="auto" w:val="clear"/>
            <w:vAlign w:val="center"/>
          </w:tcPr>
          <w:p>
            <w:pPr>
              <w:pStyle w:val="TableContents"/>
              <w:spacing w:before="0" w:after="283"/>
              <w:rPr>
                <w:sz w:val="4"/>
                <w:szCs w:val="4"/>
              </w:rPr>
            </w:pPr>
            <w:r>
              <w:rPr>
                <w:sz w:val="4"/>
                <w:szCs w:val="4"/>
              </w:rPr>
            </w:r>
          </w:p>
        </w:tc>
        <w:tc>
          <w:tcPr>
            <w:tcW w:w="24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f4e4ca3a01a4d07be4897dce07f9a6e_10">
              <w:r>
                <w:rPr>
                  <w:rStyle w:val="InternetLink"/>
                  <w:rFonts w:ascii="Times New Roman;sans-serif" w:hAnsi="Times New Roman;sans-serif"/>
                  <w:b w:val="false"/>
                  <w:color w:val="0000FF"/>
                  <w:sz w:val="20"/>
                  <w:u w:val="single"/>
                </w:rPr>
                <w:t>PART I.</w:t>
              </w:r>
            </w:hyperlink>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f4e4ca3a01a4d07be4897dce07f9a6e_10">
              <w:r>
                <w:rPr>
                  <w:rStyle w:val="InternetLink"/>
                  <w:rFonts w:ascii="Times New Roman;sans-serif" w:hAnsi="Times New Roman;sans-serif"/>
                  <w:b w:val="false"/>
                  <w:color w:val="0000FF"/>
                  <w:sz w:val="20"/>
                  <w:u w:val="single"/>
                </w:rPr>
                <w:t>FINANCIAL INFORMATION</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f4e4ca3a01a4d07be4897dce07f9a6e_10">
              <w:r>
                <w:rPr>
                  <w:rStyle w:val="InternetLink"/>
                  <w:rFonts w:ascii="Times New Roman;sans-serif" w:hAnsi="Times New Roman;sans-serif"/>
                  <w:b w:val="false"/>
                  <w:color w:val="0000FF"/>
                  <w:sz w:val="20"/>
                  <w:u w:val="single"/>
                </w:rPr>
                <w:t>1</w:t>
              </w:r>
            </w:hyperlink>
          </w:p>
        </w:tc>
      </w:tr>
      <w:tr>
        <w:trPr/>
        <w:tc>
          <w:tcPr>
            <w:tcW w:w="8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f4e4ca3a01a4d07be4897dce07f9a6e_13">
              <w:r>
                <w:rPr>
                  <w:rStyle w:val="InternetLink"/>
                  <w:rFonts w:ascii="Times New Roman;sans-serif" w:hAnsi="Times New Roman;sans-serif"/>
                  <w:b w:val="false"/>
                  <w:color w:val="0000FF"/>
                  <w:sz w:val="20"/>
                  <w:u w:val="single"/>
                </w:rPr>
                <w:t>Item 1.</w:t>
              </w:r>
            </w:hyperlink>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f4e4ca3a01a4d07be4897dce07f9a6e_13">
              <w:r>
                <w:rPr>
                  <w:rStyle w:val="InternetLink"/>
                  <w:rFonts w:ascii="Times New Roman;sans-serif" w:hAnsi="Times New Roman;sans-serif"/>
                  <w:b w:val="false"/>
                  <w:color w:val="0000FF"/>
                  <w:sz w:val="20"/>
                  <w:u w:val="single"/>
                </w:rPr>
                <w:t>Financial Statements (Unaudited)</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f4e4ca3a01a4d07be4897dce07f9a6e_13">
              <w:r>
                <w:rPr>
                  <w:rStyle w:val="InternetLink"/>
                  <w:rFonts w:ascii="Times New Roman;sans-serif" w:hAnsi="Times New Roman;sans-serif"/>
                  <w:b w:val="false"/>
                  <w:color w:val="0000FF"/>
                  <w:sz w:val="20"/>
                  <w:u w:val="single"/>
                </w:rPr>
                <w:t>1</w:t>
              </w:r>
            </w:hyperlink>
          </w:p>
        </w:tc>
      </w:tr>
      <w:tr>
        <w:trPr/>
        <w:tc>
          <w:tcPr>
            <w:tcW w:w="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f4e4ca3a01a4d07be4897dce07f9a6e_16">
              <w:r>
                <w:rPr>
                  <w:rStyle w:val="InternetLink"/>
                  <w:rFonts w:ascii="Times New Roman;sans-serif" w:hAnsi="Times New Roman;sans-serif"/>
                  <w:b w:val="false"/>
                  <w:color w:val="0000FF"/>
                  <w:sz w:val="20"/>
                  <w:u w:val="single"/>
                </w:rPr>
                <w:t>Condensed Consolidated Balance Sheets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f4e4ca3a01a4d07be4897dce07f9a6e_16">
              <w:r>
                <w:rPr>
                  <w:rStyle w:val="InternetLink"/>
                  <w:rFonts w:ascii="Times New Roman;sans-serif" w:hAnsi="Times New Roman;sans-serif"/>
                  <w:b w:val="false"/>
                  <w:color w:val="0000FF"/>
                  <w:sz w:val="20"/>
                  <w:u w:val="single"/>
                </w:rPr>
                <w:t>1</w:t>
              </w:r>
            </w:hyperlink>
          </w:p>
        </w:tc>
      </w:tr>
      <w:tr>
        <w:trPr/>
        <w:tc>
          <w:tcPr>
            <w:tcW w:w="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f4e4ca3a01a4d07be4897dce07f9a6e_19">
              <w:r>
                <w:rPr>
                  <w:rStyle w:val="InternetLink"/>
                  <w:rFonts w:ascii="Times New Roman;sans-serif" w:hAnsi="Times New Roman;sans-serif"/>
                  <w:b w:val="false"/>
                  <w:color w:val="0000FF"/>
                  <w:sz w:val="20"/>
                  <w:u w:val="single"/>
                </w:rPr>
                <w:t>Condensed Consolidated Statements of Operations and Comprehensive Loss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f4e4ca3a01a4d07be4897dce07f9a6e_19">
              <w:r>
                <w:rPr>
                  <w:rStyle w:val="InternetLink"/>
                  <w:rFonts w:ascii="Times New Roman;sans-serif" w:hAnsi="Times New Roman;sans-serif"/>
                  <w:b w:val="false"/>
                  <w:color w:val="0000FF"/>
                  <w:sz w:val="20"/>
                  <w:u w:val="single"/>
                </w:rPr>
                <w:t>2</w:t>
              </w:r>
            </w:hyperlink>
          </w:p>
        </w:tc>
      </w:tr>
      <w:tr>
        <w:trPr/>
        <w:tc>
          <w:tcPr>
            <w:tcW w:w="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f4e4ca3a01a4d07be4897dce07f9a6e_22">
              <w:r>
                <w:rPr>
                  <w:rStyle w:val="InternetLink"/>
                  <w:rFonts w:ascii="Times New Roman;sans-serif" w:hAnsi="Times New Roman;sans-serif"/>
                  <w:b w:val="false"/>
                  <w:color w:val="0000FF"/>
                  <w:sz w:val="20"/>
                  <w:u w:val="single"/>
                </w:rPr>
                <w:t xml:space="preserve">Condensed Consolidated Statements of Changes in Stockholders’ Equity </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f4e4ca3a01a4d07be4897dce07f9a6e_22">
              <w:r>
                <w:rPr>
                  <w:rStyle w:val="InternetLink"/>
                  <w:rFonts w:ascii="Times New Roman;sans-serif" w:hAnsi="Times New Roman;sans-serif"/>
                  <w:b w:val="false"/>
                  <w:color w:val="0000FF"/>
                  <w:sz w:val="20"/>
                  <w:u w:val="single"/>
                </w:rPr>
                <w:t>3</w:t>
              </w:r>
            </w:hyperlink>
          </w:p>
        </w:tc>
      </w:tr>
      <w:tr>
        <w:trPr/>
        <w:tc>
          <w:tcPr>
            <w:tcW w:w="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f4e4ca3a01a4d07be4897dce07f9a6e_25">
              <w:r>
                <w:rPr>
                  <w:rStyle w:val="InternetLink"/>
                  <w:rFonts w:ascii="Times New Roman;sans-serif" w:hAnsi="Times New Roman;sans-serif"/>
                  <w:b w:val="false"/>
                  <w:color w:val="0000FF"/>
                  <w:sz w:val="20"/>
                  <w:u w:val="single"/>
                </w:rPr>
                <w:t>Condensed Consolidated Statements of Cash Flows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f4e4ca3a01a4d07be4897dce07f9a6e_25">
              <w:r>
                <w:rPr>
                  <w:rStyle w:val="InternetLink"/>
                  <w:rFonts w:ascii="Times New Roman;sans-serif" w:hAnsi="Times New Roman;sans-serif"/>
                  <w:b w:val="false"/>
                  <w:color w:val="0000FF"/>
                  <w:sz w:val="20"/>
                  <w:u w:val="single"/>
                </w:rPr>
                <w:t>5</w:t>
              </w:r>
            </w:hyperlink>
          </w:p>
        </w:tc>
      </w:tr>
      <w:tr>
        <w:trPr/>
        <w:tc>
          <w:tcPr>
            <w:tcW w:w="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f4e4ca3a01a4d07be4897dce07f9a6e_28">
              <w:r>
                <w:rPr>
                  <w:rStyle w:val="InternetLink"/>
                  <w:rFonts w:ascii="Times New Roman;sans-serif" w:hAnsi="Times New Roman;sans-serif"/>
                  <w:b w:val="false"/>
                  <w:color w:val="0000FF"/>
                  <w:sz w:val="20"/>
                  <w:u w:val="single"/>
                </w:rPr>
                <w:t>Notes to Unaudited Condensed Consolidated Financial Statements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f4e4ca3a01a4d07be4897dce07f9a6e_28">
              <w:r>
                <w:rPr>
                  <w:rStyle w:val="InternetLink"/>
                  <w:rFonts w:ascii="Times New Roman;sans-serif" w:hAnsi="Times New Roman;sans-serif"/>
                  <w:b w:val="false"/>
                  <w:color w:val="0000FF"/>
                  <w:sz w:val="20"/>
                  <w:u w:val="single"/>
                </w:rPr>
                <w:t>6</w:t>
              </w:r>
            </w:hyperlink>
          </w:p>
        </w:tc>
      </w:tr>
      <w:tr>
        <w:trPr/>
        <w:tc>
          <w:tcPr>
            <w:tcW w:w="8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f4e4ca3a01a4d07be4897dce07f9a6e_64">
              <w:r>
                <w:rPr>
                  <w:rStyle w:val="InternetLink"/>
                  <w:rFonts w:ascii="Times New Roman;sans-serif" w:hAnsi="Times New Roman;sans-serif"/>
                  <w:b w:val="false"/>
                  <w:color w:val="0000FF"/>
                  <w:sz w:val="20"/>
                  <w:u w:val="single"/>
                </w:rPr>
                <w:t>Item 2.</w:t>
              </w:r>
            </w:hyperlink>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f4e4ca3a01a4d07be4897dce07f9a6e_64">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f4e4ca3a01a4d07be4897dce07f9a6e_64">
              <w:r>
                <w:rPr>
                  <w:rStyle w:val="InternetLink"/>
                  <w:rFonts w:ascii="Times New Roman;sans-serif" w:hAnsi="Times New Roman;sans-serif"/>
                  <w:b w:val="false"/>
                  <w:color w:val="0000FF"/>
                  <w:sz w:val="20"/>
                  <w:u w:val="single"/>
                </w:rPr>
                <w:t>19</w:t>
              </w:r>
            </w:hyperlink>
          </w:p>
        </w:tc>
      </w:tr>
      <w:tr>
        <w:trPr/>
        <w:tc>
          <w:tcPr>
            <w:tcW w:w="8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f4e4ca3a01a4d07be4897dce07f9a6e_85">
              <w:r>
                <w:rPr>
                  <w:rStyle w:val="InternetLink"/>
                  <w:rFonts w:ascii="Times New Roman;sans-serif" w:hAnsi="Times New Roman;sans-serif"/>
                  <w:b w:val="false"/>
                  <w:color w:val="0000FF"/>
                  <w:sz w:val="20"/>
                  <w:u w:val="single"/>
                </w:rPr>
                <w:t>Item 3.</w:t>
              </w:r>
            </w:hyperlink>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f4e4ca3a01a4d07be4897dce07f9a6e_85">
              <w:r>
                <w:rPr>
                  <w:rStyle w:val="InternetLink"/>
                  <w:rFonts w:ascii="Times New Roman;sans-serif" w:hAnsi="Times New Roman;sans-serif"/>
                  <w:b w:val="false"/>
                  <w:color w:val="0000FF"/>
                  <w:sz w:val="20"/>
                  <w:u w:val="single"/>
                </w:rPr>
                <w:t>Quantitative and Qualitative Disclosures About Market Risk</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f4e4ca3a01a4d07be4897dce07f9a6e_85">
              <w:r>
                <w:rPr>
                  <w:rStyle w:val="InternetLink"/>
                  <w:rFonts w:ascii="Times New Roman;sans-serif" w:hAnsi="Times New Roman;sans-serif"/>
                  <w:b w:val="false"/>
                  <w:color w:val="0000FF"/>
                  <w:sz w:val="20"/>
                  <w:u w:val="single"/>
                </w:rPr>
                <w:t>26</w:t>
              </w:r>
            </w:hyperlink>
          </w:p>
        </w:tc>
      </w:tr>
      <w:tr>
        <w:trPr/>
        <w:tc>
          <w:tcPr>
            <w:tcW w:w="8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f4e4ca3a01a4d07be4897dce07f9a6e_88">
              <w:r>
                <w:rPr>
                  <w:rStyle w:val="InternetLink"/>
                  <w:rFonts w:ascii="Times New Roman;sans-serif" w:hAnsi="Times New Roman;sans-serif"/>
                  <w:b w:val="false"/>
                  <w:color w:val="0000FF"/>
                  <w:sz w:val="20"/>
                  <w:u w:val="single"/>
                </w:rPr>
                <w:t>Item 4.</w:t>
              </w:r>
            </w:hyperlink>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f4e4ca3a01a4d07be4897dce07f9a6e_88">
              <w:r>
                <w:rPr>
                  <w:rStyle w:val="InternetLink"/>
                  <w:rFonts w:ascii="Times New Roman;sans-serif" w:hAnsi="Times New Roman;sans-serif"/>
                  <w:b w:val="false"/>
                  <w:color w:val="0000FF"/>
                  <w:sz w:val="20"/>
                  <w:u w:val="single"/>
                </w:rPr>
                <w:t>Controls and Procedures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f4e4ca3a01a4d07be4897dce07f9a6e_88">
              <w:r>
                <w:rPr>
                  <w:rStyle w:val="InternetLink"/>
                  <w:rFonts w:ascii="Times New Roman;sans-serif" w:hAnsi="Times New Roman;sans-serif"/>
                  <w:b w:val="false"/>
                  <w:color w:val="0000FF"/>
                  <w:sz w:val="20"/>
                  <w:u w:val="single"/>
                </w:rPr>
                <w:t>26</w:t>
              </w:r>
            </w:hyperlink>
          </w:p>
        </w:tc>
      </w:tr>
      <w:tr>
        <w:trPr/>
        <w:tc>
          <w:tcPr>
            <w:tcW w:w="8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f4e4ca3a01a4d07be4897dce07f9a6e_91">
              <w:r>
                <w:rPr>
                  <w:rStyle w:val="InternetLink"/>
                  <w:rFonts w:ascii="Times New Roman;sans-serif" w:hAnsi="Times New Roman;sans-serif"/>
                  <w:b w:val="false"/>
                  <w:color w:val="0000FF"/>
                  <w:sz w:val="20"/>
                  <w:u w:val="single"/>
                </w:rPr>
                <w:t>PART II.</w:t>
              </w:r>
            </w:hyperlink>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f4e4ca3a01a4d07be4897dce07f9a6e_91">
              <w:r>
                <w:rPr>
                  <w:rStyle w:val="InternetLink"/>
                  <w:rFonts w:ascii="Times New Roman;sans-serif" w:hAnsi="Times New Roman;sans-serif"/>
                  <w:b w:val="false"/>
                  <w:color w:val="0000FF"/>
                  <w:sz w:val="20"/>
                  <w:u w:val="single"/>
                </w:rPr>
                <w:t>OTHER INFORMATION</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f4e4ca3a01a4d07be4897dce07f9a6e_91">
              <w:r>
                <w:rPr>
                  <w:rStyle w:val="InternetLink"/>
                  <w:rFonts w:ascii="Times New Roman;sans-serif" w:hAnsi="Times New Roman;sans-serif"/>
                  <w:b w:val="false"/>
                  <w:color w:val="0000FF"/>
                  <w:sz w:val="20"/>
                  <w:u w:val="single"/>
                </w:rPr>
                <w:t>28</w:t>
              </w:r>
            </w:hyperlink>
          </w:p>
        </w:tc>
      </w:tr>
      <w:tr>
        <w:trPr/>
        <w:tc>
          <w:tcPr>
            <w:tcW w:w="8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f4e4ca3a01a4d07be4897dce07f9a6e_94">
              <w:r>
                <w:rPr>
                  <w:rStyle w:val="InternetLink"/>
                  <w:rFonts w:ascii="Times New Roman;sans-serif" w:hAnsi="Times New Roman;sans-serif"/>
                  <w:b w:val="false"/>
                  <w:color w:val="0000FF"/>
                  <w:sz w:val="20"/>
                  <w:u w:val="single"/>
                </w:rPr>
                <w:t>Item 1.</w:t>
              </w:r>
            </w:hyperlink>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f4e4ca3a01a4d07be4897dce07f9a6e_94">
              <w:r>
                <w:rPr>
                  <w:rStyle w:val="InternetLink"/>
                  <w:rFonts w:ascii="Times New Roman;sans-serif" w:hAnsi="Times New Roman;sans-serif"/>
                  <w:b w:val="false"/>
                  <w:color w:val="0000FF"/>
                  <w:sz w:val="20"/>
                  <w:u w:val="single"/>
                </w:rPr>
                <w:t>Legal Proceedings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f4e4ca3a01a4d07be4897dce07f9a6e_94">
              <w:r>
                <w:rPr>
                  <w:rStyle w:val="InternetLink"/>
                  <w:rFonts w:ascii="Times New Roman;sans-serif" w:hAnsi="Times New Roman;sans-serif"/>
                  <w:b w:val="false"/>
                  <w:color w:val="0000FF"/>
                  <w:sz w:val="20"/>
                  <w:u w:val="single"/>
                </w:rPr>
                <w:t>28</w:t>
              </w:r>
            </w:hyperlink>
          </w:p>
        </w:tc>
      </w:tr>
      <w:tr>
        <w:trPr/>
        <w:tc>
          <w:tcPr>
            <w:tcW w:w="8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f4e4ca3a01a4d07be4897dce07f9a6e_97">
              <w:r>
                <w:rPr>
                  <w:rStyle w:val="InternetLink"/>
                  <w:rFonts w:ascii="Times New Roman;sans-serif" w:hAnsi="Times New Roman;sans-serif"/>
                  <w:b w:val="false"/>
                  <w:color w:val="0000FF"/>
                  <w:sz w:val="20"/>
                  <w:u w:val="single"/>
                </w:rPr>
                <w:t>Item 1A.</w:t>
              </w:r>
            </w:hyperlink>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f4e4ca3a01a4d07be4897dce07f9a6e_97">
              <w:r>
                <w:rPr>
                  <w:rStyle w:val="InternetLink"/>
                  <w:rFonts w:ascii="Times New Roman;sans-serif" w:hAnsi="Times New Roman;sans-serif"/>
                  <w:b w:val="false"/>
                  <w:color w:val="0000FF"/>
                  <w:sz w:val="20"/>
                  <w:u w:val="single"/>
                </w:rPr>
                <w:t>Risk Factors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f4e4ca3a01a4d07be4897dce07f9a6e_97">
              <w:r>
                <w:rPr>
                  <w:rStyle w:val="InternetLink"/>
                  <w:rFonts w:ascii="Times New Roman;sans-serif" w:hAnsi="Times New Roman;sans-serif"/>
                  <w:b w:val="false"/>
                  <w:color w:val="0000FF"/>
                  <w:sz w:val="20"/>
                  <w:u w:val="single"/>
                </w:rPr>
                <w:t>28</w:t>
              </w:r>
            </w:hyperlink>
          </w:p>
        </w:tc>
      </w:tr>
      <w:tr>
        <w:trPr/>
        <w:tc>
          <w:tcPr>
            <w:tcW w:w="8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f4e4ca3a01a4d07be4897dce07f9a6e_100">
              <w:r>
                <w:rPr>
                  <w:rStyle w:val="InternetLink"/>
                  <w:rFonts w:ascii="Times New Roman;sans-serif" w:hAnsi="Times New Roman;sans-serif"/>
                  <w:b w:val="false"/>
                  <w:color w:val="0000FF"/>
                  <w:sz w:val="20"/>
                  <w:u w:val="single"/>
                </w:rPr>
                <w:t>Item 2.</w:t>
              </w:r>
            </w:hyperlink>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f4e4ca3a01a4d07be4897dce07f9a6e_100">
              <w:r>
                <w:rPr>
                  <w:rStyle w:val="InternetLink"/>
                  <w:rFonts w:ascii="Times New Roman;sans-serif" w:hAnsi="Times New Roman;sans-serif"/>
                  <w:b w:val="false"/>
                  <w:color w:val="0000FF"/>
                  <w:sz w:val="20"/>
                  <w:u w:val="single"/>
                </w:rPr>
                <w:t>Unregistered Sales of Equity Securities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f4e4ca3a01a4d07be4897dce07f9a6e_100">
              <w:r>
                <w:rPr>
                  <w:rStyle w:val="InternetLink"/>
                  <w:rFonts w:ascii="Times New Roman;sans-serif" w:hAnsi="Times New Roman;sans-serif"/>
                  <w:b w:val="false"/>
                  <w:color w:val="0000FF"/>
                  <w:sz w:val="20"/>
                  <w:u w:val="single"/>
                </w:rPr>
                <w:t>70</w:t>
              </w:r>
            </w:hyperlink>
          </w:p>
        </w:tc>
      </w:tr>
      <w:tr>
        <w:trPr/>
        <w:tc>
          <w:tcPr>
            <w:tcW w:w="8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f4e4ca3a01a4d07be4897dce07f9a6e_103">
              <w:r>
                <w:rPr>
                  <w:rStyle w:val="InternetLink"/>
                  <w:rFonts w:ascii="Times New Roman;sans-serif" w:hAnsi="Times New Roman;sans-serif"/>
                  <w:b w:val="false"/>
                  <w:color w:val="0000FF"/>
                  <w:sz w:val="20"/>
                  <w:u w:val="single"/>
                </w:rPr>
                <w:t>Item 3.</w:t>
              </w:r>
            </w:hyperlink>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f4e4ca3a01a4d07be4897dce07f9a6e_103">
              <w:r>
                <w:rPr>
                  <w:rStyle w:val="InternetLink"/>
                  <w:rFonts w:ascii="Times New Roman;sans-serif" w:hAnsi="Times New Roman;sans-serif"/>
                  <w:b w:val="false"/>
                  <w:color w:val="0000FF"/>
                  <w:sz w:val="20"/>
                  <w:u w:val="single"/>
                </w:rPr>
                <w:t>Defaults Upon Senior Securities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f4e4ca3a01a4d07be4897dce07f9a6e_103">
              <w:r>
                <w:rPr>
                  <w:rStyle w:val="InternetLink"/>
                  <w:rFonts w:ascii="Times New Roman;sans-serif" w:hAnsi="Times New Roman;sans-serif"/>
                  <w:b w:val="false"/>
                  <w:color w:val="0000FF"/>
                  <w:sz w:val="20"/>
                  <w:u w:val="single"/>
                </w:rPr>
                <w:t>71</w:t>
              </w:r>
            </w:hyperlink>
          </w:p>
        </w:tc>
      </w:tr>
      <w:tr>
        <w:trPr/>
        <w:tc>
          <w:tcPr>
            <w:tcW w:w="8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f4e4ca3a01a4d07be4897dce07f9a6e_106">
              <w:r>
                <w:rPr>
                  <w:rStyle w:val="InternetLink"/>
                  <w:rFonts w:ascii="Times New Roman;sans-serif" w:hAnsi="Times New Roman;sans-serif"/>
                  <w:b w:val="false"/>
                  <w:color w:val="0000FF"/>
                  <w:sz w:val="20"/>
                  <w:u w:val="single"/>
                </w:rPr>
                <w:t>Item 4.</w:t>
              </w:r>
            </w:hyperlink>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f4e4ca3a01a4d07be4897dce07f9a6e_106">
              <w:r>
                <w:rPr>
                  <w:rStyle w:val="InternetLink"/>
                  <w:rFonts w:ascii="Times New Roman;sans-serif" w:hAnsi="Times New Roman;sans-serif"/>
                  <w:b w:val="false"/>
                  <w:color w:val="0000FF"/>
                  <w:sz w:val="20"/>
                  <w:u w:val="single"/>
                </w:rPr>
                <w:t>Mine Safety Disclosure</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f4e4ca3a01a4d07be4897dce07f9a6e_106">
              <w:r>
                <w:rPr>
                  <w:rStyle w:val="InternetLink"/>
                  <w:rFonts w:ascii="Times New Roman;sans-serif" w:hAnsi="Times New Roman;sans-serif"/>
                  <w:b w:val="false"/>
                  <w:color w:val="0000FF"/>
                  <w:sz w:val="20"/>
                  <w:u w:val="single"/>
                </w:rPr>
                <w:t>71</w:t>
              </w:r>
            </w:hyperlink>
          </w:p>
        </w:tc>
      </w:tr>
      <w:tr>
        <w:trPr/>
        <w:tc>
          <w:tcPr>
            <w:tcW w:w="8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f4e4ca3a01a4d07be4897dce07f9a6e_109">
              <w:r>
                <w:rPr>
                  <w:rStyle w:val="InternetLink"/>
                  <w:rFonts w:ascii="Times New Roman;sans-serif" w:hAnsi="Times New Roman;sans-serif"/>
                  <w:b w:val="false"/>
                  <w:color w:val="0000FF"/>
                  <w:sz w:val="20"/>
                  <w:u w:val="single"/>
                </w:rPr>
                <w:t>Item 5.</w:t>
              </w:r>
            </w:hyperlink>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f4e4ca3a01a4d07be4897dce07f9a6e_109">
              <w:r>
                <w:rPr>
                  <w:rStyle w:val="InternetLink"/>
                  <w:rFonts w:ascii="Times New Roman;sans-serif" w:hAnsi="Times New Roman;sans-serif"/>
                  <w:b w:val="false"/>
                  <w:color w:val="0000FF"/>
                  <w:sz w:val="20"/>
                  <w:u w:val="single"/>
                </w:rPr>
                <w:t>Other Information</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f4e4ca3a01a4d07be4897dce07f9a6e_109">
              <w:r>
                <w:rPr>
                  <w:rStyle w:val="InternetLink"/>
                  <w:rFonts w:ascii="Times New Roman;sans-serif" w:hAnsi="Times New Roman;sans-serif"/>
                  <w:b w:val="false"/>
                  <w:color w:val="0000FF"/>
                  <w:sz w:val="20"/>
                  <w:u w:val="single"/>
                </w:rPr>
                <w:t>71</w:t>
              </w:r>
            </w:hyperlink>
          </w:p>
        </w:tc>
      </w:tr>
      <w:tr>
        <w:trPr/>
        <w:tc>
          <w:tcPr>
            <w:tcW w:w="82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f4e4ca3a01a4d07be4897dce07f9a6e_112">
              <w:r>
                <w:rPr>
                  <w:rStyle w:val="InternetLink"/>
                  <w:rFonts w:ascii="Times New Roman;sans-serif" w:hAnsi="Times New Roman;sans-serif"/>
                  <w:b w:val="false"/>
                  <w:color w:val="0000FF"/>
                  <w:sz w:val="20"/>
                  <w:u w:val="single"/>
                </w:rPr>
                <w:t>Item 6.</w:t>
              </w:r>
            </w:hyperlink>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0f4e4ca3a01a4d07be4897dce07f9a6e_112">
              <w:r>
                <w:rPr>
                  <w:rStyle w:val="InternetLink"/>
                  <w:rFonts w:ascii="Times New Roman;sans-serif" w:hAnsi="Times New Roman;sans-serif"/>
                  <w:b w:val="false"/>
                  <w:color w:val="0000FF"/>
                  <w:sz w:val="20"/>
                  <w:u w:val="single"/>
                </w:rPr>
                <w:t>Exhibits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0f4e4ca3a01a4d07be4897dce07f9a6e_112">
              <w:r>
                <w:rPr>
                  <w:rStyle w:val="InternetLink"/>
                  <w:rFonts w:ascii="Times New Roman;sans-serif" w:hAnsi="Times New Roman;sans-serif"/>
                  <w:b w:val="false"/>
                  <w:color w:val="0000FF"/>
                  <w:sz w:val="20"/>
                  <w:u w:val="single"/>
                </w:rPr>
                <w:t>72</w:t>
              </w:r>
            </w:hyperlink>
          </w:p>
        </w:tc>
      </w:tr>
      <w:tr>
        <w:trPr/>
        <w:tc>
          <w:tcPr>
            <w:tcW w:w="8561" w:type="dxa"/>
            <w:gridSpan w:val="9"/>
            <w:tcBorders/>
            <w:shd w:fill="auto" w:val="clear"/>
            <w:tcMar>
              <w:top w:w="0" w:type="dxa"/>
              <w:left w:w="0" w:type="dxa"/>
              <w:bottom w:w="0" w:type="dxa"/>
              <w:right w:w="0" w:type="dxa"/>
            </w:tcMar>
            <w:vAlign w:val="center"/>
          </w:tcPr>
          <w:p>
            <w:pPr>
              <w:pStyle w:val="TableContents"/>
              <w:spacing w:lineRule="auto" w:line="240" w:before="0" w:after="0"/>
              <w:jc w:val="left"/>
              <w:rPr/>
            </w:pPr>
            <w:r>
              <w:rPr>
                <w:color w:val="000000"/>
              </w:rPr>
              <w:t>                                        </w:t>
            </w:r>
            <w:hyperlink w:anchor="i0f4e4ca3a01a4d07be4897dce07f9a6e_115">
              <w:r>
                <w:rPr>
                  <w:rStyle w:val="InternetLink"/>
                  <w:rFonts w:ascii="Times New Roman;sans-serif" w:hAnsi="Times New Roman;sans-serif"/>
                  <w:b w:val="false"/>
                  <w:color w:val="0000FF"/>
                  <w:sz w:val="20"/>
                  <w:u w:val="single"/>
                </w:rPr>
                <w:t>Signatures</w:t>
              </w:r>
            </w:hyperlink>
          </w:p>
        </w:tc>
      </w:tr>
    </w:tbl>
    <w:p>
      <w:pPr>
        <w:pStyle w:val="TextBody"/>
        <w:spacing w:before="0" w:after="180"/>
        <w:rPr/>
      </w:pPr>
      <w:r>
        <w:rPr/>
      </w: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692265" cy="175260"/>
                <wp:effectExtent l="0" t="0" r="0" b="0"/>
                <wp:wrapNone/>
                <wp:docPr id="2" name="Frame2"/>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18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rPr/>
                      </w:pPr>
                      <w:r>
                        <w:rPr/>
                      </w:r>
                    </w:p>
                  </w:txbxContent>
                </v:textbox>
              </v:rect>
            </w:pict>
          </mc:Fallback>
        </mc:AlternateContent>
      </w:r>
    </w:p>
    <w:p>
      <w:pPr>
        <w:pStyle w:val="TextBody"/>
        <w:spacing w:before="0" w:after="180"/>
        <w:rPr/>
      </w:pPr>
      <w:r>
        <w:rPr/>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(“Quarterly Report”) contains forward-looking statements. All statements other than statements of historical facts contained in this Quarterly Report, including statements regarding our future results of operations and financial position, business strategy, commercial activities and costs, research and development costs,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Quarterly Report include, but are not limited to, statements about: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estimates of our addressable market, market growth, key performance indicators, capital requirements and our needs for additional financing;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expectations regarding our financial performance, including among others, revenue, cost of revenue, gross profit, operating expenses, loss from operations and net losses;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ability to successfully implement our commercialization strategy and attract customers, including our plans for international expansion;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implementation of our business model, strategic plans and expected pricing for the Proteograph™ Product Suite;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expectations regarding the rate and degree of market acceptance of the Proteograph Product Suite;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impact of the Proteograph Product Suite on the field of proteomics and the size and growth of the addressable proteomics market;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competitive companies and technologies and our industry;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ability to manage and grow our business;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ability to develop and commercialize new products;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ability to establish and maintain intellectual property protection for our products or avoid or defend claims of infringement;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performance of third-party manufacturers and suppliers;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potential effects of government regulation;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ability to hire and retain key personnel and to manage our future growth effectively;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volatility of the trading price of our Class A common stock;</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benefits of the PrognomiQ, Inc. transaction;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impact of local, regional, and national and international economic conditions and events;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impact of macroeconomic factors, such as pandemics, inflation, supply chain interruptions and foreign hostilities, on our business;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expectations about market trends.</w:t>
      </w: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692265" cy="175260"/>
                <wp:effectExtent l="0" t="0" r="0" b="0"/>
                <wp:wrapNone/>
                <wp:docPr id="3" name="Frame3"/>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18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rPr/>
                      </w:pPr>
                      <w:r>
                        <w:rPr/>
                      </w:r>
                    </w:p>
                  </w:txbxContent>
                </v:textbox>
              </v:rect>
            </w:pict>
          </mc:Fallback>
        </mc:AlternateContent>
      </w:r>
    </w:p>
    <w:p>
      <w:pPr>
        <w:pStyle w:val="TextBody"/>
        <w:spacing w:before="0" w:after="18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and are subject to a number of risks, uncertainties and assumptions described in the section titled “Risk Factors” and elsewhere in this Quarterly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undertake no obligation to update or revise any forward-looking statements contained herein to reflect events or circumstances after the date of this Quarterly Report, whether as a result of any new information, future events or otherwise.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692265" cy="175260"/>
                <wp:effectExtent l="0" t="0" r="0" b="0"/>
                <wp:wrapNone/>
                <wp:docPr id="4" name="Frame4"/>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18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rPr/>
                      </w:pPr>
                      <w:r>
                        <w:rPr/>
                      </w:r>
                    </w:p>
                  </w:txbxContent>
                </v:textbox>
              </v:rect>
            </w:pict>
          </mc:Fallback>
        </mc:AlternateContent>
      </w:r>
    </w:p>
    <w:p>
      <w:pPr>
        <w:pStyle w:val="TextBody"/>
        <w:spacing w:before="0" w:after="180"/>
        <w:jc w:val="center"/>
        <w:rPr/>
      </w:pPr>
      <w:r>
        <w:rPr/>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PART I—FINANCIAL INFORMATION</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192" w:before="0" w:after="100"/>
        <w:jc w:val="center"/>
        <w:rPr>
          <w:rFonts w:ascii="Times New Roman;sans-serif" w:hAnsi="Times New Roman;sans-serif"/>
          <w:b/>
          <w:color w:val="000000"/>
          <w:sz w:val="20"/>
        </w:rPr>
      </w:pPr>
      <w:r>
        <w:rPr>
          <w:rFonts w:ascii="Times New Roman;sans-serif" w:hAnsi="Times New Roman;sans-serif"/>
          <w:b/>
          <w:color w:val="000000"/>
          <w:sz w:val="20"/>
        </w:rPr>
        <w:t>SEER, INC.</w:t>
      </w:r>
    </w:p>
    <w:p>
      <w:pPr>
        <w:pStyle w:val="TextBody"/>
        <w:spacing w:lineRule="auto" w:line="192" w:before="0" w:after="10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Balance Sheets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192" w:before="0" w:after="0"/>
        <w:jc w:val="center"/>
        <w:rPr>
          <w:rFonts w:ascii="Times New Roman;sans-serif" w:hAnsi="Times New Roman;sans-serif"/>
          <w:b/>
          <w:i/>
          <w:color w:val="000000"/>
          <w:sz w:val="20"/>
        </w:rPr>
      </w:pPr>
      <w:r>
        <w:rPr>
          <w:rFonts w:ascii="Times New Roman;sans-serif" w:hAnsi="Times New Roman;sans-serif"/>
          <w:b/>
          <w:i/>
          <w:color w:val="000000"/>
          <w:sz w:val="20"/>
        </w:rPr>
        <w:t>(in thousands, except share and per share amounts)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tbl>
      <w:tblPr>
        <w:tblW w:w="10539" w:type="dxa"/>
        <w:jc w:val="center"/>
        <w:tblInd w:w="0" w:type="dxa"/>
        <w:tblCellMar>
          <w:top w:w="28" w:type="dxa"/>
          <w:left w:w="28" w:type="dxa"/>
          <w:bottom w:w="28" w:type="dxa"/>
          <w:right w:w="28" w:type="dxa"/>
        </w:tblCellMar>
      </w:tblPr>
      <w:tblGrid>
        <w:gridCol w:w="3036"/>
        <w:gridCol w:w="2351"/>
        <w:gridCol w:w="2348"/>
        <w:gridCol w:w="196"/>
        <w:gridCol w:w="736"/>
        <w:gridCol w:w="109"/>
        <w:gridCol w:w="109"/>
        <w:gridCol w:w="109"/>
        <w:gridCol w:w="109"/>
        <w:gridCol w:w="200"/>
        <w:gridCol w:w="751"/>
        <w:gridCol w:w="111"/>
        <w:gridCol w:w="109"/>
        <w:gridCol w:w="109"/>
        <w:gridCol w:w="156"/>
      </w:tblGrid>
      <w:tr>
        <w:trPr/>
        <w:tc>
          <w:tcPr>
            <w:tcW w:w="3036" w:type="dxa"/>
            <w:tcBorders/>
            <w:shd w:fill="auto" w:val="clear"/>
            <w:vAlign w:val="center"/>
          </w:tcPr>
          <w:p>
            <w:pPr>
              <w:pStyle w:val="TableContents"/>
              <w:spacing w:before="0" w:after="283"/>
              <w:rPr>
                <w:sz w:val="4"/>
                <w:szCs w:val="4"/>
              </w:rPr>
            </w:pPr>
            <w:r>
              <w:rPr>
                <w:sz w:val="4"/>
                <w:szCs w:val="4"/>
              </w:rPr>
            </w:r>
          </w:p>
        </w:tc>
        <w:tc>
          <w:tcPr>
            <w:tcW w:w="2351" w:type="dxa"/>
            <w:tcBorders/>
            <w:shd w:fill="auto" w:val="clear"/>
            <w:vAlign w:val="center"/>
          </w:tcPr>
          <w:p>
            <w:pPr>
              <w:pStyle w:val="TableContents"/>
              <w:spacing w:before="0" w:after="283"/>
              <w:rPr>
                <w:sz w:val="4"/>
                <w:szCs w:val="4"/>
              </w:rPr>
            </w:pPr>
            <w:r>
              <w:rPr>
                <w:sz w:val="4"/>
                <w:szCs w:val="4"/>
              </w:rPr>
            </w:r>
          </w:p>
        </w:tc>
        <w:tc>
          <w:tcPr>
            <w:tcW w:w="234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3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48,386 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53,208 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Short-term investments</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303,708 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368,031 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4,315 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Related party receivables</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1,804 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receivables</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899 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Inventory</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4,627 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2,098 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367,375 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434,982 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investments</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58,416 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5,157 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right-of-use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27,003 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net</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19,408 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855 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3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472,787 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487,929 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3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color w:val="000000"/>
                <w:sz w:val="16"/>
              </w:rPr>
            </w:pPr>
            <w:r>
              <w:rPr>
                <w:rFonts w:ascii="Times New Roman;sans-serif" w:hAnsi="Times New Roman;sans-serif"/>
                <w:b/>
                <w:color w:val="000000"/>
                <w:sz w:val="16"/>
              </w:rPr>
              <w:t>LIABILITIES AND STOCKHOLDERS’ EQUITY</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2,104 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8,298 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 current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1,842 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liabilities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12,584 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 net of current portion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28,032 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noncurrent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40,936 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Commitments and contingencies (Note 9)</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Stockholders’ equity:</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35" w:type="dxa"/>
            <w:gridSpan w:val="3"/>
            <w:tcBorders/>
            <w:shd w:fill="FFFFFF" w:val="clear"/>
            <w:tcMar>
              <w:top w:w="0" w:type="dxa"/>
              <w:left w:w="0" w:type="dxa"/>
              <w:bottom w:w="0" w:type="dxa"/>
              <w:right w:w="0" w:type="dxa"/>
            </w:tcMar>
            <w:vAlign w:val="center"/>
          </w:tcPr>
          <w:p>
            <w:pPr>
              <w:pStyle w:val="TableContents"/>
              <w:spacing w:lineRule="auto" w:line="240" w:before="0" w:after="18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Preferred stock, $0.00001 par value; 5,000,000 shares authorized as of March 31, 2023 and December 31, 2022; zero shares issued and outstanding as of March 31, 2023 and December 31, 2022</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3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Class A common stock, $0.00001 par value; 94,000,000 shares authorized as of March 31, 2023 and December 31, 2022; 59,694,350 and 59,366,077 shares issued and outstanding as of March 31, 2023 and December 31, 2022, respectively</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35" w:type="dxa"/>
            <w:gridSpan w:val="3"/>
            <w:tcBorders/>
            <w:shd w:fill="FFFFFF" w:val="clear"/>
            <w:tcMar>
              <w:top w:w="0" w:type="dxa"/>
              <w:left w:w="0" w:type="dxa"/>
              <w:bottom w:w="0" w:type="dxa"/>
              <w:right w:w="0" w:type="dxa"/>
            </w:tcMar>
            <w:vAlign w:val="center"/>
          </w:tcPr>
          <w:p>
            <w:pPr>
              <w:pStyle w:val="TableContents"/>
              <w:spacing w:lineRule="auto" w:line="240" w:before="0" w:after="18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Class B common stock, $0.00001 par value; 6,000,000 shares authorized as of March 31, 2023 and December 31, 2022; 4,044,969 and 4,044,969 shares issued and outstanding as of March 31, 2023 and December 31, 2022, respectively </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676,536 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667,739 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loss</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(1,251)</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deficit</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(243,455)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(219,496)</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stockholders’ equity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432,989 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446,993 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and stockholders’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472,787 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487,929 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72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692265" cy="146685"/>
                <wp:effectExtent l="0" t="0" r="0" b="0"/>
                <wp:wrapNone/>
                <wp:docPr id="5" name="Frame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SEER,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Operations and Comprehensive Loss </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180"/>
        <w:jc w:val="center"/>
        <w:rPr>
          <w:rFonts w:ascii="Times New Roman;sans-serif" w:hAnsi="Times New Roman;sans-serif"/>
          <w:b/>
          <w:i/>
          <w:color w:val="000000"/>
          <w:sz w:val="20"/>
        </w:rPr>
      </w:pPr>
      <w:r>
        <w:rPr>
          <w:rFonts w:ascii="Times New Roman;sans-serif" w:hAnsi="Times New Roman;sans-serif"/>
          <w:b/>
          <w:i/>
          <w:color w:val="000000"/>
          <w:sz w:val="20"/>
        </w:rPr>
        <w:t>(in thousands, except share and per share amounts)</w:t>
      </w:r>
    </w:p>
    <w:tbl>
      <w:tblPr>
        <w:tblW w:w="9123" w:type="dxa"/>
        <w:jc w:val="center"/>
        <w:tblInd w:w="0" w:type="dxa"/>
        <w:tblCellMar>
          <w:top w:w="28" w:type="dxa"/>
          <w:left w:w="28" w:type="dxa"/>
          <w:bottom w:w="28" w:type="dxa"/>
          <w:right w:w="28" w:type="dxa"/>
        </w:tblCellMar>
      </w:tblPr>
      <w:tblGrid>
        <w:gridCol w:w="2183"/>
        <w:gridCol w:w="1926"/>
        <w:gridCol w:w="1935"/>
        <w:gridCol w:w="240"/>
        <w:gridCol w:w="841"/>
        <w:gridCol w:w="109"/>
        <w:gridCol w:w="109"/>
        <w:gridCol w:w="109"/>
        <w:gridCol w:w="109"/>
        <w:gridCol w:w="240"/>
        <w:gridCol w:w="841"/>
        <w:gridCol w:w="109"/>
        <w:gridCol w:w="109"/>
        <w:gridCol w:w="109"/>
        <w:gridCol w:w="154"/>
      </w:tblGrid>
      <w:tr>
        <w:trPr/>
        <w:tc>
          <w:tcPr>
            <w:tcW w:w="2183" w:type="dxa"/>
            <w:tcBorders/>
            <w:shd w:fill="auto" w:val="clear"/>
            <w:vAlign w:val="center"/>
          </w:tcPr>
          <w:p>
            <w:pPr>
              <w:pStyle w:val="TableContents"/>
              <w:spacing w:before="0" w:after="283"/>
              <w:rPr>
                <w:sz w:val="4"/>
                <w:szCs w:val="4"/>
              </w:rPr>
            </w:pPr>
            <w:r>
              <w:rPr>
                <w:sz w:val="4"/>
                <w:szCs w:val="4"/>
              </w:rPr>
            </w:r>
          </w:p>
        </w:tc>
        <w:tc>
          <w:tcPr>
            <w:tcW w:w="1926" w:type="dxa"/>
            <w:tcBorders/>
            <w:shd w:fill="auto" w:val="clear"/>
            <w:vAlign w:val="center"/>
          </w:tcPr>
          <w:p>
            <w:pPr>
              <w:pStyle w:val="TableContents"/>
              <w:spacing w:before="0" w:after="283"/>
              <w:rPr>
                <w:sz w:val="4"/>
                <w:szCs w:val="4"/>
              </w:rPr>
            </w:pPr>
            <w:r>
              <w:rPr>
                <w:sz w:val="4"/>
                <w:szCs w:val="4"/>
              </w:rPr>
            </w:r>
          </w:p>
        </w:tc>
        <w:tc>
          <w:tcPr>
            <w:tcW w:w="1935"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 and other</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1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 and other</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1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available-for-sale securities</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common stockholders, basic and diluted</w:t>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basic and diluted</w:t>
            </w:r>
          </w:p>
        </w:tc>
        <w:tc>
          <w:tcPr>
            <w:tcW w:w="108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63,543,094 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8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62,003,504 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pStyle w:val="TextBody"/>
        <w:spacing w:before="0" w:after="180"/>
        <w:rPr/>
      </w:pPr>
      <w:r>
        <w:rPr/>
      </w:r>
    </w:p>
    <w:p>
      <w:pPr>
        <w:pStyle w:val="TextBody"/>
        <w:spacing w:before="0" w:after="180"/>
        <w:rPr/>
      </w:pPr>
      <w:r>
        <w:rPr/>
      </w:r>
    </w:p>
    <w:p>
      <w:pPr>
        <w:pStyle w:val="TextBody"/>
        <w:spacing w:before="0" w:after="180"/>
        <w:rPr/>
      </w:pPr>
      <w:r>
        <w:rPr/>
      </w:r>
    </w:p>
    <w:p>
      <w:pPr>
        <w:pStyle w:val="TextBody"/>
        <w:spacing w:before="0" w:after="180"/>
        <w:rPr/>
      </w:pPr>
      <w:r>
        <w:rPr/>
      </w:r>
    </w:p>
    <w:p>
      <w:pPr>
        <w:pStyle w:val="TextBody"/>
        <w:spacing w:before="0" w:after="18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692265" cy="146685"/>
                <wp:effectExtent l="0" t="0" r="0" b="0"/>
                <wp:wrapNone/>
                <wp:docPr id="6" name="Frame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SEER,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Changes in Stockholders’ Equity </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180"/>
        <w:jc w:val="center"/>
        <w:rPr>
          <w:rFonts w:ascii="Times New Roman;sans-serif" w:hAnsi="Times New Roman;sans-serif"/>
          <w:b/>
          <w:i/>
          <w:color w:val="000000"/>
          <w:sz w:val="20"/>
        </w:rPr>
      </w:pPr>
      <w:r>
        <w:rPr>
          <w:rFonts w:ascii="Times New Roman;sans-serif" w:hAnsi="Times New Roman;sans-serif"/>
          <w:b/>
          <w:i/>
          <w:color w:val="000000"/>
          <w:sz w:val="20"/>
        </w:rPr>
        <w:t>(in thousands, except share amounts)</w:t>
      </w:r>
    </w:p>
    <w:p>
      <w:pPr>
        <w:pStyle w:val="TextBody"/>
        <w:spacing w:before="0" w:after="0"/>
        <w:jc w:val="center"/>
        <w:rPr/>
      </w:pPr>
      <w:r>
        <w:rPr/>
      </w:r>
    </w:p>
    <w:p>
      <w:pPr>
        <w:pStyle w:val="TextBody"/>
        <w:spacing w:before="0" w:after="180"/>
        <w:rPr/>
      </w:pPr>
      <w:r>
        <w:rPr/>
      </w:r>
    </w:p>
    <w:tbl>
      <w:tblPr>
        <w:tblW w:w="10539" w:type="dxa"/>
        <w:jc w:val="left"/>
        <w:tblInd w:w="0" w:type="dxa"/>
        <w:tblCellMar>
          <w:top w:w="28" w:type="dxa"/>
          <w:left w:w="28" w:type="dxa"/>
          <w:bottom w:w="28" w:type="dxa"/>
          <w:right w:w="28" w:type="dxa"/>
        </w:tblCellMar>
      </w:tblPr>
      <w:tblGrid>
        <w:gridCol w:w="926"/>
        <w:gridCol w:w="557"/>
        <w:gridCol w:w="559"/>
        <w:gridCol w:w="480"/>
        <w:gridCol w:w="481"/>
        <w:gridCol w:w="196"/>
        <w:gridCol w:w="113"/>
        <w:gridCol w:w="113"/>
        <w:gridCol w:w="113"/>
        <w:gridCol w:w="250"/>
        <w:gridCol w:w="307"/>
        <w:gridCol w:w="134"/>
        <w:gridCol w:w="109"/>
        <w:gridCol w:w="109"/>
        <w:gridCol w:w="109"/>
        <w:gridCol w:w="223"/>
        <w:gridCol w:w="838"/>
        <w:gridCol w:w="124"/>
        <w:gridCol w:w="109"/>
        <w:gridCol w:w="109"/>
        <w:gridCol w:w="109"/>
        <w:gridCol w:w="207"/>
        <w:gridCol w:w="809"/>
        <w:gridCol w:w="115"/>
        <w:gridCol w:w="109"/>
        <w:gridCol w:w="109"/>
        <w:gridCol w:w="109"/>
        <w:gridCol w:w="356"/>
        <w:gridCol w:w="1037"/>
        <w:gridCol w:w="199"/>
        <w:gridCol w:w="109"/>
        <w:gridCol w:w="109"/>
        <w:gridCol w:w="109"/>
        <w:gridCol w:w="196"/>
        <w:gridCol w:w="736"/>
        <w:gridCol w:w="162"/>
      </w:tblGrid>
      <w:tr>
        <w:trPr/>
        <w:tc>
          <w:tcPr>
            <w:tcW w:w="926"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838"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1037"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0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7"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Class A and Class B</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 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2"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0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2"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04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2022</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63,411,046 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667,739 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(219,496)</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(1,251)</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446,993 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42"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Class A common stock from exercise of options and release of restricted stock units</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328,273 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62"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04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Vesting of early exercised stock options and restricted</w:t>
            </w:r>
          </w:p>
          <w:p>
            <w:pPr>
              <w:pStyle w:val="TableContents"/>
              <w:spacing w:lineRule="auto" w:line="240" w:before="0" w:after="0"/>
              <w:jc w:val="left"/>
              <w:rPr>
                <w:color w:val="000000"/>
              </w:rPr>
            </w:pPr>
            <w:r>
              <w:rPr>
                <w:color w:val="000000"/>
              </w:rPr>
              <w:t>    </w:t>
            </w:r>
            <w:r>
              <w:rPr>
                <w:rFonts w:ascii="Times New Roman;sans-serif" w:hAnsi="Times New Roman;sans-serif"/>
                <w:b w:val="false"/>
                <w:color w:val="000000"/>
                <w:sz w:val="18"/>
              </w:rPr>
              <w:t>common stock</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62"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0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8,724 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8,724 </w:t>
            </w:r>
          </w:p>
        </w:tc>
        <w:tc>
          <w:tcPr>
            <w:tcW w:w="162"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0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gain</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1,158 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1,158 </w:t>
            </w:r>
          </w:p>
        </w:tc>
        <w:tc>
          <w:tcPr>
            <w:tcW w:w="162"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0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(23,959)</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(23,959)</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4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March 31, 2023</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63,739,319 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676,536 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(243,455)</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432,989 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pStyle w:val="TextBody"/>
        <w:spacing w:before="0" w:after="180"/>
        <w:rPr/>
      </w:pPr>
      <w:r>
        <w:rPr/>
      </w:r>
    </w:p>
    <w:p>
      <w:pPr>
        <w:pStyle w:val="TextBody"/>
        <w:spacing w:before="0" w:after="180"/>
        <w:rPr/>
      </w:pPr>
      <w:r>
        <w:rPr/>
      </w: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692265" cy="146685"/>
                <wp:effectExtent l="0" t="0" r="0" b="0"/>
                <wp:wrapNone/>
                <wp:docPr id="7" name="Frame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SEER,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Changes in Stockholders’ Equity </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180"/>
        <w:jc w:val="center"/>
        <w:rPr>
          <w:rFonts w:ascii="Times New Roman;sans-serif" w:hAnsi="Times New Roman;sans-serif"/>
          <w:b/>
          <w:i/>
          <w:color w:val="000000"/>
          <w:sz w:val="20"/>
        </w:rPr>
      </w:pPr>
      <w:r>
        <w:rPr>
          <w:rFonts w:ascii="Times New Roman;sans-serif" w:hAnsi="Times New Roman;sans-serif"/>
          <w:b/>
          <w:i/>
          <w:color w:val="000000"/>
          <w:sz w:val="20"/>
        </w:rPr>
        <w:t>(in thousands, except share amounts)</w:t>
      </w:r>
    </w:p>
    <w:p>
      <w:pPr>
        <w:pStyle w:val="TextBody"/>
        <w:spacing w:before="0" w:after="180"/>
        <w:jc w:val="center"/>
        <w:rPr/>
      </w:pPr>
      <w:r>
        <w:rPr/>
      </w:r>
    </w:p>
    <w:p>
      <w:pPr>
        <w:pStyle w:val="TextBody"/>
        <w:spacing w:before="0" w:after="180"/>
        <w:rPr/>
      </w:pPr>
      <w:r>
        <w:rPr/>
      </w:r>
    </w:p>
    <w:p>
      <w:pPr>
        <w:pStyle w:val="TextBody"/>
        <w:spacing w:before="0" w:after="180"/>
        <w:rPr/>
      </w:pPr>
      <w:r>
        <w:rPr/>
      </w:r>
    </w:p>
    <w:tbl>
      <w:tblPr>
        <w:tblW w:w="10539" w:type="dxa"/>
        <w:jc w:val="left"/>
        <w:tblInd w:w="0" w:type="dxa"/>
        <w:tblCellMar>
          <w:top w:w="28" w:type="dxa"/>
          <w:left w:w="28" w:type="dxa"/>
          <w:bottom w:w="28" w:type="dxa"/>
          <w:right w:w="28" w:type="dxa"/>
        </w:tblCellMar>
      </w:tblPr>
      <w:tblGrid>
        <w:gridCol w:w="946"/>
        <w:gridCol w:w="579"/>
        <w:gridCol w:w="581"/>
        <w:gridCol w:w="480"/>
        <w:gridCol w:w="481"/>
        <w:gridCol w:w="196"/>
        <w:gridCol w:w="113"/>
        <w:gridCol w:w="113"/>
        <w:gridCol w:w="113"/>
        <w:gridCol w:w="250"/>
        <w:gridCol w:w="307"/>
        <w:gridCol w:w="134"/>
        <w:gridCol w:w="109"/>
        <w:gridCol w:w="109"/>
        <w:gridCol w:w="109"/>
        <w:gridCol w:w="225"/>
        <w:gridCol w:w="846"/>
        <w:gridCol w:w="125"/>
        <w:gridCol w:w="109"/>
        <w:gridCol w:w="109"/>
        <w:gridCol w:w="109"/>
        <w:gridCol w:w="208"/>
        <w:gridCol w:w="814"/>
        <w:gridCol w:w="116"/>
        <w:gridCol w:w="109"/>
        <w:gridCol w:w="109"/>
        <w:gridCol w:w="109"/>
        <w:gridCol w:w="337"/>
        <w:gridCol w:w="983"/>
        <w:gridCol w:w="188"/>
        <w:gridCol w:w="109"/>
        <w:gridCol w:w="109"/>
        <w:gridCol w:w="109"/>
        <w:gridCol w:w="196"/>
        <w:gridCol w:w="736"/>
        <w:gridCol w:w="164"/>
      </w:tblGrid>
      <w:tr>
        <w:trPr/>
        <w:tc>
          <w:tcPr>
            <w:tcW w:w="946"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84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21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7"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Class A and Class B</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 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1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8"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10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2021</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62,015,483 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629,981 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(126,530)</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502,916 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Class A common stock from exercise of options and release of restricted stock units</w:t>
            </w:r>
          </w:p>
        </w:tc>
        <w:tc>
          <w:tcPr>
            <w:tcW w:w="96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283,251 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773 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773 </w:t>
            </w:r>
          </w:p>
        </w:tc>
        <w:tc>
          <w:tcPr>
            <w:tcW w:w="16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1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Repurchase of Class A common stock </w:t>
            </w:r>
          </w:p>
        </w:tc>
        <w:tc>
          <w:tcPr>
            <w:tcW w:w="96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(5,841)</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1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early exercised stock options and restricted common stock</w:t>
            </w:r>
          </w:p>
        </w:tc>
        <w:tc>
          <w:tcPr>
            <w:tcW w:w="96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6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1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6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8,062 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8,062 </w:t>
            </w:r>
          </w:p>
        </w:tc>
        <w:tc>
          <w:tcPr>
            <w:tcW w:w="16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1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96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(1,691)</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(1,691)</w:t>
            </w:r>
          </w:p>
        </w:tc>
        <w:tc>
          <w:tcPr>
            <w:tcW w:w="16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1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96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(23,646)</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(23,646)</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March 31, 2022</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62,292,893 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638,860 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(150,176)</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(2,227)</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486,458 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692265" cy="146685"/>
                <wp:effectExtent l="0" t="0" r="0" b="0"/>
                <wp:wrapNone/>
                <wp:docPr id="8" name="Frame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SEER,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Cash Flows </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(in thousands)</w:t>
      </w:r>
    </w:p>
    <w:tbl>
      <w:tblPr>
        <w:tblW w:w="7870" w:type="dxa"/>
        <w:jc w:val="center"/>
        <w:tblInd w:w="0" w:type="dxa"/>
        <w:tblCellMar>
          <w:top w:w="28" w:type="dxa"/>
          <w:left w:w="28" w:type="dxa"/>
          <w:bottom w:w="28" w:type="dxa"/>
          <w:right w:w="28" w:type="dxa"/>
        </w:tblCellMar>
      </w:tblPr>
      <w:tblGrid>
        <w:gridCol w:w="1848"/>
        <w:gridCol w:w="1621"/>
        <w:gridCol w:w="1631"/>
        <w:gridCol w:w="196"/>
        <w:gridCol w:w="723"/>
        <w:gridCol w:w="109"/>
        <w:gridCol w:w="109"/>
        <w:gridCol w:w="109"/>
        <w:gridCol w:w="109"/>
        <w:gridCol w:w="196"/>
        <w:gridCol w:w="738"/>
        <w:gridCol w:w="109"/>
        <w:gridCol w:w="109"/>
        <w:gridCol w:w="109"/>
        <w:gridCol w:w="154"/>
      </w:tblGrid>
      <w:tr>
        <w:trPr/>
        <w:tc>
          <w:tcPr>
            <w:tcW w:w="1848" w:type="dxa"/>
            <w:tcBorders/>
            <w:shd w:fill="auto" w:val="clear"/>
            <w:vAlign w:val="center"/>
          </w:tcPr>
          <w:p>
            <w:pPr>
              <w:pStyle w:val="TableContents"/>
              <w:spacing w:before="0" w:after="283"/>
              <w:rPr>
                <w:sz w:val="4"/>
                <w:szCs w:val="4"/>
              </w:rPr>
            </w:pPr>
            <w:r>
              <w:rPr>
                <w:sz w:val="4"/>
                <w:szCs w:val="4"/>
              </w:rPr>
            </w:r>
          </w:p>
        </w:tc>
        <w:tc>
          <w:tcPr>
            <w:tcW w:w="1621" w:type="dxa"/>
            <w:tcBorders/>
            <w:shd w:fill="auto" w:val="clear"/>
            <w:vAlign w:val="center"/>
          </w:tcPr>
          <w:p>
            <w:pPr>
              <w:pStyle w:val="TableContents"/>
              <w:spacing w:before="0" w:after="283"/>
              <w:rPr>
                <w:sz w:val="4"/>
                <w:szCs w:val="4"/>
              </w:rPr>
            </w:pPr>
            <w:r>
              <w:rPr>
                <w:sz w:val="4"/>
                <w:szCs w:val="4"/>
              </w:rPr>
            </w:r>
          </w:p>
        </w:tc>
        <w:tc>
          <w:tcPr>
            <w:tcW w:w="163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8"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OPERATING ACTIVITIES</w:t>
            </w:r>
          </w:p>
        </w:tc>
        <w:tc>
          <w:tcPr>
            <w:tcW w:w="10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(23,959)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(23,646)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loss to net cash used in operating activities:</w:t>
            </w:r>
          </w:p>
        </w:tc>
        <w:tc>
          <w:tcPr>
            <w:tcW w:w="10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1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91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disposal of property and equipment</w:t>
            </w:r>
          </w:p>
        </w:tc>
        <w:tc>
          <w:tcPr>
            <w:tcW w:w="91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amortization of premium on available-for-sale securities</w:t>
            </w:r>
          </w:p>
        </w:tc>
        <w:tc>
          <w:tcPr>
            <w:tcW w:w="91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inventory excess and obsolescence</w:t>
            </w:r>
          </w:p>
        </w:tc>
        <w:tc>
          <w:tcPr>
            <w:tcW w:w="91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operating lease expense</w:t>
            </w:r>
          </w:p>
        </w:tc>
        <w:tc>
          <w:tcPr>
            <w:tcW w:w="91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10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w:t>
            </w:r>
          </w:p>
        </w:tc>
        <w:tc>
          <w:tcPr>
            <w:tcW w:w="91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Related party receivables</w:t>
            </w:r>
          </w:p>
        </w:tc>
        <w:tc>
          <w:tcPr>
            <w:tcW w:w="91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receivables</w:t>
            </w:r>
          </w:p>
        </w:tc>
        <w:tc>
          <w:tcPr>
            <w:tcW w:w="91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91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Inventory</w:t>
            </w:r>
          </w:p>
        </w:tc>
        <w:tc>
          <w:tcPr>
            <w:tcW w:w="91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91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91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91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w:t>
            </w:r>
          </w:p>
        </w:tc>
        <w:tc>
          <w:tcPr>
            <w:tcW w:w="91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auto" w:val="clear"/>
            <w:vAlign w:val="center"/>
          </w:tcPr>
          <w:p>
            <w:pPr>
              <w:pStyle w:val="TableContents"/>
              <w:spacing w:before="0" w:after="283"/>
              <w:rPr>
                <w:sz w:val="4"/>
                <w:szCs w:val="4"/>
              </w:rPr>
            </w:pPr>
            <w:r>
              <w:rPr>
                <w:sz w:val="4"/>
                <w:szCs w:val="4"/>
              </w:rPr>
            </w:r>
          </w:p>
        </w:tc>
        <w:tc>
          <w:tcPr>
            <w:tcW w:w="102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3"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liabilities</w:t>
            </w:r>
          </w:p>
        </w:tc>
        <w:tc>
          <w:tcPr>
            <w:tcW w:w="91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noncurrent liabilities</w:t>
            </w:r>
          </w:p>
        </w:tc>
        <w:tc>
          <w:tcPr>
            <w:tcW w:w="91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operating activities</w:t>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INVESTING ACTIVITIES</w:t>
            </w:r>
          </w:p>
        </w:tc>
        <w:tc>
          <w:tcPr>
            <w:tcW w:w="102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w:t>
            </w:r>
          </w:p>
        </w:tc>
        <w:tc>
          <w:tcPr>
            <w:tcW w:w="91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available-for-sale securities</w:t>
            </w:r>
          </w:p>
        </w:tc>
        <w:tc>
          <w:tcPr>
            <w:tcW w:w="91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(134,520)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available-for-sale securities</w:t>
            </w:r>
          </w:p>
        </w:tc>
        <w:tc>
          <w:tcPr>
            <w:tcW w:w="91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maturities of available-for-sale securities</w:t>
            </w:r>
          </w:p>
        </w:tc>
        <w:tc>
          <w:tcPr>
            <w:tcW w:w="91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146,130 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investing activities</w:t>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FINANCING ACTIVITIES</w:t>
            </w:r>
          </w:p>
        </w:tc>
        <w:tc>
          <w:tcPr>
            <w:tcW w:w="102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Class A common stock</w:t>
            </w:r>
          </w:p>
        </w:tc>
        <w:tc>
          <w:tcPr>
            <w:tcW w:w="91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exercise of Class A common stock options</w:t>
            </w:r>
          </w:p>
        </w:tc>
        <w:tc>
          <w:tcPr>
            <w:tcW w:w="91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financing activities</w:t>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decrease in cash, cash equivalents and restricted cash</w:t>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beginning of period</w:t>
            </w:r>
          </w:p>
        </w:tc>
        <w:tc>
          <w:tcPr>
            <w:tcW w:w="91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53,732 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233,337 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225,858 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88" w:before="0" w:after="180"/>
              <w:ind w:left="0" w:right="0" w:hanging="180"/>
              <w:jc w:val="left"/>
              <w:rPr>
                <w:rFonts w:ascii="Times New Roman;sans-serif" w:hAnsi="Times New Roman;sans-serif"/>
                <w:b/>
                <w:color w:val="000000"/>
                <w:sz w:val="16"/>
              </w:rPr>
            </w:pPr>
            <w:r>
              <w:rPr>
                <w:rFonts w:ascii="Times New Roman;sans-serif" w:hAnsi="Times New Roman;sans-serif"/>
                <w:b/>
                <w:color w:val="000000"/>
                <w:sz w:val="16"/>
              </w:rPr>
              <w:t>SUPPLEMENTAL DISCLOSURE OF NON-CASH ACTIVITIES</w:t>
            </w:r>
          </w:p>
        </w:tc>
        <w:tc>
          <w:tcPr>
            <w:tcW w:w="10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purchases included in accounts payable</w:t>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purchases included in accrued expenses</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3"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8"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Inventory transferred to property and equipment</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3"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8"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liability obtained in exchange for right-of-use assets</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6,855 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auto" w:val="clear"/>
            <w:vAlign w:val="center"/>
          </w:tcPr>
          <w:p>
            <w:pPr>
              <w:pStyle w:val="TableContents"/>
              <w:spacing w:before="0" w:after="283"/>
              <w:rPr>
                <w:sz w:val="4"/>
                <w:szCs w:val="4"/>
              </w:rPr>
            </w:pPr>
            <w:r>
              <w:rPr>
                <w:sz w:val="4"/>
                <w:szCs w:val="4"/>
              </w:rPr>
            </w:r>
          </w:p>
        </w:tc>
        <w:tc>
          <w:tcPr>
            <w:tcW w:w="102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3"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5100" w:type="dxa"/>
            <w:gridSpan w:val="3"/>
            <w:tcBorders/>
            <w:shd w:fill="auto" w:val="clear"/>
            <w:vAlign w:val="center"/>
          </w:tcPr>
          <w:p>
            <w:pPr>
              <w:pStyle w:val="TableContents"/>
              <w:spacing w:before="0" w:after="283"/>
              <w:rPr>
                <w:sz w:val="4"/>
                <w:szCs w:val="4"/>
              </w:rPr>
            </w:pPr>
            <w:r>
              <w:rPr>
                <w:sz w:val="4"/>
                <w:szCs w:val="4"/>
              </w:rPr>
            </w:r>
          </w:p>
        </w:tc>
        <w:tc>
          <w:tcPr>
            <w:tcW w:w="102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3"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692265" cy="146685"/>
                <wp:effectExtent l="0" t="0" r="0" b="0"/>
                <wp:wrapNone/>
                <wp:docPr id="9" name="Frame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SEER,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rPr/>
      </w:pPr>
      <w:r>
        <w:rPr>
          <w:rFonts w:ascii="Times New Roman;sans-serif" w:hAnsi="Times New Roman;sans-serif"/>
          <w:b/>
          <w:color w:val="000000"/>
          <w:sz w:val="20"/>
        </w:rPr>
        <w:t>1.</w:t>
      </w:r>
      <w:r>
        <w:rPr>
          <w:rFonts w:ascii="Times New Roman;sans-serif" w:hAnsi="Times New Roman;sans-serif"/>
          <w:b/>
          <w:color w:val="000000"/>
          <w:sz w:val="20"/>
        </w:rPr>
        <w:t>ORGANIZATION AND DESCRIPTION OF THE BUSINESS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Seer, Inc. (the Company) was incorporated in Delaware on March 16, 2017, and is headquartered in Redwood City, California, with wholly-owned subsidiaries in Massachusetts and the United Kingdom. The Company is a life sciences company focused on capturing deep molecular insights from the proteome to enable novel insights and breakthroughs in the understanding of biology and disease. Since inception, the Company has devoted substantially all of its resources to research and development activities, including with respect to the Proteograph Product Suite, building its commercial infrastructure including manufacturing, operations, sales and marketing and service and support functions, establishing and maintaining our intellectual property portfolio, hiring personnel, raising capital, becoming a publicly-traded company, and providing general and administrative support for these activities.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a number of risks, similar to other early-stage life science companies, including, but not limited to, development and commercialization of its products, market acceptance of its products, development by its competitors of new technological innovations, protection of its intellectual property, and raising additional capital.</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Liquidity</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 has incurred significant losses and has had negative cash flows from operations. As of March 31, 2023, the Company had cash and cash equivalents and short-term investments of $352.1 million and an accumulated deficit of $243.5 million. Management expects to continue to incur significant expenses for the foreseeable future and to incur operating losses in the near term while the Company makes investments to support its anticipated growth. The Company believes that its cash and cash equivalents and investments as of March 31, 2023 provide sufficient capital resources to continue its operations for at least 12 months from the issuance date of the accompanying unaudited condensed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rPr/>
      </w:pPr>
      <w:r>
        <w:rPr>
          <w:rFonts w:ascii="Times New Roman;sans-serif" w:hAnsi="Times New Roman;sans-serif"/>
          <w:b/>
          <w:color w:val="000000"/>
          <w:sz w:val="20"/>
        </w:rPr>
        <w:t>2.</w:t>
      </w:r>
      <w:r>
        <w:rPr>
          <w:rFonts w:ascii="Times New Roman;sans-serif" w:hAnsi="Times New Roman;sans-serif"/>
          <w:b/>
          <w:color w:val="000000"/>
          <w:sz w:val="20"/>
        </w:rPr>
        <w:t>SUMMARY OF SIGNIFICANT ACCOUNTING POLICIES AND BASIS OF PRESENTATION</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Basis of Presentation and Principles of Consolidation</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unaudited condensed consolidated financial statements have been prepared in accordance with accounting principles generally accepted in the United States of America (U.S. GAAP). The Company has issued shares of Class A common stock herein referred to as “Class A common stock” or “Class A” and Class B common stock herein referred to as “Class B common stock” or “Class B,” and collectively as “common stock.” The unaudited condensed consolidated financial statements include the accounts of Seer, Inc. and its wholly-owned subsidiaries. All intercompany transactions and balances have been eliminated.</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preparation of unaudited condensed consolidated financial statements in conformity with U.S. GAAP requires management to make estimates and assumptions that affect the reported amounts of assets, liabilities, and the disclosure of contingent assets and liabilities at the date of the unaudited condensed consolidated financial statements and the reported amounts of expenses during the reporting period. On an ongoing basis, the Company evaluates its estimates and assumptions, including, but not limited to, those related to the determination of stand-alone selling price for revenue recognition, the fair value of common stock, stock-based compensation, accrued research and development expenses, allowance for credit losses, inventory valuation, useful lives and valuation of property and equipment, income tax uncertainties, and tax valuation allowances.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materially from those estimates.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Concentration of Credit Risk and Other Risks and Uncertainties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instruments that potentially subject the Company to significant concentrations of credit risk consist primarily of cash, cash equivalents, and investments. The Company maintains bank deposits in federally insured </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692265" cy="146685"/>
                <wp:effectExtent l="0" t="0" r="0" b="0"/>
                <wp:wrapNone/>
                <wp:docPr id="10" name="Frame1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SEER,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financial institutions, and these deposits may exceed federally insured limits. The Company is exposed to credit risk in the event of default by the financial institutions holding its cash and cash equivalents and issuers of investments to the extent account balances exceed the amount insured by the Federal Deposit Insurance Corporation (FDIC). On March 10, 2023, Silicon Valley Bank (SVB) was closed by the California Department of Financial Protection and Innovation and the FDIC was appointed as receiver. On March 27, 2023, First-Citizens Bank &amp; Trust Company assumed all of SVB's deposits and loans. In light of the foregoing, the Company does not believe that it has exposure to loss as a result of SVB’s receivership. As of March 31, 2023, the Company held $0.8 million in SVB and has not experienced any losses on its deposits of cash, cash equivalents and investments.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2023 and 2022, the Company recognized revenue from a related party that represented 32% of the Company’s total revenue.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22% of the total revenue was generated outside of the United States, primarily from countries in Asia and Europe. For the three months ended March 31, 2022, 25% of the total revenue was generated outside of the United States, primarily from countries in Asia and Europe.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there was one related party customer which represented 23% and 25%, respectively, of the total accounts receivable balance. As of December 31, 2022, there were two additional customers which represented 10% and 12% of the total accounts receivable balance.</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Impact of the COVID-19 Pandemic</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As a result of the COVID-19 pandemic (COVID-19), the Company’s operations experienced disruptions and restrictions on employees’ ability to work and on the hiring of additional personnel. The Company’s personnel has experienced delays in accessing customers in certain countries with strict COVID-19 policies to provide installation and training services. Continued disruptions from COVID-19 could harm the Company’s operations and the Company cannot anticipate all the ways in which it could be adversely impacted by health epidemics such as COVID-19. The Company continues to monitor and assess the effects of the COVID-19 pandemic on its business, financial condition, results of operations and cash flows.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Cash and Cash Equivalents and Restricted Cash</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Company considers all highly liquid investments with an original maturity of three months or less at the date of purchase to be cash equivalents. As of March 31, 2023 and December 31, 2022, all amounts recorded as cash and cash equivalents consist of cash and money market funds and are stated at fair value.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Restricted cash as of March 31, 2023 and December 31, 2022 represents cash held by a financial institution as security for a letter of credit issued to the lessor for one of the Company’s operating leases and is classified as noncurrent.</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cash and cash equivalents and restricted cash reported within the unaudited condensed consolidated balance sheets that sum to the total of the same amounts shown in the unaudited condensed consolidated statements of cash flows (in thousands):</w:t>
      </w:r>
    </w:p>
    <w:tbl>
      <w:tblPr>
        <w:tblW w:w="6751" w:type="dxa"/>
        <w:jc w:val="left"/>
        <w:tblInd w:w="0" w:type="dxa"/>
        <w:tblCellMar>
          <w:top w:w="28" w:type="dxa"/>
          <w:left w:w="28" w:type="dxa"/>
          <w:bottom w:w="28" w:type="dxa"/>
          <w:right w:w="28" w:type="dxa"/>
        </w:tblCellMar>
      </w:tblPr>
      <w:tblGrid>
        <w:gridCol w:w="1537"/>
        <w:gridCol w:w="1350"/>
        <w:gridCol w:w="1357"/>
        <w:gridCol w:w="211"/>
        <w:gridCol w:w="721"/>
        <w:gridCol w:w="109"/>
        <w:gridCol w:w="109"/>
        <w:gridCol w:w="109"/>
        <w:gridCol w:w="109"/>
        <w:gridCol w:w="221"/>
        <w:gridCol w:w="757"/>
        <w:gridCol w:w="161"/>
      </w:tblGrid>
      <w:tr>
        <w:trPr/>
        <w:tc>
          <w:tcPr>
            <w:tcW w:w="1537" w:type="dxa"/>
            <w:tcBorders/>
            <w:shd w:fill="auto" w:val="clear"/>
            <w:vAlign w:val="center"/>
          </w:tcPr>
          <w:p>
            <w:pPr>
              <w:pStyle w:val="TableContents"/>
              <w:spacing w:before="0" w:after="283"/>
              <w:rPr>
                <w:sz w:val="4"/>
                <w:szCs w:val="4"/>
              </w:rPr>
            </w:pPr>
            <w:r>
              <w:rPr>
                <w:sz w:val="4"/>
                <w:szCs w:val="4"/>
              </w:rPr>
            </w:r>
          </w:p>
        </w:tc>
        <w:tc>
          <w:tcPr>
            <w:tcW w:w="1350" w:type="dxa"/>
            <w:tcBorders/>
            <w:shd w:fill="auto" w:val="clear"/>
            <w:vAlign w:val="center"/>
          </w:tcPr>
          <w:p>
            <w:pPr>
              <w:pStyle w:val="TableContents"/>
              <w:spacing w:before="0" w:after="283"/>
              <w:rPr>
                <w:sz w:val="4"/>
                <w:szCs w:val="4"/>
              </w:rPr>
            </w:pPr>
            <w:r>
              <w:rPr>
                <w:sz w:val="4"/>
                <w:szCs w:val="4"/>
              </w:rPr>
            </w:r>
          </w:p>
        </w:tc>
        <w:tc>
          <w:tcPr>
            <w:tcW w:w="135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2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53,208 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53,732 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Accounts Receivable, Net</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consist of amounts due from customers for the sales of products and services, net of any allowance for credit losses. The Company’s expected loss allowance methodology for receivables is developed using its historical collection experience, current and future economic market conditions and a review of the current </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692265" cy="146685"/>
                <wp:effectExtent l="0" t="0" r="0" b="0"/>
                <wp:wrapNone/>
                <wp:docPr id="11" name="Frame1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SEER,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aging status and financial condition of its customers. Balances are written off when they are ultimately determined to be uncollectible. There were $24,000 and $30,000 allowance for credit losses related to accounts receivable as of March 31, 2023 and December 31, 2022, respectively.</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generates revenue from sales of products and services. The Company’s product, the Proteograph Product Suite, consists of an instrument with embedded software essential to the instrument's functionality, and consumables as well as platform evaluation agreements. The Company began recognizing revenue from shipments of its Proteograph Product Suite during the second quarter of 2021. The service revenue primarily consists of revenue received from the generation and analysis of proteomic data on behalf of the customer and revenue is recognized upon delivery of the reports.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revenue when control of the products and services is transferred to its customers in an amount that reflects the consideration it expects to be entitled to receive from its customers in exchange for those products and services. This process involves identifying the contract with a customer, determining the performance obligations in the contract, determining the transaction price, allocating the transaction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distinct within the context of the contract. The Company considers a performance obligation satisfied once it has transferred control of a good or service to the customer, meaning the customer has the ability to direct the use and obtain substantially all the economic benefits from the good or service.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Revenue is recorded net of discounts and sales taxes collected on behalf of governmental authorities. Customers are invoiced generally upon shipment, or upon order for services, and payment is typically due within 30 or 60 days. Cash received from customers in advance of product shipment or providing services is recorded as a contract liability. The Company’s contracts with its customers generally do not include rights of return.</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At times, the Company may enter into arrangements with payment terms which exceed one year from the transfer of control of the product or service. In such cases, the Company assesses whether the arrangement contains a significant financing component. If a significant financing component exists, the transaction price is adjusted for the financing portion of the arrangement, which is recorded as interest income over the payment term using the effective interest method. The Company does not assess whether a significant financing component exists when, at contract inception, the period between the transfer of control to a customer and final payment is one year or less.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Company elected the practical expedient to account for shipping and handling activities that occur after the customer has obtained control as a fulfillment activity and not a separate performance obligation. The Company expenses incremental costs of obtaining a contract as and when incurred if the expected amortization period is one year or less or the amount is immaterial. The Company excludes from the transaction price all taxes assessed by a governmental authority on revenue-producing transactions that are collected by the Company from a customer.</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Company regularly enters into contracts that include various combinations of products and services, which are generally distinct and accounted for as separate performance obligations. The transaction price is allocated to each performance obligation in proportion to its standalone selling price. The Company determines the standalone selling price using average selling prices with consideration of current market conditions. If the product or service has no history of sales or if the sales volume is not sufficient, the Company relies upon prices set by management, adjusted for applicable discounts.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Grant and Other Revenue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Grant revenue represents funding under cost reimbursement programs from federal foundation sources for qualified research and development activities performed by the Company and are not based on estimates that are subject to change. Grants received are assessed to determine if the agreement should be accounted for as an exchange transaction or a contribution. An agreement is accounted for as a contribution if the resource provider does not receive commensurate value in return for the assets transferred. Such amounts are recorded as revenue as grant-</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692265" cy="146685"/>
                <wp:effectExtent l="0" t="0" r="0" b="0"/>
                <wp:wrapNone/>
                <wp:docPr id="12" name="Frame1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SEER,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funded activities are performed up to the amount of expenses incurred. Any advance funding payments are recorded as deferred revenue until the activities are performed.</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Company recognizes revenue for research and development services contracts when control is transferred, which is upon completion of the services and when results of the services have been transferred to the customer. Upfront payments and fees received are recorded as deferred revenue until the Company performs its obligations under its arrangements. Amounts payable to the Company are recorded as other receivables when its right to consideration is unconditional.</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 portion of the Company’s revenue relates to lease arrangements. Standalone lease arrangements are outside the scope of ASC 606 and are therefore accounted for in accordance with ASC 842. Each of these contracts is evaluated as a lease arrangement, either as an operating lease or a sales-type lease using the lease classification guidance.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total consideration in a lease arrangement is allocated between lease and non-lease components on their relative stand-alone selling prices. The stand-alone selling price is based on the price the Company would sell that promised good or service separately to a customer. If a stand-alone price is not available for a component, it is estimated using the best information available.</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Beginning in 2022, the Tax Cuts and Jobs Act of 2017 eliminates the option to deduct research and development expenditures in the period incurred and requires amortization over five years or fifteen years pursuant to Internal Revenue Code Section 174. The Company has reflected this change in legislation in its annual tax provision included in the Annual Report on Form 10-K filed with the SEC on March 6, 2023 and it does not result in any material impact on its financial position, results of operations or cash flows.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rPr/>
      </w:pPr>
      <w:r>
        <w:rPr>
          <w:rFonts w:ascii="Times New Roman;sans-serif" w:hAnsi="Times New Roman;sans-serif"/>
          <w:b/>
          <w:color w:val="000000"/>
          <w:sz w:val="20"/>
        </w:rPr>
        <w:t>3.</w:t>
      </w:r>
      <w:r>
        <w:rPr>
          <w:rFonts w:ascii="Times New Roman;sans-serif" w:hAnsi="Times New Roman;sans-serif"/>
          <w:b/>
          <w:color w:val="000000"/>
          <w:sz w:val="20"/>
        </w:rPr>
        <w:t>FAIR VALUE MEASUREMENTS AND FAIR VALUE OF FINANCIAL INSTRUMENTS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set forth the fair value of the Company’s financial assets that were measured at fair value on a recurring basis by level within the fair value hierarchy (in thousands). </w:t>
      </w:r>
    </w:p>
    <w:tbl>
      <w:tblPr>
        <w:tblW w:w="7965" w:type="dxa"/>
        <w:jc w:val="left"/>
        <w:tblInd w:w="0" w:type="dxa"/>
        <w:tblCellMar>
          <w:top w:w="28" w:type="dxa"/>
          <w:left w:w="28" w:type="dxa"/>
          <w:bottom w:w="28" w:type="dxa"/>
          <w:right w:w="28" w:type="dxa"/>
        </w:tblCellMar>
      </w:tblPr>
      <w:tblGrid>
        <w:gridCol w:w="1041"/>
        <w:gridCol w:w="916"/>
        <w:gridCol w:w="923"/>
        <w:gridCol w:w="211"/>
        <w:gridCol w:w="721"/>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54"/>
      </w:tblGrid>
      <w:tr>
        <w:trPr/>
        <w:tc>
          <w:tcPr>
            <w:tcW w:w="1041"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5"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r>
      <w:tr>
        <w:trPr/>
        <w:tc>
          <w:tcPr>
            <w:tcW w:w="28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88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41,906 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223,594 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223,594 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Non-Treasury securities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63,389 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362,124 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measured at fair value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368,604 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410,510 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692265" cy="146685"/>
                <wp:effectExtent l="0" t="0" r="0" b="0"/>
                <wp:wrapNone/>
                <wp:docPr id="13" name="Frame1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SEER,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w:t>
      </w:r>
    </w:p>
    <w:tbl>
      <w:tblPr>
        <w:tblW w:w="7965" w:type="dxa"/>
        <w:jc w:val="left"/>
        <w:tblInd w:w="0" w:type="dxa"/>
        <w:tblCellMar>
          <w:top w:w="28" w:type="dxa"/>
          <w:left w:w="28" w:type="dxa"/>
          <w:bottom w:w="28" w:type="dxa"/>
          <w:right w:w="28" w:type="dxa"/>
        </w:tblCellMar>
      </w:tblPr>
      <w:tblGrid>
        <w:gridCol w:w="1041"/>
        <w:gridCol w:w="916"/>
        <w:gridCol w:w="923"/>
        <w:gridCol w:w="211"/>
        <w:gridCol w:w="721"/>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54"/>
      </w:tblGrid>
      <w:tr>
        <w:trPr/>
        <w:tc>
          <w:tcPr>
            <w:tcW w:w="1041"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5"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8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88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53,208 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227,692 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Non-Treasury securities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55,433 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79,361 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373,188 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373,188 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measured at fair value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373,188 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426,396 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18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There were no financial liabilities measured at fair value. The Company classifies money market funds within Level 1 of the fair value hierarchy because they are valued using quoted market prices. The Company classifies its investments in U.S. Treasury securities (Treasury bills, Treasury notes, and Treasury bonds) as Level 2 instruments and obtains fair value from an independent pricing service, which may use quoted market prices for identical or comparable instruments or model-driven valuations using observable market data or inputs corroborated by observable market data.</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carrying amount of the Company’s accounts receivable, other receivables, prepaid expenses and other current assets, accounts payable, and accrued expenses approximate fair value due to their short maturities.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Company’s cash equivalents and investments and the gross unrealized holding gains and losses (in thousands):</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692265" cy="146685"/>
                <wp:effectExtent l="0" t="0" r="0" b="0"/>
                <wp:wrapNone/>
                <wp:docPr id="14" name="Frame1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SEER,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w:t>
      </w:r>
    </w:p>
    <w:tbl>
      <w:tblPr>
        <w:tblW w:w="9430" w:type="dxa"/>
        <w:jc w:val="left"/>
        <w:tblInd w:w="0" w:type="dxa"/>
        <w:tblCellMar>
          <w:top w:w="28" w:type="dxa"/>
          <w:left w:w="28" w:type="dxa"/>
          <w:bottom w:w="28" w:type="dxa"/>
          <w:right w:w="28" w:type="dxa"/>
        </w:tblCellMar>
      </w:tblPr>
      <w:tblGrid>
        <w:gridCol w:w="1041"/>
        <w:gridCol w:w="916"/>
        <w:gridCol w:w="923"/>
        <w:gridCol w:w="303"/>
        <w:gridCol w:w="1189"/>
        <w:gridCol w:w="157"/>
        <w:gridCol w:w="109"/>
        <w:gridCol w:w="109"/>
        <w:gridCol w:w="109"/>
        <w:gridCol w:w="361"/>
        <w:gridCol w:w="800"/>
        <w:gridCol w:w="189"/>
        <w:gridCol w:w="109"/>
        <w:gridCol w:w="109"/>
        <w:gridCol w:w="109"/>
        <w:gridCol w:w="359"/>
        <w:gridCol w:w="834"/>
        <w:gridCol w:w="186"/>
        <w:gridCol w:w="109"/>
        <w:gridCol w:w="109"/>
        <w:gridCol w:w="109"/>
        <w:gridCol w:w="211"/>
        <w:gridCol w:w="826"/>
        <w:gridCol w:w="154"/>
      </w:tblGrid>
      <w:tr>
        <w:trPr/>
        <w:tc>
          <w:tcPr>
            <w:tcW w:w="1041"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118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0"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r>
      <w:tr>
        <w:trPr/>
        <w:tc>
          <w:tcPr>
            <w:tcW w:w="28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 Basis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8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64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6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03"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9"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41,906 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41,906 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4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6,479 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14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48,385 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16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4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223,488 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223,594 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Non-Treasury securities</w:t>
            </w:r>
          </w:p>
        </w:tc>
        <w:tc>
          <w:tcPr>
            <w:tcW w:w="14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16,818 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4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58,372 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4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63,542 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63,389 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w:t>
            </w:r>
          </w:p>
        </w:tc>
        <w:tc>
          <w:tcPr>
            <w:tcW w:w="14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362,220 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362,124 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measured at fair value</w:t>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410,605 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410,510 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9429" w:type="dxa"/>
        <w:jc w:val="left"/>
        <w:tblInd w:w="0" w:type="dxa"/>
        <w:tblCellMar>
          <w:top w:w="28" w:type="dxa"/>
          <w:left w:w="28" w:type="dxa"/>
          <w:bottom w:w="28" w:type="dxa"/>
          <w:right w:w="28" w:type="dxa"/>
        </w:tblCellMar>
      </w:tblPr>
      <w:tblGrid>
        <w:gridCol w:w="1041"/>
        <w:gridCol w:w="916"/>
        <w:gridCol w:w="923"/>
        <w:gridCol w:w="303"/>
        <w:gridCol w:w="1189"/>
        <w:gridCol w:w="157"/>
        <w:gridCol w:w="109"/>
        <w:gridCol w:w="109"/>
        <w:gridCol w:w="109"/>
        <w:gridCol w:w="391"/>
        <w:gridCol w:w="754"/>
        <w:gridCol w:w="204"/>
        <w:gridCol w:w="109"/>
        <w:gridCol w:w="109"/>
        <w:gridCol w:w="109"/>
        <w:gridCol w:w="288"/>
        <w:gridCol w:w="943"/>
        <w:gridCol w:w="148"/>
        <w:gridCol w:w="109"/>
        <w:gridCol w:w="109"/>
        <w:gridCol w:w="109"/>
        <w:gridCol w:w="211"/>
        <w:gridCol w:w="826"/>
        <w:gridCol w:w="154"/>
      </w:tblGrid>
      <w:tr>
        <w:trPr/>
        <w:tc>
          <w:tcPr>
            <w:tcW w:w="1041"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118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49"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8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 Basis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8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64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6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03"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9"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53,208 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53,208 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14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53,208 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16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4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228,563 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227,692 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Non-Treasury securities</w:t>
            </w:r>
          </w:p>
        </w:tc>
        <w:tc>
          <w:tcPr>
            <w:tcW w:w="14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10,699 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4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55,561 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55,433 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4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79,616 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79,361 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w:t>
            </w:r>
          </w:p>
        </w:tc>
        <w:tc>
          <w:tcPr>
            <w:tcW w:w="14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374,439 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373,188 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measured at fair value</w:t>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427,647 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426,396 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unrealized losses on available-for-sale investments are not attributable to credit risk and are considered to be temporary. Approximately $0.1 million of the Company’s investments have been in a continuous unrealized loss position for 12 months or longer. The Company believes it is more likely than not that investments in an unrealized loss position will be held until maturity or the recovery of the cost basis of the investment. To date, the Company has not recorded any impairment charges on marketable securities related to other-than-temporary declines in market value. As of March 31, 2023, $58.4 million of available-for-sale investments had remaining maturities between one and two years. The remainder of the available-for-sale investments have a remaining maturity of one year or less. As of March 31, 2023 and December 31, 2022, the Company recorded $0.7 million and $0.6 million of accrued interest, respectively, related to its available-for-sale investments as a component of other receivables on the condensed consolidated balance sheets.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rPr/>
      </w:pPr>
      <w:r>
        <w:rPr>
          <w:rFonts w:ascii="Times New Roman;sans-serif" w:hAnsi="Times New Roman;sans-serif"/>
          <w:b/>
          <w:color w:val="000000"/>
          <w:sz w:val="20"/>
        </w:rPr>
        <w:t>4.</w:t>
      </w:r>
      <w:r>
        <w:rPr>
          <w:rFonts w:ascii="Times New Roman;sans-serif" w:hAnsi="Times New Roman;sans-serif"/>
          <w:b/>
          <w:color w:val="000000"/>
          <w:sz w:val="20"/>
        </w:rPr>
        <w:t>OTHER FINANCIAL STATEMENT INFORMATION</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Inventory</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Inventory consists of the following (in thousands):</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692265" cy="146685"/>
                <wp:effectExtent l="0" t="0" r="0" b="0"/>
                <wp:wrapNone/>
                <wp:docPr id="15" name="Frame1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SEER,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w:t>
      </w:r>
    </w:p>
    <w:tbl>
      <w:tblPr>
        <w:tblW w:w="3934" w:type="dxa"/>
        <w:jc w:val="left"/>
        <w:tblInd w:w="0" w:type="dxa"/>
        <w:tblCellMar>
          <w:top w:w="28" w:type="dxa"/>
          <w:left w:w="28" w:type="dxa"/>
          <w:bottom w:w="28" w:type="dxa"/>
          <w:right w:w="28" w:type="dxa"/>
        </w:tblCellMar>
      </w:tblPr>
      <w:tblGrid>
        <w:gridCol w:w="554"/>
        <w:gridCol w:w="486"/>
        <w:gridCol w:w="491"/>
        <w:gridCol w:w="211"/>
        <w:gridCol w:w="616"/>
        <w:gridCol w:w="109"/>
        <w:gridCol w:w="109"/>
        <w:gridCol w:w="109"/>
        <w:gridCol w:w="109"/>
        <w:gridCol w:w="245"/>
        <w:gridCol w:w="716"/>
        <w:gridCol w:w="179"/>
      </w:tblGrid>
      <w:tr>
        <w:trPr/>
        <w:tc>
          <w:tcPr>
            <w:tcW w:w="554"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r>
      <w:tr>
        <w:trPr/>
        <w:tc>
          <w:tcPr>
            <w:tcW w:w="15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15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5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Work-in-progress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4,627 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Property and Equipment, Net</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consists of the following (in thousands):</w:t>
      </w:r>
    </w:p>
    <w:tbl>
      <w:tblPr>
        <w:tblW w:w="6616" w:type="dxa"/>
        <w:jc w:val="left"/>
        <w:tblInd w:w="0" w:type="dxa"/>
        <w:tblCellMar>
          <w:top w:w="28" w:type="dxa"/>
          <w:left w:w="28" w:type="dxa"/>
          <w:bottom w:w="28" w:type="dxa"/>
          <w:right w:w="28" w:type="dxa"/>
        </w:tblCellMar>
      </w:tblPr>
      <w:tblGrid>
        <w:gridCol w:w="1489"/>
        <w:gridCol w:w="1308"/>
        <w:gridCol w:w="1312"/>
        <w:gridCol w:w="211"/>
        <w:gridCol w:w="721"/>
        <w:gridCol w:w="109"/>
        <w:gridCol w:w="109"/>
        <w:gridCol w:w="109"/>
        <w:gridCol w:w="109"/>
        <w:gridCol w:w="221"/>
        <w:gridCol w:w="757"/>
        <w:gridCol w:w="161"/>
      </w:tblGrid>
      <w:tr>
        <w:trPr/>
        <w:tc>
          <w:tcPr>
            <w:tcW w:w="1489" w:type="dxa"/>
            <w:tcBorders/>
            <w:shd w:fill="auto" w:val="clear"/>
            <w:vAlign w:val="center"/>
          </w:tcPr>
          <w:p>
            <w:pPr>
              <w:pStyle w:val="TableContents"/>
              <w:spacing w:before="0" w:after="283"/>
              <w:rPr>
                <w:sz w:val="4"/>
                <w:szCs w:val="4"/>
              </w:rPr>
            </w:pPr>
            <w:r>
              <w:rPr>
                <w:sz w:val="4"/>
                <w:szCs w:val="4"/>
              </w:rPr>
            </w:r>
          </w:p>
        </w:tc>
        <w:tc>
          <w:tcPr>
            <w:tcW w:w="1308" w:type="dxa"/>
            <w:tcBorders/>
            <w:shd w:fill="auto" w:val="clear"/>
            <w:vAlign w:val="center"/>
          </w:tcPr>
          <w:p>
            <w:pPr>
              <w:pStyle w:val="TableContents"/>
              <w:spacing w:before="0" w:after="283"/>
              <w:rPr>
                <w:sz w:val="4"/>
                <w:szCs w:val="4"/>
              </w:rPr>
            </w:pPr>
            <w:r>
              <w:rPr>
                <w:sz w:val="4"/>
                <w:szCs w:val="4"/>
              </w:rPr>
            </w:r>
          </w:p>
        </w:tc>
        <w:tc>
          <w:tcPr>
            <w:tcW w:w="131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1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Laboratory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and software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3,375 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Construction-in-progress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27,229 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(7,821)</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19,408 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expense related to property and equipment was $1.2 million and $0.9 million for the three months ended March 31, 2023 and 2022, respectively.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Accrued Expenses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Accrued expenses consist of the following (in thousands):</w:t>
      </w:r>
    </w:p>
    <w:tbl>
      <w:tblPr>
        <w:tblW w:w="5358" w:type="dxa"/>
        <w:jc w:val="left"/>
        <w:tblInd w:w="0" w:type="dxa"/>
        <w:tblCellMar>
          <w:top w:w="28" w:type="dxa"/>
          <w:left w:w="28" w:type="dxa"/>
          <w:bottom w:w="28" w:type="dxa"/>
          <w:right w:w="28" w:type="dxa"/>
        </w:tblCellMar>
      </w:tblPr>
      <w:tblGrid>
        <w:gridCol w:w="1071"/>
        <w:gridCol w:w="939"/>
        <w:gridCol w:w="945"/>
        <w:gridCol w:w="211"/>
        <w:gridCol w:w="616"/>
        <w:gridCol w:w="109"/>
        <w:gridCol w:w="109"/>
        <w:gridCol w:w="109"/>
        <w:gridCol w:w="109"/>
        <w:gridCol w:w="245"/>
        <w:gridCol w:w="716"/>
        <w:gridCol w:w="179"/>
      </w:tblGrid>
      <w:tr>
        <w:trPr/>
        <w:tc>
          <w:tcPr>
            <w:tcW w:w="1071"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r>
      <w:tr>
        <w:trPr/>
        <w:tc>
          <w:tcPr>
            <w:tcW w:w="29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9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6,139 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services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property and equipment</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research and development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taxes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8,298 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rPr/>
      </w:pPr>
      <w:r>
        <w:rPr>
          <w:rFonts w:ascii="Times New Roman;sans-serif" w:hAnsi="Times New Roman;sans-serif"/>
          <w:b/>
          <w:color w:val="000000"/>
          <w:sz w:val="20"/>
        </w:rPr>
        <w:t>5.</w:t>
      </w:r>
      <w:r>
        <w:rPr>
          <w:rFonts w:ascii="Times New Roman;sans-serif" w:hAnsi="Times New Roman;sans-serif"/>
          <w:b/>
          <w:color w:val="000000"/>
          <w:sz w:val="20"/>
        </w:rPr>
        <w:t>REVENUE AND DEFERRED REVENUE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Product revenue consists of an instrument with embedded software essential to the instrument’s functionality, consumables and platform evaluation agreements. Service revenue primarily consists of revenue received from the generation and analysis of proteomic data on behalf of the customer. Related party revenue is comprised of both the sale of products and services performed for related parties, as further discussed in Note 10. Grant revenues consist of services performed specifically for the reimbursement of research-related expenses.</w:t>
      </w:r>
    </w:p>
    <w:p>
      <w:pPr>
        <w:pStyle w:val="TextBody"/>
        <w:spacing w:before="0" w:after="180"/>
        <w:ind w:left="0" w:right="0" w:firstLine="720"/>
        <w:rPr/>
      </w:pPr>
      <w:r>
        <w:rPr/>
      </w:r>
    </w:p>
    <w:p>
      <w:pPr>
        <w:pStyle w:val="TextBody"/>
        <w:spacing w:before="0" w:after="180"/>
        <w:rPr/>
      </w:pPr>
      <w:r>
        <w:rPr/>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692265" cy="146685"/>
                <wp:effectExtent l="0" t="0" r="0" b="0"/>
                <wp:wrapNone/>
                <wp:docPr id="16" name="Frame1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SEER,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Product Revenue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2023 and 2022, the Company recognized $2.3 million and $2.1 million of product revenue to non-related customers, respectively. As of March 31, 2023 and December 31, 2022, the Company recorded $0.1 million and $34,000 of deferred revenue related to product sales, respectively.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Service Revenue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and 2022, the Company recognized $69,000 and $79,000 of service revenue to non-related customers, respectively. As of March 31, 2023 and December 31, 2022, the Company recorded $0.2 million and $0.1 million of deferred service revenue, respectively.</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Deferred revenue activity for the period ended March 31, 2023 and December 31, 2022 are as follows (in thousands):</w:t>
      </w:r>
    </w:p>
    <w:tbl>
      <w:tblPr>
        <w:tblW w:w="4811" w:type="dxa"/>
        <w:jc w:val="left"/>
        <w:tblInd w:w="0" w:type="dxa"/>
        <w:tblCellMar>
          <w:top w:w="28" w:type="dxa"/>
          <w:left w:w="28" w:type="dxa"/>
          <w:bottom w:w="28" w:type="dxa"/>
          <w:right w:w="28" w:type="dxa"/>
        </w:tblCellMar>
      </w:tblPr>
      <w:tblGrid>
        <w:gridCol w:w="901"/>
        <w:gridCol w:w="793"/>
        <w:gridCol w:w="796"/>
        <w:gridCol w:w="229"/>
        <w:gridCol w:w="507"/>
        <w:gridCol w:w="118"/>
        <w:gridCol w:w="109"/>
        <w:gridCol w:w="109"/>
        <w:gridCol w:w="109"/>
        <w:gridCol w:w="289"/>
        <w:gridCol w:w="639"/>
        <w:gridCol w:w="212"/>
      </w:tblGrid>
      <w:tr>
        <w:trPr/>
        <w:tc>
          <w:tcPr>
            <w:tcW w:w="901"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507"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r>
      <w:tr>
        <w:trPr/>
        <w:tc>
          <w:tcPr>
            <w:tcW w:w="24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4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2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w:t>
            </w:r>
          </w:p>
        </w:tc>
        <w:tc>
          <w:tcPr>
            <w:tcW w:w="2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Transaction price allocated to remaining performance obligations represents contracted revenue that has not yet been recognized, which includes deferred revenue and non-cancelable amounts that will be invoiced and recognized as revenues in future periods. As of March 31, 2023, $3.1 million of revenue is expected to be recognized from the remaining performance obligations, of which 77% is expected to be recognized within 12 months and the remainder thereafter.</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Grant and Other Revenue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2019, the Company received a notice of a Small Business Innovation Research (SBIR) grant award from the National Institutes of Health, which will provide funding of approximately $1.1 million to the Company for its development of research applications. For the three months ended March 31, 2023 and 2022, the Company recognized $0.3 million and approximately $14,000 of grant revenue, respectively, with respect to the award.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rPr/>
      </w:pPr>
      <w:r>
        <w:rPr>
          <w:rFonts w:ascii="Times New Roman;sans-serif" w:hAnsi="Times New Roman;sans-serif"/>
          <w:b/>
          <w:color w:val="000000"/>
          <w:sz w:val="20"/>
        </w:rPr>
        <w:t>6.</w:t>
      </w:r>
      <w:r>
        <w:rPr>
          <w:rFonts w:ascii="Times New Roman;sans-serif" w:hAnsi="Times New Roman;sans-serif"/>
          <w:b/>
          <w:color w:val="000000"/>
          <w:sz w:val="20"/>
        </w:rPr>
        <w:t>CAPITAL STOCK AND STOCKHOLDERS’ EQUITY</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 is authorized to issue 105,000,000 shares of capital stock consisting of 94,000,000 shares of Class A common stock, 6,000,000 shares of Class B common stock, and 5,000,000 shares of preferred stock.</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Common Stock</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Common stock issued and outstanding is as follows:</w:t>
      </w:r>
    </w:p>
    <w:tbl>
      <w:tblPr>
        <w:tblW w:w="6952" w:type="dxa"/>
        <w:jc w:val="left"/>
        <w:tblInd w:w="0" w:type="dxa"/>
        <w:tblCellMar>
          <w:top w:w="28" w:type="dxa"/>
          <w:left w:w="28" w:type="dxa"/>
          <w:bottom w:w="28" w:type="dxa"/>
          <w:right w:w="28" w:type="dxa"/>
        </w:tblCellMar>
      </w:tblPr>
      <w:tblGrid>
        <w:gridCol w:w="1341"/>
        <w:gridCol w:w="1179"/>
        <w:gridCol w:w="1185"/>
        <w:gridCol w:w="540"/>
        <w:gridCol w:w="541"/>
        <w:gridCol w:w="286"/>
        <w:gridCol w:w="109"/>
        <w:gridCol w:w="109"/>
        <w:gridCol w:w="109"/>
        <w:gridCol w:w="540"/>
        <w:gridCol w:w="541"/>
        <w:gridCol w:w="472"/>
      </w:tblGrid>
      <w:tr>
        <w:trPr/>
        <w:tc>
          <w:tcPr>
            <w:tcW w:w="1341" w:type="dxa"/>
            <w:tcBorders/>
            <w:shd w:fill="auto" w:val="clear"/>
            <w:vAlign w:val="center"/>
          </w:tcPr>
          <w:p>
            <w:pPr>
              <w:pStyle w:val="TableContents"/>
              <w:spacing w:before="0" w:after="283"/>
              <w:rPr>
                <w:sz w:val="4"/>
                <w:szCs w:val="4"/>
              </w:rPr>
            </w:pPr>
            <w:r>
              <w:rPr>
                <w:sz w:val="4"/>
                <w:szCs w:val="4"/>
              </w:rPr>
            </w:r>
          </w:p>
        </w:tc>
        <w:tc>
          <w:tcPr>
            <w:tcW w:w="1179" w:type="dxa"/>
            <w:tcBorders/>
            <w:shd w:fill="auto" w:val="clear"/>
            <w:vAlign w:val="center"/>
          </w:tcPr>
          <w:p>
            <w:pPr>
              <w:pStyle w:val="TableContents"/>
              <w:spacing w:before="0" w:after="283"/>
              <w:rPr>
                <w:sz w:val="4"/>
                <w:szCs w:val="4"/>
              </w:rPr>
            </w:pPr>
            <w:r>
              <w:rPr>
                <w:sz w:val="4"/>
                <w:szCs w:val="4"/>
              </w:rPr>
            </w:r>
          </w:p>
        </w:tc>
        <w:tc>
          <w:tcPr>
            <w:tcW w:w="1185"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r>
      <w:tr>
        <w:trPr/>
        <w:tc>
          <w:tcPr>
            <w:tcW w:w="37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7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7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59,694,350 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59,366,077 </w:t>
            </w:r>
          </w:p>
        </w:tc>
        <w:tc>
          <w:tcPr>
            <w:tcW w:w="4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4,044,969 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4,044,969 </w:t>
            </w:r>
          </w:p>
        </w:tc>
        <w:tc>
          <w:tcPr>
            <w:tcW w:w="4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common stock issued and outstanding</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63,739,319 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63,411,046 </w:t>
            </w:r>
          </w:p>
        </w:tc>
        <w:tc>
          <w:tcPr>
            <w:tcW w:w="4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Class A and Class B common stock have a par value of $0.00001 per share. Holders of Class A common stock are entitled to one vote per share and holders of Class B common stock are entitled to 10 votes per share. Class B common shares are convertible to Class A common shares at any time at the option of the holder on a one-for-one </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692265" cy="146685"/>
                <wp:effectExtent l="0" t="0" r="0" b="0"/>
                <wp:wrapNone/>
                <wp:docPr id="17" name="Frame1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SEER,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basis. Holders of common stock are entitled to dividends as declared by the Board of Directors, subject to rights of holders of all classes of stock outstanding having priority rights as to dividends. There have been no dividends declared to date.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Common stock issued and outstanding on the condensed consolidated balance sheets and condensed consolidated statements of changes in stockholders' equity includes shares related to early exercised options and restricted stock that are subject to repurchase.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rPr/>
      </w:pPr>
      <w:r>
        <w:rPr>
          <w:rFonts w:ascii="Times New Roman;sans-serif" w:hAnsi="Times New Roman;sans-serif"/>
          <w:b/>
          <w:color w:val="000000"/>
          <w:sz w:val="20"/>
        </w:rPr>
        <w:t>7.</w:t>
      </w:r>
      <w:r>
        <w:rPr>
          <w:rFonts w:ascii="Times New Roman;sans-serif" w:hAnsi="Times New Roman;sans-serif"/>
          <w:b/>
          <w:color w:val="000000"/>
          <w:sz w:val="20"/>
        </w:rPr>
        <w:t>EQUITY INCENTIVE PLANS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there are 14,570,948 shares of Class A common stock reserved for issuance under the 2020 Equity Incentive Plan, 4,581,459 of which shares are available for issuance in connection with grants of future awards.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Stock option activity for the three months ended March 31, 2023 is as follows:</w:t>
      </w:r>
    </w:p>
    <w:tbl>
      <w:tblPr>
        <w:tblW w:w="7917" w:type="dxa"/>
        <w:jc w:val="left"/>
        <w:tblInd w:w="0" w:type="dxa"/>
        <w:tblCellMar>
          <w:top w:w="28" w:type="dxa"/>
          <w:left w:w="28" w:type="dxa"/>
          <w:bottom w:w="28" w:type="dxa"/>
          <w:right w:w="28" w:type="dxa"/>
        </w:tblCellMar>
      </w:tblPr>
      <w:tblGrid>
        <w:gridCol w:w="1232"/>
        <w:gridCol w:w="1083"/>
        <w:gridCol w:w="1089"/>
        <w:gridCol w:w="540"/>
        <w:gridCol w:w="541"/>
        <w:gridCol w:w="541"/>
        <w:gridCol w:w="109"/>
        <w:gridCol w:w="109"/>
        <w:gridCol w:w="109"/>
        <w:gridCol w:w="551"/>
        <w:gridCol w:w="1611"/>
        <w:gridCol w:w="402"/>
      </w:tblGrid>
      <w:tr>
        <w:trPr/>
        <w:tc>
          <w:tcPr>
            <w:tcW w:w="1232" w:type="dxa"/>
            <w:tcBorders/>
            <w:shd w:fill="auto" w:val="clear"/>
            <w:vAlign w:val="center"/>
          </w:tcPr>
          <w:p>
            <w:pPr>
              <w:pStyle w:val="TableContents"/>
              <w:spacing w:before="0" w:after="283"/>
              <w:rPr>
                <w:sz w:val="4"/>
                <w:szCs w:val="4"/>
              </w:rPr>
            </w:pPr>
            <w:r>
              <w:rPr>
                <w:sz w:val="4"/>
                <w:szCs w:val="4"/>
              </w:rPr>
            </w:r>
          </w:p>
        </w:tc>
        <w:tc>
          <w:tcPr>
            <w:tcW w:w="1083" w:type="dxa"/>
            <w:tcBorders/>
            <w:shd w:fill="auto" w:val="clear"/>
            <w:vAlign w:val="center"/>
          </w:tcPr>
          <w:p>
            <w:pPr>
              <w:pStyle w:val="TableContents"/>
              <w:spacing w:before="0" w:after="283"/>
              <w:rPr>
                <w:sz w:val="4"/>
                <w:szCs w:val="4"/>
              </w:rPr>
            </w:pPr>
            <w:r>
              <w:rPr>
                <w:sz w:val="4"/>
                <w:szCs w:val="4"/>
              </w:rPr>
            </w:r>
          </w:p>
        </w:tc>
        <w:tc>
          <w:tcPr>
            <w:tcW w:w="108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611"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r>
      <w:tr>
        <w:trPr/>
        <w:tc>
          <w:tcPr>
            <w:tcW w:w="3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Options Outstanding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Exercise Price</w:t>
            </w:r>
          </w:p>
        </w:tc>
      </w:tr>
      <w:tr>
        <w:trPr/>
        <w:tc>
          <w:tcPr>
            <w:tcW w:w="3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10,214,430 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13.90 </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2,247,900 </w:t>
            </w:r>
          </w:p>
        </w:tc>
        <w:tc>
          <w:tcPr>
            <w:tcW w:w="5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4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(13,595)</w:t>
            </w:r>
          </w:p>
        </w:tc>
        <w:tc>
          <w:tcPr>
            <w:tcW w:w="5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4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Options forfeited</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(101,825)</w:t>
            </w:r>
          </w:p>
        </w:tc>
        <w:tc>
          <w:tcPr>
            <w:tcW w:w="5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12.77 </w:t>
            </w:r>
          </w:p>
        </w:tc>
        <w:tc>
          <w:tcPr>
            <w:tcW w:w="4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12,346,910 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12.23 </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Vested and exercisable, March 31, 2023 </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5,241,662 </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8.76 </w:t>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Market Condition Options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2023, the Company granted options to purchase an aggregate of 1,794,000 shares of the Company’s Class A common stock to certain Company executives, with vesting subject to market conditions (Market Condition Options). The Market Condition Options become eligible to vest if the average of the closing sales prices of a share of Class A common stock over a trailing twenty trading day period within seven years from the date of grant reaches a stock price of $6.885 per share (the Market Price Milestone). If the Market Price Milestone is achieved, 25% of each Market Condition Option will vest upon certification of such achievement, subject to the recipient’s continued service through the Market Price Milestone achievement date, and an additional 25% of each Market Condition Option will then vest on each of the one-, two- or three-year anniversaries of the Market Price Milestone achievement date, respectively, subject to the recipient’s continued service through the applicable anniversary date. In the event of the Company’s change in control during the seven-year performance period, the performance period will be shortened, achievement of the Market Price Milestone will be assessed based on the per share value of consideration that stockholders receive in the transaction (the CIC Price), and if the Market Price Milestone is achieved on that basis, each Market Condition Option will vest in full as of immediately prior to the change in control, subject to the recipient’s continued service as of immediately prior to the change in control.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The Market Condition Option has a grant date fair value of approximately $5.2 million determined using a lattice-binomial option-pricing model based on a Monte Carlo simulation. The following assumptions were used to determine the grant date fair value of $2.80 - $3.02: (i) risk-free interest rate: 3.94%; (ii) expected volatility: 83.1%; and (iii) expected dividend yield: 0.0%. Compensation expense is recognized using an accelerated attribution method based on the derived service periods for each of the tranches. Failure to meet the market condition for an award does not result in reversal of previously recognized expense, so long as the service is provided for the duration of the respective derived service period. </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692265" cy="146685"/>
                <wp:effectExtent l="0" t="0" r="0" b="0"/>
                <wp:wrapNone/>
                <wp:docPr id="18" name="Frame1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SEER,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Company recognized compensation expense of $0.5 million related to the Market Condition Options for the three months ended March 31, 2023. As of March 31, 2023, there was $4.8 million in unrecognized compensation related to unvested Market Condition Options, which the Company expects to recognize over a remaining weighted-average period of 2.08 years.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Restricted Stock Awards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Certain stock options granted provide stock option holders the right to exercise unvested stock options in exchange for restricted shares of Class A common stock. The Company has also issued restricted shares of Class A common stock to employees and directors. There were 65,251 shares and 60,787 shares of restricted stock that were unvested and subject to repurchase as of March 31, 2023 and December 31, 2022, respectively.</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RSU activity for the three months ended March 31, 2023 is as follows:</w:t>
      </w:r>
    </w:p>
    <w:tbl>
      <w:tblPr>
        <w:tblW w:w="6190" w:type="dxa"/>
        <w:jc w:val="left"/>
        <w:tblInd w:w="0" w:type="dxa"/>
        <w:tblCellMar>
          <w:top w:w="28" w:type="dxa"/>
          <w:left w:w="28" w:type="dxa"/>
          <w:bottom w:w="28" w:type="dxa"/>
          <w:right w:w="28" w:type="dxa"/>
        </w:tblCellMar>
      </w:tblPr>
      <w:tblGrid>
        <w:gridCol w:w="939"/>
        <w:gridCol w:w="825"/>
        <w:gridCol w:w="830"/>
        <w:gridCol w:w="569"/>
        <w:gridCol w:w="569"/>
        <w:gridCol w:w="571"/>
        <w:gridCol w:w="109"/>
        <w:gridCol w:w="109"/>
        <w:gridCol w:w="109"/>
        <w:gridCol w:w="335"/>
        <w:gridCol w:w="979"/>
        <w:gridCol w:w="246"/>
      </w:tblGrid>
      <w:tr>
        <w:trPr/>
        <w:tc>
          <w:tcPr>
            <w:tcW w:w="939"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Restricted Stock Units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Weighted-Average </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Grant Date </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1,650,976 </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1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2,110,570 </w:t>
            </w:r>
          </w:p>
        </w:tc>
        <w:tc>
          <w:tcPr>
            <w:tcW w:w="5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2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1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(314,678)</w:t>
            </w:r>
          </w:p>
        </w:tc>
        <w:tc>
          <w:tcPr>
            <w:tcW w:w="5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22.08 </w:t>
            </w:r>
          </w:p>
        </w:tc>
        <w:tc>
          <w:tcPr>
            <w:tcW w:w="2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1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(17,718)</w:t>
            </w:r>
          </w:p>
        </w:tc>
        <w:tc>
          <w:tcPr>
            <w:tcW w:w="5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10.97 </w:t>
            </w:r>
          </w:p>
        </w:tc>
        <w:tc>
          <w:tcPr>
            <w:tcW w:w="2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w:t>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3,429,150 </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A total of 1,829,437 shares of Class A common stock are reserved for issuance under the 2020 Employee Stock Purchase Plan (ESPP) as of March 31, 2023. During the three months ended March 31, 2023 and 2022, no shares of Class A common stock were issued under the ESPP.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components of stock-based compensation recognized in the Company’s condensed consolidated statements of operations and comprehensive loss (in thousands):</w:t>
      </w:r>
    </w:p>
    <w:tbl>
      <w:tblPr>
        <w:tblW w:w="5198" w:type="dxa"/>
        <w:jc w:val="left"/>
        <w:tblInd w:w="0" w:type="dxa"/>
        <w:tblCellMar>
          <w:top w:w="28" w:type="dxa"/>
          <w:left w:w="28" w:type="dxa"/>
          <w:bottom w:w="28" w:type="dxa"/>
          <w:right w:w="28" w:type="dxa"/>
        </w:tblCellMar>
      </w:tblPr>
      <w:tblGrid>
        <w:gridCol w:w="1068"/>
        <w:gridCol w:w="941"/>
        <w:gridCol w:w="945"/>
        <w:gridCol w:w="211"/>
        <w:gridCol w:w="616"/>
        <w:gridCol w:w="109"/>
        <w:gridCol w:w="109"/>
        <w:gridCol w:w="109"/>
        <w:gridCol w:w="109"/>
        <w:gridCol w:w="211"/>
        <w:gridCol w:w="616"/>
        <w:gridCol w:w="154"/>
      </w:tblGrid>
      <w:tr>
        <w:trPr/>
        <w:tc>
          <w:tcPr>
            <w:tcW w:w="1068"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29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2022, in connection with a leave of absence taken by one of our executives, a total of 1,330,892 share-based awards were modified to extend the overall term and change the timing of the vesting of the awards. The total incremental stock-based compensation associated with the modification is $0.9 million, which will be recognized over the next eight years. Effective on September 30, 2022, the executive resigned from his position as President of the Company and the Company’s Board of Directors.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21, 2022, the Board of Directors approved an option repricing to reduce the exercise price of certain vested, outstanding, and unexercised stock options with an exercise price greater than $19.00 per share that were held by employees who were not members of the Board or Director or officers for purposes of Section 16 of the Securities </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692265" cy="146685"/>
                <wp:effectExtent l="0" t="0" r="0" b="0"/>
                <wp:wrapNone/>
                <wp:docPr id="19" name="Frame1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SEER,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Exchange Act of 1934, as amended (“Non-Section 16 employees”) to $19.00 per share, which was the Company’s initial public offering price. The Board of Directors also approved the repricing of certain unvested, outstanding, and unexercised stock options with an exercise price greater than $19.00 per share that were held by Non-Section 16 employees to $7.40 per share, which was the closing price of the Company’s Class A common stock on the Nasdaq Global Select Market on the date of the approval of the repricing. Except for the exercise price, the amended stock options have the same terms and conditions (including vesting schedule, number of shares, and expiration date) and will continue to be governed by the terms of the 2020 Equity Incentive Plan.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option repricing, the Company recorded $2.0 million of stock-based compensation expense for the three months ended March 31, 2023. The total unrecognized stock-based compensation associated with the option repricing is $1.6 million, which will be recognized over the next three years.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8.    LEASES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As a lessee, the Company leases approximately 51,000 square feet of office and laboratory space in Redwood City, California with a lease term that is set to end on September 30, 2032. The Company has an option to renew all leased space for an additional five-year term at then-current market rates. In connection with the lease, the Company maintains a letter of credit issued to the lessor in the amount of $0.5 million as of March 31, 2023 and December 31, 2022, which is secured by restricted cash and is presented as noncurrent at each date based on the term of the underlying lease. In addition, the Company leases approximately 6,000 square feet of office space in San Diego, California pursuant to a lease that runs through September 2024.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As of March 31, 2023, the remaining weighted-average lease term was 9.4 years and the weighted-average incremental borrowing rate used to determine the operating lease liabilities was 6.2%.</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components of lease costs related to the Company’s operating leases were as follows (in thousands):</w:t>
      </w:r>
    </w:p>
    <w:tbl>
      <w:tblPr>
        <w:tblW w:w="4118" w:type="dxa"/>
        <w:jc w:val="left"/>
        <w:tblInd w:w="0" w:type="dxa"/>
        <w:tblCellMar>
          <w:top w:w="28" w:type="dxa"/>
          <w:left w:w="28" w:type="dxa"/>
          <w:bottom w:w="28" w:type="dxa"/>
          <w:right w:w="28" w:type="dxa"/>
        </w:tblCellMar>
      </w:tblPr>
      <w:tblGrid>
        <w:gridCol w:w="678"/>
        <w:gridCol w:w="596"/>
        <w:gridCol w:w="600"/>
        <w:gridCol w:w="211"/>
        <w:gridCol w:w="616"/>
        <w:gridCol w:w="109"/>
        <w:gridCol w:w="109"/>
        <w:gridCol w:w="109"/>
        <w:gridCol w:w="109"/>
        <w:gridCol w:w="211"/>
        <w:gridCol w:w="616"/>
        <w:gridCol w:w="154"/>
      </w:tblGrid>
      <w:tr>
        <w:trPr/>
        <w:tc>
          <w:tcPr>
            <w:tcW w:w="678"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1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8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Variable lease costs are primarily comprised of common area maintenance.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As of March 31, 2023, future minimum commitments under the Company’s non-cancelable facility operating lease are as follows:</w:t>
      </w:r>
    </w:p>
    <w:tbl>
      <w:tblPr>
        <w:tblW w:w="6327" w:type="dxa"/>
        <w:jc w:val="left"/>
        <w:tblInd w:w="0" w:type="dxa"/>
        <w:tblCellMar>
          <w:top w:w="28" w:type="dxa"/>
          <w:left w:w="28" w:type="dxa"/>
          <w:bottom w:w="28" w:type="dxa"/>
          <w:right w:w="28" w:type="dxa"/>
        </w:tblCellMar>
      </w:tblPr>
      <w:tblGrid>
        <w:gridCol w:w="1745"/>
        <w:gridCol w:w="1540"/>
        <w:gridCol w:w="1545"/>
        <w:gridCol w:w="109"/>
        <w:gridCol w:w="109"/>
        <w:gridCol w:w="109"/>
        <w:gridCol w:w="227"/>
        <w:gridCol w:w="777"/>
        <w:gridCol w:w="166"/>
      </w:tblGrid>
      <w:tr>
        <w:trPr/>
        <w:tc>
          <w:tcPr>
            <w:tcW w:w="1745" w:type="dxa"/>
            <w:tcBorders/>
            <w:shd w:fill="auto" w:val="clear"/>
            <w:vAlign w:val="center"/>
          </w:tcPr>
          <w:p>
            <w:pPr>
              <w:pStyle w:val="TableContents"/>
              <w:spacing w:before="0" w:after="283"/>
              <w:rPr>
                <w:sz w:val="4"/>
                <w:szCs w:val="4"/>
              </w:rPr>
            </w:pPr>
            <w:r>
              <w:rPr>
                <w:sz w:val="4"/>
                <w:szCs w:val="4"/>
              </w:rPr>
            </w:r>
          </w:p>
        </w:tc>
        <w:tc>
          <w:tcPr>
            <w:tcW w:w="1540" w:type="dxa"/>
            <w:tcBorders/>
            <w:shd w:fill="auto" w:val="clear"/>
            <w:vAlign w:val="center"/>
          </w:tcPr>
          <w:p>
            <w:pPr>
              <w:pStyle w:val="TableContents"/>
              <w:spacing w:before="0" w:after="283"/>
              <w:rPr>
                <w:sz w:val="4"/>
                <w:szCs w:val="4"/>
              </w:rPr>
            </w:pPr>
            <w:r>
              <w:rPr>
                <w:sz w:val="4"/>
                <w:szCs w:val="4"/>
              </w:rPr>
            </w:r>
          </w:p>
        </w:tc>
        <w:tc>
          <w:tcPr>
            <w:tcW w:w="15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48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Years ending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83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(remaining nine months)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3,969 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3,846 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3,957 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4,072 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21,065 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undiscounted future minimum lease payments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39,870 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adjustment for minimum lease commitments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(9,998)</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0" w:type="dxa"/>
            <w:gridSpan w:val="3"/>
            <w:tcBorders/>
            <w:shd w:fill="auto" w:val="clear"/>
            <w:vAlign w:val="center"/>
          </w:tcPr>
          <w:p>
            <w:pPr>
              <w:pStyle w:val="TableContents"/>
              <w:spacing w:before="0" w:after="283"/>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29,872 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As a lessor, the Company has contracts for equipment leased to customers. The Company accounts for the non-lease component under the revenue recognition ASC 606 guidance and the lease component under ASC 842 guidance. For </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692265" cy="146685"/>
                <wp:effectExtent l="0" t="0" r="0" b="0"/>
                <wp:wrapNone/>
                <wp:docPr id="20" name="Frame2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SEER,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an arrangement that has been classified as a sales-type lease, revenue is recognized when the transfer of control of the underlying leased asset has occurred and the net investment lease recorded, which is calculated at the present value of the remaining lease payments due from the lessee.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Revenue related to lease components from operating leases is presented as grant and other revenue and was $40,000 and nil for the three months ended March 31, 2023 and 2022, respectively.</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9.    COMMITMENTS AND CONTINGENCIES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Purchase Commitments and Obligations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Company has certain purchase commitments related to its inventory management with certain manufacturing suppliers wherein the Company is required to purchase the amounts forecasted in a blanket purchase order within a certain time period. The contractual obligations represent future cash commitments and liabilities under agreements with third parties and exclude orders for goods and services entered into in the normal course of business that are not enforceable or subject to change. These outstanding commitments amounted to $4.3 million and $5.7 million as of March 31, 2023 and December 31, 2022, respectively.</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Guarantees and Indemnifications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the Company enters into agreements that contain a variety of representations and provide for general indemnification. The Company’s exposure under these agreements is unknown because it involves claims that may be made against the Company in the future. The Company has entered into indemnification agreements with certain directors and officers that require the Company, among other things, to indemnify them against certain liabilities that may arise by reason of the status or service as directors or officers. To date, the Company has not paid any claims or been required to defend any action related to its indemnification obligations. As of March 31, 2023 and December 31, 2022, the Company does not have any material indemnification claims that were probable or reasonably possible and consequently has not recorded related liabilities.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Contingencies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may become involved in legal proceedings arising in the ordinary course of business. The Company is not currently a party to any material legal proceedings.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10.    RELATED PARTY TRANSACTIONS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In August 2020, the Company formed a new entity, PrognomiQ, Inc. (PrognomiQ), and entered into a stock purchase agreement with PrognomiQ, pursuant to which the Company transferred to PrognomiQ certain assets that comprise the Company’s human diagnostics activities in exchange for all the outstanding equity interests of PrognomiQ. The Company subsequently completed a pro-rata distribution to its stockholders of most of the shares of capital stock of PrognomiQ.</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Company has concluded that PrognomiQ is a VIE due to its reliance on future financing and insufficient equity investment at risk. However, the Company is not the primary beneficiary of the VIE as it does not have the power to direct the activities that most significantly impact the economic performance of PrognomiQ and does not have control over the PrognomiQ board of directors. The Company has determined that it has the ability to exercise significant influence over PrognomiQ and therefore has accounted for its investment in PrognomiQ using the equity method. During the year ended December 31, 2022, the carrying value of the Company’s investment in PrognomiQ was reduced to nil after recognizing net losses based on its percentage of ownership in PrognomiQ.</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PrognomiQ constitutes a related party and, as of March 31, 2023 and December 31, 2022, the Company held $1.4 million and $1.5 million in related party receivables, respectively, on the condensed consolidated balance sheets representing amounts due from product sales and services and for general transition services and support provided. For the three months ended March 31, 2023 and 2022, the Company recognized revenue of $1.3 million and $1.1 million, respectively, from PrognomiQ, which is presented as related party revenue on the condensed consolidated statements of operations and comprehensive loss and is comprised of the sale of instruments and consumables, and services performed.</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692265" cy="146685"/>
                <wp:effectExtent l="0" t="0" r="0" b="0"/>
                <wp:wrapNone/>
                <wp:docPr id="21" name="Frame2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SEER,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During 2022, a member of the Company’s Board of Directors served as a board member and an executive officer at a company that is a customer of the Company. As of March 31, 2023 and December 31, 2022, the Company recorded nil and $0.3 million in related party receivables, respectively, on the condensed consolidated balance sheets, representing revenue from products sales. There was no revenue recognized for the three months ended March 31, 2023 and 2022. The Company has a contract for equipment leased to this customer that has been classified as a sales-type lease. As of March 31, 2023 and December 31, 2022, the lease receivables related to the sales-type lease is $0.2 million. The lease receivables are presented as prepaid expenses and other current assets on the condensed consolidated balance sheets.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11.    NET LOSS PER SHARE ATTRIBUTABLE TO COMMON STOCKHOLDERS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computation of basic and diluted net loss per share (in thousands, except share and per share data):</w:t>
      </w:r>
    </w:p>
    <w:tbl>
      <w:tblPr>
        <w:tblW w:w="10539" w:type="dxa"/>
        <w:jc w:val="left"/>
        <w:tblInd w:w="0" w:type="dxa"/>
        <w:tblCellMar>
          <w:top w:w="28" w:type="dxa"/>
          <w:left w:w="28" w:type="dxa"/>
          <w:bottom w:w="28" w:type="dxa"/>
          <w:right w:w="28" w:type="dxa"/>
        </w:tblCellMar>
      </w:tblPr>
      <w:tblGrid>
        <w:gridCol w:w="2866"/>
        <w:gridCol w:w="2454"/>
        <w:gridCol w:w="2466"/>
        <w:gridCol w:w="240"/>
        <w:gridCol w:w="841"/>
        <w:gridCol w:w="109"/>
        <w:gridCol w:w="109"/>
        <w:gridCol w:w="109"/>
        <w:gridCol w:w="109"/>
        <w:gridCol w:w="240"/>
        <w:gridCol w:w="841"/>
        <w:gridCol w:w="155"/>
      </w:tblGrid>
      <w:tr>
        <w:trPr/>
        <w:tc>
          <w:tcPr>
            <w:tcW w:w="2866" w:type="dxa"/>
            <w:tcBorders/>
            <w:shd w:fill="auto" w:val="clear"/>
            <w:vAlign w:val="center"/>
          </w:tcPr>
          <w:p>
            <w:pPr>
              <w:pStyle w:val="TableContents"/>
              <w:spacing w:before="0" w:after="283"/>
              <w:rPr>
                <w:sz w:val="4"/>
                <w:szCs w:val="4"/>
              </w:rPr>
            </w:pPr>
            <w:r>
              <w:rPr>
                <w:sz w:val="4"/>
                <w:szCs w:val="4"/>
              </w:rPr>
            </w:r>
          </w:p>
        </w:tc>
        <w:tc>
          <w:tcPr>
            <w:tcW w:w="2454" w:type="dxa"/>
            <w:tcBorders/>
            <w:shd w:fill="auto" w:val="clear"/>
            <w:vAlign w:val="center"/>
          </w:tcPr>
          <w:p>
            <w:pPr>
              <w:pStyle w:val="TableContents"/>
              <w:spacing w:before="0" w:after="283"/>
              <w:rPr>
                <w:sz w:val="4"/>
                <w:szCs w:val="4"/>
              </w:rPr>
            </w:pPr>
            <w:r>
              <w:rPr>
                <w:sz w:val="4"/>
                <w:szCs w:val="4"/>
              </w:rPr>
            </w:r>
          </w:p>
        </w:tc>
        <w:tc>
          <w:tcPr>
            <w:tcW w:w="2466"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7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77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7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7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stockholders</w:t>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(23,646)</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78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used in computing net loss per share attributable to common stockholders, basic and diluted</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63,543,094 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62,003,504 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8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common stockholders, basic and diluted</w:t>
            </w:r>
          </w:p>
        </w:tc>
        <w:tc>
          <w:tcPr>
            <w:tcW w:w="24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following outstanding shares of potentially dilutive securities were excluded from the computation of diluted net loss per share attributable to common stockholders for the periods presented, because including them would have been anti-dilutive (on an as-converted basis):</w:t>
      </w:r>
    </w:p>
    <w:tbl>
      <w:tblPr>
        <w:tblW w:w="7400" w:type="dxa"/>
        <w:jc w:val="left"/>
        <w:tblInd w:w="0" w:type="dxa"/>
        <w:tblCellMar>
          <w:top w:w="28" w:type="dxa"/>
          <w:left w:w="28" w:type="dxa"/>
          <w:bottom w:w="28" w:type="dxa"/>
          <w:right w:w="28" w:type="dxa"/>
        </w:tblCellMar>
      </w:tblPr>
      <w:tblGrid>
        <w:gridCol w:w="1646"/>
        <w:gridCol w:w="1447"/>
        <w:gridCol w:w="1451"/>
        <w:gridCol w:w="540"/>
        <w:gridCol w:w="541"/>
        <w:gridCol w:w="156"/>
        <w:gridCol w:w="109"/>
        <w:gridCol w:w="109"/>
        <w:gridCol w:w="109"/>
        <w:gridCol w:w="540"/>
        <w:gridCol w:w="541"/>
        <w:gridCol w:w="211"/>
      </w:tblGrid>
      <w:tr>
        <w:trPr/>
        <w:tc>
          <w:tcPr>
            <w:tcW w:w="1646" w:type="dxa"/>
            <w:tcBorders/>
            <w:shd w:fill="auto" w:val="clear"/>
            <w:vAlign w:val="center"/>
          </w:tcPr>
          <w:p>
            <w:pPr>
              <w:pStyle w:val="TableContents"/>
              <w:spacing w:before="0" w:after="283"/>
              <w:rPr>
                <w:sz w:val="4"/>
                <w:szCs w:val="4"/>
              </w:rPr>
            </w:pPr>
            <w:r>
              <w:rPr>
                <w:sz w:val="4"/>
                <w:szCs w:val="4"/>
              </w:rPr>
            </w:r>
          </w:p>
        </w:tc>
        <w:tc>
          <w:tcPr>
            <w:tcW w:w="1447" w:type="dxa"/>
            <w:tcBorders/>
            <w:shd w:fill="auto" w:val="clear"/>
            <w:vAlign w:val="center"/>
          </w:tcPr>
          <w:p>
            <w:pPr>
              <w:pStyle w:val="TableContents"/>
              <w:spacing w:before="0" w:after="283"/>
              <w:rPr>
                <w:sz w:val="4"/>
                <w:szCs w:val="4"/>
              </w:rPr>
            </w:pPr>
            <w:r>
              <w:rPr>
                <w:sz w:val="4"/>
                <w:szCs w:val="4"/>
              </w:rPr>
            </w:r>
          </w:p>
        </w:tc>
        <w:tc>
          <w:tcPr>
            <w:tcW w:w="1451"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5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r>
      <w:tr>
        <w:trPr/>
        <w:tc>
          <w:tcPr>
            <w:tcW w:w="45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options issued and outstanding</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12,346,910 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11,560,004 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common stock subject to future vesting</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65,251 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125,231 </w:t>
            </w:r>
          </w:p>
        </w:tc>
        <w:tc>
          <w:tcPr>
            <w:tcW w:w="211"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3,429,150 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1,959,042 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15,841,311 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13,644,277 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692265" cy="146685"/>
                <wp:effectExtent l="0" t="0" r="0" b="0"/>
                <wp:wrapNone/>
                <wp:docPr id="22" name="Frame2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before="0" w:after="180"/>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Item 2. Management’s Discussion and Analysis of Financial Condition and Results of Operations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You should read the following discussion and analysis of our financial condition and results of operations together with our unaudited condensed consolidated financial statements and related notes included in Part I, Item 1 of this Quarterly Report. This discussion contains forward-looking statements that involve risks and uncertainties, including those described in the section titled “Special Note Regarding Forward Looking Statements.” Our actual results and the timing of selected events could differ materially from those discussed below. Factors that could cause or contribute to such differences include, but are not limited to, those identified below and those set forth under the section titled “Risk Factors.”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Overview </w:t>
      </w:r>
    </w:p>
    <w:p>
      <w:pPr>
        <w:pStyle w:val="TextBody"/>
        <w:spacing w:lineRule="auto" w:line="288" w:before="0" w:after="180"/>
        <w:rPr/>
      </w:pPr>
      <w:r>
        <w:rPr>
          <w:rFonts w:ascii="Times New Roman;sans-serif" w:hAnsi="Times New Roman;sans-serif"/>
          <w:b w:val="false"/>
          <w:color w:val="000000"/>
          <w:sz w:val="20"/>
        </w:rPr>
        <w:t>Our mission is to imagine and pioneer new ways to decode the secrets of the proteome to improve human health. Our first product, the Proteograph</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 xml:space="preserve">Product Suite (Proteograph), leverages our proprietary engineered nanoparticle (NP) technology to provide unbiased, deep, rapid and large-scale access to the proteome. The Proteograph Product Suite is an integrated solution that includes consumables, an automation instrument and software.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believe that broader access to the proteome is essential, not only to understanding its complexity and accelerating biological insights, but also to expanding end-markets. These markets may include basic research and discovery, translational research, diagnostics and applied applications. To comprehend the complexity and dynamic nature of the proteome, researchers must perform population-scale, deep, unbiased interrogation of biological samples over time. We believe that this level of interrogation was not previously feasible and that the Proteograph can enable researchers to perform these types of proteomics studies.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Since we were incorporated in 2017, we have devoted substantially all of our resources to research and development activities, including with respect to the Proteograph Product Suite, building our commercial infrastructure including manufacturing, operations, sales and marketing and service and support functions, establishing and maintaining our intellectual property portfolio, hiring personnel, raising capital, becoming a publicly-traded company, and providing general and administrative support for these activities.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Our ability to generate product revenue sufficient to achieve profitability, if ever, will depend on the successful commercialization of the Proteograph Product Suite. We are commercializing the Proteograph Product Suite as an integrated solution comprised of consumables, our SP100 automation instrument and software. Our commercial strategy is focused on growing adoption by the research community of the Proteograph, expanding the installed base and increasing utilization to generate revenue from the purchase of Proteograph consumables. We expect a highly efficient sales model because our workflow integrates with most existing proteomics laboratories’ workflows and also complements large-scale genomics research.</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are broadly commercializing the Proteograph Product Suite through a direct sales channel in the United States, and through both direct and distributor sales channels in regions outside the United States. Since we are in the early stages of commercialization, we have built, and will continue to build, our sales, marketing, support and product distribution capabilities. In addition, we will continue to build the necessary infrastructure for these activities in the United States, European Union, the United Kingdom, and other countries and regions, including Asia-Pacific, as we execute on our commercialization strategy for the Proteograph.</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We leverage well-established unit operations to formulate and manufacture our NPs at our facilities in Redwood City, California. We procure certain components of our consumables from third-party manufacturers, which includes the commonly-available raw materials needed for manufacturing our proprietary engineered NPs. We are currently manufacturing using our production-scale and pilot lines and continue to build out our manufacturing capabilities to support broad commercial availability of our products. We obtain some of the reagents and components used in the Proteograph workflow from third-party suppliers. While some of these reagents and components are currently sourced from a single supplier, these products are readily available from numerous suppliers. While we currently perform some filling and packaging of the Proteograph assay and the related consumables, we may eventually have </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692265" cy="146685"/>
                <wp:effectExtent l="0" t="0" r="0" b="0"/>
                <wp:wrapNone/>
                <wp:docPr id="23" name="Frame2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before="0" w:after="18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our filling and packaging outsourced to a third party. We conduct vendor and component qualification for components provided by third-party suppliers and quality control tests on our NPs.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designed the SP100 automation instrument and have outsourced its manufacturing to Hamilton Company, a leading manufacturer of automated liquid handling workstations. We have entered into a non-exclusive agreement with Hamilton that covers the manufacturing of the SP100 automation instrument and its continued supply on a purchase order basis. The agreement has an initial term that runs three years following our commercial launch. We have the option to extend the term of the agreement with Hamilton upon written notice at the end of the initial term; provided that prices are only fixed during the initial term of the agreement. Hamilton has represented to us that it maintains ISO 9001 and ISO 13485 certification.</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and 2022, we incurred a net loss of $24.0 million and $23.6 million, respectively, and used $19.3 million and $19.2 million of cash in operations, respectively. As of March 31, 2023, we had an accumulated deficit of $243.5 million and cash and cash equivalents and investments of $410.5 million. We expect to continue to incur significant and increasing losses and do not expect positive cash flows from operations for the foreseeable future.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expect our expenses to increase significantly in connection with our ongoing activities, as we: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broadly commercialize the Proteograph Product Suite;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attract, hire and retain qualified personnel;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continue to build our sales, marketing, service, support and distribution infrastructure as part of our commercialization efforts;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build-out and expand our in-house NP manufacturing capabilities;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continue to engage in research and development of other products and enhancements to the Proteograph Product Suite;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implement operational, financial and management information systems;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obtain, maintain, expand, and protect our intellectual property portfolio;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build the infrastructure to operate and scale as a public company.</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COVID-19 Pandemic</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As a result of the COVID-19 pandemic, we could experience disruptions that could severely impact our business. Pandemic precautions and preventative measures may also impact our commercialization plans due to restrictions on our customers’ ability to access laboratories, causing delays in the delivery and installation of the Proteograph products, training such customers on our products, and their ability to conduct research. We have experienced delays in our ability to access customers in certain countries with strict COVID-19 policies to provide installation and training services. Furthermore, COVID-19 has adversely affected the broader economy and financial markets, resulting in an economic downturn that could curtail the research and development budgets of our customers, our ability to hire additional personnel and our financing prospects. Any of the foregoing could harm our operations and we cannot anticipate all the ways in which it could be adversely impacted by health epidemics such as COVID-19.</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For additional details, see the section titled “Risk Factors.”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Components of Results of Operations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generate revenue from product sales, including sales of the Proteograph Product Suite, which consists of an instrument with embedded software essential to the instrument’s functionality and associated consumables as well as our platform evaluation agreements. In addition, we may at times generate revenue from performing services, the </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692265" cy="146685"/>
                <wp:effectExtent l="0" t="0" r="0" b="0"/>
                <wp:wrapNone/>
                <wp:docPr id="24" name="Frame2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before="0" w:after="18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receipt of grant revenue for the reimbursement of research-related expenses, and lease arrangements. Our revenue is primarily generated domestically. We intend to focus our commercial efforts in the United States and expect to grow our international presence. A portion of our revenue is generated by sales to related parties and we anticipate a portion of our revenue to continue to be generated by sales to such related parties. Our grant-funded activities are expected to decrease as a percentage of total revenue as we decrease grant-funded activities and continue to ramp up commercialization of the Proteograph Product Suite.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Cost of Revenue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utilize third-party manufacturers for production of our SP100 instrument and we manufacture our NPs and assemble our assay kits internally. Cost of revenue consists primarily of costs of the components of the Proteograph Product Suite, including the SP100 instrument with embedded software essential to the instrument’s functionality, and consumables, and distribution-related expenses such as logistics and shipping costs. In addition, cost of revenue includes stock-based compensation and related employee benefits, allocated overhead and write-downs or impairments of obsolete inventory.</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or R&amp;D, expenses include costs associated with performing services under research and development service contracts and research and development of our technology and product candidates. R&amp;D expenses consist primarily of employee compensation, including stock-based compensation and employee benefits, laboratory supplies used for in-house research, consulting costs, costs related to clinical studies for the collection of biological samples for research use, and allocated costs, including rent, depreciation, information technology and utilities.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plan to increase our investment in our R&amp;D efforts related to the Proteograph Product Suite, our product development pipeline and our proprietary engineered NP and other technologies. Therefore, we expect R&amp;D expenses will increase in absolute dollars in future periods as we incur expenses associated with hiring additional personnel, purchasing supplies and materials, and the allocation of facility expense associated with the build-out of our expansion facilities to support our R&amp;D efforts.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Selling, General and Administrative Expenses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consist primarily of employee compensation, including stock-based compensation, and related benefits for executive management, sales and marketing, service and support, finance, administration and human resources, legal, allocated overhead, professional service fees and other general overhead costs to support our operations.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expect to incur additional selling, general and administrative expenses as we continue to invest in our personnel as we grow our commercial operations and with the additional costs incurred as a result of operating as a public company, including accounting, human resources, legal, insurance and investor relations costs. As a result, we expect selling, general and administrative expenses to increase in absolute dollars in future periods.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Interest Income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Interest income consists of interest earned on cash and cash equivalents and investments.</w:t>
      </w:r>
    </w:p>
    <w:p>
      <w:pPr>
        <w:pStyle w:val="TextBody"/>
        <w:spacing w:before="0" w:after="0"/>
        <w:jc w:val="center"/>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Comparisons of the Three Months Ended March 31, 2023 and 2022</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results of operations for the periods presented: </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692265" cy="146685"/>
                <wp:effectExtent l="0" t="0" r="0" b="0"/>
                <wp:wrapNone/>
                <wp:docPr id="25" name="Frame2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before="0" w:after="180"/>
        <w:rPr/>
      </w:pPr>
      <w:r>
        <w:rPr/>
      </w:r>
    </w:p>
    <w:tbl>
      <w:tblPr>
        <w:tblW w:w="7915" w:type="dxa"/>
        <w:jc w:val="left"/>
        <w:tblInd w:w="0" w:type="dxa"/>
        <w:tblCellMar>
          <w:top w:w="28" w:type="dxa"/>
          <w:left w:w="28" w:type="dxa"/>
          <w:bottom w:w="28" w:type="dxa"/>
          <w:right w:w="28" w:type="dxa"/>
        </w:tblCellMar>
      </w:tblPr>
      <w:tblGrid>
        <w:gridCol w:w="1067"/>
        <w:gridCol w:w="941"/>
        <w:gridCol w:w="946"/>
        <w:gridCol w:w="211"/>
        <w:gridCol w:w="796"/>
        <w:gridCol w:w="109"/>
        <w:gridCol w:w="109"/>
        <w:gridCol w:w="109"/>
        <w:gridCol w:w="109"/>
        <w:gridCol w:w="211"/>
        <w:gridCol w:w="796"/>
        <w:gridCol w:w="109"/>
        <w:gridCol w:w="109"/>
        <w:gridCol w:w="109"/>
        <w:gridCol w:w="109"/>
        <w:gridCol w:w="211"/>
        <w:gridCol w:w="541"/>
        <w:gridCol w:w="109"/>
        <w:gridCol w:w="109"/>
        <w:gridCol w:w="109"/>
        <w:gridCol w:w="109"/>
        <w:gridCol w:w="285"/>
        <w:gridCol w:w="286"/>
        <w:gridCol w:w="316"/>
      </w:tblGrid>
      <w:tr>
        <w:trPr/>
        <w:tc>
          <w:tcPr>
            <w:tcW w:w="1067"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5"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Change </w:t>
            </w:r>
          </w:p>
        </w:tc>
      </w:tr>
      <w:tr>
        <w:trPr/>
        <w:tc>
          <w:tcPr>
            <w:tcW w:w="29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9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1"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 and other</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2293 </w:t>
            </w:r>
          </w:p>
        </w:tc>
        <w:tc>
          <w:tcPr>
            <w:tcW w:w="3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 and other</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3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2481 </w:t>
            </w:r>
          </w:p>
        </w:tc>
        <w:tc>
          <w:tcPr>
            <w:tcW w:w="3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w:t>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5675 </w:t>
            </w:r>
          </w:p>
        </w:tc>
        <w:tc>
          <w:tcPr>
            <w:tcW w:w="3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other income </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 xml:space="preserve">* Not meaningful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 xml:space="preserve">Revenue </w:t>
      </w:r>
    </w:p>
    <w:tbl>
      <w:tblPr>
        <w:tblW w:w="5401" w:type="dxa"/>
        <w:jc w:val="left"/>
        <w:tblInd w:w="0" w:type="dxa"/>
        <w:tblCellMar>
          <w:top w:w="28" w:type="dxa"/>
          <w:left w:w="28" w:type="dxa"/>
          <w:bottom w:w="28" w:type="dxa"/>
          <w:right w:w="28" w:type="dxa"/>
        </w:tblCellMar>
      </w:tblPr>
      <w:tblGrid>
        <w:gridCol w:w="320"/>
        <w:gridCol w:w="282"/>
        <w:gridCol w:w="283"/>
        <w:gridCol w:w="230"/>
        <w:gridCol w:w="672"/>
        <w:gridCol w:w="119"/>
        <w:gridCol w:w="119"/>
        <w:gridCol w:w="119"/>
        <w:gridCol w:w="119"/>
        <w:gridCol w:w="230"/>
        <w:gridCol w:w="672"/>
        <w:gridCol w:w="119"/>
        <w:gridCol w:w="109"/>
        <w:gridCol w:w="109"/>
        <w:gridCol w:w="109"/>
        <w:gridCol w:w="211"/>
        <w:gridCol w:w="466"/>
        <w:gridCol w:w="109"/>
        <w:gridCol w:w="109"/>
        <w:gridCol w:w="109"/>
        <w:gridCol w:w="109"/>
        <w:gridCol w:w="180"/>
        <w:gridCol w:w="181"/>
        <w:gridCol w:w="316"/>
      </w:tblGrid>
      <w:tr>
        <w:trPr/>
        <w:tc>
          <w:tcPr>
            <w:tcW w:w="320"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8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8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8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6"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r>
      <w:tr>
        <w:trPr/>
        <w:tc>
          <w:tcPr>
            <w:tcW w:w="8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w:t>
            </w:r>
          </w:p>
        </w:tc>
        <w:tc>
          <w:tcPr>
            <w:tcW w:w="2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4,053 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increased by $0.8 million, or 22%, from $3.3 million during the three months ended March 31, 2022 to $4.1 million during the three months ended March 31, 2023, primarily due to increased consumable kit sales related to the Proteograph Product Suite. Revenue recognized primarily consisted of sales of the Proteograph SP100 instrument, consumable kits and platform evaluations, of which $1.3 million was attributed to related party. Also, revenue from our grant-funded activities related to our Small Business Innovation Research (SBIR) grant from the National Institutes of Health Grant (NIH) increased between the two periods by $0.3 million. </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692265" cy="146685"/>
                <wp:effectExtent l="0" t="0" r="0" b="0"/>
                <wp:wrapNone/>
                <wp:docPr id="26" name="Frame2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before="0" w:after="180"/>
        <w:rPr/>
      </w:pPr>
      <w:r>
        <w:rPr/>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Cost of Revenue</w:t>
      </w:r>
    </w:p>
    <w:tbl>
      <w:tblPr>
        <w:tblW w:w="5849" w:type="dxa"/>
        <w:jc w:val="left"/>
        <w:tblInd w:w="0" w:type="dxa"/>
        <w:tblCellMar>
          <w:top w:w="28" w:type="dxa"/>
          <w:left w:w="28" w:type="dxa"/>
          <w:bottom w:w="28" w:type="dxa"/>
          <w:right w:w="28" w:type="dxa"/>
        </w:tblCellMar>
      </w:tblPr>
      <w:tblGrid>
        <w:gridCol w:w="504"/>
        <w:gridCol w:w="444"/>
        <w:gridCol w:w="446"/>
        <w:gridCol w:w="230"/>
        <w:gridCol w:w="672"/>
        <w:gridCol w:w="119"/>
        <w:gridCol w:w="119"/>
        <w:gridCol w:w="119"/>
        <w:gridCol w:w="119"/>
        <w:gridCol w:w="230"/>
        <w:gridCol w:w="672"/>
        <w:gridCol w:w="119"/>
        <w:gridCol w:w="109"/>
        <w:gridCol w:w="109"/>
        <w:gridCol w:w="109"/>
        <w:gridCol w:w="211"/>
        <w:gridCol w:w="436"/>
        <w:gridCol w:w="109"/>
        <w:gridCol w:w="109"/>
        <w:gridCol w:w="109"/>
        <w:gridCol w:w="109"/>
        <w:gridCol w:w="164"/>
        <w:gridCol w:w="166"/>
        <w:gridCol w:w="316"/>
      </w:tblGrid>
      <w:tr>
        <w:trPr/>
        <w:tc>
          <w:tcPr>
            <w:tcW w:w="504"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5"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r>
      <w:tr>
        <w:trPr/>
        <w:tc>
          <w:tcPr>
            <w:tcW w:w="139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180"/>
        <w:rPr/>
      </w:pPr>
      <w:r>
        <w:rPr>
          <w:rFonts w:ascii="Times New Roman;sans-serif" w:hAnsi="Times New Roman;sans-serif"/>
          <w:b w:val="false"/>
          <w:color w:val="000000"/>
          <w:sz w:val="20"/>
        </w:rPr>
        <w:t>Cost of revenue decreased by $0.1 million, or 4%, from $2.1 million during the three months ended March 31, 2022 to $2.0 million during the three months ended March 31, 2023,</w:t>
      </w:r>
      <w:r>
        <w:rPr>
          <w:color w:val="000000"/>
          <w:highlight w:val="white"/>
        </w:rPr>
        <w:t xml:space="preserve"> </w:t>
      </w:r>
      <w:r>
        <w:rPr>
          <w:rFonts w:ascii="Times New Roman;sans-serif" w:hAnsi="Times New Roman;sans-serif"/>
          <w:b w:val="false"/>
          <w:color w:val="000000"/>
          <w:sz w:val="20"/>
          <w:highlight w:val="white"/>
        </w:rPr>
        <w:t>primarily due to increased consumable kit sales, which carry a higher margin, offset by increased overhead expenses, warranty and inventory reserves and other costs of revenue. Cost of revenue related to the P</w:t>
      </w:r>
      <w:r>
        <w:rPr>
          <w:rFonts w:ascii="Times New Roman;sans-serif" w:hAnsi="Times New Roman;sans-serif"/>
          <w:b w:val="false"/>
          <w:color w:val="000000"/>
          <w:sz w:val="20"/>
        </w:rPr>
        <w:t>roteograph Product Suite consists of costs of the SP100 instrument, consumable kits and other related costs, including labor and overhead.</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 xml:space="preserve">Research and Development </w:t>
      </w:r>
    </w:p>
    <w:tbl>
      <w:tblPr>
        <w:tblW w:w="6985" w:type="dxa"/>
        <w:jc w:val="left"/>
        <w:tblInd w:w="0" w:type="dxa"/>
        <w:tblCellMar>
          <w:top w:w="28" w:type="dxa"/>
          <w:left w:w="28" w:type="dxa"/>
          <w:bottom w:w="28" w:type="dxa"/>
          <w:right w:w="28" w:type="dxa"/>
        </w:tblCellMar>
      </w:tblPr>
      <w:tblGrid>
        <w:gridCol w:w="837"/>
        <w:gridCol w:w="734"/>
        <w:gridCol w:w="738"/>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80"/>
        <w:gridCol w:w="181"/>
        <w:gridCol w:w="316"/>
      </w:tblGrid>
      <w:tr>
        <w:trPr/>
        <w:tc>
          <w:tcPr>
            <w:tcW w:w="837"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6"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R&amp;D expenses increased by $3.7 million, or 35%, from $10.7 million during the three months ended March 31, 2022 to $14.5 million during the three months ended March 31, 2023. The increase was primarily due to an increase in product development efforts related to the Proteograph Product Suite, including $1.2 million in employee compensation costs and other related expenses, including $0.5 million in stock-based compensation, due to growth in research and development personnel and a $0.8 million increase in overhead related to the allocation of facility expense associated with the build-out of our expansion facilities to support our R&amp;D efforts. Other increases are attributable to business and lab expenses of $0.8 million, and $0.2 million in depreciation of laboratory equipment.</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Selling, General and Administrative</w:t>
      </w:r>
    </w:p>
    <w:tbl>
      <w:tblPr>
        <w:tblW w:w="7376" w:type="dxa"/>
        <w:jc w:val="left"/>
        <w:tblInd w:w="0" w:type="dxa"/>
        <w:tblCellMar>
          <w:top w:w="28" w:type="dxa"/>
          <w:left w:w="28" w:type="dxa"/>
          <w:bottom w:w="28" w:type="dxa"/>
          <w:right w:w="28" w:type="dxa"/>
        </w:tblCellMar>
      </w:tblPr>
      <w:tblGrid>
        <w:gridCol w:w="1071"/>
        <w:gridCol w:w="941"/>
        <w:gridCol w:w="943"/>
        <w:gridCol w:w="211"/>
        <w:gridCol w:w="721"/>
        <w:gridCol w:w="109"/>
        <w:gridCol w:w="109"/>
        <w:gridCol w:w="109"/>
        <w:gridCol w:w="109"/>
        <w:gridCol w:w="211"/>
        <w:gridCol w:w="721"/>
        <w:gridCol w:w="109"/>
        <w:gridCol w:w="109"/>
        <w:gridCol w:w="109"/>
        <w:gridCol w:w="109"/>
        <w:gridCol w:w="211"/>
        <w:gridCol w:w="466"/>
        <w:gridCol w:w="109"/>
        <w:gridCol w:w="109"/>
        <w:gridCol w:w="109"/>
        <w:gridCol w:w="109"/>
        <w:gridCol w:w="128"/>
        <w:gridCol w:w="128"/>
        <w:gridCol w:w="316"/>
      </w:tblGrid>
      <w:tr>
        <w:trPr/>
        <w:tc>
          <w:tcPr>
            <w:tcW w:w="1071"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9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9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9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1"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r>
      <w:tr>
        <w:trPr/>
        <w:tc>
          <w:tcPr>
            <w:tcW w:w="2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increased by $0.7 million, or 5%, from $14.3 million during the three months ended March 31, 2022 to $15.0 million during the three months ended March 31, 2023, primarily due to a $1.3 million increase in employee compensation costs, a $0.8 million increase in general business expense, a $0.1 million increase in travel expense, and a $0.2 million increase in facility expense. The increase was offset by a $1.0 million decrease in consulting and recruiting expenses and a $0.6 million decrease in allocated overhead related to IT and facilities allocations.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Total Other Income</w:t>
      </w:r>
    </w:p>
    <w:tbl>
      <w:tblPr>
        <w:tblW w:w="6538" w:type="dxa"/>
        <w:jc w:val="left"/>
        <w:tblInd w:w="0" w:type="dxa"/>
        <w:tblCellMar>
          <w:top w:w="28" w:type="dxa"/>
          <w:left w:w="28" w:type="dxa"/>
          <w:bottom w:w="28" w:type="dxa"/>
          <w:right w:w="28" w:type="dxa"/>
        </w:tblCellMar>
      </w:tblPr>
      <w:tblGrid>
        <w:gridCol w:w="603"/>
        <w:gridCol w:w="529"/>
        <w:gridCol w:w="533"/>
        <w:gridCol w:w="247"/>
        <w:gridCol w:w="721"/>
        <w:gridCol w:w="127"/>
        <w:gridCol w:w="127"/>
        <w:gridCol w:w="127"/>
        <w:gridCol w:w="127"/>
        <w:gridCol w:w="247"/>
        <w:gridCol w:w="546"/>
        <w:gridCol w:w="127"/>
        <w:gridCol w:w="109"/>
        <w:gridCol w:w="109"/>
        <w:gridCol w:w="109"/>
        <w:gridCol w:w="211"/>
        <w:gridCol w:w="616"/>
        <w:gridCol w:w="109"/>
        <w:gridCol w:w="109"/>
        <w:gridCol w:w="109"/>
        <w:gridCol w:w="109"/>
        <w:gridCol w:w="285"/>
        <w:gridCol w:w="286"/>
        <w:gridCol w:w="316"/>
      </w:tblGrid>
      <w:tr>
        <w:trPr/>
        <w:tc>
          <w:tcPr>
            <w:tcW w:w="603"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6"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3"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r>
      <w:tr>
        <w:trPr/>
        <w:tc>
          <w:tcPr>
            <w:tcW w:w="1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w:t>
            </w:r>
          </w:p>
        </w:tc>
        <w:tc>
          <w:tcPr>
            <w:tcW w:w="24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3,486 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Total other income increased by $3.3 million, or 2390%, from $0.1 million during the three months ended March 31, 2022 to $3.5 million during the three months ended March 31, 2023. The increase was due to higher rates of interest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692265" cy="146685"/>
                <wp:effectExtent l="0" t="0" r="0" b="0"/>
                <wp:wrapNone/>
                <wp:docPr id="27" name="Frame2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before="0" w:after="18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earned on cash invested in money market funds, U.S. Treasury, commercial paper and corporate securities during the three months ended March 31, 2023.</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Since the date of our incorporation, we have not generated significant revenue from product sales and have incurred significant operating losses and negative cash flows from operations. Our operations have been funded primarily through the sale and issuance of equity securities since inception. We anticipate that we will continue to incur net losses and do not expect positive cash flows from operations for the foreseeable future. However, based on our cash on hand, we believe we will have adequate liquidity over the next twelve months following the date of this Quarterly Report of Form 10-Q to operate our business and to meet our cash requirements.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enter into agreements as a part of normal course of business with various vendors, which are generally cancellable without material penalty upon written notice. Payments associated with these agreements are not included in this discussion of contractual obligations.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operating lease obligations reflect our lease obligations for our office and laboratory space in Redwood City, California and office space in San Diego, California. We leases approximately 51,000 square feet of office and laboratory space in Redwood City, California, and the lease is set to end on September 30, 2032 with an option to renew for an additional five-year term at then-current market rates. We maintain a letter of credit issued to the lessor in the amount of $0.5 million as of March 31, 2023 and December 31, 2022, which is secured by restricted cash and is presented as noncurrent at each date based on the term of the underlying lease. We lease approximately 6,000 square feet of office space in San Diego, California that runs through September 2024.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have certain purchase commitments related to our inventory management with certain manufacturing suppliers wherein we are required to purchase the amounts forecasted in a blanket purchase order within a certain time period. The contractual obligations represent future cash commitments and liabilities under agreements with third parties and exclude orders for goods and services entered into in the normal course of business that are not enforceable or subject to change. These outstanding commitments amounted to $4.3 million as of March 31, 2023.</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take a long-term view in growing and scaling our business and regularly review opportunities that meet our long-term growth objectives. Our future capital requirements will depend on many factors including our revenue growth rate, investments in continued commercialization efforts, acquisitions of complementary or enhancing technologies or businesses, including intellectual property rights, the impacts of the COVID-19 pandemic, the timing and extent of additional capital expenditures to invest in existing and new facilities, the expansion of sales and marketing and international activities and the extent and magnitude of our ongoing research and development programs.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believe that our existing cash and cash equivalents and investments will be sufficient to meet our anticipated cash requirements for more than 12 months from the date of this Quarterly Report on Form 10-Q. If our available cash and cash equivalents and investments and anticipated cash flows from operations are insufficient to satisfy our liquidity requirements, we may consider raising additional capital to expand our business, to pursue strategic investments, to take advantage of financing opportunities or for other reasons.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cash flows for the periods indicated: </w:t>
      </w:r>
    </w:p>
    <w:tbl>
      <w:tblPr>
        <w:tblW w:w="7670" w:type="dxa"/>
        <w:jc w:val="left"/>
        <w:tblInd w:w="0" w:type="dxa"/>
        <w:tblCellMar>
          <w:top w:w="28" w:type="dxa"/>
          <w:left w:w="28" w:type="dxa"/>
          <w:bottom w:w="28" w:type="dxa"/>
          <w:right w:w="28" w:type="dxa"/>
        </w:tblCellMar>
      </w:tblPr>
      <w:tblGrid>
        <w:gridCol w:w="1715"/>
        <w:gridCol w:w="1510"/>
        <w:gridCol w:w="1514"/>
        <w:gridCol w:w="211"/>
        <w:gridCol w:w="796"/>
        <w:gridCol w:w="109"/>
        <w:gridCol w:w="109"/>
        <w:gridCol w:w="109"/>
        <w:gridCol w:w="109"/>
        <w:gridCol w:w="211"/>
        <w:gridCol w:w="796"/>
        <w:gridCol w:w="109"/>
        <w:gridCol w:w="109"/>
        <w:gridCol w:w="109"/>
        <w:gridCol w:w="154"/>
      </w:tblGrid>
      <w:tr>
        <w:trPr/>
        <w:tc>
          <w:tcPr>
            <w:tcW w:w="1715" w:type="dxa"/>
            <w:tcBorders/>
            <w:shd w:fill="auto" w:val="clear"/>
            <w:vAlign w:val="center"/>
          </w:tcPr>
          <w:p>
            <w:pPr>
              <w:pStyle w:val="TableContents"/>
              <w:spacing w:before="0" w:after="283"/>
              <w:rPr>
                <w:sz w:val="4"/>
                <w:szCs w:val="4"/>
              </w:rPr>
            </w:pPr>
            <w:r>
              <w:rPr>
                <w:sz w:val="4"/>
                <w:szCs w:val="4"/>
              </w:rPr>
            </w:r>
          </w:p>
        </w:tc>
        <w:tc>
          <w:tcPr>
            <w:tcW w:w="1510" w:type="dxa"/>
            <w:tcBorders/>
            <w:shd w:fill="auto" w:val="clear"/>
            <w:vAlign w:val="center"/>
          </w:tcPr>
          <w:p>
            <w:pPr>
              <w:pStyle w:val="TableContents"/>
              <w:spacing w:before="0" w:after="283"/>
              <w:rPr>
                <w:sz w:val="4"/>
                <w:szCs w:val="4"/>
              </w:rPr>
            </w:pPr>
            <w:r>
              <w:rPr>
                <w:sz w:val="4"/>
                <w:szCs w:val="4"/>
              </w:rPr>
            </w:r>
          </w:p>
        </w:tc>
        <w:tc>
          <w:tcPr>
            <w:tcW w:w="151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(19,151)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692265" cy="146685"/>
                <wp:effectExtent l="0" t="0" r="0" b="0"/>
                <wp:wrapNone/>
                <wp:docPr id="28" name="Frame2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before="0" w:after="180"/>
        <w:rPr/>
      </w:pPr>
      <w:r>
        <w:rPr/>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 xml:space="preserve">Operating Activities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2023, cash used in operating activities was $19.3 million, which was attributable to a net loss of $24.0 million and a net change in our net operating assets and liabilities of $3.4 million, partially offset by non-cash charges of $8.1 million. Non-cash charges primarily consisted of $8.7 million in stock-based compensation, $1.2 million of depreciation and amortization, $0.2 million of loss on disposal of property and equipment, provision for inventory excess and obsolescence of $0.2 million, and $0.1 million of non-cash operating lease expense, offset by $2.4 million of net amortization of premium on available-for-sales securities. The change in our net operating assets and liabilities was primarily due to an increase in prepaid expense and other current asset of $2.3 million primarily due to our annual insurance renewal, a decrease in accrued expense of $1.0 million due to the bonus payout for 2022, and an increase in accounts receivable of $0.4 million.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2022, cash used in operating activities was $19.2 million, which was attributable to a net loss of $23.6 million and a net change in our net operating assets and liabilities of $5.3 million, partially offset by non-cash charges of $9.8 million. Non-cash charges primarily consisted of $8.1 million in stock-based compensation, $0.9 million of depreciation and amortization, $0.3 million of net amortization of premiums on available-for-sales securities and $0.5 million of non-cash operating lease expense. The change in our net operating assets and liabilities was primarily due to an increases in inventory levels of $0.3 million, an increase in prepaid expenses and other current assets of $2.9 million, and an increase of $2.0 million in accrued expenses related to employee compensation.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 xml:space="preserve">Investing Activities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cash provided by investing activities was $14.5 million, which was attributable to the proceeds from maturities of available-for-sale securities of $146.1 million and proceeds from sale of available-for-sale securities of $3.0 million. This was offset by $134.5 million related to purchases of available-for-sale securities.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2022, cash provided by investing activities was $10.9 million, which related to proceeds from maturities of available-for-sale securities of $12.0 million and $1.1 million in payments primarily for laboratory equipment.</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 xml:space="preserve">Financing Activities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2023, cash provided by financing activities was $30,000, which was attributable to net proceeds from the exercise of stock options.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2022, cash provided by financing activities was $0.8 million, which was attributable to net proceeds from the exercise of stock options.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Critical Accounting Policies, Significant Judgments and Use of Estimates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discussion and analysis of our financial condition and results of operations is based on our unaudited condensed consolidated financial statements, which have been prepared in accordance with United States generally accepted accounting principles. The preparation of these unaudited condensed consolidated financial statements requires us to make estimates and assumptions that affect the reported amounts of assets, liabilities, and the disclosure of contingent assets and liabilities at the date of the unaudited condensed consolidated financial statements, as well as revenue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no significant changes in our critical accounting policies and estimates as compared to the critical accounting policies and estimates disclosed in the section titled “Management’s Discussion and Analysis of </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692265" cy="146685"/>
                <wp:effectExtent l="0" t="0" r="0" b="0"/>
                <wp:wrapNone/>
                <wp:docPr id="29" name="Frame2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before="0" w:after="18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Financial Condition and Operations” included in our Annual Report on Form 10-K for the fiscal year ended December 31, 2022.</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See Note 2 to our unaudited condensed consolidated financial statements included elsewhere in this Quarterly Report for more information about recent accounting pronouncements, the timing of their adoption, and our assessment, to the extent we have made one yet, of their potential impact on our financial condition of results of operations.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have exposure to interest rate risk that relates to our cash and cash equivalents and investments held in money market funds, U.S. Treasury securities, commercial paper and corporate securities. The goals of our investment policy are liquidity and capital preservation. We believe that we do not have any material exposure to changes in the fair value of these assets as a result of changes in interest rates due to the short-term nature of our cash and cash equivalents and investments.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Under the supervision and with the participation of our management, including our Chief Executive Officer (CEO), and Chief Financial Officer (CFO), we evaluated the effectiveness of the design and operation of our disclosure controls and procedures pursuant to Rule 13a-15(e) and 15d-15(e) under the Securities Exchange Act of 1934, as amended (the Exchange Act) as of the end of the period covered by this report.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CEO and the CFO,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CEO and CFO have concluded, as of March 31, 2023, our disclosure controls and procedures were effective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CEO and CFO, as appropriate, to allow timely decisions regarding required disclosures.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Inherent Limitations on Effectiveness of Controls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including our CEO and CFO, does not expect that our disclosure controls and procedures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a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692265" cy="146685"/>
                <wp:effectExtent l="0" t="0" r="0" b="0"/>
                <wp:wrapNone/>
                <wp:docPr id="30" name="Frame3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before="0" w:after="18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of controls effectiveness to future periods are subject to risks. Over time, controls may become inadequate because of changes in conditions or deterioration in the degree of compliance with policies or procedures.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such term is defined in Rules 13a-15(f) under the Exchange Act) during the quarter ended March 31, 2023 that has materially affected, or is reasonably likely to materially affect, our internal control over financial reporting.</w:t>
      </w:r>
    </w:p>
    <w:p>
      <w:pPr>
        <w:pStyle w:val="TextBody"/>
        <w:spacing w:before="0" w:after="18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692265" cy="146685"/>
                <wp:effectExtent l="0" t="0" r="0" b="0"/>
                <wp:wrapNone/>
                <wp:docPr id="31" name="Frame3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before="0" w:after="180"/>
        <w:rPr/>
      </w:pPr>
      <w:r>
        <w:rPr/>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are not currently a party to any material legal proceedings. From time to time we may be involved in legal proceedings or investigations, which could have an adverse impact on our reputation, business and financial condition and divert the attention of our management from the operation of our business.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Investing in our Class A common stock involves a high degree of risk. You should carefully consider the risks described below, as well as the other information in this Quarterly Report, including our unaudited condensed consolidated financial statements and the related notes and the section titled “Management’s Discussion and Analysis of Financial Condition and Results of Operations” in this Quarterly Report, before deciding whether to invest in our Class A common stock. The occurrence of any of the events or developments described below could harm our business, financial condition, results of operations and prospects. In such an event, the market price of our Class A common stock could decline, and you may lose all or part of your investment. Additional risks and uncertainties not presently known to us or that we currently deem immaterial also may impair our business operations and the market price of our Class A common stock.</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Summary Risk Factor</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Our business is subject to numerous risks and uncertainties that you should consider before investing in our company, as more fully described below. The principal factors and uncertainties that make investing in our company risky include, among others:</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we are an early-stage life sciences technology company with a history of net losses, which we expect to continue, and we may not be able to generate meaningful revenues or achieve and sustain profitability in the future;</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we have a limited operating history, which may make it difficult to evaluate our current business and the prospects for our future viability, and to predict our future performance;</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our operating results may fluctuate significantly in the future, which makes our future operating results difficult to predict and could cause our operating results to fall below expectations or any guidance we may provide;</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the size of the markets for the Proteograph Product Suite may be smaller than estimated, and new market opportunities may not develop as quickly as we expect, or at all, limiting our ability to successfully sell our products;</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we are in the early stages of our commercialization plan, and we may not be able to commercialize the Proteograph Product Suite as planned;</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our commercialization success depends on broad scientific and market acceptance of the Proteograph, which we may fail to achieve;</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even if the Proteograph Product Suite is successfully commercialized and achieves broad scientific and market acceptance, if we fail to improve it or introduce compelling new products or services, our revenues and our prospects could be harmed;</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 xml:space="preserve">The COVID-19 pandemic and efforts to reduce its spread have adversely impacted our operations, and other public health crises and other epidemics could adversely impact, our business and operations; </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 xml:space="preserve">if we are unable to obtain and maintain sufficient intellectual property protection for our products and technology, or if the scope of the intellectual property protection obtained is not sufficiently broad, our </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692265" cy="146685"/>
                <wp:effectExtent l="0" t="0" r="0" b="0"/>
                <wp:wrapNone/>
                <wp:docPr id="32" name="Frame3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before="0" w:after="18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competitors could develop and commercialize products similar or identical to ours, and our ability to successfully commercialize our products may be impaired; </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 xml:space="preserve">if we are unable to identify and recruit qualified employees, and retain or maintain our employee base, it may adversely impact our business and operations; and </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if we fail to maintain an effective system of internal controls, or otherwise fail to comply with the Sarbanes-Oxley Act of 2002, we may not be able to accurately and timely report our financial results, which may adversely affect our business and investor confidence in us and, as a result, the value of our Class A common stock.</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Risks Related to Our Business and Industry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We are an early-stage life sciences technology company with a history of net losses, which we expect to continue, and we may not be able to generate meaningful revenues or achieve and sustain profitability in the future.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an early-stage life sciences technology company, and we have incurred significant losses since we were formed in 2017, and expect to continue to incur losses in the future. We incurred net losses of $24.0 million and $23.6 million during the three months ended March 31, 2023 and 2022, respectively. As of March 31, 2023, we had an accumulated deficit of $243.5 million. These losses and accumulated deficit were primarily due to the substantial investments we have made to develop and improve our technology and the Proteograph Product Suite. Over the next several years, we expect to continue to devote substantially all of our resources towards continuing development and commercialization of the Proteograph Product Suite, including sales and marketing, manufacturing and operations costs, and research and development efforts for products. These efforts may prove more costly than we currently anticipate. While we have generated product revenue, we may never generate revenue sufficient to offset our expenses. In addition, as a public company, we incur significant legal, accounting, administrative, insurance and other expenses. Accordingly, we cannot assure you that we will achieve profitability in the future or that, if we do become profitable, we will sustain profitability.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We have a limited operating history, which may make it difficult to evaluate our current business and the prospects for our future viability, and to predict our future performance.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are in the early stages of commercialization of the Proteograph Product Suite. Our operations to date have been primarily focused on developing our technology and products. Our prospects must be considered in light of the uncertainties, risks, expenses, and difficulties frequently encountered by companies in their early stages of operations. Consequently, predictions about our future success or viability are highly uncertain and may not be as accurate as they could be if we had a longer operating history or a company history of successfully developing and commercializing products.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as a business with a limited operating history, we may encounter unforeseen expenses, difficulties, complications, delays and other known and unknown obstacles. As we continue to transition from a company with a focus on research and development to a company capable of supporting broad commercial activities as well, we may not be successful in such a transition. We have encountered in the past, and will encounter in the future, risks and uncertainties frequently experienced by growing companies with limited operating histories in emerging and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Our operating results may fluctuate significantly in the future, which makes our future operating results difficult to predict and could cause our operating results to fall below expectations of investors or security analysts or any guidance we may provide, and which may cause the price of our Class A common stock to fluctuate or decline substantially.</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692265" cy="146685"/>
                <wp:effectExtent l="0" t="0" r="0" b="0"/>
                <wp:wrapNone/>
                <wp:docPr id="33" name="Frame3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before="0" w:after="18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Our quarterly and annual operating results may fluctuate significantly, which makes it difficult for us to predict our future operating results. These fluctuations may occur due to a variety of factors, many of which are outside of our control, including, but not limited to: </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our ability to successfully commercialize the Proteograph Product Suite on our anticipated timeline;</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 xml:space="preserve">our ability to offer high-quality customer service: </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the timing and cost of, and level of investment in, research and development and commercialization activities relating to the Proteograph Product Suite, including our SP100 automation instrument, proprietary engineered nanoparticle (NP) technology and Proteograph Analysis Suite software, which may change from time to time;</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the level of demand for any products we are able to commercialize, particularly the Proteograph Product Suite, which may vary significantly from period to period;</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our ability to drive adoption of the Proteograph in our target markets and our ability to expand into any future target markets;</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our relationship with third-party distributorships, the quantity of our products they elect to hold in inventory, and their ability to promote and sell our products;</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the prices at which we will be able to sell the Proteograph Product Suite and related services;</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the volume and mix of our sales between the Proteograph Product Suite and associated consumables, or changes in the manufacturing or sales costs related to our products;</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the length of time and unpredictable nature of the sales cycle;</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the lead time needed to procure SP100 automation instruments from our third-party contract manufacturer;</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the success of our sales force, which if less than anticipated, could significantly impair our ability to generate revenue;</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the failure of customers to exercise Proteograph purchase options;</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the effective and efficient use of our financial and other resources, including the timing and amount of expenditures that we may incur to develop, commercialize or acquire additional products and technologies or for other purposes, such as the expansion of our facilities;</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changes in governmental funding of life sciences research and development or changes that impact budgets and budget cycles;</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seasonal spending patterns and the ability to collect on the accounts receivable of our customers;</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the timing of when we recognize revenue;</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future accounting pronouncements, changes in accounting rules and regulations, or modifications to our accounting policies;</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the outcome of any future litigation or governmental investigations involving us, our industry or both;</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 xml:space="preserve">higher than anticipated service, replacement and warranty costs; </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 xml:space="preserve">the impact of health epidemics on the economy, investment in life sciences and research industries, our business operations, and resources and operations of our customers, suppliers, and distributors; </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 xml:space="preserve">global supply chain interruptions; and </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692265" cy="146685"/>
                <wp:effectExtent l="0" t="0" r="0" b="0"/>
                <wp:wrapNone/>
                <wp:docPr id="34" name="Frame3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before="0" w:after="180"/>
        <w:rPr/>
      </w:pPr>
      <w:r>
        <w:rPr/>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general industry, economic and market conditions such as inflation, rising interest rates, bank failures and other factors, including factors unrelated to our operating performance or the operating performance of our competitors.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This variability and unpredictability could also result in our failing to meet expectations of industry or financial analysts, or investors, for any period. If we are unable to commercialize products or generate sufficient revenue, or if our operating results fall below the expectations of analysts or investors or below any guidance we may provide, or if the guidance we provide is below the expectations of analysts or investors, it could cause the market price of our Class A common stock to fluctuate or decline substantially.</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 xml:space="preserve">The size of the markets for the Proteograph Product Suite may be smaller or different from estimated, and new market opportunities may not develop as quickly as we expect, or at all, limiting our ability to successfully sell our products.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The market for proteomics and genomics technologies and products is evolving, making it difficult to predict with any accuracy the size of the markets for our current and future products, including the Proteograph Product Suite. Our estimates of the total addressable market for our current and future products are based on a number of internal and third-party estimates and assumptions. In particular, our estimates are based on our expectations that researchers in the market for certain life sciences research tools and technologies will view our products as competitive alternatives to, or better options than, existing tools and technologies. We also expect researchers will recognize the ability of our products to complement, enhance and enable new applications of their current tools and technologies. We expect them to recognize the value proposition offered by our products, enough to purchase our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 allow them to purchase our products and that researchers have sufficient samples and an unmet need for performing proteomics studies at scale across thousands of samples. In addition, sales of new products into new market opportunities may take years to develop and mature and we cannot be certain that these market opportunities will develop as we expect. New life sciences technology may not be adopted until the consistency and accuracy of such technology, method or device has been proven. As a result, the sizes of the annual total addressable market for new markets and new products are even more difficult to predict. Our product is an innovative new product, and while we draw comparisons between the evolution and growth of the genomics and proteomics markets, the proteomics market may develop more slowly or differently. In addition, the Proteograph Product Suite may not impact the field of proteomics in the same manner or degree, or within the same time frame, that NGS technologies have impacted the field of genomics, or at all.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for our products may be incorrect.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future growth of the market for our current and future products depends on many factors beyond our control, including recognition and acceptance of our products by the scientific community and the growth, prevalence and costs of competing products and solutions. Such recognition and acceptance may not occur in the near term, or at all. If the markets for our current and future products are smaller than estimated or do not develop as we expect, our growth may be limited and our business, financial condition and operational results of operations could be adversely affected.</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692265" cy="146685"/>
                <wp:effectExtent l="0" t="0" r="0" b="0"/>
                <wp:wrapNone/>
                <wp:docPr id="35" name="Frame3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before="0" w:after="180"/>
        <w:rPr/>
      </w:pPr>
      <w:r>
        <w:rPr/>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We are in the early stages of commercialization, and we may not be able to commercialize the Proteograph Product Suite as planned.</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only recently initiated the broad commercialization of the Proteograph Product Suite, and we may not be able to successfully execute on this phase as planned due to: </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 xml:space="preserve">the inability to establish the capabilities and value proposition of the Proteograph Product Suite with key opinion leaders and other customers in a timely fashion; </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 xml:space="preserve">delays or longer-than expected lead times in the sales cycle to establish customer contacts, complete responsive presentations including platform evaluations tailored to specific requests, and move expeditiously from quote to order to revenue to receipt of payment due to budgetary or other constraints of academic organizations, laboratories, biopharmaceutical companies and others; </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changing industry or market conditions, customer requirements or competitor offerings during broad commercialization;</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delays in continuing the build-out of our sales, customer support and marketing organization as needed for broad commercialization;</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delays in ramping up manufacturing, either internally or through our suppliers, to meet the expected demand for broad commercialization; and</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the impact of health epidemics on the economy and research industries, our business operations, and resources and the operations of our customers, suppliers and supply chain, and distributors.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To the extent our broad commercial release phase is unsuccessful, our financial results will be adversely impacted.</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Even if we are able to execute on our commercialization plan, our success depends on broad scientific and market acceptance of the Proteograph Product Suite, which we may fail to achieve.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achieve and maintain scientific and commercial market acceptance of the Proteograph Product Suite will depend on a number of factors. We expect that the Proteograph will be subject to the market forces and adoption curves common to other new technologies. The market for proteomics and genomics technologies and products is in its early stages of development. If widespread adoption of the Proteograph takes longer than anticipated, or broad scientific and market acceptance does not occur, we will continue to experience operating losses.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success of life sciences products is due, in large part, to acceptance by the scientific community and their adoption of certain products in the applicable field of research. The life sciences scientific community is often led by a small number of early adopters and key opinion leaders who significantly influence the rest of the community through publications, including peer-reviewed journals. In such journal publications, the researchers will describe not only their discoveries, but also the methods, and typically the products used, to fuel such discoveries. Mentions in publications, including peer-reviewed journal publications, are a driver for the general acceptance of life sciences products, such as the Proteograph Product Suite. We have and continue to collaborate with a small number of key opinion leaders who are highly skilled at evaluating novel technologies and whose feedback helped us solidify our commercialization plans and processes. Ensuring that early adopters and key opinion leaders publish research involving the use of our products is critical to ensuring our products gain widespread scientific acceptance. In addition, continuing collaborative relationships with key opinion leaders is vital to maintaining any market acceptance we achieve. If too few researchers describe the use of our products, too many researchers utilize or shift to a competing product and publish research outlining their use of that product or too many researchers negatively describe the use of our products in publications, it may drive customers away from our products and it may delay market acceptance and adoption of the Proteograph during broad commercialization.</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Other factors in achieving commercial market acceptance, include:</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692265" cy="146685"/>
                <wp:effectExtent l="0" t="0" r="0" b="0"/>
                <wp:wrapNone/>
                <wp:docPr id="36" name="Frame3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before="0" w:after="180"/>
        <w:rPr/>
      </w:pPr>
      <w:r>
        <w:rPr/>
      </w:r>
    </w:p>
    <w:p>
      <w:pPr>
        <w:pStyle w:val="TextBody"/>
        <w:spacing w:lineRule="auto" w:line="288" w:before="0" w:after="180"/>
        <w:ind w:left="0" w:right="0" w:hanging="810"/>
        <w:rPr/>
      </w:pPr>
      <w:r>
        <w:rPr>
          <w:color w:val="000000"/>
        </w:rPr>
        <w:t>•</w:t>
      </w:r>
      <w:r>
        <w:rPr>
          <w:rFonts w:ascii="Times New Roman;sans-serif" w:hAnsi="Times New Roman;sans-serif"/>
          <w:b w:val="false"/>
          <w:color w:val="000000"/>
          <w:sz w:val="20"/>
        </w:rPr>
        <w:t>our ability to market and increase awareness of the capabilities of the Proteograph Product Suite;</w:t>
      </w:r>
    </w:p>
    <w:p>
      <w:pPr>
        <w:pStyle w:val="TextBody"/>
        <w:spacing w:lineRule="auto" w:line="288" w:before="0" w:after="180"/>
        <w:ind w:left="0" w:right="0" w:hanging="810"/>
        <w:rPr/>
      </w:pPr>
      <w:r>
        <w:rPr>
          <w:color w:val="000000"/>
        </w:rPr>
        <w:t>•</w:t>
      </w:r>
      <w:r>
        <w:rPr>
          <w:rFonts w:ascii="Times New Roman;sans-serif" w:hAnsi="Times New Roman;sans-serif"/>
          <w:b w:val="false"/>
          <w:color w:val="000000"/>
          <w:sz w:val="20"/>
        </w:rPr>
        <w:t>the ability of the Proteograph Product Suite to perform intended use applications broadly in the hands of customers;</w:t>
      </w:r>
    </w:p>
    <w:p>
      <w:pPr>
        <w:pStyle w:val="TextBody"/>
        <w:spacing w:lineRule="auto" w:line="288" w:before="0" w:after="180"/>
        <w:ind w:left="0" w:right="0" w:hanging="810"/>
        <w:rPr/>
      </w:pPr>
      <w:r>
        <w:rPr>
          <w:color w:val="000000"/>
        </w:rPr>
        <w:t>•</w:t>
      </w:r>
      <w:r>
        <w:rPr>
          <w:rFonts w:ascii="Times New Roman;sans-serif" w:hAnsi="Times New Roman;sans-serif"/>
          <w:b w:val="false"/>
          <w:color w:val="000000"/>
          <w:sz w:val="20"/>
        </w:rPr>
        <w:t>our customers’ willingness to adopt new products and workflows;</w:t>
      </w:r>
    </w:p>
    <w:p>
      <w:pPr>
        <w:pStyle w:val="TextBody"/>
        <w:spacing w:lineRule="auto" w:line="288" w:before="0" w:after="180"/>
        <w:ind w:left="0" w:right="0" w:hanging="810"/>
        <w:rPr/>
      </w:pPr>
      <w:r>
        <w:rPr>
          <w:color w:val="000000"/>
        </w:rPr>
        <w:t>•</w:t>
      </w:r>
      <w:r>
        <w:rPr>
          <w:rFonts w:ascii="Times New Roman;sans-serif" w:hAnsi="Times New Roman;sans-serif"/>
          <w:b w:val="false"/>
          <w:color w:val="000000"/>
          <w:sz w:val="20"/>
        </w:rPr>
        <w:t>the Proteograph’s ease of use and whether it reliably provides advantages over other alternative technologies;</w:t>
      </w:r>
    </w:p>
    <w:p>
      <w:pPr>
        <w:pStyle w:val="TextBody"/>
        <w:spacing w:lineRule="auto" w:line="288" w:before="0" w:after="180"/>
        <w:ind w:left="0" w:right="0" w:hanging="810"/>
        <w:rPr/>
      </w:pPr>
      <w:r>
        <w:rPr>
          <w:color w:val="000000"/>
        </w:rPr>
        <w:t>•</w:t>
      </w:r>
      <w:r>
        <w:rPr>
          <w:rFonts w:ascii="Times New Roman;sans-serif" w:hAnsi="Times New Roman;sans-serif"/>
          <w:b w:val="false"/>
          <w:color w:val="000000"/>
          <w:sz w:val="20"/>
        </w:rPr>
        <w:t>the rate of adoption of the Proteograph Product Suite by academic institutions, laboratories, biopharmaceutical companies and others;</w:t>
      </w:r>
    </w:p>
    <w:p>
      <w:pPr>
        <w:pStyle w:val="TextBody"/>
        <w:spacing w:lineRule="auto" w:line="288" w:before="0" w:after="180"/>
        <w:ind w:left="0" w:right="0" w:hanging="810"/>
        <w:rPr/>
      </w:pPr>
      <w:r>
        <w:rPr>
          <w:color w:val="000000"/>
        </w:rPr>
        <w:t>•</w:t>
      </w:r>
      <w:r>
        <w:rPr>
          <w:rFonts w:ascii="Times New Roman;sans-serif" w:hAnsi="Times New Roman;sans-serif"/>
          <w:b w:val="false"/>
          <w:color w:val="000000"/>
          <w:sz w:val="20"/>
        </w:rPr>
        <w:t>the prices we charge for the Proteograph Product Suite;</w:t>
      </w:r>
    </w:p>
    <w:p>
      <w:pPr>
        <w:pStyle w:val="TextBody"/>
        <w:spacing w:lineRule="auto" w:line="288" w:before="0" w:after="180"/>
        <w:ind w:left="0" w:right="0" w:hanging="810"/>
        <w:rPr/>
      </w:pPr>
      <w:r>
        <w:rPr>
          <w:color w:val="000000"/>
        </w:rPr>
        <w:t>•</w:t>
      </w:r>
      <w:r>
        <w:rPr>
          <w:rFonts w:ascii="Times New Roman;sans-serif" w:hAnsi="Times New Roman;sans-serif"/>
          <w:b w:val="false"/>
          <w:color w:val="000000"/>
          <w:sz w:val="20"/>
        </w:rPr>
        <w:t>our ability to develop new products, services and solutions that achieve commercial market acceptance;</w:t>
      </w:r>
    </w:p>
    <w:p>
      <w:pPr>
        <w:pStyle w:val="TextBody"/>
        <w:spacing w:lineRule="auto" w:line="288" w:before="0" w:after="180"/>
        <w:ind w:left="0" w:right="0" w:hanging="810"/>
        <w:rPr/>
      </w:pPr>
      <w:r>
        <w:rPr>
          <w:color w:val="000000"/>
        </w:rPr>
        <w:t>•</w:t>
      </w:r>
      <w:r>
        <w:rPr>
          <w:rFonts w:ascii="Times New Roman;sans-serif" w:hAnsi="Times New Roman;sans-serif"/>
          <w:b w:val="false"/>
          <w:color w:val="000000"/>
          <w:sz w:val="20"/>
        </w:rPr>
        <w:t>if competitors develop and commercialize products that perform similar functions as the Proteograph; and</w:t>
      </w:r>
    </w:p>
    <w:p>
      <w:pPr>
        <w:pStyle w:val="TextBody"/>
        <w:spacing w:lineRule="auto" w:line="288" w:before="0" w:after="180"/>
        <w:ind w:left="0" w:right="0" w:hanging="810"/>
        <w:rPr/>
      </w:pPr>
      <w:r>
        <w:rPr>
          <w:color w:val="000000"/>
        </w:rPr>
        <w:t>•</w:t>
      </w:r>
      <w:r>
        <w:rPr>
          <w:rFonts w:ascii="Times New Roman;sans-serif" w:hAnsi="Times New Roman;sans-serif"/>
          <w:b w:val="false"/>
          <w:color w:val="000000"/>
          <w:sz w:val="20"/>
        </w:rPr>
        <w:t>the impact of our investments in product innovation and commercial growth.</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cannot assure you that we will be successful in addressing each of these criteria or other criteria that might affect the market acceptance of any products we commercialize, particularly the Proteograph Product Suite. If we are unsuccessful in achieving and maintaining market acceptance of the Proteograph, our business, financial condition and results of operations would be adversely affected.</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If our sales force is less successful than anticipated, we may not be successful in commercializing the Proteograph Product Suite.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have limited experience as a company in sales and marketing and our ability to successfully commercialize depends on our being able to attract customers for the Proteograph Product Suite. Although members of our management team have considerable industry experience, we need to expand our sales, marketing, distribution and customer service and support capabilities with the appropriate technical expertise during the commercialization of the Proteograph Product Suite. To perform sales, marketing, distribution, and customer service and support successfully, we will face a number of risks, including:</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our ability to attract, retain and manage the sales, marketing and customer service and support force necessary to commercialize and gain market acceptance for our technology;</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the time and cost of establishing a specialized sales, marketing and customer service and support force; and</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our sales, marketing and customer service and support force may be unable to initiate and execute successful commercialization activities.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have enlisted and may seek to enlist additional third parties to assist with sales, distribution and customer service and support globally or in certain regions of the world. There is no guarantee that we have attracted or will be successful in attracting desirable or experienced sales or distribution partners or that we have entered or will be able to enter into such arrangements on favorable terms. In addition, we rely on commercial carriers to transport our products, including consumables that are temperature controlled, to customers in a timely and cost-efficient manner, and if these services are delayed or disrupted, our business may be harmed. If our sales and marketing efforts, and logistics capability, or those of any third-party sales and distribution partners, are not successful, the Proteograph may not gain market acceptance, which could materially impact our business operations.</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692265" cy="146685"/>
                <wp:effectExtent l="0" t="0" r="0" b="0"/>
                <wp:wrapNone/>
                <wp:docPr id="37" name="Frame3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before="0" w:after="180"/>
        <w:rPr/>
      </w:pPr>
      <w:r>
        <w:rPr/>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 xml:space="preserve">Even if the Proteograph Product Suite is successfully commercialized and achieves broad scientific and market acceptance, if we fail to improve it or introduce compelling new products and services, our revenues and our prospects could be harmed.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Even if we are able to broadly commercialize the Proteograph Product Suite and achieve broad scientific and market acceptance, our ability to attract new customers and increase revenue from existing customers will depend in large part on our ability to enhance and improve the Proteograph solution and to introduce compelling new products and services. The success of any enhancement to the Proteograph Product Suite or introduction of new products depends on several factors, including timely completion and delivery, competitive pricing, adequate quality testing, integration with existing technologies, appropriately timed and staged introduction and overall market acceptance. Any new product or enhancement to the Proteograph that we develop may not be introduced in a timely or cost-effective manner, may contain defects, errors, vulnerabilities or bugs, or may not achieve the market acceptance necessary to generate significant revenue.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If we are unable to successfully develop new products and services, enhance the Proteograph Product Suite to meet customer requirements, compete with alternative products, or otherwise gain and maintain market acceptance, our business, results of operations and financial condition could be harmed.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Health epidemics such as the COVID-19 pandemic could continue to adversely impact our business and operations.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Our ability to drive the adoption of the Proteograph Product Suite, including our instruments and associated consumables by academic, research, and commercial customers, depends on our ability to visit customer sites, the ability of our customers to access laboratories, and the ability to install and train on the Proteograph Product Suite and conduct research in light of the COVID-19 pandemic or any other health epidemic. These considerations are impacted by factors beyond our control, such as:</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reductions in capacity or shutdowns of laboratories and other institutions as well as reduced or delayed spending on instruments and consumables as a result of shutdowns and delays;</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decreases in government funding of research and development; and</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 xml:space="preserve">changes to programs that provide funding to research laboratories and institutions, including changes in the amount of funds allocated to different areas of research, changes that have the effect of increasing the length of the funding process or the impact of the COVID-19 pandemic on our customers and potential customers and their funding sources. </w:t>
      </w:r>
    </w:p>
    <w:p>
      <w:pPr>
        <w:pStyle w:val="TextBody"/>
        <w:spacing w:lineRule="auto" w:line="288" w:before="0" w:after="180"/>
        <w:rPr/>
      </w:pPr>
      <w:r>
        <w:rPr>
          <w:rFonts w:ascii="Times New Roman;sans-serif" w:hAnsi="Times New Roman;sans-serif"/>
          <w:b w:val="false"/>
          <w:color w:val="000000"/>
          <w:sz w:val="20"/>
        </w:rPr>
        <w:t>The future impact of the COVID-19 pandemic and any other health epidemic is highly uncertain and subject to sudden change. This impact could have a material, adverse impact on our liquidity, capital resources, operations and business and those of the third parties on which we rely, such as the manufacturer of our SP100 automation instrument Hamilton Company, and could worsen over time.</w:t>
      </w:r>
      <w:r>
        <w:rPr>
          <w:color w:val="000000"/>
          <w:highlight w:val="white"/>
        </w:rPr>
        <w:t xml:space="preserve"> </w:t>
      </w:r>
      <w:r>
        <w:rPr>
          <w:rFonts w:ascii="Times New Roman;sans-serif" w:hAnsi="Times New Roman;sans-serif"/>
          <w:b w:val="false"/>
          <w:color w:val="000000"/>
          <w:sz w:val="20"/>
          <w:highlight w:val="white"/>
        </w:rPr>
        <w:t>Recently, President Biden announced that the administration intends to end the COVID-19 national and public health emergencies on May 11, 2023. Th</w:t>
      </w:r>
      <w:r>
        <w:rPr>
          <w:rFonts w:ascii="Times New Roman;sans-serif" w:hAnsi="Times New Roman;sans-serif"/>
          <w:b w:val="false"/>
          <w:color w:val="000000"/>
          <w:sz w:val="20"/>
        </w:rPr>
        <w:t>e full impact of the termination of the public health emergencies on FDA and other regulatory policies and operations is unclear. Any of these occurrences, and any new epidemics, could significantly harm our business, results of operations and financial condition.</w:t>
      </w:r>
    </w:p>
    <w:p>
      <w:pPr>
        <w:pStyle w:val="TextBody"/>
        <w:spacing w:before="0" w:after="180"/>
        <w:rPr/>
      </w:pPr>
      <w:r>
        <w:rPr/>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692265" cy="146685"/>
                <wp:effectExtent l="0" t="0" r="0" b="0"/>
                <wp:wrapNone/>
                <wp:docPr id="38" name="Frame3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before="0" w:after="180"/>
        <w:rPr/>
      </w:pPr>
      <w:r>
        <w:rPr/>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Unfavorable U.S. or global economic conditions could adversely affect our ability to raise capital and our business, results of operations and financial condition.</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There has recently been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our results of operations could be adversely affected by general conditions in the global economy and financial markets. A severe or prolonged economic downturn could result in a variety of risks to our business, including weakened demand for the Proteograph Product Suite and our ability to raise additional capital when needed on favorable terms, if at all. A weak or declining economy, rising inflation, rising interest rates, or bank failures could strain our customers’ budgets or cause delays in their payments to us. Any of the foregoing could harm our business, and we cannot anticipate all of the ways in which the current economic climate and financial market conditions could adversely impact our ability to raise capital, business, results of operations, financial condition, and cause the stock price of our Class A Common Stock to decline.</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Adverse developments affecting the financial services industry could impair our ability to access our cash, cash equivalents and investments and to timely meet our financial obligations to our vendors and others.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Adverse developments affecting the financial services industry, many of which may be beyond our control, could impair our ability to access our cash, cash equivalents and investments and to timely meet our financial obligations to our vendors and others. If banks and financial institutions with whom we have relationships experience liquidity issues, become insolvent, or enter receivership, we may be unable to access, and we may lose, some of or all our cash, cash equivalents and investments to the extent those funds are not protected by FDIC or SIPC insurance. We regularly maintain cash, cash equivalents and investments that exceed insurance limits or are not insured, and the factors above or other related or similar factors not described above could have a material adverse effect on our financial statements and our vendor and other relationships, and cause the price of our Class A Common stock to decline.</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 xml:space="preserve">If we do not sustain or successfully manage our growth or financial resources, our business and prospects will be harmed.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Growing our business will place significant strains on our management, operational and manufacturing systems and processes, sales and marketing team, financial resources, systems and internal controls, and other aspects of our business. Developing and commercializing the Proteograph Product Suite will require us to hire and retain scientific, sales and marketing, software, manufacturing, customer service, distribution, quality assurance and other personnel. In addition, we will need to hire additional accounting, finance and other personnel in connection with our efforts to comply with the requirements of being a public company. As a public company, our management and other personnel will need to devote a substantial amount of time towards maintaining compliance with these requirements and effectively manage these activities. We may face challenges integrating, developing and motivating our rapidly growing employee base. To effectively manage our growth, we must continue to improve our operational and manufacturing systems and processes, our financial systems and internal controls and other aspects of our business and continue to effectively expand, train and manage our personnel. As our organization continues to grow, we will be required to implement more complex organizational management structures, and may find it increasingly difficult to maintain the benefits of our corporate culture, including our ability to quickly develop and launch new and innovative products. If we do not successfully manage our growth or financial resources, our business, results of operations, financial condition and prospects will be harmed.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 xml:space="preserve">We depend on our key personnel and other highly qualified personnel, and if we are unable to recruit, train and retain our personnel, we may not achieve our goals.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Our future success depends upon our ability to recruit, train, retain and motivate key personnel. Our senior management team, including Omid Farokhzad, one of our founders and our Chief Executive Officer and President, and David Horn, our Chief Financial Officer, are critical to our vision, strategic direction, product development and commercialization efforts. </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692265" cy="146685"/>
                <wp:effectExtent l="0" t="0" r="0" b="0"/>
                <wp:wrapNone/>
                <wp:docPr id="39" name="Frame3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before="0" w:after="180"/>
        <w:rPr/>
      </w:pPr>
      <w:r>
        <w:rPr/>
      </w:r>
    </w:p>
    <w:p>
      <w:pPr>
        <w:pStyle w:val="TextBody"/>
        <w:spacing w:lineRule="auto" w:line="288" w:before="0" w:after="18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Omead Ostadan, our former President and one of our key personnel, took a leave of absence on November 20, 2021, for personal reasons lasting approximately three months. Mr. Ostadan returned on a part-time basis as the Company’s President on February 28, 2022. On August 25, 2022, Mr. Ostadan resigned from his position as President of the company and the company’s Board of Directors for personal reasons each effective September 30, 2022. Following Mr. Ostadan’s departure, Mr. Farokhzad is now the CEO and President.</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departure of one or more of our executive officers, senior management team members, or other key employees could be disruptive to our business until we are able to hire qualified successors. We do not maintain “key man” life insurance on our senior management team.</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Our continued growth and ability to successfully transition from a company primarily focused on development to commercialization depends, in part, on attracting, retaining and motivating qualified personnel, including highly-trained sales personnel with the necessary scientific background and ability to understand our systems at a technical level to effectively identify and sell to potential new customers. New hires require significant training and, in most cases, take significant time before they achieve full productivity. Our failure to successfully integrate these key personnel into our business could adversely affect our business. In addition, competition for qualified personnel is intense, particularly in the San Francisco Bay Area and San Diego. We compete for qualified scientific and information technology personnel with other life science and information technology companies as well as academic institutions and research institutions. Some of our scientific personnel are qualified foreign nationals whose ability to live and work in the United States is contingent upon the continued availability of appropriate visas. Due to the competition for qualified personnel in the San Francisco Bay Area and San Diego, we expect to continue to utilize foreign nationals to fill part of our recruiting needs. As a result, changes to United States immigration policies could restrain the flow of technical and professional talent into the United States and may inhibit our ability to hire qualified personnel.</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maintain fixed term employment contracts with any of our employees. As a result, our employees could leave our company with little or no prior notice and could be free to work for a competitor. Due to the complex and technical nature of our products and technology and the dynamic market in which we compete, any failure to attract, train, retain and motivate qualified personnel could materially harm our business, results of operations, financial condition and prospects.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 xml:space="preserve">We expect to be dependent upon revenue generated from the sale of the Proteograph Product Suite for the foreseeable future.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that we will generate substantially all of our revenue from the sale of the Proteograph Product Suite and associated consumables for the foreseeable future. There can be no assurance that we will be able to successfully broadly commercialize the Proteograph solution, design other products that will meet the expectations of our customers or that any of our future products will become commercially viable. As technologies change in the future for life sciences research tools, generally, and in proteomics and genomics technologies, specifically, we will be expected to upgrade or adapt the Proteograph solution to keep up with the latest technology. To date, we have limited experience simultaneously designing, testing, manufacturing and selling products and there can be no assurance we will be able to do so. Our sales expectations are based in part on the assumption that the Proteograph Product Suite will increase study sizes for our future customers and their associated purchases of our consumables. If sales of our instruments fail to materialize, or our assumptions about study sizes or customer purchases of our consumables, so will the related consumable sales and associated revenue.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In our development and commercialization plans for the Proteograph Product Suite, we may forego other opportunities that may provide greater revenue or be more profitable. If our research and product development efforts do not result in commercially viable products or services within anticipated timelines, or at all, our business and results of operations will be adversely affected. Any delay or failure by us to develop and release the Proteograph Product Suite or new products or product enhancements would have a substantial adverse effect on our business and results of operations.</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692265" cy="146685"/>
                <wp:effectExtent l="0" t="0" r="0" b="0"/>
                <wp:wrapNone/>
                <wp:docPr id="40" name="Frame4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before="0" w:after="180"/>
        <w:rPr/>
      </w:pPr>
      <w:r>
        <w:rPr/>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Our sales have been concentrated in a small number of customers.</w:t>
      </w:r>
    </w:p>
    <w:p>
      <w:pPr>
        <w:pStyle w:val="TextBody"/>
        <w:spacing w:lineRule="auto" w:line="288" w:before="0" w:after="180"/>
        <w:rPr/>
      </w:pPr>
      <w:r>
        <w:rPr>
          <w:rFonts w:ascii="Times New Roman;sans-serif" w:hAnsi="Times New Roman;sans-serif"/>
          <w:b w:val="false"/>
          <w:color w:val="000000"/>
          <w:sz w:val="20"/>
        </w:rPr>
        <w:t xml:space="preserve">We are in the early stages of our commercialization plan and our revenues have been concentrated in a relatively small number of customers, including a related party, PrognomiQ, Inc. For each of the three months ended March 31, 2023, and 2022, PrognomiQ, Inc. accounted for 32% of our revenue. If one or more customers, including PrognomiQ, Inc., terminate all or any portion of their agreements, delay installations or fail to order the anticipated amount of consumables or services, there could be a material adverse effect on our business, financial condition and results of operations. See Note 5 </w:t>
      </w:r>
      <w:r>
        <w:rPr>
          <w:rFonts w:ascii="Times New Roman;sans-serif" w:hAnsi="Times New Roman;sans-serif"/>
          <w:b w:val="false"/>
          <w:i/>
          <w:color w:val="000000"/>
          <w:sz w:val="20"/>
        </w:rPr>
        <w:t>- Revenue and Deferred Revenue</w:t>
      </w:r>
      <w:r>
        <w:rPr>
          <w:color w:val="000000"/>
        </w:rPr>
        <w:t xml:space="preserve"> </w:t>
      </w:r>
      <w:r>
        <w:rPr>
          <w:rFonts w:ascii="Times New Roman;sans-serif" w:hAnsi="Times New Roman;sans-serif"/>
          <w:b w:val="false"/>
          <w:color w:val="000000"/>
          <w:sz w:val="20"/>
        </w:rPr>
        <w:t>and Note 10 -</w:t>
      </w:r>
      <w:r>
        <w:rPr>
          <w:color w:val="000000"/>
        </w:rPr>
        <w:t xml:space="preserve"> </w:t>
      </w:r>
      <w:r>
        <w:rPr>
          <w:rFonts w:ascii="Times New Roman;sans-serif" w:hAnsi="Times New Roman;sans-serif"/>
          <w:b w:val="false"/>
          <w:i/>
          <w:color w:val="000000"/>
          <w:sz w:val="20"/>
        </w:rPr>
        <w:t xml:space="preserve">Related Party Transactions </w:t>
      </w:r>
      <w:r>
        <w:rPr>
          <w:rFonts w:ascii="Times New Roman;sans-serif" w:hAnsi="Times New Roman;sans-serif"/>
          <w:b w:val="false"/>
          <w:color w:val="000000"/>
          <w:sz w:val="20"/>
        </w:rPr>
        <w:t>to our notes to financial statements included in Part I, Item 1, herein for further information regarding our relationship with PrognomiQ, Inc.</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 xml:space="preserve">Our business depends significantly on research and development spending by academic and other research institutions, and other third parties, including commercial organizations, and any reduction in spending could limit demand for our products and adversely affect our business, results of operations, financial condition and prospects.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Substantially all of our sales revenue in the near term will be generated from sales to commercial companies, academic institutions and other research institutions. Certain of these customers’ funding is provided by various state, federal and international government agencies. As a result, the demand for the Proteograph Product Suite depends upon the research and development budgets of these customers, which are impacted by factors beyond our control, such as: </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decreases in government funding of research and development;</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changes to programs that provide funding to research laboratories and institutions, including changes in the amount of funds allocated to different areas of research or changes that have the effect of increasing the length of the funding process;</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 xml:space="preserve">changes in strategy and funding by commercial companies in their efforts around therapeutic and diagnostic product development and their adoption and use of the Proteograph Product Suite; </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macroeconomic conditions;</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opinions in the scientific community, including researchers’ opinions of the utility of the Proteograph solution;</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citation of the Proteograph Product Suite in published research;</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potential changes in the regulatory environment;</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differences in budgetary cycles, especially government- or grant-funded customers, whose cycles often coincide with government fiscal year ends;</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competitor product or service offerings or pricing;</w:t>
      </w:r>
    </w:p>
    <w:p>
      <w:pPr>
        <w:pStyle w:val="TextBody"/>
        <w:spacing w:lineRule="auto" w:line="288" w:before="0" w:after="160"/>
        <w:ind w:left="0" w:right="0" w:hanging="720"/>
        <w:rPr/>
      </w:pPr>
      <w:r>
        <w:rPr>
          <w:color w:val="000000"/>
        </w:rPr>
        <w:t>•</w:t>
      </w:r>
      <w:r>
        <w:rPr>
          <w:rFonts w:ascii="Times New Roman;sans-serif" w:hAnsi="Times New Roman;sans-serif"/>
          <w:b w:val="false"/>
          <w:color w:val="000000"/>
          <w:sz w:val="20"/>
        </w:rPr>
        <w:t>market-driven pressures to consolidate operations and reduce costs; and</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market acceptance of relatively new technologies, such as the Proteograph Product Suite.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various state, federal and international agencies that provide grants and other funding may be subject to stringent budgetary constraints that could result in spending reductions, reduced grant making, reduced allocations or budget cutbacks, which could jeopardize the ability of these customers, or the customers to whom they provide funding, to purchase our products. For example, congressional appropriations to the National Institutes of Health (NIH) have generally increased year-over-year, the NIH also experiences occasional year-over-year decreases in appropriations, including as recently as 2013. In addition, funding for life science research has increased more slowly during the past several years compared to previous years and has actually declined in some countries. There is no guarantee that NIH appropriations will not decrease in the future. A decrease in the amount of, or delay in the approval of, appropriations to NIH or other similar United States or international organizations, such as the Medical </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692265" cy="146685"/>
                <wp:effectExtent l="0" t="0" r="0" b="0"/>
                <wp:wrapNone/>
                <wp:docPr id="41" name="Frame4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before="0" w:after="18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Council in the United Kingdom, could result in fewer grants benefiting life sciences research. These reductions or delays could also result in a decrease in the aggregate amount of grants awarded for life sciences research or the redirection of existing funding to other projects or priorities, any of which in turn could cause our customers and potential customers to reduce or delay purchases of our products. Our operating results may fluctuate substantially due to any such reductions and delays. Any decrease in our customers’ budgets or expenditures, or in the size, scope or frequency of their capital or operating expenditures, could materially and adversely affect our business, results of operations, financial condition and prospects.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We rely on single suppliers for some of the components of the Proteograph Product Suite, including a single contract manufacturer to manufacture and supply our instruments. If these suppliers or manufacturers should fail or not perform satisfactorily, our ability to meet demand and supply the Proteograph Product Suite would be adversely affected.</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a single contract manufacturer, Hamilton Company, a manufacturer of precision measurement devices, automated liquid handling workstations, and sample management systems located in Nevada and other locations, to manufacture and supply our instruments. Since our contract with Hamilton does not commit them to carry inventory or make available any particular quantities, Hamilton may give other customers' needs higher priority than ours, we may not be able to obtain adequate supplies in a timely manner or on commercially reasonable terms, and we may incur price increases from Hamilton Company. Further, if Hamilton is unable to obtain critical components used in the Proteograph solution or supply our instruments on the timelines we require, our business and commercialization efforts would be harmed.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event it becomes necessary to utilize one or more different contract manufacturers for automated liquid handling workstations, reagents or other product components associated with the Proteograph Product Suite, we would experience additional costs, delays and difficulties in doing so as a result of identifying and entering into new agreements with new suppliers or manufacturers. In addition, we would have to prepare such new suppliers or manufacturers to meet the logistical requirements associated with supplying and manufacturing the Proteograph Product Suite, and our business would suffer.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certain components used in our products are sourced from limited or sole suppliers. If we were to lose such suppliers, there can be no assurance that we will be able to identify or enter into agreements with alternative suppliers on a timely basis on acceptable terms, if at all. An interruption in our ability to sell and deliver instruments to customers could occur if we encounter delays or difficulties in securing these components, or if the quality of the components supplied does not meet specifications, or if we cannot then obtain an acceptable substitute. Our suppliers have also been impacted by the COVID-19 pandemic, and we have also experienced supply delays for critical hardware, instrumentation, medical and testing supplies that we use for product development, and certain components of our consumable kits, as these other components and supplies are otherwise diverted to COVID-19-related testing and other uses. If any of these events occur, our business, results of operations, financial condition and prospects could be harmed.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We have limited experience producing and supplying our products, and we may be unable to consistently manufacture or source our SP100 automation instruments and consumables to the necessary specifications or in quantities necessary to meet demand on a timely basis and at acceptable performance and cost levels.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The Proteograph Product Suite is an integrated solution with many different components that work together. As such, a quality defect in a single component can compromise the performance of the entire solution. In order to successfully generate revenue from the Proteograph Product Suite, we need to supply our customers with products that meet their expectations for quality and functionality in accordance with established specifications on a timely basis. Our instruments are manufactured by Hamilton Company at their facility using complex processes, sophisticated equipment and strict adherence to specifications and quality systems procedures. Given the complexity of this automation instrumentation, individual units may occasionally require additional installation and service time prior to becoming available for customer use.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We leverage well-established unit operations to formulate and manufacture our NPs at our facilities in Redwood City, California. We procure certain components of our consumables from third-party manufacturers, which includes </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692265" cy="146685"/>
                <wp:effectExtent l="0" t="0" r="0" b="0"/>
                <wp:wrapNone/>
                <wp:docPr id="42" name="Frame4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before="0" w:after="18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commonly available raw materials needed for manufacturing our proprietary engineered NPs. These manufacturing processes are complex. As we increase the commercial scale formulation and manufacturing of our NP panels, if we are not able to repeatably produce our NPs at commercial scale or source them from third-party suppliers, encounter unexpected difficulties in packaging our consumables, fail to comply with regulations relating to laboratory safety, the handling of human samples, the use and transportation of certain hazardous substances or chemicals, including in commercial products, or the collection, reuse, and recycling of waste from products we manufacture, our business will be adversely impacted.</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As we continue to scale commercially and develop new products, and as our products incorporate increasingly sophisticated technology, it will be increasingly difficult to ensure our products are produced in the necessary quantities without sacrificing quality. There is no assurance that we or our third-party manufacturer will be able to continue to manufacture our SP100 automation instrument so that it consistently achieves the product specifications and produces results with acceptable quality. Our NPs and other consumables have a limited shelf life, after which their performance is not ensured. Shipment of consumables that effectively expire early or shipment of defective instruments or consumables to customers may result in recalls and warranty replacements, which would increase our costs, and depending upon current inventory levels and the availability and lead time for additional inventory, could lead to availability issues. Any future design issues, unforeseen manufacturing problems, such as contamination of or cyber attacks on our or our manufacturers’ facilities, equipment malfunctions, aging components, quality issues with components and materials sourced from third-party suppliers, or failures to strictly follow procedures or meet specifications, may have a material adverse effect on our brand, business, results of operations and financial condition and could result in us or our third-party manufacturers losing International Organization for Standardization (ISO) quality management certifications. If we or our third-party manufacturers fail to obtain or maintain applicable ISO quality management certifications, customers might choose not to purchase products from us.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as we commercialize the Proteograph Product Suite, we will also need to make corresponding improvements to other operational functions, such as our customer support, service and billing systems, compliance programs and our internal quality assurance programs. We cannot assure you that any increases in scale, related improvements and quality assurance will be successfully implemented or that appropriate personnel will be available. As we develop additional products, we may need to bring new equipment online, implement new systems, technology, controls and procedures and hire personnel with different qualifications.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An inability to manufacture products and components that consistently meet specifications, in necessary quantities, at commercially acceptable costs and without significant delays, may have a material adverse effect on our business, results of operations, financial condition and prospects.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Our products could have defects or errors, which may give rise to claims against us, adversely affect market adoption of the Proteograph Product Suite, damage our reputation, and adversely affect our business, financial condition, and results of operations.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The Proteograph Product Suite utilizes novel and complex technology, including hardware, consumables and software, and may develop or contain defects or errors. We cannot assure you that material performance problems, defects, or errors will not arise, and as we commercialize the Proteograph, these risks may increase. We provide warranties that our products will meet performance expectations and will be free from material defects. The costs incurred in correcting any defects or errors may be substantial and could adversely affect our operating margins.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In manufacturing the Proteograph Product Suite, we depend upon third parties for the supply of our instruments and various components, many of which require a significant degree of technical expertise to produce. If our suppliers fail to produce our SP100 automation instrument and components to specification or provide defective products to us and our quality control tests and procedures fail to detect such errors or defects, or if we or our suppliers use defective materials or workmanship in the manufacturing process, the reliability and performance of our products will be compromised.</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If the Proteograph Product Suite contains defects, we may experience:</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692265" cy="146685"/>
                <wp:effectExtent l="0" t="0" r="0" b="0"/>
                <wp:wrapNone/>
                <wp:docPr id="43" name="Frame4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before="0" w:after="180"/>
        <w:rPr/>
      </w:pPr>
      <w:r>
        <w:rPr/>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a failure to achieve market acceptance for the Proteograph or expansion of the Proteograph Product Suite sales;</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loss of customer orders and delay in order fulfillment;</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damage to our brand reputation;</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increased warranty and customer service and support costs due to product repair or replacement;</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product recalls or replacements;</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inability to attract new customers;</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diversion of resources from our manufacturing and research and development departments to our service department; and</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legal claims against us, including product liability, hazardous material or environmental compliance claims, which could be costly and time consuming to defend and result in substantial damages.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In addition, we expect that the Proteograph Product Suite will be used with our potential customers’ own mass spectrometry (MS) instruments or the MS instrument of a third-party service provider and the performance of these MS instruments is outside of our control. If such third-party products are not produced to specification, are produced in accordance with modified specifications, are defective, or are not used with recommended equipment, they may not be compatible or perform as intended with the Proteograph. In such case, the reliability, results and performance of the Proteograph may be compromised. The occurrence of any one or more of the foregoing may have a material adverse effect on our business, results of operations, financial condition and prospects.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We face potential risks related to the use, handling, storage and transportation of biological samples, hazardous materials and substances or chemicals such as reagents in commercial products; the collection, reuse and recycling of waste from products we manufacture and services we provide; and compliance with environmental health and safety regulations.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At our facilities in Redwood City, including our Biohazards Safety Level 2 laboratory, we leverage unit operations to formulate and manufacture our NPs, assemble our consumables, conduct assays and perform mass spectrometer analyses. As we increase the commercial scale, formulation and manufacture of our products using, handling, storing and transporting biological samples, hazardous materials and substances or chemicals such as reagents, or if we are unable to repeatably produce our products or perform our services, in compliance with applicable healthy and safety, and environmental laws, rules and regulations, our operations, including our sales, could be negatively affected. In addition, if we encounter issues in packaging and labelling our consumables, complying with regulations relating to laboratory safety, safety data sheets, handling human samples such as inactive COVID-19 samples, using certain hazardous substances or chemicals such as reagents in commercial products, collecting, reusing and recycling of waste from products we manufacture, or complying with environmental health and safety regulations, our business could be adversely impacted.</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If we do not successfully deploy and implement enhancements of the Instrument Control Software and Proteograph Analysis Suite, our commercialization efforts and, therefore, business and results of operations could suffer.</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The success of the Proteograph Product Suite depends, in part, on our ability to design and deploy our Instrument Control Software and Proteograph Analysis Suite in a manner that enables the integration with our potential customers’ systems and accommodates our customers’ needs. Without the Instrument Control Software, the Proteograph may become inoperable. Without the Proteograph Analysis Suite software, quality control of the workflow and data analysis is less accessible and robust, and it may be difficult for our customers to understand and evaluate the quality of their results.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and will continue to spend significant amounts of effort continuing to develop our software to meet our customers’ and potential customers’ evolving needs. There is no assurance that the development or deployment of </w:t>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692265" cy="146685"/>
                <wp:effectExtent l="0" t="0" r="0" b="0"/>
                <wp:wrapNone/>
                <wp:docPr id="44" name="Frame4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before="0" w:after="18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our software will be compelling to our customers or function correctly. In addition, we may experience delays in our release dates of our software, and there can be no assurance that our software will be released according to schedule. If our software development and deployment plan, which may include participation from third party vendors and licensors, does not accurately anticipate customer demands, or if we fail to develop our software in a manner that satisfies customer preferences in a timely and cost-effective manner, the Proteograph Product Suite may fail to gain market acceptance or function correctly. The occurrence of any one or more of the foregoing could negatively affect our business, financial condition, and results of operations.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As we commercialize the Proteograph Product Suite outside of the United States, our international business could expose us to business, regulatory, legal, political, operational, financial, and economic risks associated with doing business outside of the United States.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Engaging in international business inherently involves a number of difficulties and risks, including:</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required compliance with existing and changing foreign regulatory requirements and laws that are or may be applicable to our business in the future, such as the European Union’s General Data Protection Regulation (GDPR) and other data privacy requirements, labor and employment regulations, anti-competition regulations, the U.K. Bribery Act of 2010 and other anti-corruption laws, regulations relating to the use of certain hazardous substances or chemicals in commercial products, and to the collection, reuse, and recycling of waste from products we manufacture;</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required compliance with U.S. laws such as the Foreign Corrupt Practices Act, and other U.S. federal laws and regulations, including with respect to not doing business with sanctioned parties, as prohibited by the office of Foreign Asset Control;</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export requirements and import or trade restrictions, including, without limitation, trade retaliation laws;</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laws and business practices favoring local companies;</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risks associated with transactions or payments denominated in foreign currency, longer payment cycles and difficulties in enforcing agreements and collecting receivables through certain foreign legal systems;</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changes in social, economic, political and climate conditions or in laws, regulations and policies governing foreign trade, manufacturing, research and development, investment, and climate control both domestically as well as in the other countries and jurisdictions in which we operate and into which we may sell our products, including as a result of the separation of the United Kingdom from the European Union (Brexit);</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potentially adverse tax consequences, tariffs, customs charges, bureaucratic requirements, and other trade barriers;</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difficulties and costs of staffing and managing foreign operations; and</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difficulties protecting, maintaining, enforcing or procuring intellectual property rights.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collection and transfer of personal data and human samples is subject to increasing regulatory authority around the world. For example, Europe and China have adopted or are in the process of adopting data protections laws, regulations, and practice standards covering personal data, medical samples and data, and their potential transfer across national borders. In some cases, consent from individuals and the opportunity for revocation of consent, handling by local entities, and approvals from regulatory bodies may be required, and enforcement may include suspension of the ability to conduct business in the regulated jurisdiction along with civil fines and criminal penalties. This could increase our compliance costs and subject us to significant risks of doing business in these jurisdictions, and any failure to comply with these laws, rules, and regulations could materially and adversely affect our revenue and business operations.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If one or more of these risks occurs, it could require us to dedicate significant resources to remedy such occurrence, and if we are unsuccessful in finding a solution, our financial results will suffer.</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692265" cy="146685"/>
                <wp:effectExtent l="0" t="0" r="0" b="0"/>
                <wp:wrapNone/>
                <wp:docPr id="45" name="Frame4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before="0" w:after="180"/>
        <w:rPr/>
      </w:pPr>
      <w:r>
        <w:rPr/>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A portion of our international sales is and will be conducted through third-party distributors, and we will not control their efforts to sell our products. If our relationships with these third-party distributors cannot be established or deteriorate, or if these third-party distributors fail to sell our products, or engage in activities that harm our reputation, our results of operation and business may be negatively affected.</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Our current commercial model includes direct sales in the United States and elsewhere, and we have built and are building relationships with third party distributors in various countries, including China, to enable us to enter additional markets more efficiently. If we are unable to enter or maintain such distribution arrangements on acceptable terms, or at all, we may not be able to successfully commercialize our products in certain countries.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Furthermore, distributors can choose the level of effort that they apply to selling our products relative to others in their portfolio. Our distributors may not commit the necessary resources to market our products or may favor the products of other companies. The selection, training, and compensation of distributors’ sales personnel are within their control rather than our own and may vary significantly in quality from distributor to distributor. They may experience their own financial difficulties, or distribution relationships may be terminated or allowed to expire, which could increase the cost of or impede commercialization of our products in applicable countries. Disputes may also arise between us and our distributors that result in the delay or termination of commercialization or that result in costly litigation or arbitration that diverts management’s attention and resources. Distributors may not properly maintain or defend our intellectual property rights or may use our intellectual property, and our confidential or proprietary information in such a way as to invite litigation that could jeopardize or invalidate our intellectual property rights, and confidential or proprietary information, and expose us to potential litigation. Distributors could move forward with competing products developed either independently or in collaboration with others, including our competitors.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In addition, although we intend to require contract terms obligating our distributors to comply with all applicable laws regarding the sale of our products, including regulatory labelling, protection of personal data, U.S. export regulations and the U.S. Foreign Corrupt Practices Act (FCPA), we may not be able to ensure proper compliance. If our distributors fail to effectively market and sell our products in full compliance with applicable laws and regulations, our results of operations and business may suffer.</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 xml:space="preserve">The life sciences technology market is highly competitive. If we fail to compete effectively, our business and results of operation will suffer.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face significant competition in the life sciences technology market. We currently compete with life sciences technology and the diagnostic companies that are supplying components, products and services that serve customers engaged in proteomics analysis. These companies include Agilent Technologies, Bruker Corporation, Danaher, DiaSorin, and Thermo Fisher Scientific. We also compete with a number of companies that have developed, or are developing, proteomic products and solutions, such as Nautilus Biotechnology, Olink Proteomics, Quanterix, Quantum-Si and SomaLogic.</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Some of our current competitors are large publicly-traded companies, or are divisions of large publicly-traded companies, and may enjoy a number of competitive advantages over us, including: </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greater name and brand recognition;</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greater financial and human resources;</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broader product lines;</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larger sales forces and more established distributor networks;</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substantial intellectual property portfolios;</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larger and more established customer bases and relationships; and</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better established, larger scale and lower cost manufacturing capabilities.</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692265" cy="146685"/>
                <wp:effectExtent l="0" t="0" r="0" b="0"/>
                <wp:wrapNone/>
                <wp:docPr id="46" name="Frame4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before="0" w:after="18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face competition from researchers developing their own products. The area in which we compete involves rapid innovation and some of our customers have in the past, and more may in the future, elect to create their own assays rather than rely on a third-party supplier such as ourselves. This is particularly true for the largest research centers and laboratories who are continually testing and trying new technologies, whether from a third-party vendor or developed internally. We will also compete for the resources our customers allocate for purchasing a wide range of products used to analyze the proteome, some of which may be additive to or complementary with our own but not directly competitive.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We cannot assure investors that our products will compete favorably or that we will be successful in the face of increasing competition from products and technologies introduced by our existing or future competitors, companies entering our markets or developed by our customers internally. In addition, we cannot assure investors that our competitors do not have or will not develop products or technologies that currently or in the future will enable them to produce competitive products with greater capabilities or at lower costs than ours or that are able to run comparable experiments at a lower total experiment cost. Any failure to compete effectively could materially and adversely affect our business, financial condition and operating results.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We may need to raise additional capital to fund commercialization plans for the Proteograph Product Suite, including manufacturing, sales and marketing activities, expand our investments in research, and develop and commercialize new products and applications.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Based on our current plans, we believe that our current cash, cash equivalents and investments will be sufficient to meet our anticipated cash flow requirements for at least twelve months from the date of this Quarterly Report. If our available cash resources and anticipated cash flow from operations are insufficient to satisfy our liquidity requirements including because of lower demand for our products or the realization of other risks described in this Quarterly Report, we may be required to raise additional capital prior to such time through issuances of equity or convertible debt securities, entrance into a credit facility or another form of third-party funding or seek other debt financing.</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will consider raising additional capital in the future to expand our business, to pursue strategic investments, to take advantage of financing opportunities or for other reasons, including:</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increasing our sales and marketing and other commercialization efforts to drive market adoption of the Proteograph Product Suite;</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funding development and marketing efforts of the Proteograph Product Suite or any other future products;</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expanding our technologies into additional markets;</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acquiring, licensing or investing in technologies and other intellectual property rights;</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acquiring or investing in complementary businesses or assets; and</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financing capital expenditures and general and administrative expenses.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Our present and future funding requirements will depend on many factors, including:</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our rate of progress in commercializing the Proteograph Product Suite and new products, and the cost of the sales and marketing activities associated with establishing adoption of our products;</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 xml:space="preserve">our rate of progress in, and cost of research and development activities associated with, products in research and development; and </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 xml:space="preserve">the effect of competing technological and market developments.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The various ways we could raise additional capital carry potential risks. If we raise funds by issuing equity securities, dilution to our stockholders could result. If we raise funds by issuing debt securities, those debt securities would have rights, preferences and privileges senior to those of holders of our Class A common stock. The terms of </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692265" cy="146685"/>
                <wp:effectExtent l="0" t="0" r="0" b="0"/>
                <wp:wrapNone/>
                <wp:docPr id="47" name="Frame4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before="0" w:after="18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debt securities issued or borrowings pursuant to a credit agreement could impose significant restrictions on our operations. If we borrow funds from or deposit funds in banks or other financial institutions, we might encounter increasingly restrictive requirements and be subject to their solvency risk. If we raise funds through collaborations or licensing arrangements, we might be required to relinquish significant rights to our technologies or products or grant licenses on terms that are not favorable to us.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We may acquire other companies, or their assets or technologies, enter into joint ventures, or make other strategic investments in companies, which could divert our management’s attention, result in additional dilution to our stockholders and otherwise disrupt our operations and harm our operating results.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may in the future seek to acquire or invest in businesses, applications or technologies that we believe could complement or expand the Proteograph Product Suite or future products, enhance our technical capabilities or otherwise offer growth opportunities.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To date, the growth of our operations has been organic, and we have limited experience in acquiring or investing in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We may not realize the benefits of PrognomiQ as a separate healthcare company in the area of disease testing.</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In August 2020, we transferred certain assets to PrognomiQ, as a separate healthcare company to help enable the growth of ecosystems around new applications that leverage the Proteograph solution for unbiased, deep and large-scale proteomic information. As of March 31, 2023, we held approximately 15% of the outstanding capital stock of PrognomiQ. We may not realize the potential benefits of forming PrognomiQ for a variety of reasons, including:</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PrognomiQ may be unable to successfully develop viable testing products;</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PrognomiQ’s business may not help demonstrate the value of the Proteograph;</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 xml:space="preserve">an inability to reach agreement with PrognomiQ on future commercial arrangements; </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although PrognomiQ accounted for 32% of our revenue during the three months ended March 31, 2023, it may not continue to be a meaningful customer of ours;</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PrognomiQ may need to raise additional funding in the future and be unable to do so; and</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the formation of PrognomiQ and our continuing equity position in PrognomiQ may add complexities to our business from a finance, tax and accounting perspective.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PrognomiQ is a separate entity, and as such, may decide over time to pursue a different business model, decide to do business with our competitors in addition to or instead of with us, be acquired by a competitor or take other actions that may not be beneficial to us. </w:t>
      </w:r>
    </w:p>
    <w:p>
      <w:pPr>
        <w:pStyle w:val="TextBody"/>
        <w:spacing w:before="0" w:after="180"/>
        <w:rPr/>
      </w:pPr>
      <w:r>
        <w:rPr/>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692265" cy="146685"/>
                <wp:effectExtent l="0" t="0" r="0" b="0"/>
                <wp:wrapNone/>
                <wp:docPr id="48" name="Frame4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before="0" w:after="180"/>
        <w:rPr/>
      </w:pPr>
      <w:r>
        <w:rPr/>
      </w:r>
    </w:p>
    <w:p>
      <w:pPr>
        <w:pStyle w:val="TextBody"/>
        <w:spacing w:before="0" w:after="180"/>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Risks Related to Financial Reporting</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We are required by Section 404 of the Sarbanes-Oxley Act to evaluate the effectiveness of our internal control over financial reporting. If we are unable to achieve and maintain effective internal controls, our operating results and financial condition could be harmed and the market price of our Class A common stock may be negatively affected.</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As a public company with SEC reporting obligations, we are required to document and test our internal control procedures to satisfy the requirements of Section 404(a) of the Sarbanes-Oxley Act (SOX), which requires annual assessments by management of the effectiveness of our internal control over financial reporting. Because we re-qualified as a smaller reporting company, as of December 31, 2022, we are a non-accelerated filer and are no longer be required to comply with the auditor attestation requirements regarding the effectiveness of our internal control over financial reporting under Section 404(b) of the Sarbanes-Oxley Act until we become an accelerated filer or large accelerated filer.</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During our assessments, we may identify deficiencies that we are unable to remediate in a timely manner. Testing and maintaining our internal control over financial reporting may also divert management’s attention from other matters that are important to the operation of our business. We may not be able to conclude on an ongoing basis that we have effective internal control over financial reporting in accordance with Section 404(a) of SOX. If we conclude that our internal control over financial reporting is not effective, the cost and scope of remediation actions and their effect on our operations may be significant. Moreover, any material weaknesses or other deficiencies in our internal control over financial reporting may impede our ability to file timely and accurate reports with the SEC, and there could be a failure to meet exchange listing requirements. Any of the above could cause investors to lose confidence in our reported financial information or our Class A common stock listing on Nasdaq to be suspended or terminated, which could have a negative effect on the trading price of our common stock.</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If we fail to maintain an effective system of internal controls, or otherwise fail to comply with the Sarbanes-Oxley Act of 2002, we may not be able to accurately and timely report our financial results, which may adversely affect our business and investor confidence in us and, as a result, the value of our Class A common stock.</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If we are unable to successfully maintain internal control over financial reporting, or identify any material weaknesses, the accuracy and timing of our financial reporting may be adversely affected. Any failure to implement and maintain effective internal control over financial reporting could cause investors to lose confidence in our reported financial and other information, adversely impact our stock price, cause us to incur increased costs to remediate any deficiencies, and attract regulatory scrutiny or lawsuits that could be costly to resolve and distract management’s attention, limit our ability to access the capital markets or cause our stock to be delisted from The Nasdaq Global Select Market or any other securities exchange on which it is then listed. Failure to remedy any material weakness in our internal control over financial reporting, or to implement or maintain other effective control systems required of public companies, could also restrict our future access to the capital markets.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If we fail to maintain an effective system of internal control over financial reporting, we may not be able to accurately report our financial results in a timely manner or prevent fraud, which would harm our business.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 timely manner, or at all. In addition, any testing by us conducted in connection with Section 404(a) of SOX or any subsequent testing by our independent registered public accounting firm in connection with Section 404(b) of SOX, may reveal deficiencies in our internal controls over financial reporting that are deemed to be significant deficiencies or material weaknesses or that may require prospective or retroactive changes to our condensed consolidated financial statements or identify other areas for further attention or improvement. We are also required to disclose material changes made in our internal controls over financing reporting and procedures on a quarterly basis and our management is required to assess the effectiveness of these controls annually. Remediation of previous material weaknesses may not be effective or prevent any future deficiency in our internal </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692265" cy="146685"/>
                <wp:effectExtent l="0" t="0" r="0" b="0"/>
                <wp:wrapNone/>
                <wp:docPr id="49" name="Frame4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before="0" w:after="18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control over financial reporting. Ineffective internal controls could also cause investors to lose confidence in our reported financial information, which could have a negative effect on the trading price of our Class A common stock.</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To achieve compliance with Section 404(a) within the prescribed period, we have engaged in a process to document and evaluate our internal control over financial reporting, which is both costly and challenging. In this regard, we will need to continue to dedicate internal resources, potentially engage outside consultants and adopt a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An independent assessment of the effectiveness of our internal controls could detect problems that our management’s assessment might not identify. Undetected material weaknesses in our internal controls could lead to financial statement restatements and require us to incur the expense of remediation.</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 xml:space="preserve">Changes in, or evolving interpretations of, financial accounting rules, regulations, standards or practices could result in unfavorable accounting changes, require us to, for example, change our compensation policies or restate our financial statements, or cause adverse, unexpected fluctuations in our operating results, resulting in a decline in the market price of our Class A common stock.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condensed consolidated financial statements in conformity with U.S. GAAP requires management to make estimates and assumptions that affect the amounts reported in our condensed consolidated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revenue and expenses that are not readily apparent from other sources. However, we have a limited operating history. For example, in connection with the implementation of the new revenue accounting standard for product sales, management makes judgments and assumptions based on our interpretation of the new standard. The new revenue standard is principle-based and interpretation of those principles may vary from company to company based on their unique circumstances. It is possible that interpretation, industry practice and guidance may evolve as we apply the new standard. If our assumptions underlying our estimates and judgments relating to our critical accounting policies change or if actual circumstances differ from our assumptions, estimates or judgments, or if accounting rules, regulations, standards or practices change, our compensation practices may need to change or our financial statements may need to be restated, and our operating results may be adversely affected and could fall below our publicly announced guidance or the expectations of securities analysts and investors, resulting in a decline in the market price of our Class A common stock.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Risks Related to Regulatory Compliance</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 xml:space="preserve">If we elect to label and promote any of our products as clinical diagnostics tests or medical devices, we would be required to obtain prior approval or clearance by the FDA, which would take significant time and expense and could fail to result in FDA clearance or approval for the intended uses we believe are commercially attractive.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Our products are currently labeled and promoted, and are, and in the near-future will be, sold as research use only (RUO) products, primarily to academic and research institutions and research companies, and are not currently designed, or intended to be used, for diagnostic procedures, clinical diagnostic tests or as medical devices. If we elect to label and market our products for use as, or in the performance of, clinical diagnostics in the United States, thereby subjecting them to U.S. Food and Drug Administration (FDA) regulation as medical devices, we would be required to obtain premarket 510(k) clearance or premarket approval from the FDA, unless an exception applies.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We may in the future register with the FDA as a medical device manufacturer and list some of our products with the FDA pursuant to an FDA Class I listing for general purpose laboratory equipment. While this regulatory classification is exempt from certain FDA requirements, such as the need to submit a premarket notification commonly known as a 510(k), and some of the requirements of the FDA’s Quality System Regulations (QSRs), we would be subject to ongoing FDA “general controls,” which include compliance with FDA regulations for labeling, inspections by the FDA, complaint evaluation, corrections and removals reporting, promotional restrictions, </w:t>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692265" cy="146685"/>
                <wp:effectExtent l="0" t="0" r="0" b="0"/>
                <wp:wrapNone/>
                <wp:docPr id="50" name="Frame5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before="0" w:after="18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reporting adverse events or malfunctions for our products, and general prohibitions against misbranding and adulteration.</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In addition, we may in the future submit 510(k) premarket notifications to the FDA to obtain FDA clearance of certain of our products on a selective basis. It is possible, in the event we elect to submit 510(k) applications for certain of our products, that the FDA would take the position that a more burdensome premarket application, such as a premarket approval application (PMA) or a de novo application is required for some of our products. If such applications were required, greater time and investment would be required to 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approved or cleared by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would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In addition, we could decide to seek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In Europe, we would need to comply with the new Medical Device Regulation 2017/745 and In Vitro Diagnostic Regulation 2017/746, which became effective on May 26, 2021 (postponed from 2020) and May 26, 2022 respectively. Recently, the European Parliament voted to extend the transition timelines for MDR and IVDR. These regulations increase the clinical requirements and will increase the difficulty of regulatory approvals in Europe. In addition, the FDA regulates exports of medical devices. Failure to comply with these regulatory requirements or obtain and maintain required approvals, clearances and certifications could impair our ability to commercialize our products for diagnostic use outside of the United States.</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692265" cy="146685"/>
                <wp:effectExtent l="0" t="0" r="0" b="0"/>
                <wp:wrapNone/>
                <wp:docPr id="51" name="Frame5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before="0" w:after="180"/>
        <w:rPr/>
      </w:pPr>
      <w:r>
        <w:rPr/>
      </w:r>
    </w:p>
    <w:p>
      <w:pPr>
        <w:pStyle w:val="TextBody"/>
        <w:spacing w:lineRule="auto" w:line="288" w:before="0" w:after="180"/>
        <w:rPr/>
      </w:pPr>
      <w:r>
        <w:rPr>
          <w:rFonts w:ascii="Times New Roman;sans-serif" w:hAnsi="Times New Roman;sans-serif"/>
          <w:b/>
          <w:i/>
          <w:color w:val="000000"/>
          <w:sz w:val="20"/>
        </w:rPr>
        <w:t>Our 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r>
        <w:rPr>
          <w:rFonts w:ascii="Times New Roman;sans-serif" w:hAnsi="Times New Roman;sans-serif"/>
          <w:b w:val="false"/>
          <w:color w:val="000000"/>
          <w:sz w:val="20"/>
        </w:rPr>
        <w:t xml:space="preserve">.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do not currently expect the Proteograph Product Suite to be subject to the clearance or approval of the FDA, as it is not intended to be used for the diagnosis, treatment or prevention of disease. However, as we expand our product line and the applications and uses of our current or products into new fields, certain of our future products could become subject to regulation by the FDA, or comparable international agencies, including requirements for regulatory clearance or approval of such products before they can be marketed. Also, even as our products are labeled, promoted, and intended as RUO, the FDA or comparable agencies of other countries could disagree with our conclusion that our products are intended for research use only or deem our sales, marketing and promotional efforts as being inconsistent with RUO products. For example, our customers may independently elect to use our RUO labeled products in their own laboratory developed tests (LDTs) for clinical diagnostic use, which could subject our products to government regulation, and the regulatory clearance or approval and maintenance process for such products may be uncertain, expensive, and time-consuming. 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As manufacturers develop more complex diagnostic tests and diagnostic software, the FDA may increase its regulation of LDTs. Any future legislative or administrative rule making or oversight of LDTs, if and when finalized, may impact the sales of our products and how customers use our products, and may require us to change our business model in order to maintain compliance with these laws. We cannot predict how these various efforts will be resolved, how Congress or the FDA will regulate LDTs in the future, or how that regulatory system will impact our business. Changes to the current regulatory framework, including the imposition of additional or new regulations, including regulation of our products, could arise at any time during the development or marketing of our products, which may negatively affect our ability to obtain or maintain FDA or comparable regulatory approval of our products, if required. 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Physician Payments Sunshine Act and related transparency and manufacturer reporting laws, and other laws and regulations applicable to medical device manufacturers.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2020, the Department of Health and Human Services, or HHS, announced rescission of guidances and other informal issuances of FDA regarding premarket review of LDT absent notice-and-comment rulemaking, stating that, absent notice-and-comment rulemaking, those seeking approval or clearance of, or an emergency use authorization, for an LDT may nonetheless voluntarily submit a premarket approval application, premarket notification or an EUA request, respectively, but are not required to do so. In November 2021, HHS under the Biden administration issued a statement that withdrew the August 2020 policy announcement, stating that HHS does not have a policy on LDTs that is separate from FDA's longstanding approach. Legislative and administrative proposals to amend the FDA's oversight of LDTs have been introduced in recent years, including the Verifying Accurate </w:t>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692265" cy="146685"/>
                <wp:effectExtent l="0" t="0" r="0" b="0"/>
                <wp:wrapNone/>
                <wp:docPr id="52" name="Frame5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before="0" w:after="18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Leading-edge IVCT Development Act of 2021 (VALID Act). In September 2022, Congress passed the FDA user fee reauthorization legislation without substantive FDA policy riders, including the VALID Act, but Congress may revisit the policy riders and enact other FDA programmatic reforms in the future. It is unclear how future legislation by federal and state governments and FDA regulation will impact the industry, including our business and that of our customers.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Risks Related to our Intellectual Property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If we are unable to obtain, maintain and enforce sufficient intellectual property protection for our products and technology, or if the scope of the intellectual property protection obtained is not sufficiently broad, our competitors could develop and commercialize products similar or identical to ours, and our ability to successfully commercialize our products may be impaired.</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rely on patent protection as well as trademark, copyright, trade secret and other intellectual property rights protection and contractual restrictions to protect our proprietary products and technologies, all of which provide limited protection and may not adequately protect our rights or permit us to gain or keep any competitive advantage. If we fail to obtain, maintain, enforce and protect our intellectual property, third parties may be able to compete more effectively against us. In addition, we may incur substantial litigation costs in our attempts to recover or restrict use of our intellectual property.</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financial condition, results of operations and prospects. Both the patent application process and the process of managing patent and other intellectual property disputes can be time-consuming, expensive and unpredictable.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Our success depends in large part on our and our licensor’s ability to obtain and maintain protection of the intellectual property we may own solely and jointly with, or license from, third parties, particularly patents, in the United States and other countries with respect to our products and technologies. We apply for patents covering our products and technologies and uses thereof, as we deem appropriate. However, obtaining and enforcing patents is costly, time-consuming and complex, and we may fail to apply for patents on important products and technologies in a timely fashion or at all, or we may fail to apply for patents in potentially relevant jurisdictions. We may not be able to file and prosecute all necessary or desirable patent applications, or maintain, enforce and license any patents that may issue from such patent applications, at a reasonable cost or in a timely manner or in all jurisdictions. It is also possible that we will fail to identify patentable aspects of our research and development output before it is too late to obtain patent protection. Moreover, we may not develop additional proprietary products, methods and technologies that are patentable. We may not have the right to control the preparation, filing and prosecution of patent applications, or to maintain the rights to patents licensed from or to third parties. Therefore, these patents and applications may not be prosecuted and enforced by such third parties in a manner consistent with the best interests of our business.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patent position of life sciences technology companies generally is highly uncertain, involves complex legal and factual questions, and has been the subject of much litigation in recent years. Changes in either the patent laws or in interpretations of patent laws in the United States or other countries or regions may diminish the value of our intellectual property. As a result, the issuance, scope, validity, enforceability, and commercial value of our patent rights are highly uncertain. It is possible that none of our pending patent applications will result in issued patents in a timely fashion or at all, and even if patents are granted, they may not provide a basis for intellectual property protection of commercially viable products or services, may not provide us with any competitive advantages, or may be challenged, narrowed and invalidated by third parties. We cannot predict the breadth of claims that may be allowed or enforced in our patents or in third-party patents. It is possible that third parties will design around our current or future patents such that we cannot prevent such third parties from using similar technologies and commercializing similar products to compete with us. Some of our owned or licensed patents or patent applications may be challenged at a future point in time and we may not be successful in defending any such challenges made against our patents or patent applications. Any successful third-party challenge to our patents could result in the narrowing, unenforceability or invalidity of such patents and increased competition to our </w:t>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692265" cy="146685"/>
                <wp:effectExtent l="0" t="0" r="0" b="0"/>
                <wp:wrapNone/>
                <wp:docPr id="53" name="Frame5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before="0" w:after="18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business. The outcome of patent litigation or other proceeding can be uncertain, and any attempt by us to enforce our patent rights against others or to challenge the patent rights of others may not be successful, or, regardless of success, may take substantial time and result in substantial cost, and may divert our efforts and attention from other aspects of our business. Any of the foregoing events could have a material adverse effect on our business, financial condition and results of operations.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 xml:space="preserve">The U.S. law relating to the patentability of certain inventions in the life sciences technology industry is uncertain and rapidly changing, which may adversely impact our existing patents or our ability to obtain patents in the future. </w:t>
      </w:r>
    </w:p>
    <w:p>
      <w:pPr>
        <w:pStyle w:val="TextBody"/>
        <w:spacing w:lineRule="auto" w:line="288" w:before="0" w:after="180"/>
        <w:rPr/>
      </w:pPr>
      <w:r>
        <w:rPr>
          <w:rFonts w:ascii="Times New Roman;sans-serif" w:hAnsi="Times New Roman;sans-serif"/>
          <w:b w:val="false"/>
          <w:color w:val="000000"/>
          <w:sz w:val="20"/>
        </w:rPr>
        <w:t xml:space="preserve">Changes in either the patent laws or interpretation of the patent laws in the United States or in other jurisdictions could increase the uncertainties and costs surrounding the prosecution of patent applications and the enforcement or defense of issued patents. For instance, under the Leahy-Smith America Invents Act, or the America Invents Act, enacted in September 2011, the United States transitioned to a first inventor to file system in which, assuming that other requirements for patentability are met, the first inventor to file a patent application is entitled to the patent on an invention regardless of whether a third party was the first to invent the claimed invention. These changes include allowing third-party submission of prior art to the United States Patent and Trademark Office (USPTO) during patent prosecution and additional procedures to challenge the validity of a patent by USPTO administered post-grant proceedings, including post-grant review, </w:t>
      </w:r>
      <w:r>
        <w:rPr>
          <w:rFonts w:ascii="Times New Roman;sans-serif" w:hAnsi="Times New Roman;sans-serif"/>
          <w:b w:val="false"/>
          <w:i/>
          <w:color w:val="000000"/>
          <w:sz w:val="20"/>
        </w:rPr>
        <w:t xml:space="preserve">inter partes </w:t>
      </w:r>
      <w:r>
        <w:rPr>
          <w:rFonts w:ascii="Times New Roman;sans-serif" w:hAnsi="Times New Roman;sans-serif"/>
          <w:b w:val="false"/>
          <w:color w:val="000000"/>
          <w:sz w:val="20"/>
        </w:rPr>
        <w:t>review and derivation proceedings. The America Invents Act and its implementation could increase the uncertainties and costs surrounding the prosecution of our patent applications and future patent applications, and the enforcement or defense of our issued patents, all of which could have a material adverse effect on our business, financial condition, results of operations and prospects.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Various courts, including the U.S. Supreme Court, have rendered decisions that impact the scope of patentability of certain inventions or discoveries relating to the life sciences technology. Specifically, these decisions stand for the proposition that patent claims that recite laws of nature or abstract ideas are not themselves patentable unless those patent claims have sufficient additional features that provide practical assurance that the processes are genuine inventive applications of those laws rather than patent drafting efforts designed to monopolize the law of nature itself. What constitutes a “sufficient” additional feature is uncertain. Furthermore, in view of these decisions, since December 2014, the USPTO has published and continues to publish revised guidelines for patent examiners to apply when examining process claims for patent eligibility.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may have a material adverse effect on our ability to obtain new patents and to defend and enforce our existing patents and patents that we might obtain in the future.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We cannot assure you that our patent portfolio will not be negatively impacted by the current uncertain state of the law, new court rulings or changes in guidance or procedures issued by the USPTO or other similar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material and negative impact on our business, financial condition, prospects and results of operations.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We may not be able to protect our intellectual property rights throughout the world.</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Filing, prosecuting and defending patents on our technology and products, including the Proteograph Product Suite, in all countries throughout the world would be prohibitively expensive, and our intellectual property rights in some countries outside the United States can be less extensive than those in the United States.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The laws of some foreign countries do not protect intellectual property rights to the same extent as the laws of the United States, and we and our licensor may encounter difficulties in protecting and defending such rights in foreign jurisdictions. Obtaining granted patents in foreign jurisdictions is time-consuming and expensive, the outcome is </w:t>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692265" cy="146685"/>
                <wp:effectExtent l="0" t="0" r="0" b="0"/>
                <wp:wrapNone/>
                <wp:docPr id="54" name="Frame5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before="0" w:after="18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unpredictable, and some countries are unable to prosecute and grant patents in a timely manner. Consequently, we and our licensor(s) may not be able to prevent third parties from practicing our inventions in some or all countries outside the United States, or from selling or importing products made using our or our licensor’s inventions in and into the United States or other jurisdictions. It is unknown whether we will be successful in obtaining patents with sufficient claim scope in certain jurisdictions to block third parties, in a cost effective or in a timely manner, and if we are unable to do so it could have a material adverse effect on our business, financial condition, results of operation and prospects in various geographies.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Moreover, European applications will soon have the option, upon grant of a patent, of becoming a Unitary Patent which will be subject to the jurisdiction of the Unitary Patent Court (UPC). This will be a significant change in European patent practice. As the UPC is a new court system, there is no precedent for the court, increasing the uncertainty of any patent litigation in Europe.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Competitors and other third parties may also use our technologies in jurisdictions where we have not obtained patent protection to develop their own products and technologies and may also export infringing products to territories where we have patent protection, but enforcement is not as strong as that in the United States. These products may compete with our products. Our and our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Many companies have encountered significant problems in protecting and defending intellectual property rights in foreign jurisdictions. The legal systems of many other countries do not favor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or companies headquartered in particular jurisdictions over our first-in-time patents and other intellectual property protection. Geopolitical actions worldwide could increase the uncertainties and costs surrounding the prosecution or maintenance of our patent applications or those of any current or future licensors and the maintenance, enforcement or defense of our issued patents or those of any current or future licensors. The absence of harmonized intellectual property protection laws and effective enforcement makes it difficult to ensure consistent respect for patent, trade secret, and other intellectual property rights on a worldwide basis. As a result, it is possible that we will not be able to enforce our rights against third parties that misappropriate our proprietary technology in those countries.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Proceedings to enforce our or our licensor’s patent rights in foreign jurisdictions could result in substantial cost and divert our efforts and attention from other aspects of our business, could put our and our licensor’s patents at risk of being invalidated or interpreted narrowly and our and our licensor’s patent applications at risk of not issuing, and could provoke third parties to assert claims against us. We and our licensors may not prevail in any lawsuits that we or our licensor initiate, or that are initiated against us or our licensor,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Issued patents covering our products could be found invalid or unenforceable if challenged.</w:t>
      </w:r>
    </w:p>
    <w:p>
      <w:pPr>
        <w:pStyle w:val="TextBody"/>
        <w:spacing w:lineRule="auto" w:line="288" w:before="0" w:after="180"/>
        <w:rPr/>
      </w:pPr>
      <w:r>
        <w:rPr>
          <w:rFonts w:ascii="Times New Roman;sans-serif" w:hAnsi="Times New Roman;sans-serif"/>
          <w:b w:val="false"/>
          <w:color w:val="000000"/>
          <w:sz w:val="20"/>
        </w:rPr>
        <w:t xml:space="preserve">Our owned and licensed patents and patent applications may be subject to validity, enforceability and priority disputes. The issuance of a patent is not conclusive as to its inventorship, scope, validity or enforceability. Some of our patents or patent applications (including licensed patents and patent applications) may be challenged at a future point in time in opposition, revocation, nullification, derivation, reexamination, </w:t>
      </w:r>
      <w:r>
        <w:rPr>
          <w:rFonts w:ascii="Times New Roman;sans-serif" w:hAnsi="Times New Roman;sans-serif"/>
          <w:b w:val="false"/>
          <w:i/>
          <w:color w:val="000000"/>
          <w:sz w:val="20"/>
        </w:rPr>
        <w:t>inter partes</w:t>
      </w:r>
      <w:r>
        <w:rPr>
          <w:color w:val="000000"/>
        </w:rPr>
        <w:t xml:space="preserve"> </w:t>
      </w:r>
      <w:r>
        <w:rPr>
          <w:rFonts w:ascii="Times New Roman;sans-serif" w:hAnsi="Times New Roman;sans-serif"/>
          <w:b w:val="false"/>
          <w:color w:val="000000"/>
          <w:sz w:val="20"/>
        </w:rPr>
        <w:t xml:space="preserve">review, post-grant review or interference or other similar proceedings. Any successful third-party challenge to our patents in this or any other proceeding could result in the unenforceability or invalidity of such patents, which may lead to increased </w:t>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692265" cy="146685"/>
                <wp:effectExtent l="0" t="0" r="0" b="0"/>
                <wp:wrapNone/>
                <wp:docPr id="55" name="Frame5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before="0" w:after="180"/>
        <w:rPr/>
      </w:pPr>
      <w:r>
        <w:rPr/>
      </w:r>
    </w:p>
    <w:p>
      <w:pPr>
        <w:pStyle w:val="TextBody"/>
        <w:spacing w:lineRule="auto" w:line="288" w:before="0" w:after="180"/>
        <w:rPr/>
      </w:pPr>
      <w:r>
        <w:rPr>
          <w:rFonts w:ascii="Times New Roman;sans-serif" w:hAnsi="Times New Roman;sans-serif"/>
          <w:b w:val="false"/>
          <w:color w:val="000000"/>
          <w:sz w:val="20"/>
        </w:rPr>
        <w:t xml:space="preserve">competition to our business, which could have a material adverse effect on our business, financial condition, results of operations and prospects. In addition, if we or our licensor initiate legal proceedings against a third party to enforce a patent covering our products, the defendant could counterclaim that such patent covering our products,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lack of novelty, obviousness, lack of written description or non-enablement. Grounds for an unenforceability assertion could be an allegation that someone connected with prosecution of the patent withheld relevant information from the relevant patent office, or made a misleading statement, during prosecution. Third parties may also raise similar claims before administrative bodies in the United States or abroad, even outside the context of litigation. Such mechanisms include </w:t>
      </w:r>
      <w:r>
        <w:rPr>
          <w:rFonts w:ascii="Times New Roman;sans-serif" w:hAnsi="Times New Roman;sans-serif"/>
          <w:b w:val="false"/>
          <w:i/>
          <w:color w:val="000000"/>
          <w:sz w:val="20"/>
        </w:rPr>
        <w:t>ex parte</w:t>
      </w:r>
      <w:r>
        <w:rPr>
          <w:color w:val="000000"/>
        </w:rPr>
        <w:t xml:space="preserve"> </w:t>
      </w:r>
      <w:r>
        <w:rPr>
          <w:rFonts w:ascii="Times New Roman;sans-serif" w:hAnsi="Times New Roman;sans-serif"/>
          <w:b w:val="false"/>
          <w:color w:val="000000"/>
          <w:sz w:val="20"/>
        </w:rPr>
        <w:t xml:space="preserve">re-examination, </w:t>
      </w:r>
      <w:r>
        <w:rPr>
          <w:rFonts w:ascii="Times New Roman;sans-serif" w:hAnsi="Times New Roman;sans-serif"/>
          <w:b w:val="false"/>
          <w:i/>
          <w:color w:val="000000"/>
          <w:sz w:val="20"/>
        </w:rPr>
        <w:t>inter partes</w:t>
      </w:r>
      <w:r>
        <w:rPr>
          <w:color w:val="000000"/>
        </w:rPr>
        <w:t xml:space="preserve"> </w:t>
      </w:r>
      <w:r>
        <w:rPr>
          <w:rFonts w:ascii="Times New Roman;sans-serif" w:hAnsi="Times New Roman;sans-serif"/>
          <w:b w:val="false"/>
          <w:color w:val="000000"/>
          <w:sz w:val="20"/>
        </w:rPr>
        <w:t>review, post-grant review, derivation and equivalent proceedings in non-U.S. jurisdictions, such as opposition proceedings. Such proceedings could result in revocation of or amendment to our patents in such a way that they no longer cover and protect our products, or exclude our competitor’s products. With respect to the validity of our patents, for example, we cannot be certain that there is no invalidating prior art of which we, our licensor, our or its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on certain aspects of our products and technologies, which could have a material adverse effect on our business, financial condition, results of operations and prospects. In addition, if 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may not be aware of all third-party intellectual property rights potentially relating to our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 applications will not have priority over our patent applications. In addition, changes to the patent laws of the United States allow for various post-grant opposition proceedings that have not been extensively tested, and their outcome is therefore uncertain. Furthermore, if third parties bring these proceedings against our patents, regardless of the merit of such proceedings and regardless of whether we are successful, we could experience significant costs and our management may be distracted. Any of the foregoing events could have a material adverse effect on our business, financial condition, results of operations and prospects.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If we are unable to protect the confidentiality of our trade secrets, the value of our technology could be materially adversely affected and our business could be harmed.</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may rely heavily on trade secrets and confidentiality agreements to protect our unpatented know-how, technology and other proprietary and confidential information, including parts of the Proteograph Product Suite, and to maintain our competitive position. However, trade secrets and know-how can be difficult to protect. In particular, we anticipate that with respect to our technologies, these trade secrets and know how will over time be disseminated within the industry through independent development, the publication of journal articles describing the methodology, and the movement of personnel between academia and industry.</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confidential proprietary </w:t>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692265" cy="146685"/>
                <wp:effectExtent l="0" t="0" r="0" b="0"/>
                <wp:wrapNone/>
                <wp:docPr id="56" name="Frame5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before="0" w:after="18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have a material and adverse impact on our ability to establish or maintain a competitive advantage in the market and our business, financial condition, results of operations and prospects.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 outcome would be unpredictable. In addition, courts outside the United States may be less willing to protect trade secrets.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purchase our products and attempt to replicate some or all of the competitive advantages we derive from our development efforts, design around our protected technology,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We may be subject to claims challenging the inventorship of our patents and other intellectual property.</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We or our licensor have been, and may be, subject to claims that former employees, collaborators or other third parties have an interest in our owned or in-licensed patents, trade secrets or other intellectual property as an inventor or co-inventor. For example, while the inventorship on a patent is generally presumed to be correct, the company received a letter requesting the addition of a third-party as an inventor to certain intellectual property owned or licensed by the company. Moreover, we or our licensor may have inventorship disputes arise from conflicting obligations of employees, consultants or others who are involved in developing our products. In addition, counterparties to our consulting, sponsored research, software development and other agreements may assert that they have an ownership interest in intellectual property developed under such arrangements. In particular, certain software development agreements pursuant to which certain third parties have developed parts of our proprietary software may not include provisions that expressly assign to us ownership of all intellectual property developed for us by such third parties. Furthermore, certain of our sponsored research agreements pursuant to which we provide certain research services for third parties do not assign to us all intellectual property developed under such agreements. As such, we may not have the right to use all such developed intellectual property under such agreements, we may be required to obtain licenses from third parties and such licenses may not be available on commercially reasonable terms or at all, or may be non-exclusive. If we are unable to obtain such licenses and such licenses are necessary for the development, manufacture and commercialization of our products and technologies, we may need to cease the development, manufacture and commercialization of our products and technologies.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Litigation may be necessary to defend against these and other claims challenging inventorship of our or our licensor’s ownership of our owned or in-licensed patents, trade secrets or other intellectual property. If we or our licensor fail in defending any such claims, in addition to paying monetary damages, we may lose valuable intellectual property rights, such as exclusive ownership of, or right to use, intellectual property that is important to our technologies and products, including the Proteograph solution, including our software, workflows, consumables and reagent kits.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and commercialization of our products </w:t>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692265" cy="146685"/>
                <wp:effectExtent l="0" t="0" r="0" b="0"/>
                <wp:wrapNone/>
                <wp:docPr id="57" name="Frame5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before="0" w:after="18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We may not be able to protect and enforce our trademarks and trade names, or build name recognition in our markets of interest thereby harming our competitive position.</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have filed, and may in the future file, for registration of trademarks similar or identical to our trademarks, thereby impacting our ability to build brand identity and possibly leading to market confusion. In addition, there could be potential trade name or trademark infringement claims, or other challenges to our trademarks, brought by owners of trademarks that incorporate variations of our registered or unregistered trademarks or trade names. Further, from time to time, we enter into agreements with owners of such third party trade names or trademarks to avoid potential trademark litigation which may impact our ability to use our trade names or trademarks in certain fields of business. Over the long term, if we are unable to establish name recognition based on our trademarks and trade names, then we may suffer a competitive disadvantage, and our business, financial condition, results of operations and prospects may be adversely affected. Our efforts to enforce or protect our proprietary rights related to trademarks, trade secrets, domain names, copyrights or other intellectual property may be ineffective and could result in substantial costs and diversion of resources. Any of the foregoing events could have a material adverse effect on our business, financial condition and results of operations.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Patent terms may be inadequate to protect our competitive position on our products and technologies, including the Proteograph Product Suite for an adequate amount of time.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Patents have a limited lifespan. In the United States, if all maintenance fees are timely paid, the natural expiration of a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Even if patents covering our products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ours, which could have a material adverse effect on our business, financial condition and results of operations.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commercial success depends in part on our ability and the ability of future collaborators to develop, manufacture, market and sell our product and use our products and technologies without infringing, misappropriating or otherwise violating the intellectual property rights of third parties. There is a substantial amount of litigation involving patents and other intellectual property rights in the life sciences technology sector, as well as administrative proceedings for challenging patents, including interference, derivation, inter partes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products, manufacturing methods, software and/or technologies infringe, misappropriate or otherwise violate their intellectual property rights. Numerous issued patents and pending patent applications that are owned by third parties exist in the fields in which we are developing our products and </w:t>
      </w: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692265" cy="146685"/>
                <wp:effectExtent l="0" t="0" r="0" b="0"/>
                <wp:wrapNone/>
                <wp:docPr id="58" name="Frame5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before="0" w:after="18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technologies. It is not always clear to industry participants, including us, the claim scope that may issue from pending patent applications owned by third parties or which patents cover various types of products, technologies or their methods of use or manufacture. Thus, because of the large number of patents issued and patent applications filed in our fields, there may be a risk that third parties, including our competitors, may allege they have patent rights encompassing our products, technologies or methods and that we are employing their proprietary technology without authorization.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If third parties, including our competitors, believe that our products or technologies infringe, misappropriate or otherwise violate their intellectual property, such third parties may seek to enforce their intellectual property, including patents, by filing an intellectual property-related lawsuit, including patent infringement lawsuit, against us. Even if we believe the third-party intellectual property claims are without merit, there is no assurance that a court would find in our favor on questions of infringement, validity, enforceability, or priority. For example, we are aware of a U.S. issued patent owned by a third party that is directed to a method for diagnosing a biological condition by analyzing certain types of proteins, including through the use of nanoparticles. Such patent is expected to expire in 2026, without taking into account any possible patent term adjustments or extensions. We are also aware of a pending patent application in Europe owned by a third party directed to a method of identifying biomarkers in biofluids using nanoparticles and, if issued, is projected to expire in 2037, without taking into account any possible patent term extensions. Such patent and patent applications could be construed to cover certain aspects of our products or technologies, including the Proteograph Product Suite. If any of these third parties, or any other third parties, were to assert these or any other patents against us and we are unable to successfully defend against any such assertion, we may be required, including by court order, to cease the development and commercialization of the infringing products or technologies and we may be required to redesign such products or technologies so they do not infringe such patents, which may not be possible or may require substantial monetary expenditures and time. We could also be required to pay damages, which could be significant, including treble damages and attorneys’ fees if we are found to have willfully infringed such patents. We could also be required to obtain a license to such patents in order to continue the development and commercialization of the infringing product or technology, however such a license may not be available on commercially reasonable terms or at all, including because certain of these patents are held by or may be licensed to our competitors. Even if such license were available, it may require substantial payments or cross-licenses under our intellectual property rights, and it may only be available on a nonexclusive basis, in which case third parties, including our competitors, could use the same licensed intellectual property to compete with us. Any of the foregoing could have a material adverse effect on our business, financial condition, results of operation or prospects.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may choose to challenge, including in connection with any allegation of patent infringement by a third party, the patentability, validity or enforceability of any third-party patent that we believe may have applicability in our field, and any other third-party patent that may be asserted against us. Such challenges may be brought either in court or by requesting that the USPTO, European Patent Office (EPO), or other foreign patent offices review the patent claims, such as in an ex-parte reexamination, inter partes review, post-grant review proceeding, opposition or other comparable proceeding. However, there can be no assurance that any such challenge by us or any third party will be successful. Even if such proceedings are successful, these proceedings are expensive and may consume our time or other resources, distract our management and technical personnel, and the costs of these proceedings could be substantial. There can be no assurance that our defenses of non-infringement, invalidity or unenforceability in a court of law will succeed.</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Third parties, including our competitors, could be infringing, misappropriating or otherwise violating our owned and in-licensed intellectual property rights. Monitoring unauthorized use of our intellectual property is difficult and costly. We may not be able to detect unauthorized use of, or take appropriate steps to enforce, our intellectual property rights. From time to time, we seek to analyze our competitors’ products and services, and may in the future seek to enforce our rights against potential infringement, misappropriation or violation of our intellectual property. However, the steps we have taken to protect our intellectual property rights may not be adequate to enforce our rights as against such infringement, misappropriation or violation of our intellectual property. Any inability to meaningfully enforce our intellectual property rights could harm our ability to compete and reduce demand for our products and technologies.</w:t>
      </w: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692265" cy="146685"/>
                <wp:effectExtent l="0" t="0" r="0" b="0"/>
                <wp:wrapNone/>
                <wp:docPr id="59" name="Frame5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before="0" w:after="18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Litigation proceedings may be necessary for us to enforce our patent and other intellectual property rights. In any such proceedings, a court may refuse to stop the other party from using the technology at issue on the grounds that our owned and in-licensed patents do not cover the technology in question. Further, in such proceedings, the defendant could counterclaim that our intellectual property is invalid or unenforceable and the court may agree, in which case we could lose valuable intellectual property rights, which could allow third parties to commercialize technology or products similar to ours and compete directly with us, without payment to us, or could require us to obtain license rights from the prevailing party in order to be able to manufacture or commercialize our products without infringing such party’s intellectual property rights, and if we unable to obtain such a license, we may be required to cease commercialization of our products and technologies, any of which could have a material adverse effect on our business, financial condition, results of operations and prospects. The outcome in any such proceedings are unpredictable.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Regardless of whether we are defending against or asserting any intellectual property-related proceeding, any such intellectual property-related proceeding that may be necessary in the future, regardless of outcome, could result in substantial costs and diversion of resources and could have a material adverse effect on our business, financial condition, results of operations and prospects.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Class A common stock. Some of our competitors and other third parties may be able to sustain the costs of such litigation or proceedings more effectively than we can because of their greater financial resources and more mature and developed intellectual property portfolios. We may not have sufficient financial or other resources to adequately conduct these types of litigation or proceedings. Any of the foregoing, or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 Claims that we have misappropriated the confidential information or trade secrets of third parties could have a similar material adverse effect on our business, financial condition, results of operations and prospects.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we rely on our licensor to pay these fees due to the U.S. and non-U.S. patent agencies and to take the necessary action to comply with these requirements with respect to our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 financial condition, results of operations and prospects.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Our employees, consultants, advisors or independent contractors may have wrongfully used or disclosed, or may in the future wrongfully use or disclose, confidential information or alleged trade secrets of ours, third parties or former employers.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employed and expect to employ individuals, and engaged consultants and expect to engage consultants, who were previously employed, or consulted, at universities or other companies, including our competitors or potential competitors. Although we try to ensure that our employees, consultants, advisors and independent contractors do not use confidential or proprietary information or know-how of others in their work for us, we may be </w:t>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692265" cy="146685"/>
                <wp:effectExtent l="0" t="0" r="0" b="0"/>
                <wp:wrapNone/>
                <wp:docPr id="60" name="Frame6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before="0" w:after="18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claims that our employees, advisors, consultants or independent contractors have inadvertently or otherwise used or disclosed intellectual property, including trade secrets or other confidential or proprietary information of their former employers or other third parties, or to claims that we have improperly used or obtained such trade secrets. Domestic or international litigation may be necessary to defend against these claims. If we fail in defending such claims, in addition to paying monetary damages, we may lose valuable intellectual property rights and face increased competition to our business. Any such litigation or the threat thereof may adversely affect our ability to hire employees or contract with advisors, contractors and consultants.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 This type of litigation or proceeding could substantially increase our operating losses and reduce our resources available for development activities. Some of our competitors may be able to sustain the costs of this type of litigation or proceedings more effectively than we can because of their substantially greater financial resources.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which could have a material adverse effect on our business, financial condition, results of operations, and prospects.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Furthermore, we or our licensor may be subject to claims by former employees, consultants or other third parties asserting an ownership right in our owned or licensed patents or patent applications. An adverse determination in any such proceeding may result in loss of exclusivity or freedom to operate or in patent claims being narrowed, invalidated or held unenforceable, in whole or in part, which could limit our ability to stop others from using or commercializing similar technology, without payment to us, or could limit the duration of the patent protection covering our technology and products. Such challenges may also result in our inability to develop, manufacture or commercialize our products without infringing third-party patent rights. Any of the foregoing could harm our business, financial condition, results of operations and prospects.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We currently rely on a license from a third party, and in the future may rely on additional licenses from other third parties, in relation to our technologies and products, including the Proteograph Product Suite and if we lose any of these licenses, then we may be subjected to future litigation.</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and may in the future become, a party to license agreements that grant us rights to use certain intellectual property, including patents and patent applications, typically in certain specified fields of use. Currently, we rely on an in-license from The Brigham and Women’s Hospital, Inc. (BWH), for patents, for example, relating to methods of using nanoparticles to measure the proteome, including the methods used in the Proteograph Product Suite and may in the future rely on licenses from other third parties with respect to our products, including the Proteograph Product Suite, or other technology. Our rights to use licensed technology in our business are subject to the continuation of and compliance with the terms of the BWH license and any licenses we may enter into in the future. Some of these licensed rights provide us with freedom to operate for aspects of our products and technologies. As a result, any termination of this license could result in the loss of significant rights and could harm our ability to develop, manufacture and commercialize our products, including the Proteograph Product Suite. We may need to obtain additional licenses from others to advance our research, development and commercialization activities. For instance, under our license agreement with BWH, we currently in-license a patent family which includes methods used in the Proteograph Product Suite, and to the extent any additional intellectual property developed by BWH that are not included in such licensed patent families are necessary or useful for the Proteograph Product Suite or any other product or technology, we would need to negotiate for additional licenses to such additional intellectual property. Such licenses may not be available on commercially reasonable terms or at all, or may be non-exclusive, in which case third parties, including our competitors, could use the same licensed intellectual property to compete </w:t>
      </w: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692265" cy="146685"/>
                <wp:effectExtent l="0" t="0" r="0" b="0"/>
                <wp:wrapNone/>
                <wp:docPr id="61" name="Frame6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before="0" w:after="18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with us. Any of the foregoing could have a material adverse effect on our business, financial condition, results of operation or prospects.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Our success may depend in part on the ability of our licensor and any future licensors to obtain, maintain and enforce patent protection for our licensed intellectual property. Under our license agreement with BWH and under any licenses we may enter into in the future, BWH controls, and future licensors may control, the prosecution, maintenance and enforcement of patents and patent applications that are licensed to us. BWH or any future licensors may not successfully prosecute the patent applications we license or prosecute such patent applications in our best interest. Even if patents issue in respect of these patent applications, BWH and any future licensors may fail to maintain these patents, may determine not to pursue litigation against other companies that are infringing these patents or may pursue such litigation less aggressively than we would. Without protection for the intellectual property we license, other companies might be able to offer substantially identical products and technologies for sale, which could materially adversely affect our competitive business position and harm our business prospects, financial condition or results of operations.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If we fail to comply with our obligations under any license, collaboration or other agreements, we may be required to pay damages and could lose intellectual property rights necessary for developing and protecting our technologies and products, including the Proteograph Product Suite, or we could lose certain rights to grant sublicenses.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Future agreements may impose, and our current license agreement imposes, various diligence, commercialization, funding, milestone payment, royalty, sublicensing, insurance, patent prosecution and enforcement and other obligations on us and require us to meet development timelines, or to exercise commercially reasonable efforts to develop and commercialize licensed products, in order to maintain the licenses. If we fail to comply with any of these obligations, a licensor(s) may have the right to terminate our license and/or we may be required to pay damages, in which event we would not be able to develop or market products or technology covered by the licensed intellectual property. In addition, while we cannot currently determine the amount of any future royalty obligations we would be required to pay on future sales of a licensed product, the amount may be significant. The amount of our future royalty obligations will depend on the technology and intellectual property we use in products we commercialize, if at all. Therefore, even if we successfully develop and commercialize existing or future products, we may be unable to achieve or maintain profitability. Any of the foregoing could have a material adverse effect on our competitive position, business, financial conditions, results of operations and prospects.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Moreover, disputes may also arise between us and our licensor regarding intellectual property subject to a license agreement, including:</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the scope of rights granted under the license agreement and other interpretation-related issues;</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our financial or other obligations under the license agreement;</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whether, and the extent to which, our products, technology and processes infringe on intellectual property of the licensor that is not subject to the licensing agreement;</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our diligence obligations under the license agreement and what activities satisfy those diligence obligations;</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the inventorship and ownership of inventions and know-how resulting from the joint creation or use of intellectual property by our licensor(s); and</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the priority of invention of patented technology.</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If we do not prevail in such disputes, we may lose any or all of our rights under such license agreements, experience significant delays in the development and commercialization of our products and technologies, or incur liability for damages, any of which could have a material adverse effect on our business, financial condition, results of operations, and prospects.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w:t>
      </w: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692265" cy="146685"/>
                <wp:effectExtent l="0" t="0" r="0" b="0"/>
                <wp:wrapNone/>
                <wp:docPr id="62" name="Frame6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before="0" w:after="18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to receive licenses to a portion of the intellectual property that is subject to our existing licenses and to compete with our products.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In addition, the agreements under which we currently and in the future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any affected products or services, which could have a material adverse effect on our business, financial condition, results of operations and prospects.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Absent the license agreements, we may infringe patents subject to those agreements, and if the license agreements are terminated, we may be subject to litigation by the licensor. Litigation could result in substantial costs to us and distract our management. If we do not prevail, we may be required to pay damages, including treble damages, attorneys’ fees, costs and expenses and royalties or be enjoined from selling our products, including the Proteograph Product Suite, which could adversely affect our ability to offer products or services, our ability to continue operations and our business, financial condition, results of operations and prospects. Any of the foregoing could have a material adverse effect on our competitive position, business, financial conditions, results of operations and prospects.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If we cannot license rights to use technologies on reasonable terms, we may not be able to commercialize new products in the future.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We may identify third-party technology that we may need to license or acquire in order to develop or commercialize our products or technologies, including the Proteograph Product Suite. However, we may be unable to secure such licenses or acquisitions.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 Any of the foregoing could have a material adverse effect on our competitive position, business, financial conditions, results of operations and prospects.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Certain of our in-licensed patents are, and our future owned and in-licensed patents may be, subject to a reservation of rights by one or more third parties, including government march-in rights, that may limit our ability to exclude third parties from commercializing products similar or identical to ours.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our owned and in-licensed patents may be subject to a reservation of rights by one or more third parties. For example, the U.S. government has certain rights, including march-in rights, to patent rights and technology funded by the U.S. government and licensed to us from BWH. When new technologies are developed with government funding, in order to secure ownership of such patent rights, the recipient of such funding is required to comply with certain government regulations, including timely disclosing the inventions claimed in such patent rights to the U.S. government and timely electing title to such inventions, including as set forth in the Bayh-Dole Act of </w:t>
      </w: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692265" cy="146685"/>
                <wp:effectExtent l="0" t="0" r="0" b="0"/>
                <wp:wrapNone/>
                <wp:docPr id="63" name="Frame6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before="0" w:after="18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1980. Any failure to timely elect title to such inventions may provide the U.S. government to, at any time, take title in such inventions. Additionally, the U.S. government generally obtains certain rights in any resulting patents, including a non-exclusive license authorizing the government to use the invention or to have others use the invention on its behalf. If the government decides to exercise these rights, it is not required to engage us as its contractor in connection with doing so. These rights may permit the U.S. government to disclose our confidential and proprietary information to third parties and to exercise march-in rights to use or allow third parties to use our licensed technology. The U.S.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any of the foregoing rights could have a material adverse effect on our business, financial condition, results of operations and prospects.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Our products contain third-party open source software components and failure to comply with the terms of the underlying open source software licenses could restrict our ability to sell our products and service our customers, or require disclosure of our proprietary software.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Our products contain software licensed by third parties under open source software licenses. Use and distribution of open source software may entail different or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combined works, modifications or derivative works using the open source software,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Although we review our use of open source software to avoid subjecting our proprietary software to conditions we do not intend, the terms of many open source software licenses have not been interpreted by United States courts, and there is a risk that these licenses could be construed in a way that could impose unanticipated conditions or restrictions on our ability to commercialize our products and proprietary software. Moreover, we cannot assure investors that our processes for monitoring and controlling our use of open source software in our products will be effective. If we are held to have breached the terms of an open source software license, we could be subject to damages, required to seek licenses from third parties to continue offering our products on terms that are not economically feasible, to re-engineer our products, to discontinue the sale of our products if re-engineering could not be accomplished on a timely basis, or to make generally available, in source code form, our proprietary code, any of which could materially adversely affect our business, financial condition, results of operations and prospects.</w:t>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692265" cy="146685"/>
                <wp:effectExtent l="0" t="0" r="0" b="0"/>
                <wp:wrapNone/>
                <wp:docPr id="64" name="Frame6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before="0" w:after="180"/>
        <w:rPr/>
      </w:pPr>
      <w:r>
        <w:rPr/>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Intellectual property rights do not necessarily address all potential threats.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others may be able to make products that are similar to products and technologies we may develop or utilize similar technology that are not covered by the claims of the patents that we own or license now or in the future;</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we, or our licensor(s), might not have been the first to make the inventions covered by the issued patent or pending patent application that we license or may own in the future;</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we, or our licensor(s), might not have been the first to file patent applications covering certain of our or their inventions;</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others may independently develop similar or alternative technologies or duplicate any of our technologies without infringing, misappropriating or otherwise violating our owned or licensed intellectual property rights;</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it is possible that our pending patent applications, and our licensed pending patent applications, or those that we may own or license in the future, will not lead to issued patents;</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issued patents that we hold rights to may be held invalid or unenforceable, including as a result of legal challenges by our competitors;</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we, and our licensor(s), may not develop additional proprietary technologies that are patentable;</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the patents of others may harm our business; and</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we may choose not to file a patent for certain trade secrets or know-how, and a third party may subsequently file a patent covering such intellectual property.</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Should any of these events occur, they could materially adversely affect our business, financial condition, results of operations and prospects.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Risks Related to Ownership of Our Class A Common Stock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An active trading market for our Class A common stock may not be sustained.</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our Class A common stock is traded on the Nasdaq Global Select Market under the symbol “SEER,” there is a limited trading history and an active trading market for our Class A common stock may not be sustained. Accordingly, we cannot assure you of your ability to sell your shares of Class A common stock when desired or the prices that you may obtain for your shares. If an active market for our Class A common stock with meaningful </w:t>
      </w: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692265" cy="146685"/>
                <wp:effectExtent l="0" t="0" r="0" b="0"/>
                <wp:wrapNone/>
                <wp:docPr id="65" name="Frame6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before="0" w:after="18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trading volume is not sustained, the market price of our Class A common stock may decline materially and you may not be able to sell your shares.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The market price of our Class A common stock has been and may continue to be volatile.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Some of the factors that may cause the market price of our Class A common stock to fluctuate include, but are not limited to:</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the degree to which our launch and commercialization of our products meets the expectations of securities analysts and investors;</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actual or anticipated fluctuations in our operating results, including fluctuations in our quarterly and annual results;</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revenue being less than anticipated or operating expenses being more than anticipated;</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the failure or discontinuation of any of our product development and research programs;</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changes in the structure or funding of research at academic and research laboratories and institutions, including changes that would affect their ability to purchase our instruments or consumables;</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the success of existing or new competitive businesses or technologies;</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announcements about new research programs or products of our competitors;</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developments or disputes concerning patent applications, issued patents or other proprietary rights;</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the recruitment or departure of key personnel;</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litigation and governmental investigations involving us, our industry or both;</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regulatory or legal developments in the United States and other countries;</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volatility and variations in market conditions in the life sciences technology sector generally, or the proteomics or genomics sectors specifically, including volatility in the stock prices of publicly held companies in our industry;</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investor perceptions of us or our industry;</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the level of expenses related to any of our research and development programs or products;</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actual or anticipated changes in our estimates as to our financial results or development timelines, variations in our financial results or those of companies that are perceived to be similar to us or changes in estimates or recommendations by securities analysts, if any, that cover our Class A common stock or companies that are perceived to be similar to us;</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whether our financial results meet the expectations of securities analysts or investors;</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short-selling strategies that may drive down the price of our Class A common stock;</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the announcement or expectation of additional financing efforts;</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sales of our Class A common stock by us or sales of our Class A common stock or Class B common stock by our insiders or other stockholders, or future stock issuances;</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the perceived solvency of financial institutions with which we have financial deposits or investments in excess of insurance limits;</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general economic, industry and market conditions; and</w:t>
      </w: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692265" cy="146685"/>
                <wp:effectExtent l="0" t="0" r="0" b="0"/>
                <wp:wrapNone/>
                <wp:docPr id="66" name="Frame6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before="0" w:after="180"/>
        <w:rPr/>
      </w:pPr>
      <w:r>
        <w:rPr/>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health epidemics such as the COVID-19 pandemic, natural disasters or major catastrophic events.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Recently, stock markets in general, and the market for life sciences technology companies in particular, have experienced significant price and volume fluctuations that have often been unrelated or disproportionate to changes in the operating performance of the companies whose stock is experiencing those price and volume fluctuations, particularly in light of the current COVID-19 pandemic. Broad market and industry factors may seriously affect the market price of our Class A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 xml:space="preserve">The multi-class structure of our common stock will have the effect of concentrating voting control with certain stockholders and it may depress the trading price of our Class A common stock.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Our Class A common stock, which is our publicly-traded class of stock, has one vote per share, and our Class B common stock has ten votes per share, except as otherwise required by law. Our Class B common stock is held by our founders and early investors. As of May 5, 2023, the holders of our Class B common stock hold in the aggregate 40.4% of the voting power of our capital stock.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the holders of our Class B common stock collectively will continue to control a significant amount of the combined voting power of our common stock and therefore may be able to control matters submitted to our stockholders for approval. This control will limit to the stockholders’ influence over corporate matters for approximately five years following our initial public offering, including the election of directors, amendments of our organizational documents and any sale of the company or other major corporate transaction requiring stockholder approval. This may prevent or discourage unsolicited proposals to acquire the company. Future transfers by holders of Class B common stock will generally result in those shares converting to Class A common stock, subject to limited exceptions, such as certain transfers effected for estate planning purposes where sole dispositive power and exclusive voting control with respect to the shares of Class B common stock is retained by the transferring holder. The Class B common stock will also automatically convert into Class A common stock on December 8, 2025. The conversion of Class B common stock to Class A common stock will have the effect, over time, of increasing the relative voting power of those individual holders of Class B common stock who retain their shares over the long term.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In July 2017, S&amp;P Dow Jones announced that it would no longer admit companies with multiple-class share structures to certain of its indices. Affected indices include the S&amp;P 500, S&amp;P MidCap 400, and S&amp;P SmallCap 600, which together make up the S&amp;P Composite 1500. Our multi-class capital structure may make us ineligible for inclusion in certain indices, and as a result, mutual funds, exchange-traded funds and other investment vehicles that attempt to passively track these indices may not be investing in our stock. It is unclear what effect, if any, exclusion from any indices has had on the valuations of the affected publicly traded companies. It is possible that such policies could depress the valuations of public companies excluded from such indices compared to those of other companies that are included.</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 xml:space="preserve">If industry analysts, including securities analysts do not publish research or reports about our business or if they publish negative evaluations of our Class A common stock, the price of our Class A common stock could decline.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The trading market for our Class A common stock relies in part on the research and reports that industry or securities analysts publish about us or our business. If no or few analysts commence or continue coverage of us, the trading price of our Class A common stock could decrease. If one or more of the analysts covering our business downgrade their evaluations of our Class A common stock, the price of our Class A common stock could decline. If one or more of these analysts cease to cover our Class A common stock, we could lose visibility in the market for our Class A common stock, which in turn could cause the price of our Class A common stock to decline. </w:t>
      </w: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692265" cy="146685"/>
                <wp:effectExtent l="0" t="0" r="0" b="0"/>
                <wp:wrapNone/>
                <wp:docPr id="67" name="Frame6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before="0" w:after="180"/>
        <w:rPr/>
      </w:pPr>
      <w:r>
        <w:rPr/>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 xml:space="preserve">Sales of a substantial number of shares of our Class A common stock by our existing stockholders could cause the price of our Class A common stock to decline.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Sales of a substantial number of shares of our Class A common stock in the public market could occur at any time and the perception in the market that the holders of a large number of shares of Class A common stock intend to sell shares could reduce the market price of our Class A common stock. Shares issued upon the exercise of stock options outstanding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 of 1933, as amended, or the Securities Act.</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We have not paid dividends in the past and do not expect to pay dividends in the future, and, as a result, any return on investment may be limited to the value of our stock.</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You should not rely on an investment in our Class A common stock to provide dividend income. We do not anticipate that we will pay any dividends to holders of our Class A common stock in the foreseeable future. Instead, we plan to retain any earnings to maintain and expand our existing operations, fund our research and development programs and continue to invest in our commercial infrastructure. In addition, any future credit facility or financing we obtain may contain terms prohibiting or limiting the amount of dividends that may be declared or paid on our Class A common stock. Accordingly, investors must rely on sales of their Class A common stock after price appreciation, which may never occur, as the only way to realize any return on their investment. As a result, investors seeking cash dividends should not purchase our Class A common stock.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Our amended and restated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specifies that, unless we consent in writing to the selection of an alternative forum, the sole and exclusive forum for (a) any derivative action or proceeding brought on our behalf, (b) any action asserting a claim of breach of a fiduciary duty owed by any of our current or former directors, stockholders, officers, or other employees to us or our stockholders, (c) any action or proceeding asserting a claim arising pursuant to, or seeking to enforce any right, obligation or remedy under, any provision of the Delaware General Corporation Law, our amended and restated certificate of incorporation, or our amended and restated bylaws, (d) any action or proceeding as to which the Delaware General Corporation Law confers jurisdiction on the Court of Chancery of the State of Delaware, or (e) any action or proceeding asserting a claim that is governed by the internal affairs doctrine shall be the Court of Chancery of the State of Delaware (or, if the Court of Chancery does not have jurisdiction, another state court in Delaware or, if no state court in Delaware has jurisdiction, the federal district court for the District of Delaware) and any appellate court therefrom, in all cases subject to the court having jurisdiction over the claims at issue and the indispensable parties; provided that the exclusive forum provision will not apply to suits brought to enforce any liability or duty created by the Exchange Act.</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Section 22 of the Securities Act of 1933, as amended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the federal district courts of the United States of America will be the exclusive forum for resolving any complaint asserting a cause of action arising under the Securities Act.</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t>
      </w: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692265" cy="146685"/>
                <wp:effectExtent l="0" t="0" r="0" b="0"/>
                <wp:wrapNone/>
                <wp:docPr id="68" name="Frame6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before="0" w:after="18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with us or any of our directors, officers, stockholders, or other employees, which may discourage lawsuits with respect to such claims against us and our current and former directors, officers, stockholders, or other employees. Our stockholders will not be deemed to have waived our compliance with the federal securities laws and the rules and regulations thereunder as a result of our exclusive forum provisions. Further, in the event a court finds either exclusive forum provision contained in our amended and restated bylaws to be unenforceable or inapplicable in an action, we may incur additional costs associated with resolving such action in other jurisdictions, which could harm our results of operations.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 xml:space="preserve">Delaware law and provisions in our amended and restated certificate of incorporation and amended and restated bylaws might discourage, delay or prevent a change in control of our company or changes in our management and, therefore, depress the trading price of our Class A common stock.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restated certificate of incorporation and restated bylaws contain provisions that may make the acquisition of our company more difficult, including the following: </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any transaction that would result in a change in control of our company requires the approval of a majority of our outstanding Class B common stock voting as a separate class;</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our multi-class common stock structure provides our holders of Class B common stock with the ability to significantly influence the outcome of matters requiring stockholder approval, even if they own significantly less than a majority of the shares of our outstanding Class A common stock and Class B common stock;</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our board of directors is classified into three classes of directors with staggered three-year terms and directors will only be able to be removed from office for cause by the affirmative vote of holders of at least two-thirds of the voting power of our then outstanding capital stock;</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certain amendments to our amended and restated certificate of incorporation require the approval of stockholders holding two-thirds of the voting power of our then outstanding capital stock;</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any stockholder-proposed amendment to our amended and restated bylaws require the approval of stockholders holding two-thirds of the voting power of our then outstanding capital stock;</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our stockholders may only be able to take action at a meeting of stockholders and may not be able to take action by written consent for any matter;</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our stockholders are able to act by written consent only if the action is first recommended or approved by the board of directors;</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vacancies on our board of directors may be filled only by our board of directors and not by stockholders;</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only the chair of the board of directors, chief executive officer or a majority of the board of directors are authorized to call a special meeting of stockholders;</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certain litigation against us can only be brought in Delaware;</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our restated certificate of incorporation authorizes undesignated preferred stock, the terms of which may be established and shares of which may be issued, without the approval of the holders of our capital stock; and</w:t>
      </w:r>
    </w:p>
    <w:p>
      <w:pPr>
        <w:pStyle w:val="TextBody"/>
        <w:spacing w:lineRule="auto" w:line="288" w:before="0" w:after="180"/>
        <w:ind w:left="0" w:right="0" w:hanging="720"/>
        <w:rPr/>
      </w:pPr>
      <w:r>
        <w:rPr>
          <w:color w:val="000000"/>
        </w:rPr>
        <w:t>•</w:t>
      </w:r>
      <w:r>
        <w:rPr>
          <w:rFonts w:ascii="Times New Roman;sans-serif" w:hAnsi="Times New Roman;sans-serif"/>
          <w:b w:val="false"/>
          <w:color w:val="000000"/>
          <w:sz w:val="20"/>
        </w:rPr>
        <w:t>advance notice procedures apply for stockholders to nominate candidates for election as directors or to bring matters before an annual meeting of stockholders.</w:t>
      </w: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692265" cy="146685"/>
                <wp:effectExtent l="0" t="0" r="0" b="0"/>
                <wp:wrapNone/>
                <wp:docPr id="69" name="Frame6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v:rect>
            </w:pict>
          </mc:Fallback>
        </mc:AlternateContent>
      </w:r>
    </w:p>
    <w:p>
      <w:pPr>
        <w:pStyle w:val="TextBody"/>
        <w:spacing w:before="0" w:after="18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Our ability to use net operating losses to offset future taxable income may be subject to certain limitations, and changes to U.S. tax laws may cause us to make adjustments to our financial statements.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As of December 31, 2022, we had U.S. federal and state net operating loss carryforwards (NOLs) of $119.4 million and $122.5 million, respectively, which if not utilized will expire in 2035 for state purposes. We may use these NOLs to offset against taxable income for U.S. federal and state income tax purposes. However, Section 382 of the Internal Revenue Code of 1986, as amended, may limit the NOLs we may use in any year for U.S. federal income tax purposes in the event of certain changes in ownership of our company. A Section 382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not conducted a 382 study to determine whether the use of our NOLs is impaired. We may have previously undergone multiple “ownership changes.” In addition, future issuances or sales of our stock, including certain transactions involving our stock that are outside of our control, could result in future “ownership changes.” “Ownership changes” that have occurred in the past or that may occur in the future could result in the imposition of an annual limit on the amount of pre-ownership change NOLs and other tax attributes we can use to reduce our taxable income, potentially increasing and accelerating our liability for income taxes, and also potentially causing those tax attributes to expire unused. States may impose other limitations on the use of our NOLs. Any changes in U.S. tax laws or limitations on using NOLs could, depending on the extent of such limitation and the NOLs previously used, result in our retaining less cash after payment of U.S. federal and state income taxes during any year in which we have taxable income, rather than losses, than we would be entitled to retain if such NOLs were available as an offset against such income for U.S. federal and state income tax reporting purposes, which could adversely impact our operating results.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We continue to incur significant increased costs and management resources as a result of operating as a public company.</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As a public company, we continue to incur significant legal, accounting, compliance, insurance and other expenses that we did not incur as a private company. Our management and other personnel need to devote a substantial amount of time and incur significant expense in connection with compliance initiatives. As a public company, we continue to bear all of the internal and external costs of preparing and distributing periodic public reports in compliance with our obligations under the securities laws.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In addition, regulations and standards relating to corporate governance and public disclosure, including SOX, and the related rules and regulations implemented by the SEC and the Nasdaq Stock Market, LLC (Nasdaq) have increased legal and financial compliance costs and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692265" cy="146685"/>
                <wp:effectExtent l="0" t="0" r="0" b="0"/>
                <wp:wrapNone/>
                <wp:docPr id="70" name="Frame7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v:rect>
            </w:pict>
          </mc:Fallback>
        </mc:AlternateContent>
      </w:r>
    </w:p>
    <w:p>
      <w:pPr>
        <w:pStyle w:val="TextBody"/>
        <w:spacing w:before="0" w:after="180"/>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General Risks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Environmental, social, and governance (ESG) matters are subject to increasing scrutiny and evolving expectations from customers, regulators, investors and other stakeholders and may expose us to reputational, cost and other risks.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Companies across all industries are subject to increasing scrutiny and evolving expectations regarding ESG matters. In particular, customers, regulators, investors and other stakeholders are increasingly focusing on environmental issues, including climate change, energy use, industrial waste, and other sustainability concerns. Failure to implement sufficient standards and practices for responsible corporate citizenship, support for local communities, employee diversity and human capital management, health and safety practices, supply chain management, and corporate governance can increase our costs of production, decrease our revenue, and negatively affect our reputation, employee retention, and the general willingness of customers and suppliers to do business with us and investors to invest in us. If we do not adapt to or comply with evolving ESG standards and regulations, the resulting consequences could have a material adverse effect on our reputation, business and financial condition.</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 xml:space="preserve">If our facilities or our third-party manufacturers’ facilities become unavailable or inoperable, our research and development program and commercialization plan could be adversely impacted and manufacturing of our instruments and consumables could be interrupted.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Our Redwood City, California, facilities house our corporate, research and development, NP manufacturing and quality assurance teams. Our instruments are manufactured at our third-party manufacturer’s facilities in Nevada, and our consumables are manufactured at various locations in the United States and internationally.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Our facilities in Redwood City and those of our third-party manufacturers are vulnerable to natural disasters, public health crises, including the impact of health epidemics such as the COVID-19 pandemic, climate change and catastrophic events. For example, our Redwood City facilities are located near earthquake fault zones and are vulnerable to damage from earthquakes as well as other types of disasters, including fires, wildfires, floods, power loss, communications failures and similar events. If any disaster, public health crisis or catastrophic event were to occur, our ability to operate our business would be seriously, or potentially completely, impaired. If our facilities or our third-party manufacturer’s facilities become unavailable for any reason, we cannot provide assurances that we will be able to secure alternative manufacturing facilities with the necessary capabilities and equipment on acceptable terms, if at all. We may encounter particular difficulties in replacing our Redwood City facilities given the specialized equipment housed within it. The inability to manufacture our instruments or consumables, combined with our limited inventory of manufactured instruments and consumables, may result in the loss of future customers or harm our reputation, and we may be unable to re-establish relationships with those customers in the future. Because some of our NPs are perishable and must be kept in temperature controlled storage, the loss of power to our facilities, mechanical or other issues with our storage facilities or other events that impact our temperature controlled storage could result in the loss of some or all of such NPs, and we may not be able to replace them without disruption to our customers or at all.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If our research and development program or commercialization program were disrupted by a disaster or catastrophe, the launch of new products, including the Proteograph Product Suite, and the timing of improvements to our products could be significantly delayed and could adversely impact our ability to compete with other available products and solutions. If our or our third-party manufacturer’s capabilities are impaired, we may not be able to manufacture and ship our products in a timely manner, which would adversely impact our business. Although we possess insurance for damage to our property and the disruption of our business, and self-insure for earthquake risk, this insurance may not be sufficient to cover all of our potential losses and may not continue to be available to us on acceptable terms, or at all.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 xml:space="preserve">If we, or our vendors, partners or customers, experience a significant disruption in our information technology systems or breaches of data security, our business could be adversely affected.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or will rely, on information technology systems to keep financial records, facilitate our research and development initiatives, manage our manufacturing operations, maintain quality control, fulfill customer orders, maintain corporate records, communicate with staff and external parties and operate other critical functions. Our </w:t>
      </w: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692265" cy="146685"/>
                <wp:effectExtent l="0" t="0" r="0" b="0"/>
                <wp:wrapNone/>
                <wp:docPr id="71" name="Frame7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v:rect>
            </w:pict>
          </mc:Fallback>
        </mc:AlternateContent>
      </w:r>
    </w:p>
    <w:p>
      <w:pPr>
        <w:pStyle w:val="TextBody"/>
        <w:spacing w:before="0" w:after="18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information technology systems and those of our vendors, partners and customers are potentially vulnerable to disruption due to breakdown, malicious intrusion and computer viruses or other disruptive events, including, but not limited to, natural disasters and catastrophes. Cyberattacks (including denial of service, ransomware, and other attacks) and other malicious internet-based activity continue to increase and cloud-based platform providers of services have been and are expected to continue to be targeted. Methods of attacks on information technology systems and data security breaches change frequently, are increasingly complex and sophisticated, including social engineering and phishing scams, and can originate from a wide variety of sources. In addition to traditional computer “hackers,” malicious code, such as viruses and worms, employee theft or misuse, denial-of-service attacks and sophisticated nation-state and nation-state supported actors now engage in attacks, including advanced persistent threat intrusions. Despite our efforts to create security barriers to such threats, it is virtually impossible for us to entirely mitigate these risks. In addition, we have not finalized our information technology and data security procedures and therefore, our information technology systems may be more susceptible to cybersecurity attacks than if such security procedures were finalized. Despite any of our current or future efforts to protect against cybersecurity attacks and data security breaches, there is no guarantee that our efforts are adequate to safeguard against all such attacks and breaches. Moreover, it is possible that we may not be able to anticipate, detect, appropriately react and respond to, or implement effective preventative measures against, all cybersecurity incidents. In addition, our information technology strategy encompasses multi-vendor, multi-cloud infrastructure, systems and applications. We have a shared responsibility model with our information technology vendors and rely on their security measures and controls. We have not conducted a comprehensive evaluation of all vendors to understand their security postures.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If our security measures, or those of our vendors, partners and customers, are compromised due to any cybersecurity attacks or data security breaches, including as a result of third-party action, employee or customer error, malfeasance, stolen or fraudulently obtained log-in credentials or otherwise, our reputation could be damaged, our business and reputation may be harmed, we could become subject to litigation and we could incur significant liability. If we were to lose data or experience a prolonged system disruption in our information technology systems or those of certain of our vendors and partners, it could negatively impact our ability to serve our customers, which could adversely impact our business, financial condition, results of operations and prospects. If operations at our facilities were disrupted, it may cause a material disruption in our business if we are not capable of restoring functionality on an acceptable timeframe.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our information technology systems, and those of our vendors, partners and customers, are potentially vulnerable to data security breaches, whether by internal bad actors, such as employees or other third parties with legitimate access to our or our third-party providers’ systems, or external bad actors, which could lead to the loss or exposure of personal data, sensitive data and confidential information to unauthorized persons. Any such data security breaches could lead to the loss of trade secrets or other intellectual property, the exposure of personal information, including sensitive personal information, of our employees, customers and others, or could prevent us from accessing critical information, any of which could expose us to liability and have a material adverse effect on our business, reputation, financial condition and results of operations. Moreover, due to the inherent features and technical limitations of information technology systems and infrastructure, our products and services may be impacted by cyberattacks or other disruptions, including efforts to penetrate our customers’ network security, sabotage or otherwise disable our instruments and services, including instruments at our customers’ sites, misappropriate our customers’ proprietary information, or cause interruptions of our or our customers’ internal operations, systems and services. Any such breach could compromise our customers’ networks and the information stored there could be accessed, publicly disclosed, lost or stolen.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any such access, disclosure or other loss or unauthorized use of information or data could result in legal claims or proceedings, regulatory investigations or actions, and other types of liability under laws that protect the privacy and security of personal information, including federal, state and foreign data protection and privacy regulations, violations of which could result in significant penalties and fines. Additionally, a new privacy law, the California Privacy Rights Act (CPRA), went into effect on January 1, 2023. The CPRA modifies the California Consumer Privacy Act (CCPA) significantly, potentially resulting in further uncertainty and requiring us to incur additional costs and expenses in an effort to comply. The CPRA restricts use of certain categories of sensitive personal information that we may handle, establish restrictions on the retention of personal information, expand the </w:t>
      </w: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692265" cy="146685"/>
                <wp:effectExtent l="0" t="0" r="0" b="0"/>
                <wp:wrapNone/>
                <wp:docPr id="72" name="Frame7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v:rect>
            </w:pict>
          </mc:Fallback>
        </mc:AlternateContent>
      </w:r>
    </w:p>
    <w:p>
      <w:pPr>
        <w:pStyle w:val="TextBody"/>
        <w:spacing w:before="0" w:after="18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types of data breaches subject to the private right of action, and establish the California Privacy Protection Agency to implement and enforce the new law and impose administrative fines. Additional compliance investment and potential business process changes will likely be required. Similar laws have been proposed in other states and at the federal level, reflecting a trend toward more stringent data privacy and security legislation in the United States. For example, on March 2, 2021, Virginia enacted the Virginia Consumer Data Protection Act, or CDPA, which took effect on January 1, 2023, on June 8, 2021, Colorado enacted the Colorado Privacy Act, or CPA, which takes effect on July 1, 2023, and on March 24, 2022, Utah enacted the Utah Consumer Privacy Act, or UCPA, which takes effect on December 31, 2023; and on May 10, 2022, Connecticut enacted the Connecticut Data Privacy Act, or CTDPA, which takes effect on July 1, 2023. The CPA, CDPA, UCPA, and CTDPA share similarities with and differences from the CPRA and legislation proposed in other states. Aspects of these state privacy statutes remain unclear, resulting in further uncertainty and potentially requiring us to modify our data practices and policies and to incur substantial additional costs and expenses in an effort to comply. In addition, U.S. and international laws and regulations that have been applied to protect user privacy (including laws regarding unfair and deceptive practices in the U.S. and GDPR in the EU) may be subject to evolving interpretations or applications. Furthermore, defending a suit, regardless of its merit, could be costly, divert management’s attention and harm our reputation. In addition, although we seek to detect and investigate all data security incidents, security breaches and other incidents of unauthorized access to our information technology systems and data can be difficult to detect and any delay in identifying such breaches or incidents may lead to increased harm and legal exposure of the type described above. Moreover, there could be public announcements regarding any cybersecurity incidents and any steps we take to respond to or remediate such incidents, and if securities analysts or investors perceive these announcements to be negative, it could, among other things, have a material adverse effect on the price of our Class A common stock.</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The cost of protecting against, investigating, mitigating and responding to potential breaches of our information technology systems and data security breaches and complying with applicable breach notification obligations to individuals, regulators, partners and others can be significant. As cybersecurity incidents continue to evolve, we may 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 financial condition, results of operations and prospects. Our insurance policies may not be adequate to compensate us for the potential costs and other losses arising from such disruptions, failures or security breaches. In addition, such insurance may not be available to us in the future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results of operations and prospects.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We are currently subject to, and may in the future become subject to additional international and U.S. federal and state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our business, we currently, and in the future will, collect, store, transfer, use or process sensitive data, including personally identifiable information of employees, and intellectual property and proprietary business information owned or controlled by ourselves and other parties. The secure processing, storage, maintenance, and transmission of this critical information are vital to our operations and business strategy. We are, and may increasingly become, subject to various international and domestic laws and regulation relating to data privacy and security in the jurisdictions in which we operate. We also may be subject to contractual obligations and may be, or may be asserted to be, subject to industry standards relating to privacy and data security.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692265" cy="146685"/>
                <wp:effectExtent l="0" t="0" r="0" b="0"/>
                <wp:wrapNone/>
                <wp:docPr id="73" name="Frame7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v:rect>
            </w:pict>
          </mc:Fallback>
        </mc:AlternateContent>
      </w:r>
    </w:p>
    <w:p>
      <w:pPr>
        <w:pStyle w:val="TextBody"/>
        <w:spacing w:before="0" w:after="18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CCPA, which increases privacy rights for California residents and imposes obligations on companies that process their personal information, came into effect on January 1, 2020, and the CPRA, which increases such rights and responsibilities, came into effect on January 1, 2023.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Furthermore, regulations promulgated pursuant to the Health Insurance Portability and Accountability Act of 1996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the HIPAA, the Health Information Technology for Economic and Clinical Health Act (HITECH),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We are in the process of evaluating compliance needs, but do not currently have in place formal policies and procedures related to the storage, collection and processing of information, and have not conducted any internal or external data privacy audits, to ensure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or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Item 2. Unregistered Sales of Equity Securities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692265" cy="146685"/>
                <wp:effectExtent l="0" t="0" r="0" b="0"/>
                <wp:wrapNone/>
                <wp:docPr id="74" name="Frame7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v:rect>
            </w:pict>
          </mc:Fallback>
        </mc:AlternateContent>
      </w:r>
    </w:p>
    <w:p>
      <w:pPr>
        <w:pStyle w:val="TextBody"/>
        <w:spacing w:before="0" w:after="180"/>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Item 4. Mine Safety Disclosure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On May 9, 2023, the Company announced that Scott Thomas, the Company’s Chief Commercial Officer, will be transitioning out of company in July 2023.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692265" cy="146685"/>
                <wp:effectExtent l="0" t="0" r="0" b="0"/>
                <wp:wrapNone/>
                <wp:docPr id="75" name="Frame7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v:rect>
            </w:pict>
          </mc:Fallback>
        </mc:AlternateContent>
      </w:r>
    </w:p>
    <w:p>
      <w:pPr>
        <w:pStyle w:val="TextBody"/>
        <w:spacing w:before="0" w:after="18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539" w:type="dxa"/>
        <w:jc w:val="left"/>
        <w:tblInd w:w="0" w:type="dxa"/>
        <w:tblCellMar>
          <w:top w:w="28" w:type="dxa"/>
          <w:left w:w="28" w:type="dxa"/>
          <w:bottom w:w="28" w:type="dxa"/>
          <w:right w:w="28" w:type="dxa"/>
        </w:tblCellMar>
      </w:tblPr>
      <w:tblGrid>
        <w:gridCol w:w="318"/>
        <w:gridCol w:w="281"/>
        <w:gridCol w:w="282"/>
        <w:gridCol w:w="109"/>
        <w:gridCol w:w="109"/>
        <w:gridCol w:w="109"/>
        <w:gridCol w:w="2050"/>
        <w:gridCol w:w="1988"/>
        <w:gridCol w:w="2008"/>
        <w:gridCol w:w="170"/>
        <w:gridCol w:w="170"/>
        <w:gridCol w:w="171"/>
        <w:gridCol w:w="109"/>
        <w:gridCol w:w="109"/>
        <w:gridCol w:w="109"/>
        <w:gridCol w:w="155"/>
        <w:gridCol w:w="155"/>
        <w:gridCol w:w="156"/>
        <w:gridCol w:w="109"/>
        <w:gridCol w:w="109"/>
        <w:gridCol w:w="109"/>
        <w:gridCol w:w="210"/>
        <w:gridCol w:w="210"/>
        <w:gridCol w:w="211"/>
        <w:gridCol w:w="109"/>
        <w:gridCol w:w="109"/>
        <w:gridCol w:w="109"/>
        <w:gridCol w:w="202"/>
        <w:gridCol w:w="202"/>
        <w:gridCol w:w="292"/>
      </w:tblGrid>
      <w:tr>
        <w:trPr/>
        <w:tc>
          <w:tcPr>
            <w:tcW w:w="318"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0" w:type="dxa"/>
            <w:tcBorders/>
            <w:shd w:fill="auto" w:val="clear"/>
            <w:vAlign w:val="center"/>
          </w:tcPr>
          <w:p>
            <w:pPr>
              <w:pStyle w:val="TableContents"/>
              <w:spacing w:before="0" w:after="283"/>
              <w:rPr>
                <w:sz w:val="4"/>
                <w:szCs w:val="4"/>
              </w:rPr>
            </w:pPr>
            <w:r>
              <w:rPr>
                <w:sz w:val="4"/>
                <w:szCs w:val="4"/>
              </w:rPr>
            </w:r>
          </w:p>
        </w:tc>
        <w:tc>
          <w:tcPr>
            <w:tcW w:w="1988" w:type="dxa"/>
            <w:tcBorders/>
            <w:shd w:fill="auto" w:val="clear"/>
            <w:vAlign w:val="center"/>
          </w:tcPr>
          <w:p>
            <w:pPr>
              <w:pStyle w:val="TableContents"/>
              <w:spacing w:before="0" w:after="283"/>
              <w:rPr>
                <w:sz w:val="4"/>
                <w:szCs w:val="4"/>
              </w:rPr>
            </w:pPr>
            <w:r>
              <w:rPr>
                <w:sz w:val="4"/>
                <w:szCs w:val="4"/>
              </w:rPr>
            </w:r>
          </w:p>
        </w:tc>
        <w:tc>
          <w:tcPr>
            <w:tcW w:w="200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r>
      <w:tr>
        <w:trPr/>
        <w:tc>
          <w:tcPr>
            <w:tcW w:w="88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 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5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r>
      <w:tr>
        <w:trPr/>
        <w:tc>
          <w:tcPr>
            <w:tcW w:w="8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6" w:type="dxa"/>
            <w:gridSpan w:val="3"/>
            <w:tcBorders/>
            <w:shd w:fill="auto" w:val="clear"/>
            <w:tcMar>
              <w:top w:w="0" w:type="dxa"/>
              <w:left w:w="0" w:type="dxa"/>
              <w:bottom w:w="0" w:type="dxa"/>
              <w:right w:w="0" w:type="dxa"/>
            </w:tcMar>
            <w:vAlign w:val="center"/>
          </w:tcPr>
          <w:p>
            <w:pPr>
              <w:pStyle w:val="TableContents"/>
              <w:spacing w:lineRule="auto" w:line="288" w:before="0" w:after="180"/>
              <w:jc w:val="left"/>
              <w:rPr/>
            </w:pPr>
            <w:hyperlink w:anchor="outsidedirectorcompensatio.htm">
              <w:r>
                <w:rPr>
                  <w:rStyle w:val="InternetLink"/>
                  <w:rFonts w:ascii="Times New Roman;sans-serif" w:hAnsi="Times New Roman;sans-serif"/>
                  <w:b w:val="false"/>
                  <w:color w:val="0000FF"/>
                  <w:sz w:val="19"/>
                  <w:u w:val="single"/>
                </w:rPr>
                <w:t>Outside Director Compensation Policy (as amended on February 16, 2023)</w:t>
              </w:r>
            </w:hyperlink>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6" w:type="dxa"/>
            <w:gridSpan w:val="3"/>
            <w:tcBorders/>
            <w:shd w:fill="auto" w:val="clear"/>
            <w:tcMar>
              <w:top w:w="0" w:type="dxa"/>
              <w:left w:w="0" w:type="dxa"/>
              <w:bottom w:w="0" w:type="dxa"/>
              <w:right w:w="0" w:type="dxa"/>
            </w:tcMar>
            <w:vAlign w:val="center"/>
          </w:tcPr>
          <w:p>
            <w:pPr>
              <w:pStyle w:val="TableContents"/>
              <w:spacing w:lineRule="auto" w:line="288" w:before="0" w:after="180"/>
              <w:jc w:val="left"/>
              <w:rPr/>
            </w:pPr>
            <w:hyperlink w:anchor="a311ceo-certificationpursu.htm">
              <w:r>
                <w:rPr>
                  <w:rStyle w:val="InternetLink"/>
                  <w:rFonts w:ascii="Times New Roman;sans-serif" w:hAnsi="Times New Roman;sans-serif"/>
                  <w:b w:val="false"/>
                  <w:color w:val="0000FF"/>
                  <w:sz w:val="19"/>
                  <w:u w:val="single"/>
                </w:rPr>
                <w:t>Certification of Principal Executive Officer Pursuant to Rules 13a-14(a) and 15d-14(a) under the Securities Exchange Act of 1934, as Adopted Pursuant to Section 302 of the Sarbanes-Oxley Act of 2002.</w:t>
              </w:r>
            </w:hyperlink>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6" w:type="dxa"/>
            <w:gridSpan w:val="3"/>
            <w:tcBorders/>
            <w:shd w:fill="auto" w:val="clear"/>
            <w:tcMar>
              <w:top w:w="0" w:type="dxa"/>
              <w:left w:w="0" w:type="dxa"/>
              <w:bottom w:w="0" w:type="dxa"/>
              <w:right w:w="0" w:type="dxa"/>
            </w:tcMar>
            <w:vAlign w:val="center"/>
          </w:tcPr>
          <w:p>
            <w:pPr>
              <w:pStyle w:val="TableContents"/>
              <w:spacing w:lineRule="auto" w:line="288" w:before="0" w:after="180"/>
              <w:jc w:val="left"/>
              <w:rPr/>
            </w:pPr>
            <w:hyperlink w:anchor="a312cfo-certificationpursu.htm">
              <w:r>
                <w:rPr>
                  <w:rStyle w:val="InternetLink"/>
                  <w:rFonts w:ascii="Times New Roman;sans-serif" w:hAnsi="Times New Roman;sans-serif"/>
                  <w:b w:val="false"/>
                  <w:color w:val="0000FF"/>
                  <w:sz w:val="19"/>
                  <w:u w:val="single"/>
                </w:rPr>
                <w:t>Certification of Principal Financial Officer Pursuant to Rules 13a-14(a) and 15d-14(a) under the Securities Exchange Act of 1934, as Adopted Pursuant to Section 302 of the Sarbanes-Oxley Act of 2002.</w:t>
              </w:r>
            </w:hyperlink>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32.1†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6" w:type="dxa"/>
            <w:gridSpan w:val="3"/>
            <w:tcBorders/>
            <w:shd w:fill="auto" w:val="clear"/>
            <w:tcMar>
              <w:top w:w="0" w:type="dxa"/>
              <w:left w:w="0" w:type="dxa"/>
              <w:bottom w:w="0" w:type="dxa"/>
              <w:right w:w="0" w:type="dxa"/>
            </w:tcMar>
            <w:vAlign w:val="center"/>
          </w:tcPr>
          <w:p>
            <w:pPr>
              <w:pStyle w:val="TableContents"/>
              <w:spacing w:lineRule="auto" w:line="288" w:before="0" w:after="180"/>
              <w:jc w:val="left"/>
              <w:rPr/>
            </w:pPr>
            <w:hyperlink w:anchor="a321ceo-certificationpursu.htm">
              <w:r>
                <w:rPr>
                  <w:rStyle w:val="InternetLink"/>
                  <w:rFonts w:ascii="Times New Roman;sans-serif" w:hAnsi="Times New Roman;sans-serif"/>
                  <w:b w:val="false"/>
                  <w:color w:val="0000FF"/>
                  <w:sz w:val="19"/>
                  <w:u w:val="single"/>
                </w:rPr>
                <w:t>Certification of Principal Executive Officer Pursuant to 18 U.S.C. Section 1350, as Adopted Pursuant to Section 906 of the Sarbanes-Oxley Act of 2002.</w:t>
              </w:r>
            </w:hyperlink>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32.2†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6" w:type="dxa"/>
            <w:gridSpan w:val="3"/>
            <w:tcBorders/>
            <w:shd w:fill="auto" w:val="clear"/>
            <w:tcMar>
              <w:top w:w="0" w:type="dxa"/>
              <w:left w:w="0" w:type="dxa"/>
              <w:bottom w:w="0" w:type="dxa"/>
              <w:right w:w="0" w:type="dxa"/>
            </w:tcMar>
            <w:vAlign w:val="center"/>
          </w:tcPr>
          <w:p>
            <w:pPr>
              <w:pStyle w:val="TableContents"/>
              <w:spacing w:lineRule="auto" w:line="288" w:before="0" w:after="180"/>
              <w:jc w:val="left"/>
              <w:rPr/>
            </w:pPr>
            <w:hyperlink w:anchor="a322cfo-certificationpursu.htm">
              <w:r>
                <w:rPr>
                  <w:rStyle w:val="InternetLink"/>
                  <w:rFonts w:ascii="Times New Roman;sans-serif" w:hAnsi="Times New Roman;sans-serif"/>
                  <w:b w:val="false"/>
                  <w:color w:val="0000FF"/>
                  <w:sz w:val="19"/>
                  <w:u w:val="single"/>
                </w:rPr>
                <w:t>Certification of Principal Financial Officer Pursuant to 18 U.S.C. Section 1350, as Adopted Pursuant to Section 906 of the Sarbanes-Oxley Act of 2002.</w:t>
              </w:r>
            </w:hyperlink>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XBRL Instance Document</w:t>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XBRL Taxonomy Extension Schema Document</w:t>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XBRL Taxonomy Extension Calculation Linkbase Document</w:t>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XBRL Taxonomy Extension Definition Linkbase Document</w:t>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XBRL Taxonomy Extension Label Linkbase Document</w:t>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XBRL Taxonomy Extension Presentation Linkbase Document</w:t>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w:t>
      </w:r>
    </w:p>
    <w:p>
      <w:pPr>
        <w:pStyle w:val="TextBody"/>
        <w:spacing w:lineRule="auto" w:line="288" w:before="0" w:after="0"/>
        <w:ind w:left="0" w:right="0" w:hanging="360"/>
        <w:rPr/>
      </w:pP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16"/>
        </w:rPr>
        <w:t>Indicates management contract or compensatory plan.</w:t>
      </w:r>
    </w:p>
    <w:p>
      <w:pPr>
        <w:pStyle w:val="TextBody"/>
        <w:spacing w:lineRule="auto" w:line="288" w:before="0" w:after="0"/>
        <w:ind w:left="0" w:right="0" w:hanging="360"/>
        <w:rPr>
          <w:color w:val="000000"/>
        </w:rPr>
      </w:pPr>
      <w:r>
        <w:rPr>
          <w:color w:val="000000"/>
        </w:rPr>
        <w:t xml:space="preserve">† </w:t>
      </w:r>
      <w:r>
        <w:rPr>
          <w:rFonts w:ascii="Times New Roman;sans-serif" w:hAnsi="Times New Roman;sans-serif"/>
          <w:b w:val="false"/>
          <w:color w:val="000000"/>
          <w:sz w:val="16"/>
        </w:rPr>
        <w:t>The certifications attached as Exhibit 32.1 and 32.2 that accompany this Quarterly Report on Form 10-Q,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Filed herewith</w:t>
      </w:r>
    </w:p>
    <w:p>
      <w:pPr>
        <w:pStyle w:val="TextBody"/>
        <w:spacing w:before="0" w:after="180"/>
        <w:ind w:left="0" w:right="0" w:hanging="36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692265" cy="146685"/>
                <wp:effectExtent l="0" t="0" r="0" b="0"/>
                <wp:wrapNone/>
                <wp:docPr id="76" name="Frame7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v:rect>
            </w:pict>
          </mc:Fallback>
        </mc:AlternateContent>
      </w:r>
    </w:p>
    <w:p>
      <w:pPr>
        <w:pStyle w:val="TextBody"/>
        <w:spacing w:before="0" w:after="180"/>
        <w:rPr/>
      </w:pPr>
      <w:r>
        <w:rPr/>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report to be signed on its behalf by the undersigned thereunto duly authorized. </w:t>
      </w:r>
    </w:p>
    <w:p>
      <w:pPr>
        <w:pStyle w:val="TextBody"/>
        <w:spacing w:before="0" w:after="180"/>
        <w:rPr/>
      </w:pPr>
      <w:r>
        <w:rPr/>
      </w:r>
    </w:p>
    <w:tbl>
      <w:tblPr>
        <w:tblW w:w="5747" w:type="dxa"/>
        <w:jc w:val="left"/>
        <w:tblInd w:w="0" w:type="dxa"/>
        <w:tblCellMar>
          <w:top w:w="28" w:type="dxa"/>
          <w:left w:w="28" w:type="dxa"/>
          <w:bottom w:w="28" w:type="dxa"/>
          <w:right w:w="28" w:type="dxa"/>
        </w:tblCellMar>
      </w:tblPr>
      <w:tblGrid>
        <w:gridCol w:w="591"/>
        <w:gridCol w:w="520"/>
        <w:gridCol w:w="523"/>
        <w:gridCol w:w="109"/>
        <w:gridCol w:w="109"/>
        <w:gridCol w:w="109"/>
        <w:gridCol w:w="177"/>
        <w:gridCol w:w="177"/>
        <w:gridCol w:w="177"/>
        <w:gridCol w:w="951"/>
        <w:gridCol w:w="951"/>
        <w:gridCol w:w="1353"/>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1353"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6"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SEER, INC.</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Omid Farokhzad, M.D.</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Omid Farokhzad, M.D.</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President and</w:t>
              <w:br/>
              <w:t>Chair of the Board of Directors</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5" w:type="dxa"/>
            <w:gridSpan w:val="3"/>
            <w:tcBorders/>
            <w:shd w:fill="auto" w:val="clear"/>
            <w:tcMar>
              <w:top w:w="0" w:type="dxa"/>
              <w:left w:w="0" w:type="dxa"/>
              <w:bottom w:w="0" w:type="dxa"/>
              <w:right w:w="0" w:type="dxa"/>
            </w:tcMar>
            <w:vAlign w:val="center"/>
          </w:tcPr>
          <w:p>
            <w:pPr>
              <w:pStyle w:val="TableContents"/>
              <w:spacing w:lineRule="auto" w:line="288" w:before="0" w:after="180"/>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Executive Officer</w:t>
            </w:r>
            <w:r>
              <w:rPr>
                <w:rFonts w:ascii="Times New Roman;sans-serif" w:hAnsi="Times New Roman;sans-serif"/>
                <w:b w:val="false"/>
                <w:color w:val="000000"/>
                <w:sz w:val="20"/>
              </w:rPr>
              <w:t>)</w:t>
            </w:r>
          </w:p>
        </w:tc>
      </w:tr>
    </w:tbl>
    <w:p>
      <w:pPr>
        <w:pStyle w:val="TextBody"/>
        <w:spacing w:before="0" w:after="180"/>
        <w:rPr/>
      </w:pPr>
      <w:r>
        <w:rPr/>
      </w:r>
    </w:p>
    <w:tbl>
      <w:tblPr>
        <w:tblW w:w="6850" w:type="dxa"/>
        <w:jc w:val="left"/>
        <w:tblInd w:w="0" w:type="dxa"/>
        <w:tblCellMar>
          <w:top w:w="28" w:type="dxa"/>
          <w:left w:w="28" w:type="dxa"/>
          <w:bottom w:w="28" w:type="dxa"/>
          <w:right w:w="28" w:type="dxa"/>
        </w:tblCellMar>
      </w:tblPr>
      <w:tblGrid>
        <w:gridCol w:w="591"/>
        <w:gridCol w:w="520"/>
        <w:gridCol w:w="523"/>
        <w:gridCol w:w="109"/>
        <w:gridCol w:w="109"/>
        <w:gridCol w:w="109"/>
        <w:gridCol w:w="134"/>
        <w:gridCol w:w="134"/>
        <w:gridCol w:w="136"/>
        <w:gridCol w:w="1306"/>
        <w:gridCol w:w="1306"/>
        <w:gridCol w:w="1873"/>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06" w:type="dxa"/>
            <w:tcBorders/>
            <w:shd w:fill="auto" w:val="clear"/>
            <w:vAlign w:val="center"/>
          </w:tcPr>
          <w:p>
            <w:pPr>
              <w:pStyle w:val="TableContents"/>
              <w:spacing w:before="0" w:after="283"/>
              <w:rPr>
                <w:sz w:val="4"/>
                <w:szCs w:val="4"/>
              </w:rPr>
            </w:pPr>
            <w:r>
              <w:rPr>
                <w:sz w:val="4"/>
                <w:szCs w:val="4"/>
              </w:rPr>
            </w:r>
          </w:p>
        </w:tc>
        <w:tc>
          <w:tcPr>
            <w:tcW w:w="1306" w:type="dxa"/>
            <w:tcBorders/>
            <w:shd w:fill="auto" w:val="clear"/>
            <w:vAlign w:val="center"/>
          </w:tcPr>
          <w:p>
            <w:pPr>
              <w:pStyle w:val="TableContents"/>
              <w:spacing w:before="0" w:after="283"/>
              <w:rPr>
                <w:sz w:val="4"/>
                <w:szCs w:val="4"/>
              </w:rPr>
            </w:pPr>
            <w:r>
              <w:rPr>
                <w:sz w:val="4"/>
                <w:szCs w:val="4"/>
              </w:rPr>
            </w:r>
          </w:p>
        </w:tc>
        <w:tc>
          <w:tcPr>
            <w:tcW w:w="1873"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8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R. Horn</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R. Horn</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5" w:type="dxa"/>
            <w:gridSpan w:val="3"/>
            <w:tcBorders/>
            <w:shd w:fill="auto" w:val="clear"/>
            <w:tcMar>
              <w:top w:w="0" w:type="dxa"/>
              <w:left w:w="0" w:type="dxa"/>
              <w:bottom w:w="0" w:type="dxa"/>
              <w:right w:w="0" w:type="dxa"/>
            </w:tcMar>
            <w:vAlign w:val="center"/>
          </w:tcPr>
          <w:p>
            <w:pPr>
              <w:pStyle w:val="TableContents"/>
              <w:spacing w:lineRule="auto" w:line="288" w:before="0" w:after="180"/>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Financial Officer and Accounting Officer</w:t>
            </w:r>
            <w:r>
              <w:rPr>
                <w:rFonts w:ascii="Times New Roman;sans-serif" w:hAnsi="Times New Roman;sans-serif"/>
                <w:b w:val="false"/>
                <w:color w:val="000000"/>
                <w:sz w:val="20"/>
              </w:rPr>
              <w:t>)</w:t>
            </w:r>
          </w:p>
        </w:tc>
      </w:tr>
    </w:tbl>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firstLine="720"/>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692265" cy="146685"/>
                <wp:effectExtent l="0" t="0" r="0" b="0"/>
                <wp:wrapNone/>
                <wp:docPr id="77" name="Frame7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v:rect>
            </w:pict>
          </mc:Fallback>
        </mc:AlternateContent>
      </w:r>
    </w:p>
    <w:p>
      <w:pPr>
        <w:pStyle w:val="TextBody"/>
        <w:spacing w:lineRule="auto" w:line="240" w:before="240" w:after="283"/>
        <w:jc w:val="center"/>
        <w:rPr>
          <w:rFonts w:ascii="Times New Roman;sans-serif" w:hAnsi="Times New Roman;sans-serif"/>
          <w:b/>
          <w:color w:val="000000"/>
          <w:sz w:val="22"/>
        </w:rPr>
      </w:pPr>
      <w:r>
        <w:rPr>
          <w:rFonts w:ascii="Times New Roman;sans-serif" w:hAnsi="Times New Roman;sans-serif"/>
          <w:b/>
          <w:color w:val="000000"/>
          <w:sz w:val="22"/>
        </w:rPr>
        <w:t>OUTSIDE DIRECTOR COMPENSATION POLICY</w:t>
      </w:r>
    </w:p>
    <w:p>
      <w:pPr>
        <w:pStyle w:val="TextBody"/>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(as most recently amended and restated effective as of </w:t>
      </w:r>
    </w:p>
    <w:p>
      <w:pPr>
        <w:pStyle w:val="TextBody"/>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February 16, 2023 (the “Restatement Date”))</w:t>
      </w:r>
    </w:p>
    <w:p>
      <w:pPr>
        <w:pStyle w:val="TextBody"/>
        <w:spacing w:lineRule="auto" w:line="240" w:before="480" w:after="283"/>
        <w:ind w:left="0" w:right="0" w:firstLine="720"/>
        <w:jc w:val="both"/>
        <w:rPr/>
      </w:pPr>
      <w:r>
        <w:rPr>
          <w:rFonts w:ascii="Times New Roman;sans-serif" w:hAnsi="Times New Roman;sans-serif"/>
          <w:b w:val="false"/>
          <w:color w:val="000000"/>
          <w:sz w:val="22"/>
        </w:rPr>
        <w:t>Seer, Inc. (the “</w:t>
      </w:r>
      <w:r>
        <w:rPr>
          <w:rFonts w:ascii="Times New Roman;sans-serif" w:hAnsi="Times New Roman;sans-serif"/>
          <w:b/>
          <w:color w:val="000000"/>
          <w:sz w:val="22"/>
        </w:rPr>
        <w:t>Company</w:t>
      </w:r>
      <w:r>
        <w:rPr>
          <w:color w:val="000000"/>
        </w:rPr>
        <w:t>”</w:t>
      </w:r>
      <w:r>
        <w:rPr>
          <w:rFonts w:ascii="Times New Roman;sans-serif" w:hAnsi="Times New Roman;sans-serif"/>
          <w:b w:val="false"/>
          <w:color w:val="000000"/>
          <w:sz w:val="22"/>
        </w:rPr>
        <w:t>) believes that the granting of equity and cash compensation to members of the Company’s Board of Directors (the “</w:t>
      </w:r>
      <w:r>
        <w:rPr>
          <w:rFonts w:ascii="Times New Roman;sans-serif" w:hAnsi="Times New Roman;sans-serif"/>
          <w:b/>
          <w:color w:val="000000"/>
          <w:sz w:val="22"/>
        </w:rPr>
        <w:t>Board</w:t>
      </w:r>
      <w:r>
        <w:rPr>
          <w:rFonts w:ascii="Times New Roman;sans-serif" w:hAnsi="Times New Roman;sans-serif"/>
          <w:b w:val="false"/>
          <w:color w:val="000000"/>
          <w:sz w:val="22"/>
        </w:rPr>
        <w:t>,” and members of the Board, “</w:t>
      </w:r>
      <w:r>
        <w:rPr>
          <w:rFonts w:ascii="Times New Roman;sans-serif" w:hAnsi="Times New Roman;sans-serif"/>
          <w:b/>
          <w:color w:val="000000"/>
          <w:sz w:val="22"/>
        </w:rPr>
        <w:t>Directors</w:t>
      </w:r>
      <w:r>
        <w:rPr>
          <w:color w:val="000000"/>
        </w:rPr>
        <w:t>”</w:t>
      </w:r>
      <w:r>
        <w:rPr>
          <w:rFonts w:ascii="Times New Roman;sans-serif" w:hAnsi="Times New Roman;sans-serif"/>
          <w:b w:val="false"/>
          <w:color w:val="000000"/>
          <w:sz w:val="22"/>
        </w:rPr>
        <w:t>) represents an effective tool to attract, retain and reward Directors who are not employees of the Company (“</w:t>
      </w:r>
      <w:r>
        <w:rPr>
          <w:rFonts w:ascii="Times New Roman;sans-serif" w:hAnsi="Times New Roman;sans-serif"/>
          <w:b/>
          <w:color w:val="000000"/>
          <w:sz w:val="22"/>
        </w:rPr>
        <w:t>Outside Directors</w:t>
      </w:r>
      <w:r>
        <w:rPr>
          <w:color w:val="000000"/>
        </w:rPr>
        <w:t>”</w:t>
      </w:r>
      <w:r>
        <w:rPr>
          <w:rFonts w:ascii="Times New Roman;sans-serif" w:hAnsi="Times New Roman;sans-serif"/>
          <w:b w:val="false"/>
          <w:color w:val="000000"/>
          <w:sz w:val="22"/>
        </w:rPr>
        <w:t>). This Outside Director Compensation Policy (the “</w:t>
      </w:r>
      <w:r>
        <w:rPr>
          <w:rFonts w:ascii="Times New Roman;sans-serif" w:hAnsi="Times New Roman;sans-serif"/>
          <w:b/>
          <w:color w:val="000000"/>
          <w:sz w:val="22"/>
        </w:rPr>
        <w:t>Policy</w:t>
      </w:r>
      <w:r>
        <w:rPr>
          <w:color w:val="000000"/>
        </w:rPr>
        <w:t>”</w:t>
      </w:r>
      <w:r>
        <w:rPr>
          <w:rFonts w:ascii="Times New Roman;sans-serif" w:hAnsi="Times New Roman;sans-serif"/>
          <w:b w:val="false"/>
          <w:color w:val="000000"/>
          <w:sz w:val="22"/>
        </w:rPr>
        <w:t>) is intended to formalize the Company’s policy regarding cash compensation and grants of equity awards to its Outside Directors. Unless otherwise defined herein, capitalized terms used in this Policy will have the meaning given such term in the Company’s 2020 Equity Incentive Plan, as amended from time to time, or if such plan no longer is in use at the time of the grant of an equity award, the meaning given such term or similar term in the equity plan then in place under which the equity award is granted (the “</w:t>
      </w:r>
      <w:r>
        <w:rPr>
          <w:rFonts w:ascii="Times New Roman;sans-serif" w:hAnsi="Times New Roman;sans-serif"/>
          <w:b/>
          <w:color w:val="000000"/>
          <w:sz w:val="22"/>
        </w:rPr>
        <w:t>Plan</w:t>
      </w:r>
      <w:r>
        <w:rPr>
          <w:color w:val="000000"/>
        </w:rPr>
        <w:t>”</w:t>
      </w:r>
      <w:r>
        <w:rPr>
          <w:rFonts w:ascii="Times New Roman;sans-serif" w:hAnsi="Times New Roman;sans-serif"/>
          <w:b w:val="false"/>
          <w:color w:val="000000"/>
          <w:sz w:val="22"/>
        </w:rPr>
        <w:t>). Each Outside Director will be solely responsible for any tax obligations incurred by such Outside Director as a result of the equity awards and cash and other compensation such Outside Director receives under this Policy.</w:t>
      </w:r>
    </w:p>
    <w:p>
      <w:pPr>
        <w:pStyle w:val="TextBody"/>
        <w:spacing w:lineRule="auto" w:line="240" w:before="240" w:after="283"/>
        <w:ind w:left="0" w:right="0" w:firstLine="720"/>
        <w:jc w:val="both"/>
        <w:rPr/>
      </w:pPr>
      <w:r>
        <w:rPr>
          <w:rFonts w:ascii="Times New Roman;sans-serif" w:hAnsi="Times New Roman;sans-serif"/>
          <w:b w:val="false"/>
          <w:color w:val="000000"/>
          <w:sz w:val="22"/>
        </w:rPr>
        <w:t>1.    </w:t>
      </w:r>
      <w:r>
        <w:rPr>
          <w:rFonts w:ascii="Times New Roman;sans-serif" w:hAnsi="Times New Roman;sans-serif"/>
          <w:b/>
          <w:color w:val="000000"/>
          <w:sz w:val="22"/>
        </w:rPr>
        <w:t>Effective Date</w:t>
      </w:r>
      <w:r>
        <w:rPr>
          <w:rFonts w:ascii="Times New Roman;sans-serif" w:hAnsi="Times New Roman;sans-serif"/>
          <w:b w:val="false"/>
          <w:color w:val="000000"/>
          <w:sz w:val="22"/>
        </w:rPr>
        <w:t>. This Policy, as initially adopted and prior to any subsequent amendments and restatements, became effective as of the day immediately prior to the effective date of the first registration statement that is filed by the Company and declared effective pursuant to Section 12(b) of the U.S. Securities Exchange Act of 1934, as amended, with respect to any class of the Company’s securities (the effective date of such registration statement, the “</w:t>
      </w:r>
      <w:r>
        <w:rPr>
          <w:rFonts w:ascii="Times New Roman;sans-serif" w:hAnsi="Times New Roman;sans-serif"/>
          <w:b/>
          <w:color w:val="000000"/>
          <w:sz w:val="22"/>
        </w:rPr>
        <w:t>Registration Date</w:t>
      </w:r>
      <w:r>
        <w:rPr>
          <w:rFonts w:ascii="Times New Roman;sans-serif" w:hAnsi="Times New Roman;sans-serif"/>
          <w:b w:val="false"/>
          <w:color w:val="000000"/>
          <w:sz w:val="22"/>
        </w:rPr>
        <w:t>,” and the effective date of this Policy, the “</w:t>
      </w:r>
      <w:r>
        <w:rPr>
          <w:rFonts w:ascii="Times New Roman;sans-serif" w:hAnsi="Times New Roman;sans-serif"/>
          <w:b/>
          <w:color w:val="000000"/>
          <w:sz w:val="22"/>
        </w:rPr>
        <w:t>Effective Date</w:t>
      </w:r>
      <w:r>
        <w:rPr>
          <w:color w:val="000000"/>
        </w:rPr>
        <w:t>”</w:t>
      </w:r>
      <w:r>
        <w:rPr>
          <w:rFonts w:ascii="Times New Roman;sans-serif" w:hAnsi="Times New Roman;sans-serif"/>
          <w:b w:val="false"/>
          <w:color w:val="000000"/>
          <w:sz w:val="22"/>
        </w:rPr>
        <w:t xml:space="preserve">). This Policy, as most recently amended and restated, is effective as of the Restatement Date. </w:t>
      </w:r>
    </w:p>
    <w:p>
      <w:pPr>
        <w:pStyle w:val="TextBody"/>
        <w:spacing w:lineRule="auto" w:line="240" w:before="240" w:after="283"/>
        <w:ind w:left="0" w:right="0" w:firstLine="720"/>
        <w:jc w:val="both"/>
        <w:rPr/>
      </w:pPr>
      <w:r>
        <w:rPr>
          <w:rFonts w:ascii="Times New Roman;sans-serif" w:hAnsi="Times New Roman;sans-serif"/>
          <w:b w:val="false"/>
          <w:color w:val="000000"/>
          <w:sz w:val="22"/>
        </w:rPr>
        <w:t>2.    </w:t>
      </w:r>
      <w:r>
        <w:rPr>
          <w:rFonts w:ascii="Times New Roman;sans-serif" w:hAnsi="Times New Roman;sans-serif"/>
          <w:b/>
          <w:color w:val="000000"/>
          <w:sz w:val="22"/>
        </w:rPr>
        <w:t>Cash Compensation</w:t>
      </w:r>
      <w:r>
        <w:rPr>
          <w:rFonts w:ascii="Times New Roman;sans-serif" w:hAnsi="Times New Roman;sans-serif"/>
          <w:b w:val="false"/>
          <w:color w:val="000000"/>
          <w:sz w:val="22"/>
        </w:rPr>
        <w:t>.</w:t>
      </w:r>
    </w:p>
    <w:p>
      <w:pPr>
        <w:pStyle w:val="TextBody"/>
        <w:spacing w:lineRule="auto" w:line="240" w:before="240" w:after="283"/>
        <w:ind w:left="0" w:right="0" w:firstLine="1440"/>
        <w:jc w:val="both"/>
        <w:rPr/>
      </w:pPr>
      <w:r>
        <w:rPr>
          <w:rFonts w:ascii="Times New Roman;sans-serif" w:hAnsi="Times New Roman;sans-serif"/>
          <w:b w:val="false"/>
          <w:color w:val="000000"/>
          <w:sz w:val="22"/>
        </w:rPr>
        <w:t>2.1    </w:t>
      </w:r>
      <w:r>
        <w:rPr>
          <w:rFonts w:ascii="Times New Roman;sans-serif" w:hAnsi="Times New Roman;sans-serif"/>
          <w:b/>
          <w:color w:val="000000"/>
          <w:sz w:val="22"/>
        </w:rPr>
        <w:t>Board Member Annual Cash Retainer</w:t>
      </w:r>
      <w:r>
        <w:rPr>
          <w:rFonts w:ascii="Times New Roman;sans-serif" w:hAnsi="Times New Roman;sans-serif"/>
          <w:b w:val="false"/>
          <w:color w:val="000000"/>
          <w:sz w:val="22"/>
        </w:rPr>
        <w:t xml:space="preserve">. On and following the Effective Date, each Outside Director will be paid an annual cash retainer of $40,000. There are no per meeting attendance fees for attending Board meetings or meetings of any committee of the Board. </w:t>
      </w:r>
    </w:p>
    <w:p>
      <w:pPr>
        <w:pStyle w:val="TextBody"/>
        <w:spacing w:lineRule="auto" w:line="240" w:before="240" w:after="240"/>
        <w:ind w:left="0" w:right="0" w:firstLine="1440"/>
        <w:jc w:val="both"/>
        <w:rPr/>
      </w:pPr>
      <w:r>
        <w:rPr>
          <w:rFonts w:ascii="Times New Roman;sans-serif" w:hAnsi="Times New Roman;sans-serif"/>
          <w:b w:val="false"/>
          <w:color w:val="000000"/>
          <w:sz w:val="22"/>
        </w:rPr>
        <w:t>2.2    </w:t>
      </w:r>
      <w:r>
        <w:rPr>
          <w:rFonts w:ascii="Times New Roman;sans-serif" w:hAnsi="Times New Roman;sans-serif"/>
          <w:b/>
          <w:color w:val="000000"/>
          <w:sz w:val="22"/>
        </w:rPr>
        <w:t>Additional Annual Cash Retainers</w:t>
      </w:r>
      <w:r>
        <w:rPr>
          <w:rFonts w:ascii="Times New Roman;sans-serif" w:hAnsi="Times New Roman;sans-serif"/>
          <w:b w:val="false"/>
          <w:color w:val="000000"/>
          <w:sz w:val="22"/>
        </w:rPr>
        <w:t xml:space="preserve">. On and following the Restatement Date, each Outside Director who serves as the Lead Independent Director, or the chair or a member of a committee of the Board, will be eligible to earn additional annual fees as follows: </w:t>
      </w:r>
    </w:p>
    <w:tbl>
      <w:tblPr>
        <w:tblW w:w="6736" w:type="dxa"/>
        <w:jc w:val="left"/>
        <w:tblInd w:w="0" w:type="dxa"/>
        <w:tblCellMar>
          <w:top w:w="28" w:type="dxa"/>
          <w:left w:w="28" w:type="dxa"/>
          <w:bottom w:w="28" w:type="dxa"/>
          <w:right w:w="28" w:type="dxa"/>
        </w:tblCellMar>
      </w:tblPr>
      <w:tblGrid>
        <w:gridCol w:w="2106"/>
        <w:gridCol w:w="1848"/>
        <w:gridCol w:w="1851"/>
        <w:gridCol w:w="272"/>
        <w:gridCol w:w="272"/>
        <w:gridCol w:w="387"/>
      </w:tblGrid>
      <w:tr>
        <w:trPr/>
        <w:tc>
          <w:tcPr>
            <w:tcW w:w="2106" w:type="dxa"/>
            <w:tcBorders/>
            <w:shd w:fill="auto" w:val="clear"/>
            <w:vAlign w:val="center"/>
          </w:tcPr>
          <w:p>
            <w:pPr>
              <w:pStyle w:val="TableContents"/>
              <w:spacing w:before="0" w:after="283"/>
              <w:rPr>
                <w:sz w:val="4"/>
                <w:szCs w:val="4"/>
              </w:rPr>
            </w:pPr>
            <w:r>
              <w:rPr>
                <w:sz w:val="4"/>
                <w:szCs w:val="4"/>
              </w:rPr>
            </w:r>
          </w:p>
        </w:tc>
        <w:tc>
          <w:tcPr>
            <w:tcW w:w="1848" w:type="dxa"/>
            <w:tcBorders/>
            <w:shd w:fill="auto" w:val="clear"/>
            <w:vAlign w:val="center"/>
          </w:tcPr>
          <w:p>
            <w:pPr>
              <w:pStyle w:val="TableContents"/>
              <w:spacing w:before="0" w:after="283"/>
              <w:rPr>
                <w:sz w:val="4"/>
                <w:szCs w:val="4"/>
              </w:rPr>
            </w:pPr>
            <w:r>
              <w:rPr>
                <w:sz w:val="4"/>
                <w:szCs w:val="4"/>
              </w:rPr>
            </w:r>
          </w:p>
        </w:tc>
        <w:tc>
          <w:tcPr>
            <w:tcW w:w="1851"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r>
      <w:tr>
        <w:trPr/>
        <w:tc>
          <w:tcPr>
            <w:tcW w:w="5805" w:type="dxa"/>
            <w:gridSpan w:val="3"/>
            <w:tcBorders/>
            <w:shd w:fill="auto" w:val="clear"/>
            <w:tcMar>
              <w:top w:w="0" w:type="dxa"/>
              <w:left w:w="0" w:type="dxa"/>
              <w:bottom w:w="0" w:type="dxa"/>
              <w:right w:w="0" w:type="dxa"/>
            </w:tcMar>
            <w:vAlign w:val="center"/>
          </w:tcPr>
          <w:p>
            <w:pPr>
              <w:pStyle w:val="TableContents"/>
              <w:spacing w:lineRule="auto" w:line="288" w:before="240" w:after="120"/>
              <w:jc w:val="left"/>
              <w:rPr>
                <w:rFonts w:ascii="Times New Roman;sans-serif" w:hAnsi="Times New Roman;sans-serif"/>
                <w:b w:val="false"/>
                <w:color w:val="000000"/>
                <w:sz w:val="22"/>
              </w:rPr>
            </w:pPr>
            <w:r>
              <w:rPr>
                <w:rFonts w:ascii="Times New Roman;sans-serif" w:hAnsi="Times New Roman;sans-serif"/>
                <w:b w:val="false"/>
                <w:color w:val="000000"/>
                <w:sz w:val="22"/>
              </w:rPr>
              <w:t>Lead Independent Director:</w:t>
            </w:r>
          </w:p>
        </w:tc>
        <w:tc>
          <w:tcPr>
            <w:tcW w:w="931" w:type="dxa"/>
            <w:gridSpan w:val="3"/>
            <w:tcBorders/>
            <w:shd w:fill="auto" w:val="clear"/>
            <w:tcMar>
              <w:top w:w="0" w:type="dxa"/>
              <w:left w:w="0" w:type="dxa"/>
              <w:bottom w:w="0" w:type="dxa"/>
              <w:right w:w="0" w:type="dxa"/>
            </w:tcMar>
            <w:vAlign w:val="center"/>
          </w:tcPr>
          <w:p>
            <w:pPr>
              <w:pStyle w:val="TableContents"/>
              <w:spacing w:lineRule="auto" w:line="288" w:before="240" w:after="120"/>
              <w:jc w:val="right"/>
              <w:rPr>
                <w:rFonts w:ascii="Times New Roman;sans-serif" w:hAnsi="Times New Roman;sans-serif"/>
                <w:b w:val="false"/>
                <w:color w:val="000000"/>
                <w:sz w:val="22"/>
              </w:rPr>
            </w:pPr>
            <w:r>
              <w:rPr>
                <w:rFonts w:ascii="Times New Roman;sans-serif" w:hAnsi="Times New Roman;sans-serif"/>
                <w:b w:val="false"/>
                <w:color w:val="000000"/>
                <w:sz w:val="22"/>
              </w:rPr>
              <w:t>$25,000</w:t>
            </w:r>
          </w:p>
        </w:tc>
      </w:tr>
      <w:tr>
        <w:trPr/>
        <w:tc>
          <w:tcPr>
            <w:tcW w:w="5805" w:type="dxa"/>
            <w:gridSpan w:val="3"/>
            <w:tcBorders/>
            <w:shd w:fill="D9D9D9" w:val="clear"/>
            <w:tcMar>
              <w:top w:w="0" w:type="dxa"/>
              <w:left w:w="0" w:type="dxa"/>
              <w:bottom w:w="0" w:type="dxa"/>
              <w:right w:w="0" w:type="dxa"/>
            </w:tcMar>
            <w:vAlign w:val="center"/>
          </w:tcPr>
          <w:p>
            <w:pPr>
              <w:pStyle w:val="TableContents"/>
              <w:spacing w:lineRule="auto" w:line="288" w:before="240" w:after="120"/>
              <w:jc w:val="left"/>
              <w:rPr>
                <w:rFonts w:ascii="Times New Roman;sans-serif" w:hAnsi="Times New Roman;sans-serif"/>
                <w:b w:val="false"/>
                <w:color w:val="000000"/>
                <w:sz w:val="22"/>
              </w:rPr>
            </w:pPr>
            <w:r>
              <w:rPr>
                <w:rFonts w:ascii="Times New Roman;sans-serif" w:hAnsi="Times New Roman;sans-serif"/>
                <w:b w:val="false"/>
                <w:color w:val="000000"/>
                <w:sz w:val="22"/>
              </w:rPr>
              <w:t>Audit Committee Chair:</w:t>
            </w:r>
          </w:p>
        </w:tc>
        <w:tc>
          <w:tcPr>
            <w:tcW w:w="931" w:type="dxa"/>
            <w:gridSpan w:val="3"/>
            <w:tcBorders/>
            <w:shd w:fill="D9D9D9" w:val="clear"/>
            <w:tcMar>
              <w:top w:w="0" w:type="dxa"/>
              <w:left w:w="0" w:type="dxa"/>
              <w:bottom w:w="0" w:type="dxa"/>
              <w:right w:w="0" w:type="dxa"/>
            </w:tcMar>
            <w:vAlign w:val="center"/>
          </w:tcPr>
          <w:p>
            <w:pPr>
              <w:pStyle w:val="TableContents"/>
              <w:spacing w:lineRule="auto" w:line="288" w:before="240" w:after="120"/>
              <w:jc w:val="right"/>
              <w:rPr>
                <w:rFonts w:ascii="Times New Roman;sans-serif" w:hAnsi="Times New Roman;sans-serif"/>
                <w:b w:val="false"/>
                <w:color w:val="000000"/>
                <w:sz w:val="22"/>
              </w:rPr>
            </w:pPr>
            <w:r>
              <w:rPr>
                <w:rFonts w:ascii="Times New Roman;sans-serif" w:hAnsi="Times New Roman;sans-serif"/>
                <w:b w:val="false"/>
                <w:color w:val="000000"/>
                <w:sz w:val="22"/>
              </w:rPr>
              <w:t>$20,000</w:t>
            </w:r>
          </w:p>
        </w:tc>
      </w:tr>
      <w:tr>
        <w:trPr/>
        <w:tc>
          <w:tcPr>
            <w:tcW w:w="5805" w:type="dxa"/>
            <w:gridSpan w:val="3"/>
            <w:tcBorders/>
            <w:shd w:fill="auto" w:val="clear"/>
            <w:tcMar>
              <w:top w:w="0" w:type="dxa"/>
              <w:left w:w="0" w:type="dxa"/>
              <w:bottom w:w="0" w:type="dxa"/>
              <w:right w:w="0" w:type="dxa"/>
            </w:tcMar>
            <w:vAlign w:val="center"/>
          </w:tcPr>
          <w:p>
            <w:pPr>
              <w:pStyle w:val="TableContents"/>
              <w:spacing w:lineRule="auto" w:line="288" w:before="240" w:after="120"/>
              <w:jc w:val="left"/>
              <w:rPr>
                <w:rFonts w:ascii="Times New Roman;sans-serif" w:hAnsi="Times New Roman;sans-serif"/>
                <w:b w:val="false"/>
                <w:color w:val="000000"/>
                <w:sz w:val="22"/>
              </w:rPr>
            </w:pPr>
            <w:r>
              <w:rPr>
                <w:rFonts w:ascii="Times New Roman;sans-serif" w:hAnsi="Times New Roman;sans-serif"/>
                <w:b w:val="false"/>
                <w:color w:val="000000"/>
                <w:sz w:val="22"/>
              </w:rPr>
              <w:t>Audit Committee Member:</w:t>
            </w:r>
          </w:p>
        </w:tc>
        <w:tc>
          <w:tcPr>
            <w:tcW w:w="931" w:type="dxa"/>
            <w:gridSpan w:val="3"/>
            <w:tcBorders/>
            <w:shd w:fill="auto" w:val="clear"/>
            <w:tcMar>
              <w:top w:w="0" w:type="dxa"/>
              <w:left w:w="0" w:type="dxa"/>
              <w:bottom w:w="0" w:type="dxa"/>
              <w:right w:w="0" w:type="dxa"/>
            </w:tcMar>
            <w:vAlign w:val="center"/>
          </w:tcPr>
          <w:p>
            <w:pPr>
              <w:pStyle w:val="TableContents"/>
              <w:spacing w:lineRule="auto" w:line="288" w:before="240" w:after="120"/>
              <w:jc w:val="right"/>
              <w:rPr>
                <w:rFonts w:ascii="Times New Roman;sans-serif" w:hAnsi="Times New Roman;sans-serif"/>
                <w:b w:val="false"/>
                <w:color w:val="000000"/>
                <w:sz w:val="22"/>
              </w:rPr>
            </w:pPr>
            <w:r>
              <w:rPr>
                <w:rFonts w:ascii="Times New Roman;sans-serif" w:hAnsi="Times New Roman;sans-serif"/>
                <w:b w:val="false"/>
                <w:color w:val="000000"/>
                <w:sz w:val="22"/>
              </w:rPr>
              <w:t>$10,000</w:t>
            </w:r>
          </w:p>
        </w:tc>
      </w:tr>
      <w:tr>
        <w:trPr/>
        <w:tc>
          <w:tcPr>
            <w:tcW w:w="5805" w:type="dxa"/>
            <w:gridSpan w:val="3"/>
            <w:tcBorders/>
            <w:shd w:fill="D9D9D9" w:val="clear"/>
            <w:tcMar>
              <w:top w:w="0" w:type="dxa"/>
              <w:left w:w="0" w:type="dxa"/>
              <w:bottom w:w="0" w:type="dxa"/>
              <w:right w:w="0" w:type="dxa"/>
            </w:tcMar>
            <w:vAlign w:val="center"/>
          </w:tcPr>
          <w:p>
            <w:pPr>
              <w:pStyle w:val="TableContents"/>
              <w:spacing w:lineRule="auto" w:line="288" w:before="240" w:after="120"/>
              <w:jc w:val="left"/>
              <w:rPr>
                <w:rFonts w:ascii="Times New Roman;sans-serif" w:hAnsi="Times New Roman;sans-serif"/>
                <w:b w:val="false"/>
                <w:color w:val="000000"/>
                <w:sz w:val="22"/>
              </w:rPr>
            </w:pPr>
            <w:r>
              <w:rPr>
                <w:rFonts w:ascii="Times New Roman;sans-serif" w:hAnsi="Times New Roman;sans-serif"/>
                <w:b w:val="false"/>
                <w:color w:val="000000"/>
                <w:sz w:val="22"/>
              </w:rPr>
              <w:t>Talent and Compensation Committee Chair:</w:t>
            </w:r>
          </w:p>
        </w:tc>
        <w:tc>
          <w:tcPr>
            <w:tcW w:w="931" w:type="dxa"/>
            <w:gridSpan w:val="3"/>
            <w:tcBorders/>
            <w:shd w:fill="D9D9D9" w:val="clear"/>
            <w:tcMar>
              <w:top w:w="0" w:type="dxa"/>
              <w:left w:w="0" w:type="dxa"/>
              <w:bottom w:w="0" w:type="dxa"/>
              <w:right w:w="0" w:type="dxa"/>
            </w:tcMar>
            <w:vAlign w:val="center"/>
          </w:tcPr>
          <w:p>
            <w:pPr>
              <w:pStyle w:val="TableContents"/>
              <w:spacing w:lineRule="auto" w:line="288" w:before="240" w:after="120"/>
              <w:jc w:val="right"/>
              <w:rPr>
                <w:rFonts w:ascii="Times New Roman;sans-serif" w:hAnsi="Times New Roman;sans-serif"/>
                <w:b w:val="false"/>
                <w:color w:val="000000"/>
                <w:sz w:val="22"/>
              </w:rPr>
            </w:pPr>
            <w:r>
              <w:rPr>
                <w:rFonts w:ascii="Times New Roman;sans-serif" w:hAnsi="Times New Roman;sans-serif"/>
                <w:b w:val="false"/>
                <w:color w:val="000000"/>
                <w:sz w:val="22"/>
              </w:rPr>
              <w:t>$15,000</w:t>
            </w:r>
          </w:p>
        </w:tc>
      </w:tr>
      <w:tr>
        <w:trPr/>
        <w:tc>
          <w:tcPr>
            <w:tcW w:w="5805" w:type="dxa"/>
            <w:gridSpan w:val="3"/>
            <w:tcBorders/>
            <w:shd w:fill="auto" w:val="clear"/>
            <w:tcMar>
              <w:top w:w="0" w:type="dxa"/>
              <w:left w:w="0" w:type="dxa"/>
              <w:bottom w:w="0" w:type="dxa"/>
              <w:right w:w="0" w:type="dxa"/>
            </w:tcMar>
            <w:vAlign w:val="center"/>
          </w:tcPr>
          <w:p>
            <w:pPr>
              <w:pStyle w:val="TableContents"/>
              <w:spacing w:lineRule="auto" w:line="288" w:before="240" w:after="120"/>
              <w:jc w:val="left"/>
              <w:rPr>
                <w:rFonts w:ascii="Times New Roman;sans-serif" w:hAnsi="Times New Roman;sans-serif"/>
                <w:b w:val="false"/>
                <w:color w:val="000000"/>
                <w:sz w:val="22"/>
              </w:rPr>
            </w:pPr>
            <w:r>
              <w:rPr>
                <w:rFonts w:ascii="Times New Roman;sans-serif" w:hAnsi="Times New Roman;sans-serif"/>
                <w:b w:val="false"/>
                <w:color w:val="000000"/>
                <w:sz w:val="22"/>
              </w:rPr>
              <w:t>Talent and Compensation Committee Member:</w:t>
            </w:r>
          </w:p>
        </w:tc>
        <w:tc>
          <w:tcPr>
            <w:tcW w:w="931" w:type="dxa"/>
            <w:gridSpan w:val="3"/>
            <w:tcBorders/>
            <w:shd w:fill="auto" w:val="clear"/>
            <w:tcMar>
              <w:top w:w="0" w:type="dxa"/>
              <w:left w:w="0" w:type="dxa"/>
              <w:bottom w:w="0" w:type="dxa"/>
              <w:right w:w="0" w:type="dxa"/>
            </w:tcMar>
            <w:vAlign w:val="center"/>
          </w:tcPr>
          <w:p>
            <w:pPr>
              <w:pStyle w:val="TableContents"/>
              <w:spacing w:lineRule="auto" w:line="288" w:before="240" w:after="120"/>
              <w:jc w:val="right"/>
              <w:rPr>
                <w:rFonts w:ascii="Times New Roman;sans-serif" w:hAnsi="Times New Roman;sans-serif"/>
                <w:b w:val="false"/>
                <w:color w:val="000000"/>
                <w:sz w:val="22"/>
              </w:rPr>
            </w:pPr>
            <w:r>
              <w:rPr>
                <w:rFonts w:ascii="Times New Roman;sans-serif" w:hAnsi="Times New Roman;sans-serif"/>
                <w:b w:val="false"/>
                <w:color w:val="000000"/>
                <w:sz w:val="22"/>
              </w:rPr>
              <w:t>$7,500</w:t>
            </w:r>
          </w:p>
        </w:tc>
      </w:tr>
      <w:tr>
        <w:trPr/>
        <w:tc>
          <w:tcPr>
            <w:tcW w:w="5805" w:type="dxa"/>
            <w:gridSpan w:val="3"/>
            <w:tcBorders/>
            <w:shd w:fill="D9D9D9" w:val="clear"/>
            <w:tcMar>
              <w:top w:w="0" w:type="dxa"/>
              <w:left w:w="0" w:type="dxa"/>
              <w:bottom w:w="0" w:type="dxa"/>
              <w:right w:w="0" w:type="dxa"/>
            </w:tcMar>
            <w:vAlign w:val="center"/>
          </w:tcPr>
          <w:p>
            <w:pPr>
              <w:pStyle w:val="TableContents"/>
              <w:spacing w:lineRule="auto" w:line="288" w:before="240" w:after="120"/>
              <w:jc w:val="left"/>
              <w:rPr>
                <w:rFonts w:ascii="Times New Roman;sans-serif" w:hAnsi="Times New Roman;sans-serif"/>
                <w:b w:val="false"/>
                <w:color w:val="000000"/>
                <w:sz w:val="22"/>
              </w:rPr>
            </w:pPr>
            <w:r>
              <w:rPr>
                <w:rFonts w:ascii="Times New Roman;sans-serif" w:hAnsi="Times New Roman;sans-serif"/>
                <w:b w:val="false"/>
                <w:color w:val="000000"/>
                <w:sz w:val="22"/>
              </w:rPr>
              <w:t>Corporate Governance and Nominating Committee Chair:</w:t>
            </w:r>
          </w:p>
        </w:tc>
        <w:tc>
          <w:tcPr>
            <w:tcW w:w="931" w:type="dxa"/>
            <w:gridSpan w:val="3"/>
            <w:tcBorders/>
            <w:shd w:fill="D9D9D9" w:val="clear"/>
            <w:tcMar>
              <w:top w:w="0" w:type="dxa"/>
              <w:left w:w="0" w:type="dxa"/>
              <w:bottom w:w="0" w:type="dxa"/>
              <w:right w:w="0" w:type="dxa"/>
            </w:tcMar>
            <w:vAlign w:val="center"/>
          </w:tcPr>
          <w:p>
            <w:pPr>
              <w:pStyle w:val="TableContents"/>
              <w:spacing w:lineRule="auto" w:line="288" w:before="240" w:after="120"/>
              <w:jc w:val="right"/>
              <w:rPr>
                <w:rFonts w:ascii="Times New Roman;sans-serif" w:hAnsi="Times New Roman;sans-serif"/>
                <w:b w:val="false"/>
                <w:color w:val="000000"/>
                <w:sz w:val="22"/>
              </w:rPr>
            </w:pPr>
            <w:r>
              <w:rPr>
                <w:rFonts w:ascii="Times New Roman;sans-serif" w:hAnsi="Times New Roman;sans-serif"/>
                <w:b w:val="false"/>
                <w:color w:val="000000"/>
                <w:sz w:val="22"/>
              </w:rPr>
              <w:t>$10,000</w:t>
            </w:r>
          </w:p>
        </w:tc>
      </w:tr>
      <w:tr>
        <w:trPr/>
        <w:tc>
          <w:tcPr>
            <w:tcW w:w="5805" w:type="dxa"/>
            <w:gridSpan w:val="3"/>
            <w:tcBorders/>
            <w:shd w:fill="auto" w:val="clear"/>
            <w:tcMar>
              <w:top w:w="0" w:type="dxa"/>
              <w:left w:w="0" w:type="dxa"/>
              <w:bottom w:w="0" w:type="dxa"/>
              <w:right w:w="0" w:type="dxa"/>
            </w:tcMar>
            <w:vAlign w:val="center"/>
          </w:tcPr>
          <w:p>
            <w:pPr>
              <w:pStyle w:val="TableContents"/>
              <w:spacing w:lineRule="auto" w:line="288" w:before="240" w:after="120"/>
              <w:jc w:val="left"/>
              <w:rPr>
                <w:rFonts w:ascii="Times New Roman;sans-serif" w:hAnsi="Times New Roman;sans-serif"/>
                <w:b w:val="false"/>
                <w:color w:val="000000"/>
                <w:sz w:val="22"/>
              </w:rPr>
            </w:pPr>
            <w:r>
              <w:rPr>
                <w:rFonts w:ascii="Times New Roman;sans-serif" w:hAnsi="Times New Roman;sans-serif"/>
                <w:b w:val="false"/>
                <w:color w:val="000000"/>
                <w:sz w:val="22"/>
              </w:rPr>
              <w:t>Corporate Governance and Nominating Committee Member:</w:t>
            </w:r>
          </w:p>
        </w:tc>
        <w:tc>
          <w:tcPr>
            <w:tcW w:w="931" w:type="dxa"/>
            <w:gridSpan w:val="3"/>
            <w:tcBorders/>
            <w:shd w:fill="auto" w:val="clear"/>
            <w:tcMar>
              <w:top w:w="0" w:type="dxa"/>
              <w:left w:w="0" w:type="dxa"/>
              <w:bottom w:w="0" w:type="dxa"/>
              <w:right w:w="0" w:type="dxa"/>
            </w:tcMar>
            <w:vAlign w:val="center"/>
          </w:tcPr>
          <w:p>
            <w:pPr>
              <w:pStyle w:val="TableContents"/>
              <w:spacing w:lineRule="auto" w:line="288" w:before="240" w:after="120"/>
              <w:jc w:val="right"/>
              <w:rPr>
                <w:rFonts w:ascii="Times New Roman;sans-serif" w:hAnsi="Times New Roman;sans-serif"/>
                <w:b w:val="false"/>
                <w:color w:val="000000"/>
                <w:sz w:val="22"/>
              </w:rPr>
            </w:pPr>
            <w:r>
              <w:rPr>
                <w:rFonts w:ascii="Times New Roman;sans-serif" w:hAnsi="Times New Roman;sans-serif"/>
                <w:b w:val="false"/>
                <w:color w:val="000000"/>
                <w:sz w:val="22"/>
              </w:rPr>
              <w:t>$5,000</w:t>
            </w:r>
          </w:p>
        </w:tc>
      </w:tr>
      <w:tr>
        <w:trPr/>
        <w:tc>
          <w:tcPr>
            <w:tcW w:w="5805" w:type="dxa"/>
            <w:gridSpan w:val="3"/>
            <w:tcBorders/>
            <w:shd w:fill="D9D9D9" w:val="clear"/>
            <w:tcMar>
              <w:top w:w="0" w:type="dxa"/>
              <w:left w:w="0" w:type="dxa"/>
              <w:bottom w:w="0" w:type="dxa"/>
              <w:right w:w="0" w:type="dxa"/>
            </w:tcMar>
            <w:vAlign w:val="center"/>
          </w:tcPr>
          <w:p>
            <w:pPr>
              <w:pStyle w:val="TableContents"/>
              <w:spacing w:lineRule="auto" w:line="288" w:before="240" w:after="120"/>
              <w:jc w:val="left"/>
              <w:rPr>
                <w:rFonts w:ascii="Times New Roman;sans-serif" w:hAnsi="Times New Roman;sans-serif"/>
                <w:b w:val="false"/>
                <w:color w:val="000000"/>
                <w:sz w:val="22"/>
              </w:rPr>
            </w:pPr>
            <w:r>
              <w:rPr>
                <w:rFonts w:ascii="Times New Roman;sans-serif" w:hAnsi="Times New Roman;sans-serif"/>
                <w:b w:val="false"/>
                <w:color w:val="000000"/>
                <w:sz w:val="22"/>
              </w:rPr>
              <w:t>Science and Technology Committee Chair:</w:t>
            </w:r>
          </w:p>
        </w:tc>
        <w:tc>
          <w:tcPr>
            <w:tcW w:w="931" w:type="dxa"/>
            <w:gridSpan w:val="3"/>
            <w:tcBorders/>
            <w:shd w:fill="D9D9D9" w:val="clear"/>
            <w:tcMar>
              <w:top w:w="0" w:type="dxa"/>
              <w:left w:w="0" w:type="dxa"/>
              <w:bottom w:w="0" w:type="dxa"/>
              <w:right w:w="0" w:type="dxa"/>
            </w:tcMar>
            <w:vAlign w:val="center"/>
          </w:tcPr>
          <w:p>
            <w:pPr>
              <w:pStyle w:val="TableContents"/>
              <w:spacing w:lineRule="auto" w:line="288" w:before="240" w:after="120"/>
              <w:jc w:val="right"/>
              <w:rPr>
                <w:rFonts w:ascii="Times New Roman;sans-serif" w:hAnsi="Times New Roman;sans-serif"/>
                <w:b w:val="false"/>
                <w:color w:val="000000"/>
                <w:sz w:val="22"/>
              </w:rPr>
            </w:pPr>
            <w:r>
              <w:rPr>
                <w:rFonts w:ascii="Times New Roman;sans-serif" w:hAnsi="Times New Roman;sans-serif"/>
                <w:b w:val="false"/>
                <w:color w:val="000000"/>
                <w:sz w:val="22"/>
              </w:rPr>
              <w:t>$10,000</w:t>
            </w:r>
          </w:p>
        </w:tc>
      </w:tr>
      <w:tr>
        <w:trPr/>
        <w:tc>
          <w:tcPr>
            <w:tcW w:w="5805" w:type="dxa"/>
            <w:gridSpan w:val="3"/>
            <w:tcBorders/>
            <w:shd w:fill="auto" w:val="clear"/>
            <w:tcMar>
              <w:top w:w="0" w:type="dxa"/>
              <w:left w:w="0" w:type="dxa"/>
              <w:bottom w:w="0" w:type="dxa"/>
              <w:right w:w="0" w:type="dxa"/>
            </w:tcMar>
            <w:vAlign w:val="center"/>
          </w:tcPr>
          <w:p>
            <w:pPr>
              <w:pStyle w:val="TableContents"/>
              <w:spacing w:lineRule="auto" w:line="288" w:before="240" w:after="120"/>
              <w:jc w:val="left"/>
              <w:rPr>
                <w:rFonts w:ascii="Times New Roman;sans-serif" w:hAnsi="Times New Roman;sans-serif"/>
                <w:b w:val="false"/>
                <w:color w:val="000000"/>
                <w:sz w:val="22"/>
              </w:rPr>
            </w:pPr>
            <w:r>
              <w:rPr>
                <w:rFonts w:ascii="Times New Roman;sans-serif" w:hAnsi="Times New Roman;sans-serif"/>
                <w:b w:val="false"/>
                <w:color w:val="000000"/>
                <w:sz w:val="22"/>
              </w:rPr>
              <w:t>Science and Technology Committee Member:</w:t>
            </w:r>
          </w:p>
        </w:tc>
        <w:tc>
          <w:tcPr>
            <w:tcW w:w="931" w:type="dxa"/>
            <w:gridSpan w:val="3"/>
            <w:tcBorders/>
            <w:shd w:fill="auto" w:val="clear"/>
            <w:tcMar>
              <w:top w:w="0" w:type="dxa"/>
              <w:left w:w="0" w:type="dxa"/>
              <w:bottom w:w="0" w:type="dxa"/>
              <w:right w:w="0" w:type="dxa"/>
            </w:tcMar>
            <w:vAlign w:val="center"/>
          </w:tcPr>
          <w:p>
            <w:pPr>
              <w:pStyle w:val="TableContents"/>
              <w:spacing w:lineRule="auto" w:line="288" w:before="240" w:after="120"/>
              <w:jc w:val="right"/>
              <w:rPr>
                <w:rFonts w:ascii="Times New Roman;sans-serif" w:hAnsi="Times New Roman;sans-serif"/>
                <w:b w:val="false"/>
                <w:color w:val="000000"/>
                <w:sz w:val="22"/>
              </w:rPr>
            </w:pPr>
            <w:r>
              <w:rPr>
                <w:rFonts w:ascii="Times New Roman;sans-serif" w:hAnsi="Times New Roman;sans-serif"/>
                <w:b w:val="false"/>
                <w:color w:val="000000"/>
                <w:sz w:val="22"/>
              </w:rPr>
              <w:t>$5,000</w:t>
            </w:r>
          </w:p>
        </w:tc>
      </w:tr>
    </w:tbl>
    <w:p>
      <w:pPr>
        <w:pStyle w:val="TextBody"/>
        <w:spacing w:lineRule="auto" w:line="240" w:before="240"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For clarity, each Outside Director who serves as the chair of a committee will receive only the additional annual fee as the chair of the committee and not the additional annual fee as a member of such committee while serving as such chair, provided, that the Outside Director who serves as the Lead Independent Director will receive the annual fee for services provided in such role as well as the annual fee as an Outside Director. </w:t>
      </w:r>
    </w:p>
    <w:p>
      <w:pPr>
        <w:pStyle w:val="TextBody"/>
        <w:spacing w:lineRule="auto" w:line="240" w:before="240" w:after="283"/>
        <w:ind w:left="0" w:right="0" w:firstLine="1440"/>
        <w:jc w:val="both"/>
        <w:rPr/>
      </w:pPr>
      <w:r>
        <w:rPr>
          <w:rFonts w:ascii="Times New Roman;sans-serif" w:hAnsi="Times New Roman;sans-serif"/>
          <w:b w:val="false"/>
          <w:color w:val="000000"/>
          <w:sz w:val="22"/>
        </w:rPr>
        <w:t>2.3    </w:t>
      </w:r>
      <w:r>
        <w:rPr>
          <w:rFonts w:ascii="Times New Roman;sans-serif" w:hAnsi="Times New Roman;sans-serif"/>
          <w:b/>
          <w:color w:val="000000"/>
          <w:sz w:val="22"/>
        </w:rPr>
        <w:t>Payment Timing and Proration</w:t>
      </w:r>
      <w:r>
        <w:rPr>
          <w:rFonts w:ascii="Times New Roman;sans-serif" w:hAnsi="Times New Roman;sans-serif"/>
          <w:b w:val="false"/>
          <w:color w:val="000000"/>
          <w:sz w:val="22"/>
        </w:rPr>
        <w:t>. Each annual cash retainer under this Policy will be paid quarterly in arrears on a prorated basis to each Outside Director who has served in the relevant capacity at any time during the immediately preceding fiscal quarter of the Company (“</w:t>
      </w:r>
      <w:r>
        <w:rPr>
          <w:rFonts w:ascii="Times New Roman;sans-serif" w:hAnsi="Times New Roman;sans-serif"/>
          <w:b/>
          <w:color w:val="000000"/>
          <w:sz w:val="22"/>
        </w:rPr>
        <w:t xml:space="preserve">Fiscal </w:t>
      </w:r>
      <w:r>
        <w:br w:type="page"/>
      </w:r>
    </w:p>
    <w:p>
      <w:pPr>
        <w:pStyle w:val="TextBody"/>
        <w:spacing w:before="0" w:after="0"/>
        <w:ind w:left="0" w:right="0" w:firstLine="720"/>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692265" cy="175260"/>
                <wp:effectExtent l="0" t="0" r="0" b="0"/>
                <wp:wrapNone/>
                <wp:docPr id="78" name="Frame78"/>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ind w:left="0" w:right="0" w:firstLine="72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before="0" w:after="0"/>
                        <w:ind w:left="0" w:right="0" w:firstLine="720"/>
                        <w:rPr/>
                      </w:pPr>
                      <w:r>
                        <w:rPr/>
                      </w:r>
                    </w:p>
                  </w:txbxContent>
                </v:textbox>
              </v:rect>
            </w:pict>
          </mc:Fallback>
        </mc:AlternateContent>
      </w:r>
    </w:p>
    <w:p>
      <w:pPr>
        <w:pStyle w:val="TextBody"/>
        <w:spacing w:lineRule="auto" w:line="240" w:before="240" w:after="283"/>
        <w:jc w:val="both"/>
        <w:rPr/>
      </w:pPr>
      <w:r>
        <w:rPr>
          <w:rFonts w:ascii="Times New Roman;sans-serif" w:hAnsi="Times New Roman;sans-serif"/>
          <w:b/>
          <w:color w:val="000000"/>
          <w:sz w:val="22"/>
        </w:rPr>
        <w:t>Quarter</w:t>
      </w:r>
      <w:r>
        <w:rPr>
          <w:color w:val="000000"/>
        </w:rPr>
        <w:t>”</w:t>
      </w:r>
      <w:r>
        <w:rPr>
          <w:rFonts w:ascii="Times New Roman;sans-serif" w:hAnsi="Times New Roman;sans-serif"/>
          <w:b w:val="false"/>
          <w:color w:val="000000"/>
          <w:sz w:val="22"/>
        </w:rPr>
        <w:t xml:space="preserve">), and such payment will be made no later than thirty (30) days following the end of such immediately preceding Fiscal Quarter. For clarity, an Outside Director who has served as an Outside Director, as a member of an applicable committee (or chair thereof), or as Lead Independent Director during only a portion of the relevant Fiscal Quarter will receive a prorated payment of the quarterly installment of the applicable annual cash retainer(s), calculated based on the number of days during such Fiscal Quarter such Outside Director has served in the relevant capacities. </w:t>
      </w:r>
    </w:p>
    <w:p>
      <w:pPr>
        <w:pStyle w:val="TextBody"/>
        <w:spacing w:lineRule="auto" w:line="240" w:before="240" w:after="283"/>
        <w:ind w:left="0" w:right="0" w:firstLine="720"/>
        <w:jc w:val="both"/>
        <w:rPr/>
      </w:pPr>
      <w:r>
        <w:rPr>
          <w:rFonts w:ascii="Times New Roman;sans-serif" w:hAnsi="Times New Roman;sans-serif"/>
          <w:b w:val="false"/>
          <w:color w:val="000000"/>
          <w:sz w:val="22"/>
        </w:rPr>
        <w:t>3.    </w:t>
      </w:r>
      <w:r>
        <w:rPr>
          <w:rFonts w:ascii="Times New Roman;sans-serif" w:hAnsi="Times New Roman;sans-serif"/>
          <w:b/>
          <w:color w:val="000000"/>
          <w:sz w:val="22"/>
        </w:rPr>
        <w:t>Equity Compensation</w:t>
      </w:r>
      <w:r>
        <w:rPr>
          <w:rFonts w:ascii="Times New Roman;sans-serif" w:hAnsi="Times New Roman;sans-serif"/>
          <w:b w:val="false"/>
          <w:color w:val="000000"/>
          <w:sz w:val="22"/>
        </w:rPr>
        <w:t>. Outside Directors will be eligible to receive all types of Awards (except Incentive Stock Options) under the Plan, including discretionary Awards not covered under this Policy. All grants of Awards to Outside Directors pursuant to Sections 3.2 and 3.3 of this Policy will be automatic and nondiscretionary, except as otherwise provided herein, and will be made in accordance with the following provisions:</w:t>
      </w:r>
    </w:p>
    <w:p>
      <w:pPr>
        <w:pStyle w:val="TextBody"/>
        <w:spacing w:lineRule="auto" w:line="240" w:before="240" w:after="283"/>
        <w:ind w:left="0" w:right="0" w:firstLine="1440"/>
        <w:jc w:val="both"/>
        <w:rPr/>
      </w:pPr>
      <w:r>
        <w:rPr>
          <w:rFonts w:ascii="Times New Roman;sans-serif" w:hAnsi="Times New Roman;sans-serif"/>
          <w:b w:val="false"/>
          <w:color w:val="000000"/>
          <w:sz w:val="22"/>
        </w:rPr>
        <w:t>3.1    </w:t>
      </w:r>
      <w:r>
        <w:rPr>
          <w:rFonts w:ascii="Times New Roman;sans-serif" w:hAnsi="Times New Roman;sans-serif"/>
          <w:b/>
          <w:color w:val="000000"/>
          <w:sz w:val="22"/>
        </w:rPr>
        <w:t>No Discretion</w:t>
      </w:r>
      <w:r>
        <w:rPr>
          <w:rFonts w:ascii="Times New Roman;sans-serif" w:hAnsi="Times New Roman;sans-serif"/>
          <w:b w:val="false"/>
          <w:color w:val="000000"/>
          <w:sz w:val="22"/>
        </w:rPr>
        <w:t>. No person will have any discretion to select which Outside Directors will be granted Awards under this Policy or to determine the number of Shares to be covered by such Awards (except as provided in Sections 3.5.4 and 10 below).</w:t>
      </w:r>
    </w:p>
    <w:p>
      <w:pPr>
        <w:pStyle w:val="TextBody"/>
        <w:spacing w:lineRule="auto" w:line="240" w:before="240" w:after="283"/>
        <w:ind w:left="0" w:right="0" w:firstLine="1440"/>
        <w:jc w:val="both"/>
        <w:rPr/>
      </w:pPr>
      <w:r>
        <w:rPr>
          <w:rFonts w:ascii="Times New Roman;sans-serif" w:hAnsi="Times New Roman;sans-serif"/>
          <w:b w:val="false"/>
          <w:color w:val="000000"/>
          <w:sz w:val="22"/>
        </w:rPr>
        <w:t>3.2    </w:t>
      </w:r>
      <w:r>
        <w:rPr>
          <w:rFonts w:ascii="Times New Roman;sans-serif" w:hAnsi="Times New Roman;sans-serif"/>
          <w:b/>
          <w:color w:val="000000"/>
          <w:sz w:val="22"/>
        </w:rPr>
        <w:t>Initial Awards</w:t>
      </w:r>
      <w:r>
        <w:rPr>
          <w:rFonts w:ascii="Times New Roman;sans-serif" w:hAnsi="Times New Roman;sans-serif"/>
          <w:b w:val="false"/>
          <w:color w:val="000000"/>
          <w:sz w:val="22"/>
        </w:rPr>
        <w:t>. Each individual who first becomes an Outside Director on or following the Restatement Date automatically will be granted an award of Options (an “</w:t>
      </w:r>
      <w:r>
        <w:rPr>
          <w:rFonts w:ascii="Times New Roman;sans-serif" w:hAnsi="Times New Roman;sans-serif"/>
          <w:b/>
          <w:color w:val="000000"/>
          <w:sz w:val="22"/>
        </w:rPr>
        <w:t>Initial Option Award</w:t>
      </w:r>
      <w:r>
        <w:rPr>
          <w:color w:val="000000"/>
        </w:rPr>
        <w:t>”</w:t>
      </w:r>
      <w:r>
        <w:rPr>
          <w:rFonts w:ascii="Times New Roman;sans-serif" w:hAnsi="Times New Roman;sans-serif"/>
          <w:b w:val="false"/>
          <w:color w:val="000000"/>
          <w:sz w:val="22"/>
        </w:rPr>
        <w:t>) and an award of Restricted Stock Units (an “</w:t>
      </w:r>
      <w:r>
        <w:rPr>
          <w:rFonts w:ascii="Times New Roman;sans-serif" w:hAnsi="Times New Roman;sans-serif"/>
          <w:b/>
          <w:color w:val="000000"/>
          <w:sz w:val="22"/>
        </w:rPr>
        <w:t>Initial RSU Award</w:t>
      </w:r>
      <w:r>
        <w:rPr>
          <w:color w:val="000000"/>
        </w:rPr>
        <w:t xml:space="preserve">” </w:t>
      </w:r>
      <w:r>
        <w:rPr>
          <w:rFonts w:ascii="Times New Roman;sans-serif" w:hAnsi="Times New Roman;sans-serif"/>
          <w:b w:val="false"/>
          <w:color w:val="000000"/>
          <w:sz w:val="22"/>
        </w:rPr>
        <w:t>and together with the Initial Option Award, the “</w:t>
      </w:r>
      <w:r>
        <w:rPr>
          <w:rFonts w:ascii="Times New Roman;sans-serif" w:hAnsi="Times New Roman;sans-serif"/>
          <w:b/>
          <w:color w:val="000000"/>
          <w:sz w:val="22"/>
        </w:rPr>
        <w:t>Initial Awards</w:t>
      </w:r>
      <w:r>
        <w:rPr>
          <w:color w:val="000000"/>
        </w:rPr>
        <w:t>”</w:t>
      </w:r>
      <w:r>
        <w:rPr>
          <w:rFonts w:ascii="Times New Roman;sans-serif" w:hAnsi="Times New Roman;sans-serif"/>
          <w:b w:val="false"/>
          <w:color w:val="000000"/>
          <w:sz w:val="22"/>
        </w:rPr>
        <w:t>) together will have an aggregate Value as of the Initial Awards’ grant date equal to $367,500, with the Initial Option Award will have a Value equal to fifty percent (50%) of such dollar amount, and the Initial RSU Award will have a Value equal to fifty percent (50%) of such dollar amount, subject to Section 3.4 below. The grant date of the Initial Awards will be the first Trading Day on or after the date on which such individual first becomes an Outside Director (such first date as an Outside Director, the “</w:t>
      </w:r>
      <w:r>
        <w:rPr>
          <w:rFonts w:ascii="Times New Roman;sans-serif" w:hAnsi="Times New Roman;sans-serif"/>
          <w:b/>
          <w:color w:val="000000"/>
          <w:sz w:val="22"/>
        </w:rPr>
        <w:t>Initial Start Date</w:t>
      </w:r>
      <w:r>
        <w:rPr>
          <w:color w:val="000000"/>
        </w:rPr>
        <w:t>”</w:t>
      </w:r>
      <w:r>
        <w:rPr>
          <w:rFonts w:ascii="Times New Roman;sans-serif" w:hAnsi="Times New Roman;sans-serif"/>
          <w:b w:val="false"/>
          <w:color w:val="000000"/>
          <w:sz w:val="22"/>
        </w:rPr>
        <w:t>), whether through election by the stockholders of the Company or appointment by the Board to fill a vacancy. If an individual was an Inside Director, becoming an Outside Director due to termination of the individual’s status as an Employee will not entitle the Outside Director to any Initial Awards. Each Initial Award will be scheduled to vest as to one-third (1/3rd) of the Shares subject to the Initial Award on each of the one (1), two (2) and three (3) year anniversaries of the Initial Start Date, subject to the Outside Director remaining a Service Provider through the applicable vesting date.</w:t>
      </w:r>
    </w:p>
    <w:p>
      <w:pPr>
        <w:pStyle w:val="TextBody"/>
        <w:spacing w:lineRule="auto" w:line="240" w:before="240" w:after="283"/>
        <w:ind w:left="0" w:right="0" w:firstLine="1440"/>
        <w:jc w:val="both"/>
        <w:rPr/>
      </w:pPr>
      <w:r>
        <w:rPr>
          <w:rFonts w:ascii="Times New Roman;sans-serif" w:hAnsi="Times New Roman;sans-serif"/>
          <w:b w:val="false"/>
          <w:color w:val="000000"/>
          <w:sz w:val="22"/>
        </w:rPr>
        <w:t>3.3    </w:t>
      </w:r>
      <w:r>
        <w:rPr>
          <w:rFonts w:ascii="Times New Roman;sans-serif" w:hAnsi="Times New Roman;sans-serif"/>
          <w:b/>
          <w:color w:val="000000"/>
          <w:sz w:val="22"/>
        </w:rPr>
        <w:t>Annual Award</w:t>
      </w:r>
      <w:r>
        <w:rPr>
          <w:rFonts w:ascii="Times New Roman;sans-serif" w:hAnsi="Times New Roman;sans-serif"/>
          <w:b w:val="false"/>
          <w:color w:val="000000"/>
          <w:sz w:val="22"/>
        </w:rPr>
        <w:t>. On the date of each Annual Meeting of the Company’s stockholders (an “</w:t>
      </w:r>
      <w:r>
        <w:rPr>
          <w:rFonts w:ascii="Times New Roman;sans-serif" w:hAnsi="Times New Roman;sans-serif"/>
          <w:b/>
          <w:color w:val="000000"/>
          <w:sz w:val="22"/>
        </w:rPr>
        <w:t>Annual Meeting</w:t>
      </w:r>
      <w:r>
        <w:rPr>
          <w:color w:val="000000"/>
        </w:rPr>
        <w:t>”</w:t>
      </w:r>
      <w:r>
        <w:rPr>
          <w:rFonts w:ascii="Times New Roman;sans-serif" w:hAnsi="Times New Roman;sans-serif"/>
          <w:b w:val="false"/>
          <w:color w:val="000000"/>
          <w:sz w:val="22"/>
        </w:rPr>
        <w:t>) that occurs on or after the Restatement Date, each Outside Director automatically will be granted an award of Options (the “</w:t>
      </w:r>
      <w:r>
        <w:rPr>
          <w:rFonts w:ascii="Times New Roman;sans-serif" w:hAnsi="Times New Roman;sans-serif"/>
          <w:b/>
          <w:color w:val="000000"/>
          <w:sz w:val="22"/>
        </w:rPr>
        <w:t>Annual Option Award</w:t>
      </w:r>
      <w:r>
        <w:rPr>
          <w:color w:val="000000"/>
        </w:rPr>
        <w:t>”</w:t>
      </w:r>
      <w:r>
        <w:rPr>
          <w:rFonts w:ascii="Times New Roman;sans-serif" w:hAnsi="Times New Roman;sans-serif"/>
          <w:b w:val="false"/>
          <w:color w:val="000000"/>
          <w:sz w:val="22"/>
        </w:rPr>
        <w:t>) and an award of Restricted Stock Units (an “</w:t>
      </w:r>
      <w:r>
        <w:rPr>
          <w:rFonts w:ascii="Times New Roman;sans-serif" w:hAnsi="Times New Roman;sans-serif"/>
          <w:b/>
          <w:color w:val="000000"/>
          <w:sz w:val="22"/>
        </w:rPr>
        <w:t>Annual RSU Award</w:t>
      </w:r>
      <w:r>
        <w:rPr>
          <w:color w:val="000000"/>
        </w:rPr>
        <w:t xml:space="preserve">” </w:t>
      </w:r>
      <w:r>
        <w:rPr>
          <w:rFonts w:ascii="Times New Roman;sans-serif" w:hAnsi="Times New Roman;sans-serif"/>
          <w:b w:val="false"/>
          <w:color w:val="000000"/>
          <w:sz w:val="22"/>
        </w:rPr>
        <w:t>and together with the Annual Option Award, the “</w:t>
      </w:r>
      <w:r>
        <w:rPr>
          <w:rFonts w:ascii="Times New Roman;sans-serif" w:hAnsi="Times New Roman;sans-serif"/>
          <w:b/>
          <w:color w:val="000000"/>
          <w:sz w:val="22"/>
        </w:rPr>
        <w:t>Annual Awards</w:t>
      </w:r>
      <w:r>
        <w:rPr>
          <w:color w:val="000000"/>
        </w:rPr>
        <w:t>”</w:t>
      </w:r>
      <w:r>
        <w:rPr>
          <w:rFonts w:ascii="Times New Roman;sans-serif" w:hAnsi="Times New Roman;sans-serif"/>
          <w:b w:val="false"/>
          <w:color w:val="000000"/>
          <w:sz w:val="22"/>
        </w:rPr>
        <w:t>) together will have an aggregate Value as of the Annual Awards’ grant date equal to $183,750, with the Annual Option Award will have a Value equal to fifty percent (50%) of such dollar amount, and the Annual RSU Award will have a Value equal to fifty percent (50%) of such dollar amount, subject to Section 3.4 below; provided that any Outside Director who is not continuing as an Outside Director following the applicable Annual Meeting will not receive any Annual Awards with respect to such Annual Meeting; provided, further, however, that if an individual commenced service as an Outside Director after the date of the Annual Meeting that occurred immediately prior to such Annual Meeting, then the Annual Awards granted to such Outside Director will be prorated based on the number of whole months that the individual served as an Outside Director prior to the Annual Award’s grant date during the twelve (12) month period immediately preceding such Annual Meeting (with any resulting fractional Share rounded down to the nearest whole Share). Each Annual Award will be scheduled to vest as to all of the Shares subject to the Annual Award on the earlier of (i) the one (1) year anniversary of the date the Annual Award is granted or (ii) the day immediately before the date of the next Annual Meeting that occurs after the Annual Award’s grant date, subject to the Outside Director remaining a Service Provider through the applicable vesting date.</w:t>
      </w:r>
      <w:r>
        <w:rPr>
          <w:color w:val="000000"/>
          <w:highlight w:val="white"/>
        </w:rPr>
        <w:t xml:space="preserve"> </w:t>
      </w:r>
    </w:p>
    <w:p>
      <w:pPr>
        <w:pStyle w:val="TextBody"/>
        <w:spacing w:lineRule="auto" w:line="240" w:before="240" w:after="283"/>
        <w:ind w:left="0" w:right="0" w:firstLine="1440"/>
        <w:jc w:val="both"/>
        <w:rPr/>
      </w:pPr>
      <w:r>
        <w:rPr>
          <w:rFonts w:ascii="Times New Roman;sans-serif" w:hAnsi="Times New Roman;sans-serif"/>
          <w:b w:val="false"/>
          <w:color w:val="000000"/>
          <w:sz w:val="22"/>
        </w:rPr>
        <w:t>3.4    </w:t>
      </w:r>
      <w:r>
        <w:rPr>
          <w:rFonts w:ascii="Times New Roman;sans-serif" w:hAnsi="Times New Roman;sans-serif"/>
          <w:b/>
          <w:color w:val="000000"/>
          <w:sz w:val="22"/>
        </w:rPr>
        <w:t>Value</w:t>
      </w:r>
      <w:r>
        <w:rPr>
          <w:rFonts w:ascii="Times New Roman;sans-serif" w:hAnsi="Times New Roman;sans-serif"/>
          <w:b w:val="false"/>
          <w:color w:val="000000"/>
          <w:sz w:val="22"/>
        </w:rPr>
        <w:t>. For purposes of this Policy, “</w:t>
      </w:r>
      <w:r>
        <w:rPr>
          <w:rFonts w:ascii="Times New Roman;sans-serif" w:hAnsi="Times New Roman;sans-serif"/>
          <w:b/>
          <w:color w:val="000000"/>
          <w:sz w:val="22"/>
        </w:rPr>
        <w:t>Value</w:t>
      </w:r>
      <w:r>
        <w:rPr>
          <w:color w:val="000000"/>
        </w:rPr>
        <w:t xml:space="preserve">” </w:t>
      </w:r>
      <w:r>
        <w:rPr>
          <w:rFonts w:ascii="Times New Roman;sans-serif" w:hAnsi="Times New Roman;sans-serif"/>
          <w:b w:val="false"/>
          <w:color w:val="000000"/>
          <w:sz w:val="22"/>
        </w:rPr>
        <w:t>means, with respect to (i) each Initial Option Award and Annual Option Award (each, an “</w:t>
      </w:r>
      <w:r>
        <w:rPr>
          <w:rFonts w:ascii="Times New Roman;sans-serif" w:hAnsi="Times New Roman;sans-serif"/>
          <w:b/>
          <w:color w:val="000000"/>
          <w:sz w:val="22"/>
        </w:rPr>
        <w:t>Option Award</w:t>
      </w:r>
      <w:r>
        <w:rPr>
          <w:color w:val="000000"/>
        </w:rPr>
        <w:t>”</w:t>
      </w:r>
      <w:r>
        <w:rPr>
          <w:rFonts w:ascii="Times New Roman;sans-serif" w:hAnsi="Times New Roman;sans-serif"/>
          <w:b w:val="false"/>
          <w:color w:val="000000"/>
          <w:sz w:val="22"/>
        </w:rPr>
        <w:t>), its grant date fair value calculated in accordance with U.S. generally accepted accounting principles (“</w:t>
      </w:r>
      <w:r>
        <w:rPr>
          <w:rFonts w:ascii="Times New Roman;sans-serif" w:hAnsi="Times New Roman;sans-serif"/>
          <w:b/>
          <w:color w:val="000000"/>
          <w:sz w:val="22"/>
        </w:rPr>
        <w:t>GAAP</w:t>
      </w:r>
      <w:r>
        <w:rPr>
          <w:color w:val="000000"/>
        </w:rPr>
        <w:t>”</w:t>
      </w:r>
      <w:r>
        <w:rPr>
          <w:rFonts w:ascii="Times New Roman;sans-serif" w:hAnsi="Times New Roman;sans-serif"/>
          <w:b w:val="false"/>
          <w:color w:val="000000"/>
          <w:sz w:val="22"/>
        </w:rPr>
        <w:t xml:space="preserve">), except that solely for purposes of the fair market value of a share of the Company’s Common Stock as of the date of grant assumed in determining such grant date fair value (provided that exercise price to be used will be as </w:t>
      </w:r>
      <w:r>
        <w:br w:type="page"/>
      </w:r>
    </w:p>
    <w:p>
      <w:pPr>
        <w:pStyle w:val="TextBody"/>
        <w:spacing w:before="0" w:after="0"/>
        <w:ind w:left="0" w:right="0" w:firstLine="720"/>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692265" cy="175260"/>
                <wp:effectExtent l="0" t="0" r="0" b="0"/>
                <wp:wrapNone/>
                <wp:docPr id="79" name="Frame79"/>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ind w:left="0" w:right="0" w:firstLine="72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before="0" w:after="0"/>
                        <w:ind w:left="0" w:right="0" w:firstLine="720"/>
                        <w:rPr/>
                      </w:pPr>
                      <w:r>
                        <w:rPr/>
                      </w:r>
                    </w:p>
                  </w:txbxContent>
                </v:textbox>
              </v:rect>
            </w:pict>
          </mc:Fallback>
        </mc:AlternateContent>
      </w:r>
    </w:p>
    <w:p>
      <w:pPr>
        <w:pStyle w:val="TextBody"/>
        <w:spacing w:lineRule="auto" w:line="240" w:before="240" w:after="283"/>
        <w:jc w:val="both"/>
        <w:rPr/>
      </w:pPr>
      <w:r>
        <w:rPr>
          <w:rFonts w:ascii="Times New Roman;sans-serif" w:hAnsi="Times New Roman;sans-serif"/>
          <w:b w:val="false"/>
          <w:color w:val="000000"/>
          <w:sz w:val="22"/>
        </w:rPr>
        <w:t>determined in accordance with Section 3.5.2), the average of the closing prices of the Company’s Common Stock in each trading day occurring during the consecutive, 30 trailing calendar day period ending on (and inclusive of) the Friday immediately preceding the grant date of the Award (the “30-Day Average”) will be used, or such other methodology the Board or its Committee may determine prior to the grant of the Option Award becoming effective, as applicable, and (ii) each Initial RSU Award and Annual RSU Award (each, an “</w:t>
      </w:r>
      <w:r>
        <w:rPr>
          <w:rFonts w:ascii="Times New Roman;sans-serif" w:hAnsi="Times New Roman;sans-serif"/>
          <w:b/>
          <w:color w:val="000000"/>
          <w:sz w:val="22"/>
        </w:rPr>
        <w:t>RSU Award</w:t>
      </w:r>
      <w:r>
        <w:rPr>
          <w:color w:val="000000"/>
        </w:rPr>
        <w:t>”</w:t>
      </w:r>
      <w:r>
        <w:rPr>
          <w:rFonts w:ascii="Times New Roman;sans-serif" w:hAnsi="Times New Roman;sans-serif"/>
          <w:b w:val="false"/>
          <w:color w:val="000000"/>
          <w:sz w:val="22"/>
        </w:rPr>
        <w:t xml:space="preserve">), the 30-Day Average of the Shares subject thereto, or such other methodology the Board or its Committee may determine prior to the grant of the RSU Award becoming effective, as applicable; provided, however, that any Option Award and RSU Award will cover only a whole number of Shares, such that any fractional Share that otherwise would result from a given Value will be rounded down and will not become subject to such Option Award or RSU Award. </w:t>
      </w:r>
    </w:p>
    <w:p>
      <w:pPr>
        <w:pStyle w:val="TextBody"/>
        <w:spacing w:lineRule="auto" w:line="240" w:before="240" w:after="283"/>
        <w:ind w:left="0" w:right="0" w:firstLine="1440"/>
        <w:jc w:val="both"/>
        <w:rPr/>
      </w:pPr>
      <w:r>
        <w:rPr>
          <w:rFonts w:ascii="Times New Roman;sans-serif" w:hAnsi="Times New Roman;sans-serif"/>
          <w:b w:val="false"/>
          <w:color w:val="000000"/>
          <w:sz w:val="22"/>
        </w:rPr>
        <w:t>3.5</w:t>
      </w:r>
      <w:r>
        <w:rPr>
          <w:color w:val="000000"/>
        </w:rPr>
        <w:t>    </w:t>
      </w:r>
      <w:r>
        <w:rPr>
          <w:rFonts w:ascii="Times New Roman;sans-serif" w:hAnsi="Times New Roman;sans-serif"/>
          <w:b/>
          <w:color w:val="000000"/>
          <w:sz w:val="22"/>
        </w:rPr>
        <w:t>Additional Terms of Initial Awards and Annual Awards</w:t>
      </w:r>
      <w:r>
        <w:rPr>
          <w:rFonts w:ascii="Times New Roman;sans-serif" w:hAnsi="Times New Roman;sans-serif"/>
          <w:b w:val="false"/>
          <w:color w:val="000000"/>
          <w:sz w:val="22"/>
        </w:rPr>
        <w:t>. The terms and conditions of each Option Award and RSU Award will be as follows.</w:t>
      </w:r>
    </w:p>
    <w:p>
      <w:pPr>
        <w:pStyle w:val="TextBody"/>
        <w:spacing w:lineRule="auto" w:line="240" w:before="240" w:after="283"/>
        <w:ind w:left="0" w:right="0" w:firstLine="2880"/>
        <w:jc w:val="both"/>
        <w:rPr>
          <w:rFonts w:ascii="Times New Roman;sans-serif" w:hAnsi="Times New Roman;sans-serif"/>
          <w:b w:val="false"/>
          <w:color w:val="000000"/>
          <w:sz w:val="22"/>
        </w:rPr>
      </w:pPr>
      <w:r>
        <w:rPr>
          <w:rFonts w:ascii="Times New Roman;sans-serif" w:hAnsi="Times New Roman;sans-serif"/>
          <w:b w:val="false"/>
          <w:color w:val="000000"/>
          <w:sz w:val="22"/>
        </w:rPr>
        <w:t>3.5.1    The term of each Option Award will be ten (10) years, subject to earlier termination as provided in the Plan.</w:t>
      </w:r>
    </w:p>
    <w:p>
      <w:pPr>
        <w:pStyle w:val="TextBody"/>
        <w:spacing w:lineRule="auto" w:line="240" w:before="240" w:after="283"/>
        <w:ind w:left="0" w:right="0" w:firstLine="2880"/>
        <w:jc w:val="both"/>
        <w:rPr>
          <w:rFonts w:ascii="Times New Roman;sans-serif" w:hAnsi="Times New Roman;sans-serif"/>
          <w:b w:val="false"/>
          <w:color w:val="000000"/>
          <w:sz w:val="22"/>
        </w:rPr>
      </w:pPr>
      <w:r>
        <w:rPr>
          <w:rFonts w:ascii="Times New Roman;sans-serif" w:hAnsi="Times New Roman;sans-serif"/>
          <w:b w:val="false"/>
          <w:color w:val="000000"/>
          <w:sz w:val="22"/>
        </w:rPr>
        <w:t>3.5.2    The per Share exercise price of each Option Award will be equal to one hundred percent (100%) of the Fair Market Value per Share on such Option Award’s grant date.</w:t>
      </w:r>
    </w:p>
    <w:p>
      <w:pPr>
        <w:pStyle w:val="TextBody"/>
        <w:spacing w:lineRule="auto" w:line="240" w:before="240" w:after="283"/>
        <w:ind w:left="0" w:right="0" w:firstLine="2880"/>
        <w:jc w:val="both"/>
        <w:rPr>
          <w:rFonts w:ascii="Times New Roman;sans-serif" w:hAnsi="Times New Roman;sans-serif"/>
          <w:b w:val="false"/>
          <w:color w:val="000000"/>
          <w:sz w:val="22"/>
        </w:rPr>
      </w:pPr>
      <w:r>
        <w:rPr>
          <w:rFonts w:ascii="Times New Roman;sans-serif" w:hAnsi="Times New Roman;sans-serif"/>
          <w:b w:val="false"/>
          <w:color w:val="000000"/>
          <w:sz w:val="22"/>
        </w:rPr>
        <w:t>3.5.3    Each Option Award and RSU Award will be granted under and subject to the terms and conditions of the Plan and the applicable form of Award Agreement previously approved by the Board or its Committee (as defined below), as applicable, for use thereunder.</w:t>
      </w:r>
    </w:p>
    <w:p>
      <w:pPr>
        <w:pStyle w:val="TextBody"/>
        <w:spacing w:lineRule="auto" w:line="240" w:before="240" w:after="283"/>
        <w:ind w:left="0" w:right="0" w:firstLine="288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3.5.4    The Board or its Committee, as applicable and in its discretion, may change and otherwise revise the terms of Option Awards and RSU Awards to be granted in the future pursuant to this Policy, including without limitation the number of Shares subject thereto and type of Award. </w:t>
      </w:r>
    </w:p>
    <w:p>
      <w:pPr>
        <w:pStyle w:val="TextBody"/>
        <w:spacing w:lineRule="auto" w:line="240" w:before="240" w:after="283"/>
        <w:ind w:left="0" w:right="0" w:firstLine="720"/>
        <w:jc w:val="both"/>
        <w:rPr/>
      </w:pPr>
      <w:r>
        <w:rPr>
          <w:rFonts w:ascii="Times New Roman;sans-serif" w:hAnsi="Times New Roman;sans-serif"/>
          <w:b w:val="false"/>
          <w:color w:val="000000"/>
          <w:sz w:val="22"/>
        </w:rPr>
        <w:t>4.    </w:t>
      </w:r>
      <w:r>
        <w:rPr>
          <w:rFonts w:ascii="Times New Roman;sans-serif" w:hAnsi="Times New Roman;sans-serif"/>
          <w:b/>
          <w:color w:val="000000"/>
          <w:sz w:val="22"/>
        </w:rPr>
        <w:t>Change in Control</w:t>
      </w:r>
      <w:r>
        <w:rPr>
          <w:rFonts w:ascii="Times New Roman;sans-serif" w:hAnsi="Times New Roman;sans-serif"/>
          <w:b w:val="false"/>
          <w:color w:val="000000"/>
          <w:sz w:val="22"/>
        </w:rPr>
        <w:t>. In the event of a Change in Control, each Outside Director will fully vest in his or her outstanding Company equity awards that were granted to him or her while an Outside Director, as of immediately prior to the Change in Control, including any Option Award and RSU Award, provided that the Outside Director continues to be an Outside Director through the date of such Change in Control.</w:t>
      </w:r>
    </w:p>
    <w:p>
      <w:pPr>
        <w:pStyle w:val="TextBody"/>
        <w:spacing w:lineRule="auto" w:line="240" w:before="240" w:after="283"/>
        <w:ind w:left="0" w:right="0" w:firstLine="720"/>
        <w:jc w:val="both"/>
        <w:rPr/>
      </w:pPr>
      <w:r>
        <w:rPr>
          <w:rFonts w:ascii="Times New Roman;sans-serif" w:hAnsi="Times New Roman;sans-serif"/>
          <w:b w:val="false"/>
          <w:color w:val="000000"/>
          <w:sz w:val="22"/>
        </w:rPr>
        <w:t>5.    </w:t>
      </w:r>
      <w:r>
        <w:rPr>
          <w:rFonts w:ascii="Times New Roman;sans-serif" w:hAnsi="Times New Roman;sans-serif"/>
          <w:b/>
          <w:color w:val="000000"/>
          <w:sz w:val="22"/>
        </w:rPr>
        <w:t>Annual Compensation Limit</w:t>
      </w:r>
      <w:r>
        <w:rPr>
          <w:rFonts w:ascii="Times New Roman;sans-serif" w:hAnsi="Times New Roman;sans-serif"/>
          <w:b w:val="false"/>
          <w:color w:val="000000"/>
          <w:sz w:val="22"/>
        </w:rPr>
        <w:t>. No Outside Director may be granted, in any Fiscal Year, Awards with values (based on their grant date fair value determined in accordance with U.S. GAAP) and be provided any other compensation (including without limitation any cash retainers or fees) in amounts that, in any Fiscal Year, in the aggregate, exceed $750,000, provided that such amount is increased to $1,000,000 in the Fiscal Year of his or her initial service as an Outside Director. Any Awards or other compensation provided to an individual (a) for his or her services as an Employee, or for his or her services as a Consultant other than as an Outside Director, or (b) prior to the Registration Date, will be excluded for purposes of this Section 5.</w:t>
      </w:r>
    </w:p>
    <w:p>
      <w:pPr>
        <w:pStyle w:val="TextBody"/>
        <w:spacing w:lineRule="auto" w:line="240" w:before="240" w:after="283"/>
        <w:ind w:left="0" w:right="0" w:firstLine="720"/>
        <w:jc w:val="both"/>
        <w:rPr/>
      </w:pPr>
      <w:r>
        <w:rPr>
          <w:rFonts w:ascii="Times New Roman;sans-serif" w:hAnsi="Times New Roman;sans-serif"/>
          <w:b w:val="false"/>
          <w:color w:val="000000"/>
          <w:sz w:val="22"/>
        </w:rPr>
        <w:t>6.    </w:t>
      </w:r>
      <w:r>
        <w:rPr>
          <w:rFonts w:ascii="Times New Roman;sans-serif" w:hAnsi="Times New Roman;sans-serif"/>
          <w:b/>
          <w:color w:val="000000"/>
          <w:sz w:val="22"/>
        </w:rPr>
        <w:t>Travel Expenses</w:t>
      </w:r>
      <w:r>
        <w:rPr>
          <w:rFonts w:ascii="Times New Roman;sans-serif" w:hAnsi="Times New Roman;sans-serif"/>
          <w:b w:val="false"/>
          <w:color w:val="000000"/>
          <w:sz w:val="22"/>
        </w:rPr>
        <w:t>. Each Outside Director’s reasonable, customary and properly documented travel expenses to meetings of the Board and any of its committees, as applicable, will be reimbursed by the Company.</w:t>
      </w:r>
    </w:p>
    <w:p>
      <w:pPr>
        <w:pStyle w:val="TextBody"/>
        <w:spacing w:lineRule="auto" w:line="240" w:before="240" w:after="283"/>
        <w:ind w:left="0" w:right="0" w:firstLine="720"/>
        <w:jc w:val="both"/>
        <w:rPr/>
      </w:pPr>
      <w:r>
        <w:rPr>
          <w:rFonts w:ascii="Times New Roman;sans-serif" w:hAnsi="Times New Roman;sans-serif"/>
          <w:b w:val="false"/>
          <w:color w:val="000000"/>
          <w:sz w:val="22"/>
        </w:rPr>
        <w:t>7.    </w:t>
      </w:r>
      <w:r>
        <w:rPr>
          <w:rFonts w:ascii="Times New Roman;sans-serif" w:hAnsi="Times New Roman;sans-serif"/>
          <w:b/>
          <w:color w:val="000000"/>
          <w:sz w:val="22"/>
        </w:rPr>
        <w:t>Adjustments</w:t>
      </w:r>
      <w:r>
        <w:rPr>
          <w:rFonts w:ascii="Times New Roman;sans-serif" w:hAnsi="Times New Roman;sans-serif"/>
          <w:b w:val="false"/>
          <w:color w:val="000000"/>
          <w:sz w:val="22"/>
        </w:rPr>
        <w:t xml:space="preserve">.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this Policy, will adjust the number and class of shares of stock that may be delivered pursuant to Option Awards and RSU Awards and/or the number, class, and price of shares of stock covered by each outstanding Option Award and RSU Award. </w:t>
      </w:r>
      <w:r>
        <w:br w:type="page"/>
      </w:r>
    </w:p>
    <w:p>
      <w:pPr>
        <w:pStyle w:val="TextBody"/>
        <w:spacing w:before="0" w:after="0"/>
        <w:ind w:left="0" w:right="0" w:firstLine="720"/>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692265" cy="175260"/>
                <wp:effectExtent l="0" t="0" r="0" b="0"/>
                <wp:wrapNone/>
                <wp:docPr id="80" name="Frame80"/>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ind w:left="0" w:right="0" w:firstLine="72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before="0" w:after="0"/>
                        <w:ind w:left="0" w:right="0" w:firstLine="720"/>
                        <w:rPr/>
                      </w:pPr>
                      <w:r>
                        <w:rPr/>
                      </w:r>
                    </w:p>
                  </w:txbxContent>
                </v:textbox>
              </v:rect>
            </w:pict>
          </mc:Fallback>
        </mc:AlternateContent>
      </w:r>
    </w:p>
    <w:p>
      <w:pPr>
        <w:pStyle w:val="TextBody"/>
        <w:spacing w:lineRule="auto" w:line="240" w:before="240" w:after="283"/>
        <w:ind w:left="0" w:right="0" w:firstLine="720"/>
        <w:jc w:val="both"/>
        <w:rPr/>
      </w:pPr>
      <w:r>
        <w:rPr>
          <w:rFonts w:ascii="Times New Roman;sans-serif" w:hAnsi="Times New Roman;sans-serif"/>
          <w:b w:val="false"/>
          <w:color w:val="000000"/>
          <w:sz w:val="22"/>
        </w:rPr>
        <w:t>8.    </w:t>
      </w:r>
      <w:r>
        <w:rPr>
          <w:rFonts w:ascii="Times New Roman;sans-serif" w:hAnsi="Times New Roman;sans-serif"/>
          <w:b/>
          <w:color w:val="000000"/>
          <w:sz w:val="22"/>
        </w:rPr>
        <w:t>Section 409A</w:t>
      </w:r>
      <w:r>
        <w:rPr>
          <w:rFonts w:ascii="Times New Roman;sans-serif" w:hAnsi="Times New Roman;sans-serif"/>
          <w:b w:val="false"/>
          <w:color w:val="000000"/>
          <w:sz w:val="22"/>
        </w:rPr>
        <w:t>. In no event will cash compensation or expense reimbursement payments under this Policy be paid after the later of (a) the fifteenth (15th) day of the third (3rd) month following the end of the Company’s taxable year in which the compensation is earned or expenses are incurred, as applicable, or (b) the fifteenth (15th) day of the third (3rd) month following the end of the calendar year in which the compensation is earned or expenses are incurred, as applicable, in compliance with the “short-term deferral” exception under Section 409A. It is the intent of this Policy that this Policy and all payments hereunder be exempt from or otherwise comply with the requirements of Section 409A so that none of the compensation to be provided hereunder will be subject to the additional tax imposed under Section 409A, and any ambiguities or ambiguous terms herein will be interpreted to be so exempt or comply. In no event will the Company or any of its Parents or Subsidiaries have any responsibility, liability, or obligation to reimburse, indemnify, or hold harmless an Outside Director (or any other person) for any taxes imposed, or other costs incurred, as a result of Section 409A.</w:t>
      </w:r>
    </w:p>
    <w:p>
      <w:pPr>
        <w:pStyle w:val="TextBody"/>
        <w:spacing w:lineRule="auto" w:line="240" w:before="240" w:after="283"/>
        <w:ind w:left="0" w:right="0" w:firstLine="720"/>
        <w:jc w:val="both"/>
        <w:rPr/>
      </w:pPr>
      <w:r>
        <w:rPr>
          <w:rFonts w:ascii="Times New Roman;sans-serif" w:hAnsi="Times New Roman;sans-serif"/>
          <w:b w:val="false"/>
          <w:color w:val="000000"/>
          <w:sz w:val="22"/>
        </w:rPr>
        <w:t>9.    </w:t>
      </w:r>
      <w:r>
        <w:rPr>
          <w:rFonts w:ascii="Times New Roman;sans-serif" w:hAnsi="Times New Roman;sans-serif"/>
          <w:b/>
          <w:color w:val="000000"/>
          <w:sz w:val="22"/>
        </w:rPr>
        <w:t>Stockholder Approval</w:t>
      </w:r>
      <w:r>
        <w:rPr>
          <w:rFonts w:ascii="Times New Roman;sans-serif" w:hAnsi="Times New Roman;sans-serif"/>
          <w:b w:val="false"/>
          <w:color w:val="000000"/>
          <w:sz w:val="22"/>
        </w:rPr>
        <w:t>. This Policy as initially adopted was approved by the Company’s stockholders prior to its initial effective date. Unless otherwise required by applicable law, following such approval, this Policy will not be subject to approval by the Company’s stockholders, including, for clarity, as a result of or in connection with any action taken with respect to this Policy as contemplated in Section 10.</w:t>
      </w:r>
    </w:p>
    <w:p>
      <w:pPr>
        <w:pStyle w:val="TextBody"/>
        <w:spacing w:lineRule="auto" w:line="240" w:before="240" w:after="283"/>
        <w:ind w:left="0" w:right="0" w:firstLine="720"/>
        <w:jc w:val="both"/>
        <w:rPr/>
      </w:pPr>
      <w:r>
        <w:rPr>
          <w:rFonts w:ascii="Times New Roman;sans-serif" w:hAnsi="Times New Roman;sans-serif"/>
          <w:b w:val="false"/>
          <w:color w:val="000000"/>
          <w:sz w:val="22"/>
        </w:rPr>
        <w:t>10.    </w:t>
      </w:r>
      <w:r>
        <w:rPr>
          <w:rFonts w:ascii="Times New Roman;sans-serif" w:hAnsi="Times New Roman;sans-serif"/>
          <w:b/>
          <w:color w:val="000000"/>
          <w:sz w:val="22"/>
        </w:rPr>
        <w:t>Revisions</w:t>
      </w:r>
      <w:r>
        <w:rPr>
          <w:rFonts w:ascii="Times New Roman;sans-serif" w:hAnsi="Times New Roman;sans-serif"/>
          <w:b w:val="false"/>
          <w:color w:val="000000"/>
          <w:sz w:val="22"/>
        </w:rPr>
        <w:t>. The Board or any committee of the Board that has been designated appropriate authority with respect to Outside Director compensation (or with respect to any applicable element or elements thereof, authority with respect to such element or elements) (the “</w:t>
      </w:r>
      <w:r>
        <w:rPr>
          <w:rFonts w:ascii="Times New Roman;sans-serif" w:hAnsi="Times New Roman;sans-serif"/>
          <w:b/>
          <w:color w:val="000000"/>
          <w:sz w:val="22"/>
        </w:rPr>
        <w:t>Committee</w:t>
      </w:r>
      <w:r>
        <w:rPr>
          <w:color w:val="000000"/>
        </w:rPr>
        <w:t>”</w:t>
      </w:r>
      <w:r>
        <w:rPr>
          <w:rFonts w:ascii="Times New Roman;sans-serif" w:hAnsi="Times New Roman;sans-serif"/>
          <w:b w:val="false"/>
          <w:color w:val="000000"/>
          <w:sz w:val="22"/>
        </w:rPr>
        <w:t>) may amend, alter, suspend or terminate this Policy at any time and for any reason. Further, the Board may provide for cash, equity, or other compensation to Outside Directors in addition to the compensation provided under this Policy. No amendment, alteration, suspension or termination of this Policy will materially impair the rights of an Outside Director with respect to compensation that already has been paid or awarded, unless otherwise mutually agreed between the Outside Director and the Company. Termination of this Policy will not affect the Board’s or the Committee’s ability to exercise the powers granted to it with respect to Awards granted under the Plan pursuant to this Policy before the date of such termination, including without limitation such applicable powers set forth in the Plan.</w:t>
      </w:r>
    </w:p>
    <w:p>
      <w:pPr>
        <w:pStyle w:val="TextBody"/>
        <w:spacing w:lineRule="auto" w:line="240" w:before="120" w:after="283"/>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 * *</w:t>
      </w:r>
    </w:p>
    <w:p>
      <w:pPr>
        <w:pStyle w:val="TextBody"/>
        <w:spacing w:before="240" w:after="283"/>
        <w:jc w:val="center"/>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692265" cy="175260"/>
                <wp:effectExtent l="0" t="0" r="0" b="0"/>
                <wp:wrapNone/>
                <wp:docPr id="81" name="Frame81"/>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ind w:left="0" w:right="0" w:firstLine="72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720"/>
                        <w:rPr/>
                      </w:pPr>
                      <w:r>
                        <w:rPr/>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 31.1</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RULES 13a-14(a) AND 15d-14(a) UNDER THE SECURITIES EXCHANGE ACT OF 1934, AS ADOPTED PURSUANT TO SECTION 302 OF THE SARBANES-OXLEY ACT OF 2002</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 Omid Farokhzad, certify that:</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Seer, Inc.;</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0"/>
        <w:rPr/>
      </w:pPr>
      <w:r>
        <w:rPr/>
      </w:r>
    </w:p>
    <w:p>
      <w:pPr>
        <w:pStyle w:val="TextBody"/>
        <w:spacing w:before="0" w:after="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692265" cy="175260"/>
                <wp:effectExtent l="0" t="0" r="0" b="0"/>
                <wp:wrapNone/>
                <wp:docPr id="82" name="Frame82"/>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 31.1</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Date: May 9, 2023</w:t>
      </w:r>
    </w:p>
    <w:p>
      <w:pPr>
        <w:pStyle w:val="TextBody"/>
        <w:spacing w:lineRule="auto" w:line="288" w:before="0" w:after="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By: /s/ Omid Farokhzad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Omid Farokhzad</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Chief Executive Officer, President and Chair of the Board of Directors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p>
      <w:pPr>
        <w:pStyle w:val="TextBody"/>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692265" cy="175260"/>
                <wp:effectExtent l="0" t="0" r="0" b="0"/>
                <wp:wrapNone/>
                <wp:docPr id="83" name="Frame83"/>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 31.2</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RULES 13a-14(a) AND 15d-14(a) UNDER THE SECURITIES EXCHANGE ACT OF 1934, AS ADOPTED PURSUANT TO SECTION 302 OF THE SARBANES-OXLEY ACT OF 2002</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 David Horn, certify that:</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Seer, Inc.;</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0"/>
        <w:rPr/>
      </w:pPr>
      <w:r>
        <w:rPr/>
      </w:r>
    </w:p>
    <w:p>
      <w:pPr>
        <w:pStyle w:val="TextBody"/>
        <w:spacing w:before="0" w:after="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692265" cy="175260"/>
                <wp:effectExtent l="0" t="0" r="0" b="0"/>
                <wp:wrapNone/>
                <wp:docPr id="84" name="Frame84"/>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 31.2</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Date: May 9, 2023</w:t>
      </w:r>
    </w:p>
    <w:p>
      <w:pPr>
        <w:pStyle w:val="TextBody"/>
        <w:spacing w:lineRule="auto" w:line="288" w:before="0" w:after="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By: /s/ David Horn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David Horn</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p>
      <w:pPr>
        <w:pStyle w:val="TextBody"/>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692265" cy="175260"/>
                <wp:effectExtent l="0" t="0" r="0" b="0"/>
                <wp:wrapNone/>
                <wp:docPr id="85" name="Frame85"/>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 32.1</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CERTIFICATION OF PRINCIPAL EXECUTIVE OFFICER PURSUANT TO 18 U.S.C. SECTION 1350, AS ADOPTED PURSUANT TO SECTION 906 OF THE SARBANES-OXLEY ACT OF 2002</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Seer, Inc. (the “Company”) on Form 10-Q for the period ended March 31, 2023 as filed with the Securities and Exchange Commission on the date hereof (the “Report”), I, Omid Farokhzad, hereby certify, pursuant to 18 U.S.C. § 1350, as adopted pursuant to § 906 of the Sarbanes-Oxley Act of 2002, that:</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Date: May 9, 2023</w:t>
      </w:r>
    </w:p>
    <w:p>
      <w:pPr>
        <w:pStyle w:val="TextBody"/>
        <w:spacing w:lineRule="auto" w:line="288" w:before="0" w:after="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By: /s/ Omid Farokhzad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Omid Farokhzad</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Chief Executive Officer, President and Chair of the Board of Directors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p>
      <w:pPr>
        <w:pStyle w:val="TextBody"/>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692265" cy="175260"/>
                <wp:effectExtent l="0" t="0" r="0" b="0"/>
                <wp:wrapNone/>
                <wp:docPr id="86" name="Frame86"/>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 32.2</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CERTIFICATION OF PRINCIPAL FINANCIAL OFFICER PURSUANT TO 18 U.S.C. SECTION 1350, AS ADOPTED PURSUANT TO SECTION 906 OF THE SARBANES-OXLEY ACT OF 2002</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Seer, Inc. (the “Company”) on Form 10-Q for the period ended March 31, 2023 as filed with the Securities and Exchange Commission on the date hereof (the “Report”), I, David Horn, hereby certify, pursuant to 18 U.S.C. § 1350, as adopted pursuant to § 906 of the Sarbanes-Oxley Act of 2002, that:</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Date: May 9, 2023</w:t>
      </w:r>
    </w:p>
    <w:p>
      <w:pPr>
        <w:pStyle w:val="TextBody"/>
        <w:spacing w:lineRule="auto" w:line="288" w:before="0" w:after="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By: /s/ David Horn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David Horn</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 Accounting Officer)</w:t>
      </w:r>
    </w:p>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692265" cy="175260"/>
                <wp:effectExtent l="0" t="0" r="0" b="0"/>
                <wp:wrapNone/>
                <wp:docPr id="87" name="Frame87"/>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2240" w:h="15840"/>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15</Pages>
  <Words>47166</Words>
  <CharactersWithSpaces>309634</CharactersWithSpaces>
  <Paragraphs>2225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