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808355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825500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70" w:lineRule="exact"/>
        <w:rPr>
          <w:sz w:val="24"/>
          <w:szCs w:val="24"/>
          <w:color w:val="auto"/>
        </w:rPr>
      </w:pPr>
    </w:p>
    <w:p>
      <w:pPr>
        <w:ind w:left="4100" w:right="2740" w:hanging="4092"/>
        <w:spacing w:after="0" w:line="335" w:lineRule="auto"/>
        <w:tabs>
          <w:tab w:leader="none" w:pos="267"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March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70" w:lineRule="exact"/>
        <w:rPr>
          <w:sz w:val="24"/>
          <w:szCs w:val="24"/>
          <w:color w:val="auto"/>
        </w:rPr>
      </w:pPr>
    </w:p>
    <w:p>
      <w:pPr>
        <w:ind w:left="3320" w:right="2800" w:hanging="3312"/>
        <w:spacing w:after="0" w:line="335" w:lineRule="auto"/>
        <w:tabs>
          <w:tab w:leader="none" w:pos="97"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 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ind w:left="44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80645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SEER,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47625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p>
      <w:pPr>
        <w:spacing w:after="0" w:line="14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82-1153150</w:t>
      </w:r>
    </w:p>
    <w:p>
      <w:pPr>
        <w:spacing w:after="0" w:line="68" w:lineRule="exact"/>
        <w:rPr>
          <w:sz w:val="24"/>
          <w:szCs w:val="24"/>
          <w:color w:val="auto"/>
        </w:rPr>
      </w:pPr>
    </w:p>
    <w:p>
      <w:pPr>
        <w:sectPr>
          <w:pgSz w:w="11900" w:h="16838" w:orient="portrait"/>
          <w:cols w:equalWidth="0" w:num="2">
            <w:col w:w="7940" w:space="720"/>
            <w:col w:w="2580"/>
          </w:cols>
          <w:pgMar w:left="320" w:top="1358"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55" w:lineRule="exact"/>
        <w:rPr>
          <w:sz w:val="24"/>
          <w:szCs w:val="24"/>
          <w:color w:val="auto"/>
        </w:rPr>
      </w:pPr>
    </w:p>
    <w:p>
      <w:pPr>
        <w:sectPr>
          <w:pgSz w:w="11900" w:h="16838" w:orient="portrait"/>
          <w:cols w:equalWidth="0" w:num="2">
            <w:col w:w="7020" w:space="720"/>
            <w:col w:w="3500"/>
          </w:cols>
          <w:pgMar w:left="320" w:top="135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Redwood City, California 94065</w:t>
      </w:r>
    </w:p>
    <w:p>
      <w:pPr>
        <w:jc w:val="center"/>
        <w:spacing w:after="0"/>
        <w:rPr>
          <w:sz w:val="20"/>
          <w:szCs w:val="20"/>
          <w:color w:val="auto"/>
        </w:rPr>
      </w:pPr>
      <w:r>
        <w:rPr>
          <w:rFonts w:ascii="Times New Roman" w:cs="Times New Roman" w:eastAsia="Times New Roman" w:hAnsi="Times New Roman"/>
          <w:sz w:val="14"/>
          <w:szCs w:val="14"/>
          <w:b w:val="1"/>
          <w:bCs w:val="1"/>
          <w:color w:val="auto"/>
        </w:rPr>
        <w:t>650-453-0000</w:t>
      </w:r>
    </w:p>
    <w:p>
      <w:pPr>
        <w:sectPr>
          <w:pgSz w:w="11900" w:h="16838" w:orient="portrait"/>
          <w:cols w:equalWidth="0" w:num="1">
            <w:col w:w="11240"/>
          </w:cols>
          <w:pgMar w:left="320" w:top="1358" w:right="339" w:bottom="1440" w:gutter="0" w:footer="0" w:header="0"/>
          <w:type w:val="continuous"/>
        </w:sectPr>
      </w:pP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93345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6"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3960" w:type="dxa"/>
            <w:vAlign w:val="bottom"/>
            <w:gridSpan w:val="7"/>
          </w:tcPr>
          <w:p>
            <w:pPr>
              <w:jc w:val="center"/>
              <w:ind w:left="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60" w:type="dxa"/>
            <w:vAlign w:val="bottom"/>
          </w:tcPr>
          <w:p>
            <w:pPr>
              <w:spacing w:after="0"/>
              <w:rPr>
                <w:sz w:val="16"/>
                <w:szCs w:val="16"/>
                <w:color w:val="auto"/>
              </w:rPr>
            </w:pPr>
          </w:p>
        </w:tc>
      </w:tr>
      <w:tr>
        <w:trPr>
          <w:trHeight w:val="133"/>
        </w:trPr>
        <w:tc>
          <w:tcPr>
            <w:tcW w:w="3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60" w:type="dxa"/>
            <w:vAlign w:val="bottom"/>
          </w:tcPr>
          <w:p>
            <w:pPr>
              <w:spacing w:after="0"/>
              <w:rPr>
                <w:sz w:val="11"/>
                <w:szCs w:val="11"/>
                <w:color w:val="auto"/>
              </w:rPr>
            </w:pPr>
          </w:p>
        </w:tc>
      </w:tr>
      <w:tr>
        <w:trPr>
          <w:trHeight w:val="265"/>
        </w:trPr>
        <w:tc>
          <w:tcPr>
            <w:tcW w:w="3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4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i w:val="1"/>
                <w:iCs w:val="1"/>
                <w:color w:val="auto"/>
              </w:rPr>
              <w:t>Copies to:</w:t>
            </w:r>
          </w:p>
        </w:tc>
        <w:tc>
          <w:tcPr>
            <w:tcW w:w="3660" w:type="dxa"/>
            <w:vAlign w:val="bottom"/>
          </w:tcPr>
          <w:p>
            <w:pPr>
              <w:spacing w:after="0"/>
              <w:rPr>
                <w:sz w:val="23"/>
                <w:szCs w:val="23"/>
                <w:color w:val="auto"/>
              </w:rPr>
            </w:pPr>
          </w:p>
        </w:tc>
      </w:tr>
      <w:tr>
        <w:trPr>
          <w:trHeight w:val="228"/>
        </w:trPr>
        <w:tc>
          <w:tcPr>
            <w:tcW w:w="358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gridSpan w:val="2"/>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184"/>
        </w:trPr>
        <w:tc>
          <w:tcPr>
            <w:tcW w:w="358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color w:val="auto"/>
              </w:rPr>
              <w:t>SEER</w:t>
            </w:r>
          </w:p>
        </w:tc>
        <w:tc>
          <w:tcPr>
            <w:tcW w:w="366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32"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4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4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1" w:lineRule="exact"/>
        <w:tabs>
          <w:tab w:leader="none" w:pos="6700" w:val="left"/>
          <w:tab w:leader="none" w:pos="7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580"/>
        <w:spacing w:after="0" w:line="258" w:lineRule="auto"/>
        <w:rPr>
          <w:sz w:val="20"/>
          <w:szCs w:val="20"/>
          <w:color w:val="auto"/>
        </w:rPr>
      </w:pPr>
      <w:r>
        <w:rPr>
          <w:rFonts w:ascii="Times New Roman" w:cs="Times New Roman" w:eastAsia="Times New Roman" w:hAnsi="Times New Roman"/>
          <w:sz w:val="14"/>
          <w:szCs w:val="14"/>
          <w:color w:val="auto"/>
        </w:rPr>
        <w:t>As of May 6, 2024, the registrant had 60,891,711 shares of Class A common stock, $0.00001 par value per share, and 4,044,969 of Class B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93"/>
        </w:trPr>
        <w:tc>
          <w:tcPr>
            <w:tcW w:w="46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302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4"/>
                <w:szCs w:val="24"/>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2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02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302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0000FF"/>
              </w:rPr>
              <w:t>2</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302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0000FF"/>
              </w:rPr>
              <w:t>3</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02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020" w:type="dxa"/>
            <w:vAlign w:val="bottom"/>
            <w:gridSpan w:val="2"/>
          </w:tcPr>
          <w:p>
            <w:pPr>
              <w:jc w:val="center"/>
              <w:ind w:left="2830"/>
              <w:spacing w:after="0"/>
              <w:rPr>
                <w:sz w:val="20"/>
                <w:szCs w:val="20"/>
                <w:color w:val="auto"/>
              </w:rPr>
            </w:pPr>
            <w:r>
              <w:rPr>
                <w:rFonts w:ascii="Times New Roman" w:cs="Times New Roman" w:eastAsia="Times New Roman" w:hAnsi="Times New Roman"/>
                <w:sz w:val="18"/>
                <w:szCs w:val="18"/>
                <w:color w:val="0000FF"/>
              </w:rPr>
              <w:t>6</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22</w:t>
            </w:r>
          </w:p>
        </w:tc>
        <w:tc>
          <w:tcPr>
            <w:tcW w:w="320" w:type="dxa"/>
            <w:vAlign w:val="bottom"/>
          </w:tcPr>
          <w:p>
            <w:pPr>
              <w:spacing w:after="0"/>
              <w:rPr>
                <w:sz w:val="22"/>
                <w:szCs w:val="22"/>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21"/>
                <w:szCs w:val="2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22"/>
                <w:szCs w:val="22"/>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2"/>
                <w:szCs w:val="22"/>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2"/>
                <w:szCs w:val="22"/>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2"/>
                <w:szCs w:val="22"/>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86</w:t>
            </w:r>
          </w:p>
        </w:tc>
        <w:tc>
          <w:tcPr>
            <w:tcW w:w="320" w:type="dxa"/>
            <w:vAlign w:val="bottom"/>
          </w:tcPr>
          <w:p>
            <w:pPr>
              <w:spacing w:after="0"/>
              <w:rPr>
                <w:sz w:val="22"/>
                <w:szCs w:val="22"/>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86</w:t>
            </w:r>
          </w:p>
        </w:tc>
        <w:tc>
          <w:tcPr>
            <w:tcW w:w="320" w:type="dxa"/>
            <w:vAlign w:val="bottom"/>
          </w:tcPr>
          <w:p>
            <w:pPr>
              <w:spacing w:after="0"/>
              <w:rPr>
                <w:sz w:val="21"/>
                <w:szCs w:val="2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86</w:t>
            </w:r>
          </w:p>
        </w:tc>
        <w:tc>
          <w:tcPr>
            <w:tcW w:w="320" w:type="dxa"/>
            <w:vAlign w:val="bottom"/>
          </w:tcPr>
          <w:p>
            <w:pPr>
              <w:spacing w:after="0"/>
              <w:rPr>
                <w:sz w:val="22"/>
                <w:szCs w:val="22"/>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740" w:type="dxa"/>
            <w:vAlign w:val="bottom"/>
            <w:gridSpan w:val="12"/>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86</w:t>
            </w:r>
          </w:p>
        </w:tc>
        <w:tc>
          <w:tcPr>
            <w:tcW w:w="320" w:type="dxa"/>
            <w:vAlign w:val="bottom"/>
          </w:tcPr>
          <w:p>
            <w:pPr>
              <w:spacing w:after="0"/>
              <w:rPr>
                <w:sz w:val="22"/>
                <w:szCs w:val="22"/>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120" w:type="dxa"/>
            <w:vAlign w:val="bottom"/>
            <w:gridSpan w:val="13"/>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2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0000FF"/>
                <w:w w:val="99"/>
              </w:rPr>
              <w:t>87</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80" w:type="dxa"/>
            <w:vAlign w:val="bottom"/>
            <w:gridSpan w:val="15"/>
          </w:tcPr>
          <w:p>
            <w:pPr>
              <w:spacing w:after="0" w:line="20" w:lineRule="exact"/>
              <w:rPr>
                <w:sz w:val="1"/>
                <w:szCs w:val="1"/>
                <w:color w:val="auto"/>
              </w:rPr>
            </w:pPr>
          </w:p>
        </w:tc>
        <w:tc>
          <w:tcPr>
            <w:tcW w:w="2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1659"/>
        </w:trPr>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2"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23"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key performance indicators, capital requirements and our needs for additional financing;</w:t>
      </w:r>
    </w:p>
    <w:p>
      <w:pPr>
        <w:spacing w:after="0" w:line="170" w:lineRule="exact"/>
        <w:rPr>
          <w:rFonts w:ascii="Times New Roman" w:cs="Times New Roman" w:eastAsia="Times New Roman" w:hAnsi="Times New Roman"/>
          <w:sz w:val="18"/>
          <w:szCs w:val="18"/>
          <w:color w:val="auto"/>
        </w:rPr>
      </w:pPr>
    </w:p>
    <w:p>
      <w:pPr>
        <w:ind w:left="760" w:right="200" w:hanging="752"/>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among others, revenue, cost of revenue, gross profit, operating expenses, loss from operations and net losses;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commercialization strategy and attract customers, including our plans for international expansion;</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and expected pricing for the Proteograph™ Product Suite;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Proteograph Product Suite;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Proteograph Product Suite on the field of proteomics and the size and growth of the addressable proteomics market;</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government regulation;</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to manage our future growth effectively;</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Class A common stock;</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the PrognomiQ, Inc.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997585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2" w:right="419" w:bottom="1440" w:gutter="0" w:footer="0" w:header="0"/>
        </w:sectPr>
      </w:pPr>
    </w:p>
    <w:bookmarkStart w:id="3" w:name="page4"/>
    <w:bookmarkEnd w:id="3"/>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and national and international economic conditions and events;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pandemics, inflation, supply chain interruptions and foreign hostilities, on our business; and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3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254,152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283,725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324,150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421,962</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436,269</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$0.00001 par value; 5,000,000 shares authorized as of</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31, 2024 and December 31, 2023; zero shares issued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March 31, 2024 and December 31, 2023</w:t>
            </w:r>
          </w:p>
        </w:tc>
        <w:tc>
          <w:tcPr>
            <w:tcW w:w="2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common stock, $0.00001 par value; 94,000,000 shares authorized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 of March 31, 2024 and December 31, 2023; 60,891,711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60,253,707 shares issued and outstanding as of March 31, 2024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$0.00001 par value; 6,000,000 shares authorized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March 31, 2024 and December 31, 2023; 4,044,969 shares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w:t>
            </w:r>
          </w:p>
        </w:tc>
        <w:tc>
          <w:tcPr>
            <w:tcW w:w="2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710,527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702,868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(326,452 )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(305,773 )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383,555</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396,904</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421,962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-5384800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-4451985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-4451985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-3184525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-3184525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-2550795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-2550795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6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and other</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and other</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20"/>
                <w:szCs w:val="20"/>
                <w:color w:val="auto"/>
              </w:rPr>
            </w:pPr>
          </w:p>
        </w:tc>
      </w:tr>
      <w:tr>
        <w:trPr>
          <w:trHeight w:val="23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Pr>
          <w:p>
            <w:pPr>
              <w:spacing w:after="0"/>
              <w:rPr>
                <w:sz w:val="20"/>
                <w:szCs w:val="20"/>
                <w:color w:val="auto"/>
              </w:rPr>
            </w:pPr>
          </w:p>
        </w:tc>
      </w:tr>
      <w:tr>
        <w:trPr>
          <w:trHeight w:val="236"/>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(25,192 )</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(27,445 )</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r>
      <w:tr>
        <w:trPr>
          <w:trHeight w:val="236"/>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top w:val="single" w:sz="8" w:color="CFF0FC"/>
            </w:tcBorders>
          </w:tcPr>
          <w:p>
            <w:pPr>
              <w:spacing w:after="0"/>
              <w:rPr>
                <w:sz w:val="20"/>
                <w:szCs w:val="20"/>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(20,679 )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(23,959 )</w:t>
            </w:r>
          </w:p>
        </w:tc>
      </w:tr>
      <w:tr>
        <w:trPr>
          <w:trHeight w:val="236"/>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(329 )</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FF0FC"/>
          </w:tcPr>
          <w:p>
            <w:pPr>
              <w:spacing w:after="0"/>
              <w:rPr>
                <w:sz w:val="21"/>
                <w:szCs w:val="2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(22,801 )</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(0.38 )</w:t>
            </w:r>
          </w:p>
        </w:tc>
      </w:tr>
      <w:tr>
        <w:trPr>
          <w:trHeight w:val="223"/>
        </w:trPr>
        <w:tc>
          <w:tcPr>
            <w:tcW w:w="7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64,586,056</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63,543,094</w:t>
            </w:r>
          </w:p>
        </w:tc>
        <w:tc>
          <w:tcPr>
            <w:tcW w:w="100" w:type="dxa"/>
            <w:vAlign w:val="bottom"/>
            <w:tcBorders>
              <w:top w:val="single" w:sz="8" w:color="CFF0FC"/>
            </w:tcBorders>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-3707130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-3707130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-2773680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-2773680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-2447925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-2447925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-1814830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-1189355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-864235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-547370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-205105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190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04"/>
              <w:spacing w:after="0" w:line="12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9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64,298,676</w:t>
            </w:r>
          </w:p>
        </w:tc>
        <w:tc>
          <w:tcPr>
            <w:tcW w:w="94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702,868</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(305,773 )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(192 )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396,904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Class A common stock from exercise of options and</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638,004</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Vesting of early exercised stock options and restricted</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(329 )</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(329 )</w:t>
            </w:r>
          </w:p>
        </w:tc>
        <w:tc>
          <w:tcPr>
            <w:tcW w:w="0" w:type="dxa"/>
            <w:vAlign w:val="bottom"/>
          </w:tcPr>
          <w:p>
            <w:pPr>
              <w:spacing w:after="0"/>
              <w:rPr>
                <w:sz w:val="1"/>
                <w:szCs w:val="1"/>
                <w:color w:val="auto"/>
              </w:rPr>
            </w:pPr>
          </w:p>
        </w:tc>
      </w:tr>
      <w:tr>
        <w:trPr>
          <w:trHeight w:val="220"/>
        </w:trPr>
        <w:tc>
          <w:tcPr>
            <w:tcW w:w="4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(20,679 )</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(20,679 )</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64,936,680</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28"/>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710,527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(326,452 )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(521 )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383,555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190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04"/>
              <w:spacing w:after="0" w:line="128"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9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63,411,046</w:t>
            </w:r>
          </w:p>
        </w:tc>
        <w:tc>
          <w:tcPr>
            <w:tcW w:w="94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667,739</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(219,496 )</w:t>
            </w: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(1,251 )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Class A common stock from exercise of options and</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328,273</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Vesting of early exercised stock options and restricted</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(23,959 )</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(23,959 )</w:t>
            </w: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63,739,319</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28"/>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676,536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(243,455 )</w:t>
            </w: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(93 )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432,989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-24765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0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700" w:type="dxa"/>
            <w:vAlign w:val="bottom"/>
          </w:tcPr>
          <w:p>
            <w:pPr>
              <w:spacing w:after="0"/>
              <w:rPr>
                <w:sz w:val="13"/>
                <w:szCs w:val="13"/>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(20,679 )</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(23,959 )</w:t>
            </w: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7,580</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amortization (accretion) of premium (discount) on available-for-sale securities</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2,351</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(2,378 )</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inventory excess and obsolescence</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(165 )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(455 )</w:t>
            </w:r>
          </w:p>
        </w:tc>
        <w:tc>
          <w:tcPr>
            <w:tcW w:w="9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(2,280 )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Inventory</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(967 )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10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liabilities and other liabilities</w:t>
            </w:r>
          </w:p>
        </w:tc>
        <w:tc>
          <w:tcPr>
            <w:tcW w:w="10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(1,874 )</w:t>
            </w:r>
          </w:p>
        </w:tc>
        <w:tc>
          <w:tcPr>
            <w:tcW w:w="9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(973 )</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(10,456 )</w:t>
            </w: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(19,331 )</w:t>
            </w:r>
          </w:p>
        </w:tc>
      </w:tr>
      <w:tr>
        <w:trPr>
          <w:trHeight w:val="16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(754 )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(121 )</w:t>
            </w: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10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(101,297 )</w:t>
            </w:r>
          </w:p>
        </w:tc>
        <w:tc>
          <w:tcPr>
            <w:tcW w:w="9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(134,520 )</w:t>
            </w:r>
          </w:p>
        </w:tc>
      </w:tr>
      <w:tr>
        <w:trPr>
          <w:trHeight w:val="202"/>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sale of available-for-sale securities</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100" w:type="dxa"/>
            <w:vAlign w:val="bottom"/>
            <w:shd w:val="clear" w:color="auto" w:fill="CFF0FC"/>
          </w:tcPr>
          <w:p>
            <w:pPr>
              <w:spacing w:after="0"/>
              <w:rPr>
                <w:sz w:val="17"/>
                <w:szCs w:val="17"/>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134,406</w:t>
            </w:r>
          </w:p>
        </w:tc>
        <w:tc>
          <w:tcPr>
            <w:tcW w:w="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146,130</w:t>
            </w: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32,355</w:t>
            </w:r>
          </w:p>
        </w:tc>
        <w:tc>
          <w:tcPr>
            <w:tcW w:w="2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14,479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exercise of Class A common stock options</w:t>
            </w:r>
          </w:p>
        </w:tc>
        <w:tc>
          <w:tcPr>
            <w:tcW w:w="10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0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21,899</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(4,822 )</w:t>
            </w: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0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33,023</w:t>
            </w:r>
          </w:p>
        </w:tc>
        <w:tc>
          <w:tcPr>
            <w:tcW w:w="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53,732</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00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54,922</w:t>
            </w:r>
          </w:p>
        </w:tc>
        <w:tc>
          <w:tcPr>
            <w:tcW w:w="2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33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Capitalized stock-based compensation related to internal-use software development</w:t>
            </w:r>
          </w:p>
        </w:tc>
        <w:tc>
          <w:tcPr>
            <w:tcW w:w="100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770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expenses</w:t>
            </w:r>
          </w:p>
        </w:tc>
        <w:tc>
          <w:tcPr>
            <w:tcW w:w="1000" w:type="dxa"/>
            <w:vAlign w:val="bottom"/>
            <w:tcBorders>
              <w:top w:val="single" w:sz="8" w:color="auto"/>
              <w:bottom w:val="single" w:sz="8" w:color="auto"/>
            </w:tcBorders>
          </w:tcPr>
          <w:p>
            <w:pPr>
              <w:jc w:val="right"/>
              <w:ind w:right="83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466</w:t>
            </w:r>
          </w:p>
        </w:tc>
        <w:tc>
          <w:tcPr>
            <w:tcW w:w="260" w:type="dxa"/>
            <w:vAlign w:val="bottom"/>
            <w:tcBorders>
              <w:top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809"/>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204</w:t>
            </w:r>
          </w:p>
        </w:tc>
        <w:tc>
          <w:tcPr>
            <w:tcW w:w="100" w:type="dxa"/>
            <w:vAlign w:val="bottom"/>
            <w:tcBorders>
              <w:top w:val="single" w:sz="8" w:color="CFF0FC"/>
            </w:tcBorders>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0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Inventory transferred to property and equipment</w:t>
            </w:r>
          </w:p>
        </w:tc>
        <w:tc>
          <w:tcPr>
            <w:tcW w:w="1000" w:type="dxa"/>
            <w:vAlign w:val="bottom"/>
            <w:tcBorders>
              <w:bottom w:val="single" w:sz="8" w:color="auto"/>
            </w:tcBorders>
            <w:shd w:val="clear" w:color="auto" w:fill="CFF0FC"/>
          </w:tcPr>
          <w:p>
            <w:pPr>
              <w:jc w:val="right"/>
              <w:ind w:right="83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09"/>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771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Property and equipment transferred to inventory</w:t>
            </w:r>
          </w:p>
        </w:tc>
        <w:tc>
          <w:tcPr>
            <w:tcW w:w="1000" w:type="dxa"/>
            <w:vAlign w:val="bottom"/>
          </w:tcPr>
          <w:p>
            <w:pPr>
              <w:jc w:val="right"/>
              <w:ind w:right="83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359</w:t>
            </w:r>
          </w:p>
        </w:tc>
        <w:tc>
          <w:tcPr>
            <w:tcW w:w="260" w:type="dxa"/>
            <w:vAlign w:val="bottom"/>
          </w:tcPr>
          <w:p>
            <w:pPr>
              <w:spacing w:after="0"/>
              <w:rPr>
                <w:sz w:val="13"/>
                <w:szCs w:val="13"/>
                <w:color w:val="auto"/>
              </w:rPr>
            </w:pPr>
          </w:p>
        </w:tc>
        <w:tc>
          <w:tcPr>
            <w:tcW w:w="980" w:type="dxa"/>
            <w:vAlign w:val="bottom"/>
          </w:tcPr>
          <w:p>
            <w:pPr>
              <w:jc w:val="right"/>
              <w:ind w:right="809"/>
              <w:spacing w:after="0" w:line="15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-2199640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-1497965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-1497965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-1266825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-795655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-778510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-436245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-419100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-144780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8"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75"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auto"/>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As of March 31, 2024, the Company has incurred significant losses and has had negative cash flows from operations. As of March 31, 2024, the Company had cash and cash equivalents and short-term investments of $308.6 million and an accumulated deficit of $326.5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March 31, 2024 provide sufficient capital resources to continue its operations for at least twelve months from the issuance date of the accompanying unaudited condensed consolidated financial statements.</w:t>
      </w:r>
    </w:p>
    <w:p>
      <w:pPr>
        <w:spacing w:after="0" w:line="113" w:lineRule="exact"/>
        <w:rPr>
          <w:sz w:val="20"/>
          <w:szCs w:val="20"/>
          <w:color w:val="auto"/>
        </w:rPr>
      </w:pPr>
    </w:p>
    <w:p>
      <w:pPr>
        <w:ind w:left="380" w:right="3420" w:hanging="372"/>
        <w:spacing w:after="0" w:line="440" w:lineRule="auto"/>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AND BASIS OF PRESENTATION </w:t>
      </w:r>
      <w:r>
        <w:rPr>
          <w:rFonts w:ascii="Times New Roman" w:cs="Times New Roman" w:eastAsia="Times New Roman" w:hAnsi="Times New Roman"/>
          <w:sz w:val="18"/>
          <w:szCs w:val="18"/>
          <w:b w:val="1"/>
          <w:bCs w:val="1"/>
          <w:i w:val="1"/>
          <w:iCs w:val="1"/>
          <w:color w:val="auto"/>
        </w:rPr>
        <w:t>Basis of Presentation and Principles of Consolidation</w:t>
      </w:r>
    </w:p>
    <w:p>
      <w:pPr>
        <w:ind w:right="140"/>
        <w:spacing w:after="0" w:line="26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(U.S. GAAP). The unaudited condensed consolidated financial statements include the accounts of Seer, Inc. and its wholly-owned subsidiaries. All intercompany transactions and balances have been eliminated.</w:t>
      </w:r>
    </w:p>
    <w:p>
      <w:pPr>
        <w:spacing w:after="0" w:line="123"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included in our Annual Report on Form 10-K for the year ended December 31, 2023, filed with the Securities and Exchange Commission on March 4, 2024.</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stock-based compensation, allowance for credit losses, inventory valuation, operating lease right-of-use assets and liabilities, useful lives and valuation of property and equipment, income tax uncertainties, and tax valuation allowances.</w:t>
      </w:r>
    </w:p>
    <w:p>
      <w:pPr>
        <w:spacing w:after="0" w:line="13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spacing w:after="0" w:line="12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recognized revenue from a related party that represented 31% and 32%, respectively, of the Company’s total revenue.</w:t>
      </w:r>
    </w:p>
    <w:p>
      <w:pPr>
        <w:spacing w:after="0" w:line="10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and 2023, 13% and 22%, respectively, of the total revenue was generated outside of the United States, from countries in Asia and Europe.</w:t>
      </w:r>
    </w:p>
    <w:p>
      <w:pPr>
        <w:spacing w:after="0" w:line="109" w:lineRule="exact"/>
        <w:rPr>
          <w:sz w:val="20"/>
          <w:szCs w:val="20"/>
          <w:color w:val="auto"/>
        </w:rPr>
      </w:pPr>
    </w:p>
    <w:p>
      <w:pPr>
        <w:ind w:right="500"/>
        <w:spacing w:after="0" w:line="265" w:lineRule="auto"/>
        <w:rPr>
          <w:sz w:val="20"/>
          <w:szCs w:val="20"/>
          <w:color w:val="auto"/>
        </w:rPr>
      </w:pPr>
      <w:r>
        <w:rPr>
          <w:rFonts w:ascii="Times New Roman" w:cs="Times New Roman" w:eastAsia="Times New Roman" w:hAnsi="Times New Roman"/>
          <w:sz w:val="18"/>
          <w:szCs w:val="18"/>
          <w:color w:val="auto"/>
        </w:rPr>
        <w:t>As of March 31, 2024, there were two customers which represented 21% and 10% of the total accounts receivable balance, including related party receivables. As of December 31, 2023, there were two customers which represented 14% and 10% of the total accounts receivable balance, including related party receivables.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March 31, 2024 and December 31, 2023, all amounts recorded as cash and cash equivalents consist of cash, money market funds, corporate debt securities and U.S. Treasury securities and are stated at fair value.</w:t>
      </w:r>
    </w:p>
    <w:p>
      <w:pPr>
        <w:spacing w:after="0" w:line="12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Restricted cash as of March 31, 2024 and December 31, 2023 represents cash held by a financial institution as security for a letter of credit issued to the lessor for one of the Company’s operating leases and is classified as noncurrent.</w:t>
      </w:r>
    </w:p>
    <w:p>
      <w:pPr>
        <w:spacing w:after="0" w:line="109"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amount presented in the unaudited condensed consolidated statements of cash flows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54,398</w:t>
            </w:r>
          </w:p>
        </w:tc>
        <w:tc>
          <w:tcPr>
            <w:tcW w:w="12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48,386</w:t>
            </w:r>
          </w:p>
        </w:tc>
        <w:tc>
          <w:tcPr>
            <w:tcW w:w="100" w:type="dxa"/>
            <w:vAlign w:val="bottom"/>
            <w:shd w:val="clear" w:color="auto" w:fill="CFF0FC"/>
          </w:tcPr>
          <w:p>
            <w:pPr>
              <w:spacing w:after="0"/>
              <w:rPr>
                <w:sz w:val="20"/>
                <w:szCs w:val="20"/>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r>
      <w:tr>
        <w:trPr>
          <w:trHeight w:val="27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2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54,922</w:t>
            </w:r>
          </w:p>
        </w:tc>
        <w:tc>
          <w:tcPr>
            <w:tcW w:w="12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48,910</w:t>
            </w:r>
          </w:p>
        </w:tc>
        <w:tc>
          <w:tcPr>
            <w:tcW w:w="100" w:type="dxa"/>
            <w:vAlign w:val="bottom"/>
            <w:shd w:val="clear" w:color="auto" w:fill="CFF0FC"/>
          </w:tcPr>
          <w:p>
            <w:pPr>
              <w:spacing w:after="0"/>
              <w:rPr>
                <w:sz w:val="24"/>
                <w:szCs w:val="24"/>
                <w:color w:val="auto"/>
              </w:rPr>
            </w:pPr>
          </w:p>
        </w:tc>
      </w:tr>
      <w:tr>
        <w:trPr>
          <w:trHeight w:val="848"/>
        </w:trPr>
        <w:tc>
          <w:tcPr>
            <w:tcW w:w="450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jc w:val="right"/>
              <w:ind w:right="199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4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-1061085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-1043940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has designated all investments, which includes U.S. Treasury securities, U.S. Non-Treasury securities, commercial paper, and corporate debt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unaudited condensed consolidated statements of operations and comprehensive loss. Realized gains and losses and interest income on available-for-sale securities are also included in other income (expense). The cost of securities sold is based on the specific identification method. The Company determines the appropriate classification of its investments in debt securities at the time of purchase and reevaluates such designation at each balance sheet date. As of March 31, 2024, the Company classifies its available-for-sale securities as short-term investments or long-term investments based on the remaining contractual maturity of the securities.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12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Any unrealized losses on available-for-sale debt securities that are attributed to credit risk are recorded to the unaudited condensed consolidated statements of operations and comprehensive loss through an allowance for credit losses.</w:t>
      </w:r>
    </w:p>
    <w:p>
      <w:pPr>
        <w:spacing w:after="0" w:line="1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Balances are written off when they are ultimately determined to be uncollectible. The Company recorded a $4,000 allowance for credit losses related to accounts receivable as of each of March 31, 2024 and December 31, 2023.</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determines if an arrangement is or contains a lease at contract inception and classifies each lease as operating, sales-type or finance lease.</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its incremental borrowing rate in determining the present value of lease payments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Lease expense for an operating lease is recognized on a straight-line basis over the lease term.</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The Company elected to not separate non-lease components from the associated lease components and to not recognize ROU assets and lease liabilities for leases with a term of twelve months or less. Variable lease payments are primarily related to property taxes, insurance and common area maintenance, and are recognized as lease costs when incurred.</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Company generates revenue primarily from sales of products and services. The Company’s product, the Proteograph Product Suite, consists of an instrument with embedded software essential to the instrument's functionality and consumables. The service revenue primarily consists of revenue received from the generation and analysis of proteomic data on behalf of customers.</w:t>
      </w:r>
    </w:p>
    <w:p>
      <w:pPr>
        <w:spacing w:after="0" w:line="12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control of the products and services is transferred to its customers in an amount that reflects the consideration it expects to be entitled to receive from its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distinct within the context of the contract. The Company considers a performance obligation satisfied once it has transferred control of a good or service to the customer, meaning the customer has the ability to direct the use and obtain substantially all the economic benefits from the good or service.</w:t>
      </w:r>
    </w:p>
    <w:p>
      <w:pPr>
        <w:spacing w:after="0" w:line="135" w:lineRule="exact"/>
        <w:rPr>
          <w:sz w:val="20"/>
          <w:szCs w:val="20"/>
          <w:color w:val="auto"/>
        </w:rPr>
      </w:pPr>
    </w:p>
    <w:p>
      <w:pPr>
        <w:jc w:val="both"/>
        <w:ind w:right="60"/>
        <w:spacing w:after="0" w:line="288" w:lineRule="auto"/>
        <w:rPr>
          <w:sz w:val="20"/>
          <w:szCs w:val="20"/>
          <w:color w:val="auto"/>
        </w:rPr>
      </w:pPr>
      <w:r>
        <w:rPr>
          <w:rFonts w:ascii="Times New Roman" w:cs="Times New Roman" w:eastAsia="Times New Roman" w:hAnsi="Times New Roman"/>
          <w:sz w:val="17"/>
          <w:szCs w:val="17"/>
          <w:color w:val="auto"/>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the benefit of the service.</w:t>
      </w:r>
    </w:p>
    <w:p>
      <w:pPr>
        <w:spacing w:after="0" w:line="105"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Revenue is recorded net of discounts and sales taxes collected on behalf of governmental authorities. Customers are invoiced generally upon shipment, or upon delivery of services, and payment is typically due within 30 or 60 days. Cash received from customers in advance of product shipment or providing services is recorded as a contract liability. The Company’s contracts with its customers generally do not include rights of return.</w:t>
      </w:r>
    </w:p>
    <w:p>
      <w:pPr>
        <w:spacing w:after="0" w:line="12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At times, the Company may enter into arrangements with payment terms which exceed one year from the transfer of control of the product or service. In such cases, the Company assesses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The Company does not assess whether a significant financing component exists when, at contract inception, the period between the transfer of control to a customer and final payment is one year or less.</w:t>
      </w:r>
    </w:p>
    <w:p>
      <w:pPr>
        <w:spacing w:after="0" w:line="1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elected the practical expedient to account for shipping and handling activities that occur after the customer has obtained control as a fulfillment activity and not a separate performance obligation. The Company expenses incremental costs of obtaining a contract as and when incurred if the expected amortization period is one year or less or the amount is immaterial. The Company excludes from the transaction price all taxes assessed by a governmental authority on revenue-producing transactions that are collected by the Company from a customer.</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the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Grant and Other Revenue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 portion of the Company’s revenue relates to lease arrangements. Standalone lease arrangements are outside the scope of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are therefore accounted for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total consideration in a lease arrangement is allocated between lease and non-lease components on their relative stand-alone selling prices. The stand-alone selling price is based on the price the Company would separately sell that promised good or service to a customer. If a stand-alone price is not available for a component, it is estimated using the best information available.</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spacing w:after="0" w:line="13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Shipping revenue is recognized when control of the product is transferred to the customer. The related shipping and handling costs are included in the cost of revenue.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4"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ASU) 2023-07, </w:t>
      </w:r>
      <w:r>
        <w:rPr>
          <w:rFonts w:ascii="Times New Roman" w:cs="Times New Roman" w:eastAsia="Times New Roman" w:hAnsi="Times New Roman"/>
          <w:sz w:val="18"/>
          <w:szCs w:val="18"/>
          <w:i w:val="1"/>
          <w:iCs w:val="1"/>
          <w:color w:val="auto"/>
        </w:rPr>
        <w:t>Segment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280): Improvements to Reportable Segment Disclosures</w:t>
      </w:r>
      <w:r>
        <w:rPr>
          <w:rFonts w:ascii="Times New Roman" w:cs="Times New Roman" w:eastAsia="Times New Roman" w:hAnsi="Times New Roman"/>
          <w:sz w:val="18"/>
          <w:szCs w:val="18"/>
          <w:color w:val="auto"/>
        </w:rPr>
        <w:t>, which is intended to provide enhancements to segment disclosures, even for entities with only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 In particular, the standard will require disclosures of significant segment expenses regularly provided to the chief operating decision maker and included within each reported measure of segment profit and loss. The standard will also require disclosure of all other segment items by reportable segment and a description of its composition. Finally, the standard will require disclosure of the title and position of the chief operating decision maker and an explanation of how the chief operating decision maker uses the reported measure(s) of segment profit or loss in assessing segment performance and deciding how to allocate resources. The standard is effective for annual periods beginning after December 15, 2023 and interim periods within annual periods beginning after December 15, 2024. Early adoption is permitted. The Company is in the process of evaluating the impact of this new guidance on its disclosures.</w:t>
      </w:r>
    </w:p>
    <w:p>
      <w:pPr>
        <w:spacing w:after="0" w:line="13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This ASU is effective for fiscal years beginning after December 15, 2024. The Company is in the process of evaluating the impact of this new guidance on its disclosures.</w:t>
      </w:r>
    </w:p>
    <w:p>
      <w:pPr>
        <w:spacing w:after="0" w:line="12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that were measured at fair value on a recurring basis by level within the fair value hierarchy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100" w:type="dxa"/>
            <w:vAlign w:val="bottom"/>
            <w:shd w:val="clear" w:color="auto" w:fill="CFF0FC"/>
          </w:tcPr>
          <w:p>
            <w:pPr>
              <w:spacing w:after="0"/>
              <w:rPr>
                <w:sz w:val="21"/>
                <w:szCs w:val="21"/>
                <w:color w:val="auto"/>
              </w:rPr>
            </w:pPr>
          </w:p>
        </w:tc>
      </w:tr>
      <w:tr>
        <w:trPr>
          <w:trHeight w:val="236"/>
        </w:trPr>
        <w:tc>
          <w:tcPr>
            <w:tcW w:w="41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7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100" w:type="dxa"/>
            <w:vAlign w:val="bottom"/>
            <w:tcBorders>
              <w:top w:val="single" w:sz="8" w:color="CFF0FC"/>
            </w:tcBorders>
          </w:tcPr>
          <w:p>
            <w:pPr>
              <w:spacing w:after="0"/>
              <w:rPr>
                <w:sz w:val="20"/>
                <w:szCs w:val="20"/>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170,572</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170,572</w:t>
            </w: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Non-Treasury securities</w:t>
            </w:r>
          </w:p>
        </w:tc>
        <w:tc>
          <w:tcPr>
            <w:tcW w:w="1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shd w:val="clear" w:color="auto" w:fill="CFF0FC"/>
          </w:tcPr>
          <w:p>
            <w:pPr>
              <w:spacing w:after="0"/>
              <w:rPr>
                <w:sz w:val="21"/>
                <w:szCs w:val="2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tcPr>
          <w:p>
            <w:pPr>
              <w:spacing w:after="0"/>
              <w:rPr>
                <w:sz w:val="20"/>
                <w:szCs w:val="20"/>
                <w:color w:val="auto"/>
              </w:rPr>
            </w:pPr>
          </w:p>
        </w:tc>
      </w:tr>
      <w:tr>
        <w:trPr>
          <w:trHeight w:val="243"/>
        </w:trPr>
        <w:tc>
          <w:tcPr>
            <w:tcW w:w="4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110,380</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304,794</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304,794</w:t>
            </w:r>
          </w:p>
        </w:tc>
        <w:tc>
          <w:tcPr>
            <w:tcW w:w="100" w:type="dxa"/>
            <w:vAlign w:val="bottom"/>
          </w:tcPr>
          <w:p>
            <w:pPr>
              <w:spacing w:after="0"/>
              <w:rPr>
                <w:sz w:val="20"/>
                <w:szCs w:val="20"/>
                <w:color w:val="auto"/>
              </w:rPr>
            </w:pPr>
          </w:p>
        </w:tc>
      </w:tr>
      <w:tr>
        <w:trPr>
          <w:trHeight w:val="276"/>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304,794</w:t>
            </w:r>
          </w:p>
        </w:tc>
        <w:tc>
          <w:tcPr>
            <w:tcW w:w="11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357,345</w:t>
            </w:r>
          </w:p>
        </w:tc>
        <w:tc>
          <w:tcPr>
            <w:tcW w:w="100" w:type="dxa"/>
            <w:vAlign w:val="bottom"/>
            <w:shd w:val="clear" w:color="auto" w:fill="CFF0FC"/>
          </w:tcPr>
          <w:p>
            <w:pPr>
              <w:spacing w:after="0"/>
              <w:rPr>
                <w:sz w:val="24"/>
                <w:szCs w:val="24"/>
                <w:color w:val="auto"/>
              </w:rPr>
            </w:pPr>
          </w:p>
        </w:tc>
      </w:tr>
      <w:tr>
        <w:trPr>
          <w:trHeight w:val="848"/>
        </w:trPr>
        <w:tc>
          <w:tcPr>
            <w:tcW w:w="4100" w:type="dxa"/>
            <w:vAlign w:val="bottom"/>
            <w:tcBorders>
              <w:top w:val="single" w:sz="8" w:color="CFF0FC"/>
            </w:tcBorders>
          </w:tcPr>
          <w:p>
            <w:pPr>
              <w:spacing w:after="0"/>
              <w:rPr>
                <w:sz w:val="24"/>
                <w:szCs w:val="24"/>
                <w:color w:val="auto"/>
              </w:rPr>
            </w:pPr>
          </w:p>
        </w:tc>
        <w:tc>
          <w:tcPr>
            <w:tcW w:w="172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4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-2319655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-2319655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-2319655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-1386205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-1386205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-1386205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-1061085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-1043940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-1061085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-1043940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-1061085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-1043940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225,180</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Non-Treasury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85,316</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340,583</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340,583</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347,118</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-1283970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-1283970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-1283970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-350520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-350520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-350520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carrying amount of the Company’s accounts receivable, other receivables, prepaid expenses and other current assets, accounts payable and accrued expenses approximate fair value due to their short maturities.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cash equivalents and investments and the gross unrealized holding gains and losses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60" w:type="dxa"/>
            <w:vAlign w:val="bottom"/>
            <w:gridSpan w:val="2"/>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1"/>
                <w:szCs w:val="11"/>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7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7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cash equivalents</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171,048</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Non-Treasury securities</w:t>
            </w:r>
          </w:p>
        </w:tc>
        <w:tc>
          <w:tcPr>
            <w:tcW w:w="1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110,419</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305,315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357,866</w:t>
            </w:r>
          </w:p>
        </w:tc>
        <w:tc>
          <w:tcPr>
            <w:tcW w:w="260" w:type="dxa"/>
            <w:vAlign w:val="bottom"/>
            <w:shd w:val="clear" w:color="auto" w:fill="CFF0FC"/>
          </w:tcPr>
          <w:p>
            <w:pPr>
              <w:spacing w:after="0"/>
              <w:rPr>
                <w:sz w:val="24"/>
                <w:szCs w:val="24"/>
                <w:color w:val="auto"/>
              </w:rPr>
            </w:pP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FF0FC"/>
          </w:tcPr>
          <w:p>
            <w:pPr>
              <w:spacing w:after="0"/>
              <w:rPr>
                <w:sz w:val="24"/>
                <w:szCs w:val="24"/>
                <w:color w:val="auto"/>
              </w:rPr>
            </w:pP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357,345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4100" w:type="dxa"/>
            <w:vAlign w:val="bottom"/>
            <w:tcBorders>
              <w:top w:val="single" w:sz="8" w:color="CFF0FC"/>
            </w:tcBorders>
          </w:tcPr>
          <w:p>
            <w:pPr>
              <w:spacing w:after="0"/>
              <w:rPr>
                <w:sz w:val="24"/>
                <w:szCs w:val="24"/>
                <w:color w:val="auto"/>
              </w:rPr>
            </w:pPr>
          </w:p>
        </w:tc>
        <w:tc>
          <w:tcPr>
            <w:tcW w:w="172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-2319655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-2319655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-2319655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-1386205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-1386205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-1386205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-1061085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-1043940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-1061085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-1043940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-1061085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-1043940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160" w:type="dxa"/>
            <w:vAlign w:val="bottom"/>
            <w:gridSpan w:val="2"/>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1"/>
                <w:szCs w:val="11"/>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8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6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225,517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Non-Treasury securities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340,777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369,956</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shd w:val="clear" w:color="auto" w:fill="CFF0FC"/>
          </w:tcPr>
          <w:p>
            <w:pPr>
              <w:spacing w:after="0"/>
              <w:rPr>
                <w:sz w:val="22"/>
                <w:szCs w:val="22"/>
                <w:color w:val="auto"/>
              </w:rPr>
            </w:pPr>
          </w:p>
        </w:tc>
        <w:tc>
          <w:tcPr>
            <w:tcW w:w="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369,764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-1283970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-1283970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-1283970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-350520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-350520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-350520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March 31, 2024 and December 31, 2023, unrealized losses on available-for-sale investments are not attributable to credit risk and are considered to be temporary. As of March 31, 2024, approximately $7.9 million of the Company's investments have been in a continuous unrealized loss position for twelve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March 31, 2024, $50.6 million of available-for-sale investments had remaining maturities between one and two years. The remainder of the available-for-sale investments have a remaining maturity of one year or less. As of each of March 31, 2024 and December 31, 2023, the Company recorded $1.3 million of accrued interest, related to its available-for-sale investments and is presented as other receivables on the condensed consolidated balance sheets.</w:t>
      </w:r>
    </w:p>
    <w:p>
      <w:pPr>
        <w:spacing w:after="0" w:line="131" w:lineRule="exact"/>
        <w:rPr>
          <w:sz w:val="20"/>
          <w:szCs w:val="20"/>
          <w:color w:val="auto"/>
        </w:rPr>
      </w:pPr>
    </w:p>
    <w:p>
      <w:pPr>
        <w:ind w:left="380" w:right="6620" w:hanging="372"/>
        <w:spacing w:after="0" w:line="440" w:lineRule="auto"/>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FINANCIAL STATEMENT INFORMATION </w:t>
      </w:r>
      <w:r>
        <w:rPr>
          <w:rFonts w:ascii="Times New Roman" w:cs="Times New Roman" w:eastAsia="Times New Roman" w:hAnsi="Times New Roman"/>
          <w:sz w:val="18"/>
          <w:szCs w:val="18"/>
          <w:b w:val="1"/>
          <w:bCs w:val="1"/>
          <w:i w:val="1"/>
          <w:iCs w:val="1"/>
          <w:color w:val="auto"/>
        </w:rPr>
        <w:t>Inventory</w:t>
      </w:r>
    </w:p>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54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2,211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4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3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3,504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546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5,809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3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340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4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-1223645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(13,948 )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(12,539 )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$1.5 million and $1.2 million for the three months ended March 31, 2024 and 2023, respectively.</w:t>
      </w:r>
    </w:p>
    <w:p>
      <w:pPr>
        <w:spacing w:after="0" w:line="1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3,800</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2,711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7,572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DEFERRED REVENUE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Product revenue consists of instruments with embedded software essential to the instrument's functionality and consumables. Service revenue primarily consists of revenue received from the generation and analysis of proteomic data on behalf of the customer. Related party revenue is comprised of both the sale of products and services performed for related parties, as further discussed in Note 10. Grant and other revenue consists of grant revenue from services performed specifically for the reimbursement of research-related expenses and other revenue which relates to shipping revenue and lease arrangements, as further discussed below.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activities consist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 as of the beginning of period</w:t>
            </w:r>
          </w:p>
        </w:tc>
        <w:tc>
          <w:tcPr>
            <w:tcW w:w="3500" w:type="dxa"/>
            <w:vAlign w:val="bottom"/>
            <w:gridSpan w:val="2"/>
            <w:shd w:val="clear" w:color="auto" w:fill="CFF0FC"/>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4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(99 )</w:t>
            </w:r>
          </w:p>
        </w:tc>
        <w:tc>
          <w:tcPr>
            <w:tcW w:w="106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34"/>
        </w:trPr>
        <w:tc>
          <w:tcPr>
            <w:tcW w:w="5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 as of the end of period</w:t>
            </w:r>
          </w:p>
        </w:tc>
        <w:tc>
          <w:tcPr>
            <w:tcW w:w="2400" w:type="dxa"/>
            <w:vAlign w:val="bottom"/>
            <w:tcBorders>
              <w:top w:val="single" w:sz="8" w:color="CFF0FC"/>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tcBorders>
              <w:top w:val="single" w:sz="8" w:color="CFF0FC"/>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5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-1223645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2"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deferred revenue and non-cancelable amounts that will be invoiced and recognized as revenue in future periods. As of March 31, 2024, $1.6 million of revenue is expected to be recognized from the remaining performance obligations, of which 97% is expected to be recognized within twelve months.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Grant and Other Revenue</w:t>
      </w:r>
    </w:p>
    <w:p>
      <w:pPr>
        <w:spacing w:after="0" w:line="175" w:lineRule="exact"/>
        <w:rPr>
          <w:sz w:val="20"/>
          <w:szCs w:val="20"/>
          <w:color w:val="auto"/>
        </w:rPr>
      </w:pPr>
    </w:p>
    <w:p>
      <w:pPr>
        <w:jc w:val="both"/>
        <w:ind w:right="600"/>
        <w:spacing w:after="0" w:line="265" w:lineRule="auto"/>
        <w:rPr>
          <w:sz w:val="20"/>
          <w:szCs w:val="20"/>
          <w:color w:val="auto"/>
        </w:rPr>
      </w:pPr>
      <w:r>
        <w:rPr>
          <w:rFonts w:ascii="Times New Roman" w:cs="Times New Roman" w:eastAsia="Times New Roman" w:hAnsi="Times New Roman"/>
          <w:sz w:val="18"/>
          <w:szCs w:val="18"/>
          <w:color w:val="auto"/>
        </w:rPr>
        <w:t>Since August 2019, the Company received total funding of $2.0 million from a Small Business Innovation Research grant award from the National Institutes of Health for its development of research applications. For the three months ended March 31, 2024 and 2023, the Company recognized no revenue and $0.3 million of grant revenue, respectively, with respect to the award.</w:t>
      </w:r>
    </w:p>
    <w:p>
      <w:pPr>
        <w:spacing w:after="0" w:line="123"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recognized $21,000 and $40,000 of lease revenue from an operating lease, respectively.</w:t>
      </w:r>
    </w:p>
    <w:p>
      <w:pPr>
        <w:spacing w:after="0" w:line="10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AND STOCKHOLDERS’ EQUITY</w:t>
      </w:r>
    </w:p>
    <w:p>
      <w:pPr>
        <w:spacing w:after="0" w:line="1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As of March 31, 2024, the Company is authorized to issue 105,000,000 shares of capital stock consisting of 94,000,000 shares of Class A common stock, 6,000,000 shares of Class B common stock, and 5,000,000 shares of preferred stock.</w:t>
      </w:r>
    </w:p>
    <w:p>
      <w:pPr>
        <w:spacing w:after="0" w:line="1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The Class B common stock will also automatically convert into Class A common stock on December 8, 2025. Holders of common stock are entitled to dividends as declared by the Board of Directors, subject to rights of holders of all classes of stock outstanding having priority rights as to dividends. There have been no dividends declared to date.</w:t>
      </w:r>
    </w:p>
    <w:p>
      <w:pPr>
        <w:spacing w:after="0" w:line="12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Common stock issued and outstanding on the condensed consolidated balance sheets and condensed consolidated statements of changes in stockholders' equity includes shares related to early exercised options and restricted stock that are subject to repurchase.</w:t>
      </w:r>
    </w:p>
    <w:p>
      <w:pPr>
        <w:spacing w:after="0" w:line="105"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As of March 31, 2024, there are 17,785,881 shares of Class A common stock reserved for issuance under the 2020 Equity Incentive Plan (the 2020 Plan), 3,426,810 shares of which are available for issuance in connection with grants of future awards.</w:t>
      </w:r>
    </w:p>
    <w:p>
      <w:pPr>
        <w:spacing w:after="0" w:line="1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2024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11,945,032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2,745,937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344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w:t>
            </w:r>
          </w:p>
        </w:tc>
        <w:tc>
          <w:tcPr>
            <w:tcW w:w="3440" w:type="dxa"/>
            <w:vAlign w:val="bottom"/>
          </w:tcPr>
          <w:p>
            <w:pPr>
              <w:spacing w:after="0"/>
              <w:rPr>
                <w:sz w:val="20"/>
                <w:szCs w:val="20"/>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(653,920 )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344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14,037,049</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March 31, 2024</w:t>
            </w:r>
          </w:p>
        </w:tc>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7,089,442</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4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15</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2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2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-1240790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-1223645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 Options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February 2024, the Company granted options to purchase an aggregate of 1,896,901 shares of the Company’s Class A common stock to certain Company executives, with vesting subject to market conditions (Market Condition Options). The granted options are further divided into 1,032,901 shares granted to the Chief Executive Officer (the CEO Award) and 864,000 shares of executive awards. The Market Condition Options become eligible to vest if the average of the closing sales prices of a share of Class A common stock over a trailing twenty trading day period within seven years from the date of grant reaches a stock price of $5.31 per share (the Market Price Milestone) for the CEO Award and $3.54 per share (a Market Price Milestone) for the executive awards, respectively.</w:t>
      </w:r>
    </w:p>
    <w:p>
      <w:pPr>
        <w:spacing w:after="0" w:line="13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In February 2023, the Company granted Market Condition Options to purchase an aggregate of 1,794,000 shares of the Company’s Class A common stock to certain executive officers, with vesting subject to market conditions. These Market Condition Options become eligible to vest if the average of the closing sales prices of a share of Class A common stock over a trailing twenty trading day period within seven years from the date of grant reaches a stock price of $6.89 per share (also a Market Price Milestone).</w:t>
      </w:r>
    </w:p>
    <w:p>
      <w:pPr>
        <w:spacing w:after="0" w:line="12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each of the above Market Condition Options, if the Market Price Milestone is achieved, 25% of each Market Condition Option will vest upon certification of such achievement, subject to the recipient’s continued service through the Market Price Milestone achievement date, and an additional 25% of each Market Condition Option will then vest on each of the one-, two- or three-year anniversaries of the Market Price Milestone achievement date, respectively, subject to the recipient’s continued service through the applicable anniversary date. In the event of the Company’s change in control during the seven-year performance period, the performance period will be shortened, achievement of the Market Price Milestone will be assessed based on the per share value of consideration that stockholders receive in the transaction (the change in control price), and if the Market Price Milestone is achieved on that basis, each Market Condition Option will vest in full as of immediately prior to the change in control, subject to the recipient’s continued service as of immediately prior to the change in control.</w:t>
      </w:r>
    </w:p>
    <w:p>
      <w:pPr>
        <w:spacing w:after="0" w:line="135"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Compensation expense is recognized using an accelerated attribution method based on the derived service periods for each of the Market Condition Options. Failure to meet the Market Price Milestone for an award does not result in reversal of previously recognized expense, so long as the service is provided for the duration of the respective derived service period.</w:t>
      </w:r>
    </w:p>
    <w:p>
      <w:pPr>
        <w:spacing w:after="0" w:line="12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assumptions were used to determine the grant date fair value of $1.16 to $1.27 and $2.80 to $3.02 for the 2024 and 2023 Market Condition Options,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4.07 %</w:t>
            </w:r>
          </w:p>
        </w:tc>
        <w:tc>
          <w:tcPr>
            <w:tcW w:w="36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84.80 %</w:t>
            </w:r>
          </w:p>
        </w:tc>
        <w:tc>
          <w:tcPr>
            <w:tcW w:w="3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83.10 %</w:t>
            </w:r>
          </w:p>
        </w:tc>
      </w:tr>
      <w:tr>
        <w:trPr>
          <w:trHeight w:val="25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2024 and 2023 Market Condition Options, the grant date fair value approximates $2.3 million and $5.2 million, respectively, and was determined using a lattice-binomial option-pricing model based on a Monte Carlo simulation.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three months ended March 31, 2024 and 2023, the Company recognized compensation expense of $0.5 million.</w:t>
      </w:r>
    </w:p>
    <w:p>
      <w:pPr>
        <w:spacing w:after="0" w:line="17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As of March 31, 2024, $2.2 million of unrecognized compensation cost related to unvested 2024 Market Condition Options is expected to be recognized as expense over a remaining weighted-average period of 2.8 years.</w:t>
      </w:r>
    </w:p>
    <w:p>
      <w:pPr>
        <w:spacing w:after="0" w:line="200" w:lineRule="exact"/>
        <w:rPr>
          <w:sz w:val="20"/>
          <w:szCs w:val="20"/>
          <w:color w:val="auto"/>
        </w:rPr>
      </w:pPr>
    </w:p>
    <w:p>
      <w:pPr>
        <w:spacing w:after="0" w:line="3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As of March 31, 2024, $2.5 million of unrecognized compensation cost related to unvested 2023 Market Condition Options is expected to be recognized as expense over a remaining weighted-average period of 1.2 years.</w:t>
      </w:r>
    </w:p>
    <w:p>
      <w:pPr>
        <w:spacing w:after="0" w:line="1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7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Certain stock options granted under the 2017 Equity Incentive Plan provide stock option holders the right to exercise unvested stock options in exchange for restricted shares of Class A common stock. The Company has also issued restricted shares of Class A common stock under the 2020 Plan to employees and directors. There were no shares and 1,023 shares of restricted stock that were unvested and subject to repurchase as of March 31, 2024 and December 31, 2023, respectively.</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for the three months ended March 31, 2024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3,680,076</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2,372,358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(638,004 )</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(310,041 )</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5,104,389</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2,472,423 shares of Class A common stock are reserved for issuance under the employee stock purchase plan (ESPP) as of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no shares of Class A common stock were issued under the ESPP.</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recognized in the Company’s unaudited condensed consolidated statements of operations and comprehensive loss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7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474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3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40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0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-1223645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June 21, 2022, the Company’s Board of Directors approved an option repricing to reduce the exercise price of certain vested, outstanding, and unexercised stock options with an exercise price greater than $19.00 per share, each of which was granted under the 2020 Plan, that were held by employees who were not members of the Board of Directors or officers for purposes of Section 16 of the Securities Exchange Act of 1934, as amended (the Non-Section 16 employees) to $19.00 per share, which was the Company’s initial public offering price. The Board of Directors also approved the repricing of certain unvested, outstanding, and unexercised stock options with an exercise price greater than $19.00 per share that were held by Non-Section 16 employees to $7.40 per share, which was the closing price of the Company’s Class A common stock on the Nasdaq Global Select Market on the date of the approval of the repricing. Except for the exercise price, the amended stock options have the same terms and conditions (including vesting schedule, number of shares, and expiration date) and will continue to be governed by the terms of the 2020 Plan.</w:t>
      </w:r>
    </w:p>
    <w:p>
      <w:pPr>
        <w:spacing w:after="0" w:line="135"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The Company recorded $0.1 million and $2.0 million of incremental compensation expense during the three months ended March 31, 2024 and 2023. The total unrecognized incremental stock-based compensation associated with the option repricing is $1.0 million, which will be recognized over the next two years.</w:t>
      </w:r>
    </w:p>
    <w:p>
      <w:pPr>
        <w:spacing w:after="0" w:line="119"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each of March 31, 2024 and December 31, 2023, which is secured by restricted cash and is presented as noncurrent at each date based on the term of the underlying lease. In addition, the Company leases approximately 6,000 square feet of office space in San Diego, California under a lease that runs through September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and supplemental information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7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0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6.2 %</w:t>
            </w:r>
          </w:p>
        </w:tc>
        <w:tc>
          <w:tcPr>
            <w:tcW w:w="10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427"/>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 primarily consist of common area maintenance.</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7"/>
        </w:trPr>
        <w:tc>
          <w:tcPr>
            <w:tcW w:w="774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7740" w:type="dxa"/>
            <w:vAlign w:val="bottom"/>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obtained in exchange for right-of-use assets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72"/>
        </w:trPr>
        <w:tc>
          <w:tcPr>
            <w:tcW w:w="7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9"/>
        </w:trPr>
        <w:tc>
          <w:tcPr>
            <w:tcW w:w="77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-2859405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-2859405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future minimum commitments under the Company’s non-cancelable facility operating leases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r>
      <w:tr>
        <w:trPr>
          <w:trHeight w:val="236"/>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FF0FC"/>
          </w:tcPr>
          <w:p>
            <w:pPr>
              <w:spacing w:after="0"/>
              <w:rPr>
                <w:sz w:val="20"/>
                <w:szCs w:val="20"/>
                <w:color w:val="auto"/>
              </w:rPr>
            </w:pPr>
          </w:p>
        </w:tc>
      </w:tr>
      <w:tr>
        <w:trPr>
          <w:trHeight w:val="238"/>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Pr>
          <w:p>
            <w:pPr>
              <w:spacing w:after="0"/>
              <w:rPr>
                <w:sz w:val="20"/>
                <w:szCs w:val="20"/>
                <w:color w:val="auto"/>
              </w:rPr>
            </w:pPr>
          </w:p>
        </w:tc>
      </w:tr>
      <w:tr>
        <w:trPr>
          <w:trHeight w:val="247"/>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FF0FC"/>
          </w:tcPr>
          <w:p>
            <w:pPr>
              <w:spacing w:after="0"/>
              <w:rPr>
                <w:sz w:val="21"/>
                <w:szCs w:val="21"/>
                <w:color w:val="auto"/>
              </w:rPr>
            </w:pPr>
          </w:p>
        </w:tc>
      </w:tr>
      <w:tr>
        <w:trPr>
          <w:trHeight w:val="238"/>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Pr>
          <w:p>
            <w:pPr>
              <w:spacing w:after="0"/>
              <w:rPr>
                <w:sz w:val="20"/>
                <w:szCs w:val="20"/>
                <w:color w:val="auto"/>
              </w:rPr>
            </w:pPr>
          </w:p>
        </w:tc>
      </w:tr>
      <w:tr>
        <w:trPr>
          <w:trHeight w:val="247"/>
        </w:trPr>
        <w:tc>
          <w:tcPr>
            <w:tcW w:w="8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shd w:val="clear" w:color="auto" w:fill="CFF0FC"/>
          </w:tcPr>
          <w:p>
            <w:pPr>
              <w:spacing w:after="0"/>
              <w:rPr>
                <w:sz w:val="21"/>
                <w:szCs w:val="21"/>
                <w:color w:val="auto"/>
              </w:rPr>
            </w:pP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100" w:type="dxa"/>
            <w:vAlign w:val="bottom"/>
          </w:tcPr>
          <w:p>
            <w:pPr>
              <w:spacing w:after="0"/>
              <w:rPr>
                <w:sz w:val="21"/>
                <w:szCs w:val="21"/>
                <w:color w:val="auto"/>
              </w:rPr>
            </w:pPr>
          </w:p>
        </w:tc>
      </w:tr>
      <w:tr>
        <w:trPr>
          <w:trHeight w:val="236"/>
        </w:trPr>
        <w:tc>
          <w:tcPr>
            <w:tcW w:w="8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35,903</w:t>
            </w:r>
          </w:p>
        </w:tc>
        <w:tc>
          <w:tcPr>
            <w:tcW w:w="100" w:type="dxa"/>
            <w:vAlign w:val="bottom"/>
            <w:shd w:val="clear" w:color="auto" w:fill="CFF0FC"/>
          </w:tcPr>
          <w:p>
            <w:pPr>
              <w:spacing w:after="0"/>
              <w:rPr>
                <w:sz w:val="20"/>
                <w:szCs w:val="20"/>
                <w:color w:val="auto"/>
              </w:rPr>
            </w:pPr>
          </w:p>
        </w:tc>
      </w:tr>
      <w:tr>
        <w:trPr>
          <w:trHeight w:val="243"/>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 for minimum lease commitments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(8,219 )</w:t>
            </w:r>
          </w:p>
        </w:tc>
      </w:tr>
      <w:tr>
        <w:trPr>
          <w:trHeight w:val="276"/>
        </w:trPr>
        <w:tc>
          <w:tcPr>
            <w:tcW w:w="8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As a lessor, the Company has contracts for equipment leased to customers. The Company accounts for the non-lease component under the revenue recognition ASC 606 guidance and the lease component under ASC 842 guidance.</w:t>
      </w:r>
    </w:p>
    <w:p>
      <w:pPr>
        <w:spacing w:after="0" w:line="109"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For an arrangement that has been classified as a sales-type lease, revenue is recognized when the transfer of control of the underlying leased asset has occurred and the net investment lease recorded, which is calculated at the present value of the remaining lease payments due from the lessee. For an arrangement that has been classified as an operating lease, revenue is recognized on a straight-line basis over the lease term.</w:t>
      </w:r>
    </w:p>
    <w:p>
      <w:pPr>
        <w:spacing w:after="0" w:line="119" w:lineRule="exact"/>
        <w:rPr>
          <w:sz w:val="20"/>
          <w:szCs w:val="20"/>
          <w:color w:val="auto"/>
        </w:rPr>
      </w:pPr>
    </w:p>
    <w:p>
      <w:pPr>
        <w:ind w:left="380" w:right="7420" w:hanging="372"/>
        <w:spacing w:after="0" w:line="465" w:lineRule="auto"/>
        <w:tabs>
          <w:tab w:leader="none" w:pos="3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Purchase Commitments and Obligations</w:t>
      </w:r>
    </w:p>
    <w:p>
      <w:pPr>
        <w:spacing w:after="0" w:line="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certain purchase commitments related to its inventory management with certain manufacturing suppliers wherein the Company is required to purchase the amounts forecasted in a blanket purchase order within a certain time period. The Company also has certain contractual obligations for third-party technology used as part of the normal operations.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$1.3 million and $6.3 million as of March 31, 2024 and December 31, 2023, respectively.</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March 31, 2024 and December 31, 2023, the Company does not have any material indemnification claims that were probable or reasonably possible and consequently has not recorded related liabilities.</w:t>
      </w:r>
    </w:p>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not currently a party to any material legal proceedings.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concluded that PrognomiQ is a variable interest entities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2022, the carrying value of the Company’s investment in PrognomiQ was reduced to nil after recognizing net losses based on its percentage of ownership in PrognomiQ.</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PrognomiQ constitutes a related party and, as of March 31, 2024 and December 31, 2023, the Company recorded $1.0 million and $0.6 million in related party receivables, respectively, on the condensed consolidated balance sheets mainly due from product sales. For the three months ended March 31, 2024 and 2023, the Company recognized revenue of $1.0 million, of which $0.8 million was from product sales, and $1.3 million, all of which was from product sales, respectively, from PrognomiQ and is presented as related party revenue on the unaudited condensed consolidated statements of operations and comprehensive loss.</w:t>
      </w:r>
    </w:p>
    <w:p>
      <w:pPr>
        <w:spacing w:after="0" w:line="12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2022, a member of the Company’s Board of Directors served as a board member and an executive officer at a company that is a customer of the Company. There was no revenue recognized for each of the three months ended March 31, 2024 and 2023. The Company has a contract for equipment leased to this customer that has been classified as a sales-type lease. As of each of March 31, 2024 and December 31, 2023, the lease receivables related to the sales-type lease are $0.2 million. The lease receivables are presented as prepaid expenses and other current assets on the condensed consolidated balance sheets.</w:t>
      </w:r>
    </w:p>
    <w:p>
      <w:pPr>
        <w:spacing w:after="0" w:line="12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NET LOSS PER SHARE ATTRIBUTABLE TO COMMON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(in thousands, except share and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(20,679 )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(23,959 )</w:t>
            </w: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used in computing net loss per share</w:t>
            </w: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64,586,056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63,543,094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(0.38 )</w:t>
            </w:r>
          </w:p>
        </w:tc>
        <w:tc>
          <w:tcPr>
            <w:tcW w:w="0" w:type="dxa"/>
            <w:vAlign w:val="bottom"/>
          </w:tcPr>
          <w:p>
            <w:pPr>
              <w:spacing w:after="0"/>
              <w:rPr>
                <w:sz w:val="1"/>
                <w:szCs w:val="1"/>
                <w:color w:val="auto"/>
              </w:rPr>
            </w:pPr>
          </w:p>
        </w:tc>
      </w:tr>
      <w:tr>
        <w:trPr>
          <w:trHeight w:val="848"/>
        </w:trPr>
        <w:tc>
          <w:tcPr>
            <w:tcW w:w="542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4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-1061085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-1043940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78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28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6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A common stock options issued and outstanding</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14,037,049</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12,346,910</w:t>
            </w: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common stock subject to future vesting</w:t>
            </w:r>
          </w:p>
        </w:tc>
        <w:tc>
          <w:tcPr>
            <w:tcW w:w="228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65,251</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5,104,389</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3,429,150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19,141,438</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15,841,311</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75" w:lineRule="exact"/>
        <w:rPr>
          <w:sz w:val="20"/>
          <w:szCs w:val="20"/>
          <w:color w:val="auto"/>
        </w:rPr>
      </w:pPr>
    </w:p>
    <w:p>
      <w:pPr>
        <w:jc w:val="both"/>
        <w:ind w:right="700"/>
        <w:spacing w:after="0" w:line="312" w:lineRule="auto"/>
        <w:rPr>
          <w:sz w:val="20"/>
          <w:szCs w:val="20"/>
          <w:color w:val="auto"/>
        </w:rPr>
      </w:pPr>
      <w:r>
        <w:rPr>
          <w:rFonts w:ascii="Times New Roman" w:cs="Times New Roman" w:eastAsia="Times New Roman" w:hAnsi="Times New Roman"/>
          <w:sz w:val="17"/>
          <w:szCs w:val="17"/>
          <w:color w:val="auto"/>
        </w:rPr>
        <w:t>On May 8, 2024, the Company implemented a reduction in force of approximately 10% of its workforce. The Company estimates that it will incur approximately $0.3 million of costs, consisting primarily of cash severance payments, which it expects to recognize in the second quarter of 2024.</w:t>
      </w:r>
    </w:p>
    <w:p>
      <w:pPr>
        <w:spacing w:after="0" w:line="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May 3, 2024, the Company’s Board of Directors approved a share repurchase program (Share Repurchase Program) under which the Company is authorized to purchase (in the aggregate) up to $25.0 million of its issued and outstanding Class A common stock. Under the Share Repurchase Program, shares may be repurchased from time to time in open market transactions at prevailing market prices (including through Rule 10b5-1 plans), privately negotiated transactions, a combination thereof, or through other transactions. The actual timing, number, manner, and value of shares repurchased under the Share Repurchase Program will depend on the market price of its common stock, trading volume, general market conditions and other corporate and economic considerations. The Share Repurchase Program does not obligate the Company to repurchase any specific number of shares and may be modified, suspended or terminated at any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spacing w:after="0" w:line="1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spacing w:after="0" w:line="12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ability to generate product and service revenue sufficient to achieve profitability, if ever, will depend on the successful commercialization of the Proteograph Product Suite. We are commercializing the Proteograph Product Suite as an integrated solution comprised of consumables, our SP100 automation instrument and software. Our commercial strategy is focused on growing adoption by the research community of the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 We are focused on removing barriers to access to the Proteograph, including through our service offering.</w:t>
      </w:r>
    </w:p>
    <w:p>
      <w:pPr>
        <w:spacing w:after="0" w:line="13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The agreement has an initial term that expires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certifications.</w:t>
      </w:r>
    </w:p>
    <w:p>
      <w:pPr>
        <w:spacing w:after="0" w:line="12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2024 and 2023, we incurred a net loss of $20.7 million and $24.0 million and used $10.5 million and $19.3 million of cash in operations, respectively. As of March 31, 2024, we had an accumulated deficit of $326.5 million, and cash, cash equivalents, and investments of $359.2 million. We expect to continue to incur significant losses and do not expect positive cash flows from operations for the foreseeable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may increase in connection with our ongoing activities, as we:</w:t>
      </w:r>
    </w:p>
    <w:p>
      <w:pPr>
        <w:spacing w:after="0" w:line="171" w:lineRule="exact"/>
        <w:rPr>
          <w:sz w:val="20"/>
          <w:szCs w:val="20"/>
          <w:color w:val="auto"/>
        </w:rPr>
      </w:pP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broadly commercialize the Proteograph Product Suite;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sales, marketing, service, support and distribution infrastructure as part of our commercialization efforts;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build-out and expand our in-house NP manufacturing capabilities;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research and development of other products and enhancements to the Proteograph Product Suite;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infrastructure to operate and scale as a public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8"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consists primarily of product sales to related parties. Our grant and other revenue consists of research-related grants, lease arrangements, and shipping revenue. Our revenue is primarily generated domestically. We intend to focus our commercial efforts in the United States and expect to grow our international presence.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utilize third-party manufacturers for production of our SP100 instrument and we manufacture our NPs and assemble our assay kits internally. Cost of revenue consists primarily of costs of the components of the Proteograph Product Suite, including the SP100 instrument and consumables and distribution-related expenses such as logistics and shipping costs. In addition, cost of revenue includes employee compensation, such as stock-based compensation and employee benefits, allocated overhead, including depreciation, and charges related to inventory reserves.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Three Months Ended March 31,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6"/>
                <w:szCs w:val="16"/>
                <w:color w:val="auto"/>
              </w:rPr>
            </w:pP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(675 )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491 %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(352 )</w:t>
            </w:r>
          </w:p>
        </w:tc>
        <w:tc>
          <w:tcPr>
            <w:tcW w:w="3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 and other</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(299 )</w:t>
            </w:r>
          </w:p>
        </w:tc>
        <w:tc>
          <w:tcPr>
            <w:tcW w:w="3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3743 %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(166 )</w:t>
            </w:r>
          </w:p>
        </w:tc>
        <w:tc>
          <w:tcPr>
            <w:tcW w:w="3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 and other</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(707 )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(2,209 )</w:t>
            </w:r>
          </w:p>
        </w:tc>
        <w:tc>
          <w:tcPr>
            <w:tcW w:w="3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(751 )</w:t>
            </w:r>
          </w:p>
        </w:tc>
        <w:tc>
          <w:tcPr>
            <w:tcW w:w="3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(2,960 )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(25,192 )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(27,445 )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(73 )</w:t>
            </w:r>
          </w:p>
        </w:tc>
        <w:tc>
          <w:tcPr>
            <w:tcW w:w="2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(231 )</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(20,679 )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(23,959 )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24"/>
                <w:szCs w:val="24"/>
                <w:color w:val="auto"/>
              </w:rPr>
            </w:pP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-4224020</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-3290570</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-2339975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-3915410</wp:posOffset>
            </wp:positionV>
            <wp:extent cx="7132320"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-2981960</wp:posOffset>
            </wp:positionV>
            <wp:extent cx="7132320" cy="162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162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-2023110</wp:posOffset>
            </wp:positionV>
            <wp:extent cx="7132320" cy="162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-1398270</wp:posOffset>
            </wp:positionV>
            <wp:extent cx="7132320" cy="162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-1072515</wp:posOffset>
            </wp:positionV>
            <wp:extent cx="713232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Revenue decreased by $1.0 million, or 24%, from $4.1 million during the three months ended March 31, 2023, to $3.1 million during the three months ended March 31, 2024, primarily due to decreased in product revenue. Revenue recognized primarily consisted of sales of the Proteograph SP100 instrument, consumable kits and service revenue, of which $1.0 million was attributed to related parties. In addition, revenue from our grant-funded activities related to our Small Business Innovation Research grant from the National Institutes of Health Grant decreased between the two periods by $0.3 million. The decrease was offset by an increase in service revenue of $0.5 million, of which $0.1 million was attributed to related parties.</w:t>
      </w: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Cost of revenue decreased by $0.3 million, or 14%, from $2.0 million during the three months ended March 31, 2023 to $1.7 million during the three months ended March 31, 2024, primarily due to an increase in service revenue and lower product revenue from fewer instrument sales, which have a higher cost of revenue, offset by increased overhead expenses, installation, training, warranty, and other costs of revenue. Cost of revenue consists of costs of the SP100 instrument, consumable kits, cost of services, and other related costs, including labor and overhead.</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(2,209 )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decreased by $2.2 million, or 15%, from $14.5 million during the three months ended March 31, 2023 to $12.3 million during the three months ended March 31, 2024. The decrease was primarily due to lower headcount which resulted in a decrease in employee compensation costs of $0.8 million, a $0.7 million decrease in laboratory expenses, a $0.4 million decrease in stock-based compensation, and a $0.2 million decrease in allocated costs.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(751 )</w:t>
            </w:r>
          </w:p>
        </w:tc>
        <w:tc>
          <w:tcPr>
            <w:tcW w:w="3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2"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decreased by $0.8 million, or 5%, from $15.0 million during the three months ended March 31, 2023 to $14.3 million during the three months ended March 31, 2024, primarily due to a $0.5 million decrease in employee compensation costs and a $0.8 million decrease in stock-based compensation. The decrease was offset by a $0.5 million increase in professional service expenses.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ind w:lef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2"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Total other income increased by $1.0 million, or 29%, from $3.5 million during the three months ended March 31, 2023 to $4.5 million during the three months ended March 31, 2024. The increase was due to higher rates of interest earned on cash invested in money market funds, U.S. Treasury securities, commercial paper, corporate securities and government agency debt in 2024.</w:t>
      </w: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Quarterly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spacing w:after="0" w:line="132"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spacing w:after="0" w:line="10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maintain a letter of credit issued to the lessor in the amount of $0.5 million as of each of March 31, 2024 and December 31, 2023, which is secured by restricted cash and is presented as noncurrent at each date based on the term of the underlying lease. We lease approximately 6,000 square feet of office space in San Diego, California that runs through September 2024.</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certain purchase commitments related to our inventory management with certain manufacturing suppliers wherein we are required to purchase the amounts forecasted in a blanket purchase order within a certain time period. The Company also has certain contractual obligations for third-party technology used as part of its normal operations.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$1.3 million as of March 31, 2024.</w:t>
      </w:r>
    </w:p>
    <w:p>
      <w:pPr>
        <w:spacing w:after="0" w:line="1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4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(10,456 )</w:t>
            </w:r>
          </w:p>
        </w:tc>
        <w:tc>
          <w:tcPr>
            <w:tcW w:w="11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(19,331 )</w:t>
            </w:r>
          </w:p>
        </w:tc>
        <w:tc>
          <w:tcPr>
            <w:tcW w:w="0" w:type="dxa"/>
            <w:vAlign w:val="bottom"/>
          </w:tcPr>
          <w:p>
            <w:pPr>
              <w:spacing w:after="0"/>
              <w:rPr>
                <w:sz w:val="1"/>
                <w:szCs w:val="1"/>
                <w:color w:val="auto"/>
              </w:rPr>
            </w:pPr>
          </w:p>
        </w:tc>
      </w:t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32,355</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14,479</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5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21,899</w:t>
            </w:r>
          </w:p>
        </w:tc>
        <w:tc>
          <w:tcPr>
            <w:tcW w:w="11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5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52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2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-1232535</wp:posOffset>
            </wp:positionV>
            <wp:extent cx="1111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cash used in operating activities was $10.5 million, attributable to a net loss of $20.7 million and a net change in our net operating assets and liabilities of $1.3 million, partially offset by non-cash charges of $11.5 million. Non-cash charges primarily consisted of stock-based compensation of $7.6 million, $1.5 million of depreciation and amortization, offset by $2.4 million of net amortization of premium on available-for-sale securities. The change in our net operating assets and liabilities was primarily due to an increase in inventory levels of $1.0 million and a decrease of accrued liabilities and other liabilities of $1.9 million, which was partially offset by an increase in accounts payable of $1.4 million and an increase in deferred revenue of $0.1 million.</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2023, cash used in operating activities was $19.3 million, which was attributable to a net loss of $24.0 million and a net change in our net operating assets and liabilities of $3.4 million, partially offset by non-cash charges of $8.1 million. Non-cash charges primarily consisted of $8.7 million in stock-based compensation, $1.2 million of depreciation and amortization, $0.2 million of loss on disposal of property and equipment, provision for inventory excess and obsolescence of $0.2 million, and $0.1 million of non-cash operating lease expense, offset by $2.4 million of net amortization of premium on available-for-sales securities. The change in our net operating assets and liabilities was primarily due to an increase in prepaid expense and other current asset of $2.3 million primarily due to our annual insurance renewal, a decrease in accrued expense of $1.0 million due to the bonus payout for 2022, and an increase in accounts receivable of $0.4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2024, cash provided by investing activities was $32.4 million, which related to the proceeds from maturities of available-for-sale securities of $134.4 million. This was offset by the purchases of available-for-sale securities of $101.2 million and purchases of property and equipment, primarily for laboratory equipment, of $0.8 million.</w:t>
      </w:r>
    </w:p>
    <w:p>
      <w:pPr>
        <w:spacing w:after="0" w:line="1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2023, cash provided by investing activities was $14.5 million, which was attributable to the proceeds from maturities of available-for-sale securities of $146.1 million and proceeds from sale of available-for-sale securities of $3.0 million. This was offset by $134.5 million related to purchases of available-for-sale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there were no cash flows from financing activities.</w:t>
      </w:r>
    </w:p>
    <w:p>
      <w:pPr>
        <w:spacing w:after="0" w:line="171"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During the three months ended March 31, 2023, cash provided by financing activities was $30,000, which was attributable to net proceeds from the exercise of stock options.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32"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unaudited condensed consolidated financial statements, we believe that the following critical accounting policies are most important to understanding and evaluating our reported financial results.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Our revenue is generated primarily from sales of products and services. Product revenue consists of sales of an instrument with embedded software essential to the instrument’s functionality and consumables. Service revenue primarily consists of revenue received from the generation and analysis of proteomic data on behalf of our customers.</w:t>
      </w:r>
    </w:p>
    <w:p>
      <w:pPr>
        <w:spacing w:after="0" w:line="12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performance obligations in the contract, determining the transaction price, allocating the transaction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Revenue from product sales is recognized when control of the product is transferred, which is generally upon shipment to the customer. In instances where right of payment or transfer of title is contingent upon the customer’s acceptance of the product, revenue is deferred until all acceptance criteria have been met. Revenue from services is recognized once the report is delivered to a customer, which is when the customer obtains benefit of the service.</w:t>
      </w:r>
    </w:p>
    <w:p>
      <w:pPr>
        <w:spacing w:after="0" w:line="12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Revenue is recorded net of discounts and sales taxes collected on behalf of governmental authorities. Customers are invoiced generally upon shipment, or upon delivery of services, and payment is typically due within 30 or 60 days.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Cash received from customers in advance of product shipment or providing services is recorded as a contract liability. Our contracts with our customer generally do not include rights of return.</w:t>
      </w:r>
    </w:p>
    <w:p>
      <w:pPr>
        <w:spacing w:after="0" w:line="1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times, we may enter into arrangements with payment terms which exceed one year from the transfer of control of the product or service. In such cases, we assess whether the arrangement contains a significant financing component. If a significant financing component exists, the transaction price is adjusted for the financing portion of the arrangement, which is recorded as interest income over the payment term using the effective interest method. We do not assess whether a significant financing component exists when, at contract inception, the period between the transfer of control to a customer and final payment is one year or less.</w:t>
      </w:r>
    </w:p>
    <w:p>
      <w:pPr>
        <w:spacing w:after="0" w:line="1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have elected the practical expedient to account for shipping and handling activities that occur after the customer has obtained control as a fulfillment activity. We expense incremental costs of obtaining a contract as and when incurred if the expected amortization period is one year or less or the amount is immaterial. We exclude from the transaction price all taxes assessed by a governmental authority on revenue-producing transactions that are collected by us from a customer.</w:t>
      </w:r>
    </w:p>
    <w:p>
      <w:pPr>
        <w:spacing w:after="0" w:line="12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regularly enter into contracts that include various combinations of products and services which are generally distinct and accounted for as separate performance obligations. The transaction price is allocated to each performance obligation in proportion to its standalone selling price. We determine standalone selling price using average selling prices with consideration of current market conditions. If the product or service has no history of sales or if the sales volume is not sufficient, we rely upon prices set by management, adjusted for applicable discounts.</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 portion of our revenue relates to lease arrangements. Standalone lease arrangements are outside the scope of Accounting Standards Codification (ASC) 606, </w:t>
      </w:r>
      <w:r>
        <w:rPr>
          <w:rFonts w:ascii="Times New Roman" w:cs="Times New Roman" w:eastAsia="Times New Roman" w:hAnsi="Times New Roman"/>
          <w:sz w:val="18"/>
          <w:szCs w:val="18"/>
          <w:i w:val="1"/>
          <w:iCs w:val="1"/>
          <w:color w:val="auto"/>
        </w:rPr>
        <w:t>Revenue Contracts with Customer</w:t>
      </w:r>
      <w:r>
        <w:rPr>
          <w:rFonts w:ascii="Times New Roman" w:cs="Times New Roman" w:eastAsia="Times New Roman" w:hAnsi="Times New Roman"/>
          <w:sz w:val="18"/>
          <w:szCs w:val="18"/>
          <w:color w:val="auto"/>
        </w:rPr>
        <w:t xml:space="preserve"> and are therefore accounted for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total consideration in a lease arrangement is allocated between lease and non-lease components on their relative stand-alone selling prices. The stand-alone selling price is based on the price we would separately sell that promised good or service to a customer. If a stand-alone price is not available for a component, it is estimated using the best information available.</w:t>
      </w:r>
    </w:p>
    <w:p>
      <w:pPr>
        <w:spacing w:after="0" w:line="12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determining whether a transaction should be classified as a sales-type or operating lease, the Company considered the following criteria at lease commencement: (1) whether title of the instrument transfers automatically or for a nominal fee by the end of the lease term, (2) whether the present value of the minimum lease payments equals or exceeds substantially all of the fair value of the leased instrument, (3) whether the lease term is for the major part of the remaining economic life of the leased instrument, (4) whether the lease grants the lessee an option to purchase the leased instrument that the lessee is reasonably certain to exercise, and (5) whether the underlying instrument is of such a specialized nature that it is expected to have no alternative use to the Company at the end of the lease term. If any of these criteria were met, the lease was classified as a sales-type lease. If none of these criteria are met, the lease was classified as an operating lease.</w:t>
      </w:r>
    </w:p>
    <w:p>
      <w:pPr>
        <w:spacing w:after="0" w:line="13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Shipping revenue is recognized when control of the product is transferred to the customer, and the related shipping and handling costs are included in the cost of revenue.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have exposure to interest rate risk that relates to our cash and cash equivalents and investments held in money market funds, U.S. Treasury securities, commercial paper, corporate debt securities and government agency debt. The goals of our investment policy are liquidity and capital preservation. We believe that we do not have material exposure to changes in the fair value of these assets as a result of changes in interest rates due to the short-term nature of our cash and cash equivalents and investments.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March 31, 2024,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March 31, 2024 that have materially affected, or are reasonably likely to materially affect, our internal control over financial reporting.</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more fully described below.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factors and uncertainties that make investing in our company risky include, among others:</w:t>
      </w:r>
    </w:p>
    <w:p>
      <w:pPr>
        <w:spacing w:after="0" w:line="152" w:lineRule="exact"/>
        <w:rPr>
          <w:sz w:val="20"/>
          <w:szCs w:val="20"/>
          <w:color w:val="auto"/>
        </w:rPr>
      </w:pPr>
    </w:p>
    <w:p>
      <w:pPr>
        <w:ind w:left="760" w:right="320" w:hanging="752"/>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8"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current business and the prospects for our future viability, and to predict our future performance;</w:t>
      </w:r>
    </w:p>
    <w:p>
      <w:pPr>
        <w:spacing w:after="0" w:line="108" w:lineRule="exact"/>
        <w:rPr>
          <w:rFonts w:ascii="Times New Roman" w:cs="Times New Roman" w:eastAsia="Times New Roman" w:hAnsi="Times New Roman"/>
          <w:sz w:val="18"/>
          <w:szCs w:val="18"/>
          <w:color w:val="auto"/>
        </w:rPr>
      </w:pPr>
    </w:p>
    <w:p>
      <w:pPr>
        <w:ind w:left="760" w:right="180" w:hanging="752"/>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8" w:lineRule="exact"/>
        <w:rPr>
          <w:rFonts w:ascii="Times New Roman" w:cs="Times New Roman" w:eastAsia="Times New Roman" w:hAnsi="Times New Roman"/>
          <w:sz w:val="18"/>
          <w:szCs w:val="18"/>
          <w:color w:val="auto"/>
        </w:rPr>
      </w:pPr>
    </w:p>
    <w:p>
      <w:pPr>
        <w:ind w:left="760" w:right="420" w:hanging="752"/>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our commercialization plan, and we may not be able to commercialize the Proteograph Product Suite as planned;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success depends on broad scientific and market acceptance of the Proteograph, which we may fail to achieve;</w:t>
      </w:r>
    </w:p>
    <w:p>
      <w:pPr>
        <w:spacing w:after="0" w:line="170" w:lineRule="exact"/>
        <w:rPr>
          <w:rFonts w:ascii="Times New Roman" w:cs="Times New Roman" w:eastAsia="Times New Roman" w:hAnsi="Times New Roman"/>
          <w:sz w:val="18"/>
          <w:szCs w:val="18"/>
          <w:color w:val="auto"/>
        </w:rPr>
      </w:pPr>
    </w:p>
    <w:p>
      <w:pPr>
        <w:ind w:left="760" w:right="100" w:hanging="752"/>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Proteograph Product Suite is successfully commercialized and achieves broad scientific and market acceptance, if we fail to improve it or introduce compelling new products or services, our revenues and our prospects could be harmed;</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could adversely impact our business and operations;</w:t>
      </w:r>
    </w:p>
    <w:p>
      <w:pPr>
        <w:spacing w:after="0" w:line="170" w:lineRule="exact"/>
        <w:rPr>
          <w:rFonts w:ascii="Times New Roman" w:cs="Times New Roman" w:eastAsia="Times New Roman" w:hAnsi="Times New Roman"/>
          <w:sz w:val="18"/>
          <w:szCs w:val="18"/>
          <w:color w:val="auto"/>
        </w:rPr>
      </w:pPr>
    </w:p>
    <w:p>
      <w:pPr>
        <w:ind w:left="760" w:right="60" w:hanging="752"/>
        <w:spacing w:after="0" w:line="26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3" w:lineRule="exact"/>
        <w:rPr>
          <w:rFonts w:ascii="Times New Roman" w:cs="Times New Roman" w:eastAsia="Times New Roman" w:hAnsi="Times New Roman"/>
          <w:sz w:val="18"/>
          <w:szCs w:val="18"/>
          <w:color w:val="auto"/>
        </w:rPr>
      </w:pPr>
    </w:p>
    <w:p>
      <w:pPr>
        <w:ind w:left="760" w:right="80" w:hanging="752"/>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and recruit qualified employees, and retain or maintain our employee base, it may adversely impact our business and operations; and</w:t>
      </w:r>
    </w:p>
    <w:p>
      <w:pPr>
        <w:spacing w:after="0" w:line="108" w:lineRule="exact"/>
        <w:rPr>
          <w:rFonts w:ascii="Times New Roman" w:cs="Times New Roman" w:eastAsia="Times New Roman" w:hAnsi="Times New Roman"/>
          <w:sz w:val="18"/>
          <w:szCs w:val="18"/>
          <w:color w:val="auto"/>
        </w:rPr>
      </w:pPr>
    </w:p>
    <w:p>
      <w:pPr>
        <w:ind w:left="760" w:right="120" w:hanging="752"/>
        <w:spacing w:after="0" w:line="26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early-stage life sciences technology company, and we have incurred significant losses since we were formed in 2017, and expect to continue to incur losses in the future. We incurred net losses of $20.7 million and $24.0 million during the three months ended March 31, 2024 and 2023, respectively. As of March 31, 2024, we had an accumulated deficit of $326.5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2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are in the early stages of commercialization of the Proteograph Product Suite. Our operations to date have been primarily focused on developing our technology, products and services.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2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spacing w:after="0" w:line="120"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9"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the Proteograph Product Suite on our anticipated timeline;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services, including customer service;</w:t>
      </w:r>
    </w:p>
    <w:p>
      <w:pPr>
        <w:spacing w:after="0" w:line="170" w:lineRule="exact"/>
        <w:rPr>
          <w:rFonts w:ascii="Times New Roman" w:cs="Times New Roman" w:eastAsia="Times New Roman" w:hAnsi="Times New Roman"/>
          <w:sz w:val="18"/>
          <w:szCs w:val="18"/>
          <w:color w:val="auto"/>
        </w:rPr>
      </w:pPr>
    </w:p>
    <w:p>
      <w:pPr>
        <w:ind w:left="760" w:right="40" w:hanging="752"/>
        <w:spacing w:after="0" w:line="26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123" w:lineRule="exact"/>
        <w:rPr>
          <w:rFonts w:ascii="Times New Roman" w:cs="Times New Roman" w:eastAsia="Times New Roman" w:hAnsi="Times New Roman"/>
          <w:sz w:val="18"/>
          <w:szCs w:val="18"/>
          <w:color w:val="auto"/>
        </w:rPr>
      </w:pPr>
    </w:p>
    <w:p>
      <w:pPr>
        <w:ind w:left="760" w:right="380" w:hanging="752"/>
        <w:spacing w:after="0" w:line="28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the Proteograph Product Suite, which may vary significantly from period to period;</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the Proteograph in our target markets and our ability to expand into any future target markets;</w:t>
      </w:r>
    </w:p>
    <w:p>
      <w:pPr>
        <w:spacing w:after="0" w:line="170" w:lineRule="exact"/>
        <w:rPr>
          <w:rFonts w:ascii="Times New Roman" w:cs="Times New Roman" w:eastAsia="Times New Roman" w:hAnsi="Times New Roman"/>
          <w:sz w:val="18"/>
          <w:szCs w:val="18"/>
          <w:color w:val="auto"/>
        </w:rPr>
      </w:pPr>
    </w:p>
    <w:p>
      <w:pPr>
        <w:ind w:left="760" w:right="80" w:hanging="752"/>
        <w:spacing w:after="0" w:line="28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third-party distributorships, the quantity of our products they elect to hold in inventory, and their ability to promote and sell our products;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the Proteograph Product Suite and related services;</w:t>
      </w:r>
    </w:p>
    <w:p>
      <w:pPr>
        <w:spacing w:after="0" w:line="170" w:lineRule="exact"/>
        <w:rPr>
          <w:rFonts w:ascii="Times New Roman" w:cs="Times New Roman" w:eastAsia="Times New Roman" w:hAnsi="Times New Roman"/>
          <w:sz w:val="18"/>
          <w:szCs w:val="18"/>
          <w:color w:val="auto"/>
        </w:rPr>
      </w:pPr>
    </w:p>
    <w:p>
      <w:pPr>
        <w:ind w:left="760" w:right="280" w:hanging="752"/>
        <w:spacing w:after="0" w:line="281"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the Proteograph Product Suite and associated consumables, or changes in the manufacturing or sales costs related to our products;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unpredictable nature of the sales cycle;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time needed to procure SP100 automation instruments from our third-party contract manufacturer;</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force, which if less than anticipated, could significantly impair our ability to generate revenue;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customers to exercise Proteograph purchase options;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right="640" w:hanging="752"/>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and the ability to collect on the accounts receivable of our customers;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revenue;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changes in accounting rules and regulations, or modifications to our accounting policies;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0" w:lineRule="exact"/>
        <w:rPr>
          <w:rFonts w:ascii="Times New Roman" w:cs="Times New Roman" w:eastAsia="Times New Roman" w:hAnsi="Times New Roman"/>
          <w:sz w:val="18"/>
          <w:szCs w:val="18"/>
          <w:color w:val="auto"/>
        </w:rPr>
      </w:pPr>
    </w:p>
    <w:p>
      <w:pPr>
        <w:ind w:left="760" w:right="240" w:hanging="752"/>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investment in life sciences and research industries, our business operations, and resources and operations of our customers, suppliers, and distributors;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and</w:t>
      </w:r>
    </w:p>
    <w:p>
      <w:pPr>
        <w:spacing w:after="0" w:line="170" w:lineRule="exact"/>
        <w:rPr>
          <w:rFonts w:ascii="Times New Roman" w:cs="Times New Roman" w:eastAsia="Times New Roman" w:hAnsi="Times New Roman"/>
          <w:sz w:val="18"/>
          <w:szCs w:val="18"/>
          <w:color w:val="auto"/>
        </w:rPr>
      </w:pPr>
    </w:p>
    <w:p>
      <w:pPr>
        <w:ind w:left="760" w:right="620" w:hanging="752"/>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such as inflation, rising interest rates, bank failures and other factors, including factors unrelated to our operating performance or the operating performance of our competitors.</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3"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the Proteograph Product Suite may be smaller or different from estimated, and new market opportunities may not develop as quickly as we expect, or at all, limiting our ability to successfully sell our products.</w:t>
      </w:r>
    </w:p>
    <w:p>
      <w:pPr>
        <w:spacing w:after="0" w:line="10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48"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early stages of commercialization, and we may not be able to commercialize the Proteograph Product Suite as planned.</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have only recently initiated the broad commercialization of the Proteograph Product Suite, and we may not be able to successfully execute on this phase as planned due to:</w:t>
      </w:r>
    </w:p>
    <w:p>
      <w:pPr>
        <w:spacing w:after="0" w:line="109" w:lineRule="exact"/>
        <w:rPr>
          <w:sz w:val="20"/>
          <w:szCs w:val="20"/>
          <w:color w:val="auto"/>
        </w:rPr>
      </w:pPr>
    </w:p>
    <w:p>
      <w:pPr>
        <w:ind w:left="760" w:right="20" w:hanging="752"/>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the capabilities and value proposition of the Proteograph Product Suite with key opinion leaders and other customers in a timely fashion;</w:t>
      </w:r>
    </w:p>
    <w:p>
      <w:pPr>
        <w:spacing w:after="0" w:line="108" w:lineRule="exact"/>
        <w:rPr>
          <w:rFonts w:ascii="Times New Roman" w:cs="Times New Roman" w:eastAsia="Times New Roman" w:hAnsi="Times New Roman"/>
          <w:sz w:val="18"/>
          <w:szCs w:val="18"/>
          <w:color w:val="auto"/>
        </w:rPr>
      </w:pPr>
    </w:p>
    <w:p>
      <w:pPr>
        <w:ind w:left="760" w:right="100" w:hanging="752"/>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longer-than expected lead times in the sales cycle to establish customer contacts, complete responsive presentations including platform evaluations tailored to specific requests, and move expeditiously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right="1080"/>
        <w:spacing w:after="0" w:line="281" w:lineRule="auto"/>
        <w:rPr>
          <w:sz w:val="20"/>
          <w:szCs w:val="20"/>
          <w:color w:val="auto"/>
        </w:rPr>
      </w:pPr>
      <w:r>
        <w:rPr>
          <w:rFonts w:ascii="Times New Roman" w:cs="Times New Roman" w:eastAsia="Times New Roman" w:hAnsi="Times New Roman"/>
          <w:sz w:val="18"/>
          <w:szCs w:val="18"/>
          <w:color w:val="auto"/>
        </w:rPr>
        <w:t>from quote to order to revenue to receipt of payment due to budgetary or other constraints of academic organizations, laboratories, biopharmaceutical companies and others;</w:t>
      </w:r>
    </w:p>
    <w:p>
      <w:pPr>
        <w:spacing w:after="0" w:line="109" w:lineRule="exact"/>
        <w:rPr>
          <w:sz w:val="20"/>
          <w:szCs w:val="20"/>
          <w:color w:val="auto"/>
        </w:rPr>
      </w:pPr>
    </w:p>
    <w:p>
      <w:pPr>
        <w:ind w:left="760" w:hanging="75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industry or market conditions, customer requirements or competitor offerings during broad commercialization;</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continuing the build-out of our sales, customer support and marketing organization as needed for broad commercialization;</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ramping up manufacturing, either internally or through our suppliers, to meet the expected demand for broad commercialization; and</w:t>
      </w:r>
    </w:p>
    <w:p>
      <w:pPr>
        <w:spacing w:after="0" w:line="170" w:lineRule="exact"/>
        <w:rPr>
          <w:rFonts w:ascii="Times New Roman" w:cs="Times New Roman" w:eastAsia="Times New Roman" w:hAnsi="Times New Roman"/>
          <w:sz w:val="18"/>
          <w:szCs w:val="18"/>
          <w:color w:val="auto"/>
        </w:rPr>
      </w:pPr>
    </w:p>
    <w:p>
      <w:pPr>
        <w:ind w:left="760" w:right="680" w:hanging="752"/>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and research industries, our business operations, and resources and the operations of our customers, suppliers and supply chain, and distributors.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our broad commercial release phase is unsuccessful, our financial results will be adversely impacted.</w:t>
      </w:r>
    </w:p>
    <w:p>
      <w:pPr>
        <w:spacing w:after="0" w:line="16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execute on our commercialization plan, our success depends on broad scientific and market acceptance of the Proteograph Product Suite, which we may fail to achieve.</w:t>
      </w:r>
    </w:p>
    <w:p>
      <w:pPr>
        <w:spacing w:after="0" w:line="10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in achieving commercial market acceptance, include:</w:t>
      </w:r>
    </w:p>
    <w:p>
      <w:pPr>
        <w:spacing w:after="0" w:line="171" w:lineRule="exact"/>
        <w:rPr>
          <w:sz w:val="20"/>
          <w:szCs w:val="20"/>
          <w:color w:val="auto"/>
        </w:rPr>
      </w:pPr>
    </w:p>
    <w:p>
      <w:pPr>
        <w:ind w:left="760" w:hanging="75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increase awareness of the capabilities of the Proteograph Product Suite;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Proteograph Product Suite to perform intended use applications broadly in the hands of customers;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products and workflows;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Proteograph’s ease of use and whether it reliably provides advantages over other alternative technologies;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the Proteograph Product Suite by academic institutions, laboratories, biopharmaceutical companies and others;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the Proteograph Product Suite;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services and solutions that achieve commercial market acceptance;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and commercialize products that perform similar functions as the Proteograph; and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sales force is less successful than anticipated, we may not be successful in commercializing the Proteograph Product Suite.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To perform sales, marketing, distribution, and customer service and support successfully, we will face a number of risks, including:</w:t>
      </w:r>
    </w:p>
    <w:p>
      <w:pPr>
        <w:spacing w:after="0" w:line="128" w:lineRule="exact"/>
        <w:rPr>
          <w:sz w:val="20"/>
          <w:szCs w:val="20"/>
          <w:color w:val="auto"/>
        </w:rPr>
      </w:pPr>
    </w:p>
    <w:p>
      <w:pPr>
        <w:ind w:left="760" w:right="60" w:hanging="752"/>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customer service and support force necessary to commercialize and gain market acceptance for our technology;</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 and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customer service and support force may be unable to initiate and execute successful commercialization activities.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Proteograph Product Suite is successfully commercialized and achieves broad scientific and market acceptance, if we fail to improve it or introduce compelling new products and services, our revenues and our prospects could be harmed.</w:t>
      </w:r>
    </w:p>
    <w:p>
      <w:pPr>
        <w:spacing w:after="0" w:line="10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epidemics could adversely impact our business and operations.</w:t>
      </w:r>
    </w:p>
    <w:p>
      <w:pPr>
        <w:spacing w:after="0" w:line="1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spacing w:after="0" w:line="128" w:lineRule="exact"/>
        <w:rPr>
          <w:sz w:val="20"/>
          <w:szCs w:val="20"/>
          <w:color w:val="auto"/>
        </w:rPr>
      </w:pPr>
    </w:p>
    <w:p>
      <w:pPr>
        <w:ind w:left="760" w:right="20" w:hanging="752"/>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capacity or shutdowns of laboratories and other institutions as well as reduced or delayed spending on instruments and consumables as a result of shutdowns and delays;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and</w:t>
      </w:r>
    </w:p>
    <w:p>
      <w:pPr>
        <w:spacing w:after="0" w:line="170" w:lineRule="exact"/>
        <w:rPr>
          <w:rFonts w:ascii="Times New Roman" w:cs="Times New Roman" w:eastAsia="Times New Roman" w:hAnsi="Times New Roman"/>
          <w:sz w:val="18"/>
          <w:szCs w:val="18"/>
          <w:color w:val="auto"/>
        </w:rPr>
      </w:pPr>
    </w:p>
    <w:p>
      <w:pPr>
        <w:ind w:left="760" w:right="20" w:hanging="752"/>
        <w:spacing w:after="0" w:line="265"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automation instrument, Hamilton Company, and could worsen over time. Any of these occurrences, and any new epidemics, could significantly harm our business, results of operations and financial condition.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ability to raise capital and our business, results of operations and financial condition.</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financial condition, and cause the stock price of our Class A common stock to decline.</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impair our ability to access our cash, cash equivalents and investments and to timely meet our financial obligations to our vendors and others.</w:t>
      </w:r>
    </w:p>
    <w:p>
      <w:pPr>
        <w:spacing w:after="0" w:line="10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FDIC or SIPC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growth or financial resources, our business and prospects will be harmed.</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0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spacing w:after="0" w:line="12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departure of one or more of our executive officers, senior management team members, or other key employees could be disruptive to our business until we are able to hire qualified successors. We do not maintain “key man” life insurance on our senior management team.</w:t>
      </w:r>
    </w:p>
    <w:p>
      <w:pPr>
        <w:spacing w:after="0" w:line="10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3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spacing w:after="0" w:line="13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be dependent upon revenue generated from the sale of the Proteograph Product Suite and related services for the foreseeable future.</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3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have been concentrated in a small number of customers.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are in the early stages of our commercialization plan and our revenues have been concentrated in a relatively small number of customers, including a related party, PrognomiQ. For the three months ended March 31, 2024 and 2023, PrognomiQ, accounted for 31% and 32% of our revenue, respectively.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cs="Times New Roman" w:eastAsia="Times New Roman" w:hAnsi="Times New Roman"/>
          <w:sz w:val="18"/>
          <w:szCs w:val="18"/>
          <w:i w:val="1"/>
          <w:iCs w:val="1"/>
          <w:color w:val="auto"/>
        </w:rPr>
        <w:t>- Revenue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and Note 10 -</w:t>
      </w:r>
      <w:r>
        <w:rPr>
          <w:rFonts w:ascii="Times New Roman" w:cs="Times New Roman" w:eastAsia="Times New Roman" w:hAnsi="Times New Roman"/>
          <w:sz w:val="18"/>
          <w:szCs w:val="18"/>
          <w:i w:val="1"/>
          <w:iCs w:val="1"/>
          <w:color w:val="auto"/>
        </w:rPr>
        <w:t xml:space="preserve"> Related Party Transactions </w:t>
      </w:r>
      <w:r>
        <w:rPr>
          <w:rFonts w:ascii="Times New Roman" w:cs="Times New Roman" w:eastAsia="Times New Roman" w:hAnsi="Times New Roman"/>
          <w:sz w:val="18"/>
          <w:szCs w:val="18"/>
          <w:color w:val="auto"/>
        </w:rPr>
        <w:t>to our notes to financial statements included in Part I, Item 1, herein for further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our relationship with PrognomiQ.</w:t>
      </w:r>
    </w:p>
    <w:p>
      <w:pPr>
        <w:spacing w:after="0" w:line="12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w:t>
      </w:r>
    </w:p>
    <w:p>
      <w:pPr>
        <w:spacing w:after="0" w:line="128" w:lineRule="exact"/>
        <w:rPr>
          <w:sz w:val="20"/>
          <w:szCs w:val="20"/>
          <w:color w:val="auto"/>
        </w:rPr>
      </w:pPr>
    </w:p>
    <w:p>
      <w:pPr>
        <w:ind w:left="760" w:hanging="75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0"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right="460" w:hanging="752"/>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and funding by commercial companies in their efforts around therapeutic and diagnostic product development and their adoption and use of the Proteograph Product Suite;</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in the scientific community, including researchers’ opinions of the utility of the Proteograph solution;</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of the Proteograph Product Suite in published research;</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w:t>
      </w:r>
    </w:p>
    <w:p>
      <w:pPr>
        <w:spacing w:after="0" w:line="170" w:lineRule="exact"/>
        <w:rPr>
          <w:rFonts w:ascii="Times New Roman" w:cs="Times New Roman" w:eastAsia="Times New Roman" w:hAnsi="Times New Roman"/>
          <w:sz w:val="18"/>
          <w:szCs w:val="18"/>
          <w:color w:val="auto"/>
        </w:rPr>
      </w:pPr>
    </w:p>
    <w:p>
      <w:pPr>
        <w:ind w:left="760" w:right="340" w:hanging="752"/>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 especially government- or grant-funded customers, whose cycles often coincide with government fiscal year ends;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or service offerings or pricing;</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the Proteograph Product Suite.</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our business and commercialization efforts would be harmed.</w:t>
      </w:r>
    </w:p>
    <w:p>
      <w:pPr>
        <w:spacing w:after="0" w:line="13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spacing w:after="0" w:line="12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w:t>
      </w:r>
    </w:p>
    <w:p>
      <w:pPr>
        <w:spacing w:after="0" w:line="12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2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0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defects or errors, which may give rise to claims against us, adversely affect market adoption of the Proteograph Product Suite, damage our reputation, and adversely affect our business, financial condition, and results of operations.</w:t>
      </w:r>
    </w:p>
    <w:p>
      <w:pPr>
        <w:spacing w:after="0" w:line="10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Proteograph Product Suite contains defects, we may experience:</w:t>
      </w:r>
    </w:p>
    <w:p>
      <w:pPr>
        <w:spacing w:after="0" w:line="171" w:lineRule="exact"/>
        <w:rPr>
          <w:sz w:val="20"/>
          <w:szCs w:val="20"/>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for the Proteograph or expansion of the Proteograph Product Suite sales;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and customer service and support costs due to product repair or replacement;</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to our service department; and</w:t>
      </w:r>
    </w:p>
    <w:p>
      <w:pPr>
        <w:spacing w:after="0" w:line="170" w:lineRule="exact"/>
        <w:rPr>
          <w:rFonts w:ascii="Times New Roman" w:cs="Times New Roman" w:eastAsia="Times New Roman" w:hAnsi="Times New Roman"/>
          <w:sz w:val="18"/>
          <w:szCs w:val="18"/>
          <w:color w:val="auto"/>
        </w:rPr>
      </w:pPr>
    </w:p>
    <w:p>
      <w:pPr>
        <w:ind w:left="760" w:right="440" w:hanging="752"/>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hazardous material or environmental compliance claims, which could be costly and time consuming to defend and result in substantial damages.</w:t>
      </w:r>
    </w:p>
    <w:p>
      <w:pPr>
        <w:spacing w:after="0" w:line="10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128"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risks related to using, handling, storing, importing, exporting, and transferring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10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760" w:right="160" w:hanging="752"/>
        <w:spacing w:after="0" w:line="280"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12" w:lineRule="exact"/>
        <w:rPr>
          <w:rFonts w:ascii="Times New Roman" w:cs="Times New Roman" w:eastAsia="Times New Roman" w:hAnsi="Times New Roman"/>
          <w:sz w:val="17"/>
          <w:szCs w:val="17"/>
          <w:color w:val="auto"/>
        </w:rPr>
      </w:pPr>
    </w:p>
    <w:p>
      <w:pPr>
        <w:ind w:left="760" w:right="500" w:hanging="752"/>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including with respect to not doing business with sanctioned parties, as prohibited by the office of Foreign Asset Control;</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 including, without limitation, with respect to biological samples, and trade retaliation laws;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0" w:lineRule="exact"/>
        <w:rPr>
          <w:rFonts w:ascii="Times New Roman" w:cs="Times New Roman" w:eastAsia="Times New Roman" w:hAnsi="Times New Roman"/>
          <w:sz w:val="18"/>
          <w:szCs w:val="18"/>
          <w:color w:val="auto"/>
        </w:rPr>
      </w:pPr>
    </w:p>
    <w:p>
      <w:pPr>
        <w:ind w:left="760" w:right="120" w:hanging="752"/>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transactions or payments denominated in foreign currency, longer payment cycles and difficulties in enforcing agreements and collecting receivables through certain foreign legal systems;</w:t>
      </w:r>
    </w:p>
    <w:p>
      <w:pPr>
        <w:spacing w:after="0" w:line="108" w:lineRule="exact"/>
        <w:rPr>
          <w:rFonts w:ascii="Times New Roman" w:cs="Times New Roman" w:eastAsia="Times New Roman" w:hAnsi="Times New Roman"/>
          <w:sz w:val="18"/>
          <w:szCs w:val="18"/>
          <w:color w:val="auto"/>
        </w:rPr>
      </w:pPr>
    </w:p>
    <w:p>
      <w:pPr>
        <w:ind w:left="760" w:right="420" w:hanging="752"/>
        <w:spacing w:after="0" w:line="26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3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2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spacing w:after="0" w:line="120"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3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companies that have developed, or are developing, proteomic products and solutions, such as Nautilus Biotechnology, Olink Proteomics, Quanterix, Quantum-Si and Standard BioTools.</w:t>
      </w:r>
    </w:p>
    <w:p>
      <w:pPr>
        <w:spacing w:after="0" w:line="128"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may enjoy a number of competitive advantages over us, including:</w:t>
      </w:r>
    </w:p>
    <w:p>
      <w:pPr>
        <w:spacing w:after="0" w:line="109" w:lineRule="exact"/>
        <w:rPr>
          <w:sz w:val="20"/>
          <w:szCs w:val="20"/>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2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will consider raising additional capital in the future to expand our business, to pursue strategic investments, to take advantage of financing opportunities or for other reasons, including:</w:t>
      </w:r>
    </w:p>
    <w:p>
      <w:pPr>
        <w:spacing w:after="0" w:line="109" w:lineRule="exact"/>
        <w:rPr>
          <w:sz w:val="20"/>
          <w:szCs w:val="20"/>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the Proteograph Product Suite;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the Proteograph Product Suite or any other future products;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investing in technologies and other intellectual property rights;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businesses or assets; and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760" w:right="540" w:hanging="752"/>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commercializing the Proteograph Product Suite and new products, and the cost of the sales and marketing activities associated with establishing adoption of our products;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hanging="75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spacing w:after="0" w:line="132"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1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PrognomiQ as a separate healthcare company in the area of disease testing.</w:t>
      </w:r>
    </w:p>
    <w:p>
      <w:pPr>
        <w:spacing w:after="0" w:line="17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 August 2020, we transferred certain assets to PrognomiQ, as a separate healthcare company to help enable the growth of ecosystems around new applications that leverage the Proteograph solution for unbiased, deep and large-scale proteomic information. As of March 31, 2024, we held approximately 15% of the outstanding capital stock of PrognomiQ. We may not realize the potential benefits of forming PrognomiQ for a variety of reasons, including:</w:t>
      </w:r>
    </w:p>
    <w:p>
      <w:pPr>
        <w:spacing w:after="0" w:line="105" w:lineRule="exact"/>
        <w:rPr>
          <w:sz w:val="20"/>
          <w:szCs w:val="20"/>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be unable to successfully develop viable testing products;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PrognomiQ’s business may not help demonstrate the value of the Proteograph;</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reach agreement with PrognomiQ on future commercial arrangements;</w:t>
      </w:r>
    </w:p>
    <w:p>
      <w:pPr>
        <w:spacing w:after="0" w:line="170" w:lineRule="exact"/>
        <w:rPr>
          <w:rFonts w:ascii="Times New Roman" w:cs="Times New Roman" w:eastAsia="Times New Roman" w:hAnsi="Times New Roman"/>
          <w:sz w:val="18"/>
          <w:szCs w:val="18"/>
          <w:color w:val="auto"/>
        </w:rPr>
      </w:pPr>
    </w:p>
    <w:p>
      <w:pPr>
        <w:ind w:left="760" w:right="400" w:hanging="752"/>
        <w:spacing w:after="0" w:line="28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PrognomiQ accounted for 31% of our revenue during three months ended March 31, 2024 , it may not continue to be a meaningful customer of ours;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need to raise additional funding in the future and be unable to do so; and</w:t>
      </w:r>
    </w:p>
    <w:p>
      <w:pPr>
        <w:spacing w:after="0" w:line="170" w:lineRule="exact"/>
        <w:rPr>
          <w:rFonts w:ascii="Times New Roman" w:cs="Times New Roman" w:eastAsia="Times New Roman" w:hAnsi="Times New Roman"/>
          <w:sz w:val="18"/>
          <w:szCs w:val="18"/>
          <w:color w:val="auto"/>
        </w:rPr>
      </w:pPr>
    </w:p>
    <w:p>
      <w:pPr>
        <w:ind w:left="760" w:right="400" w:hanging="752"/>
        <w:spacing w:after="0" w:line="28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PrognomiQ and our continuing equity position in PrognomiQ may add complexities to our business from a finance, tax and accounting perspective.</w:t>
      </w:r>
    </w:p>
    <w:p>
      <w:pPr>
        <w:spacing w:after="0" w:line="10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Reporting</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2023,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spacing w:after="0" w:line="12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12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3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17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products are labeled, promoted,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2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FDA will begin to enforce the QMSR requirements upon the effective date, February 2, 2026.</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oversight and review, including the general controls listed above and the FDA’s QSRs for our development and manufacturing operations. In</w:t>
      </w:r>
    </w:p>
    <w:p>
      <w:pPr>
        <w:spacing w:after="0" w:line="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In 2023,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Legislative and administrative proposals to amend the FDA's oversight of LDTs have been introduced in recent years, including the Verifying Accurate Leading-edge IVCT Development Act of 2021 (VALID Act). In September 2022, Congress passed the FDA user fee reauthorization legislation without substantive FDA policy riders, including the VALID Act, but Congress may revisit the policy riders and enact other FDA programmatic reforms in the future. In April 2024, the FDA released its final rule to regulate LDTs, which may impact the sales of our products and how customers use our products, and may require us to change our business model in order to maintain compliance with these laws. We cannot predict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It is unclear how future legislation by federal and state governments and FDA regulation will impact the industry, including our business and that of our customers.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2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1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3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 and prospects in various geographies.</w:t>
      </w:r>
    </w:p>
    <w:p>
      <w:pPr>
        <w:spacing w:after="0" w:line="133"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patent litigation in Europe.</w:t>
      </w:r>
    </w:p>
    <w:p>
      <w:pPr>
        <w:spacing w:after="0" w:line="12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or services could be found invalid or unenforceable if challenged.</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post-grant review, derivation and equivalent proceedings in non-U.S. jurisdictions, such as opposition proceedings. Such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37" w:lineRule="exact"/>
        <w:rPr>
          <w:sz w:val="20"/>
          <w:szCs w:val="20"/>
          <w:color w:val="auto"/>
        </w:rPr>
      </w:pPr>
    </w:p>
    <w:p>
      <w:pPr>
        <w:jc w:val="both"/>
        <w:ind w:right="60"/>
        <w:spacing w:after="0" w:line="288" w:lineRule="auto"/>
        <w:rPr>
          <w:sz w:val="20"/>
          <w:szCs w:val="20"/>
          <w:color w:val="auto"/>
        </w:rPr>
      </w:pPr>
      <w:r>
        <w:rPr>
          <w:rFonts w:ascii="Times New Roman" w:cs="Times New Roman" w:eastAsia="Times New Roman" w:hAnsi="Times New Roman"/>
          <w:sz w:val="17"/>
          <w:szCs w:val="17"/>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The Brigham and Women’s Hospital, Inc. (BWH), and other inventors in the United States District Court for the Northern District of California (Case No. 4:23-cv-06643). The complaint alleges, among other things, that Caracciolo was wrongfully excluded as an inventor on certain patents that we have exclusively licensed from BWH.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3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services and technologies, including the Proteograph Product Suite for an adequate amount of time.</w:t>
      </w:r>
    </w:p>
    <w:p>
      <w:pPr>
        <w:spacing w:after="0" w:line="10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patent and pending patent application in Europe owned by a third party directed to a method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7"/>
          <w:szCs w:val="17"/>
          <w:i w:val="1"/>
          <w:iCs w:val="1"/>
          <w:color w:val="auto"/>
        </w:rPr>
        <w:t>ex-parte</w:t>
      </w:r>
      <w:r>
        <w:rPr>
          <w:rFonts w:ascii="Times New Roman" w:cs="Times New Roman" w:eastAsia="Times New Roman" w:hAnsi="Times New Roman"/>
          <w:sz w:val="17"/>
          <w:szCs w:val="17"/>
          <w:color w:val="auto"/>
        </w:rPr>
        <w:t xml:space="preserv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are unpredictable.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12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advisors or independent contractors may have wrongfully used or disclosed, or may in the future wrongfully use or disclose, confidential information or alleged trade secrets of ours, third parties or former employers.</w:t>
      </w:r>
    </w:p>
    <w:p>
      <w:pPr>
        <w:spacing w:after="0" w:line="1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employed and expect to employ individuals, and engaged consultants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4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spacing w:after="0" w:line="1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70" w:lineRule="exact"/>
        <w:rPr>
          <w:rFonts w:ascii="Times New Roman" w:cs="Times New Roman" w:eastAsia="Times New Roman" w:hAnsi="Times New Roman"/>
          <w:sz w:val="18"/>
          <w:szCs w:val="18"/>
          <w:color w:val="auto"/>
        </w:rPr>
      </w:pPr>
    </w:p>
    <w:p>
      <w:pPr>
        <w:ind w:left="760" w:right="40" w:hanging="752"/>
        <w:spacing w:after="0" w:line="28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technology and processes infringe on intellectual property of the licensor that is not subject to the licensing agreement;</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0" w:lineRule="exact"/>
        <w:rPr>
          <w:rFonts w:ascii="Times New Roman" w:cs="Times New Roman" w:eastAsia="Times New Roman" w:hAnsi="Times New Roman"/>
          <w:sz w:val="18"/>
          <w:szCs w:val="18"/>
          <w:color w:val="auto"/>
        </w:rPr>
      </w:pPr>
    </w:p>
    <w:p>
      <w:pPr>
        <w:ind w:left="760" w:right="240" w:hanging="752"/>
        <w:spacing w:after="0" w:line="28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or services in the future.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36"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9" w:lineRule="exact"/>
        <w:rPr>
          <w:sz w:val="20"/>
          <w:szCs w:val="20"/>
          <w:color w:val="auto"/>
        </w:rPr>
      </w:pPr>
    </w:p>
    <w:p>
      <w:pPr>
        <w:ind w:left="760" w:right="160" w:hanging="752"/>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or services that are similar to products and technologies we may develop or utilize similar technology that are not covered by the claims of the patents that we own or license now or in the future;</w:t>
      </w:r>
    </w:p>
    <w:p>
      <w:pPr>
        <w:spacing w:after="0" w:line="108" w:lineRule="exact"/>
        <w:rPr>
          <w:rFonts w:ascii="Times New Roman" w:cs="Times New Roman" w:eastAsia="Times New Roman" w:hAnsi="Times New Roman"/>
          <w:sz w:val="18"/>
          <w:szCs w:val="18"/>
          <w:color w:val="auto"/>
        </w:rPr>
      </w:pPr>
    </w:p>
    <w:p>
      <w:pPr>
        <w:ind w:left="760" w:right="300" w:hanging="752"/>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 or pending patent application that we license or may own in the future;</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or their inventions;</w:t>
      </w:r>
    </w:p>
    <w:p>
      <w:pPr>
        <w:spacing w:after="0" w:line="170"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08"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and our licensed pending patent applications, or those that we may own or license in the future, will not lead to issued patents;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0" w:lineRule="exact"/>
        <w:rPr>
          <w:rFonts w:ascii="Times New Roman" w:cs="Times New Roman" w:eastAsia="Times New Roman" w:hAnsi="Times New Roman"/>
          <w:sz w:val="18"/>
          <w:szCs w:val="18"/>
          <w:color w:val="auto"/>
        </w:rPr>
      </w:pPr>
    </w:p>
    <w:p>
      <w:pPr>
        <w:ind w:left="760" w:right="80" w:hanging="752"/>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develop additional proprietary technologies that are patentable;</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0" w:lineRule="exact"/>
        <w:rPr>
          <w:rFonts w:ascii="Times New Roman" w:cs="Times New Roman" w:eastAsia="Times New Roman" w:hAnsi="Times New Roman"/>
          <w:sz w:val="18"/>
          <w:szCs w:val="18"/>
          <w:color w:val="auto"/>
        </w:rPr>
      </w:pPr>
    </w:p>
    <w:p>
      <w:pPr>
        <w:ind w:left="760" w:right="720" w:hanging="752"/>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sustained.</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2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listing requirements of the Nasdaq Global Select Market, we may be delisted and the price of our Class A common stock and our ability to access the capital markets could be negatively impacted.</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$10.0 million; or (ii) a minimum closing bid price of $1.00 per share, a market value of publicly held shares (excluding shares held by our executive officers, directors, affiliates and 10% or more stockholders) of at least $15.0 million and a total market value of listed securities of at least $50.0 million.</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fail to satisfy one or more the Nasdaq Global Select Market requirements for continued listing of our Class A common stock in the future.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launch and commercialization of our products meets the expectations of securities analysts and investors;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being less than anticipated or operating expenses being more than anticipated;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0" w:lineRule="exact"/>
        <w:rPr>
          <w:rFonts w:ascii="Times New Roman" w:cs="Times New Roman" w:eastAsia="Times New Roman" w:hAnsi="Times New Roman"/>
          <w:sz w:val="18"/>
          <w:szCs w:val="18"/>
          <w:color w:val="auto"/>
        </w:rPr>
      </w:pPr>
    </w:p>
    <w:p>
      <w:pPr>
        <w:ind w:left="760" w:right="100" w:hanging="752"/>
        <w:spacing w:after="0" w:line="28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8"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0" w:lineRule="exact"/>
        <w:rPr>
          <w:rFonts w:ascii="Times New Roman" w:cs="Times New Roman" w:eastAsia="Times New Roman" w:hAnsi="Times New Roman"/>
          <w:sz w:val="18"/>
          <w:szCs w:val="18"/>
          <w:color w:val="auto"/>
        </w:rPr>
      </w:pPr>
    </w:p>
    <w:p>
      <w:pPr>
        <w:ind w:left="760" w:right="80" w:hanging="752"/>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0" w:lineRule="exact"/>
        <w:rPr>
          <w:rFonts w:ascii="Times New Roman" w:cs="Times New Roman" w:eastAsia="Times New Roman" w:hAnsi="Times New Roman"/>
          <w:sz w:val="18"/>
          <w:szCs w:val="18"/>
          <w:color w:val="auto"/>
        </w:rPr>
      </w:pPr>
    </w:p>
    <w:p>
      <w:pPr>
        <w:ind w:left="760" w:hanging="752"/>
        <w:spacing w:after="0" w:line="26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strategies that may drive down the price of our Class A common stock;</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0" w:lineRule="exact"/>
        <w:rPr>
          <w:rFonts w:ascii="Times New Roman" w:cs="Times New Roman" w:eastAsia="Times New Roman" w:hAnsi="Times New Roman"/>
          <w:sz w:val="18"/>
          <w:szCs w:val="18"/>
          <w:color w:val="auto"/>
        </w:rPr>
      </w:pPr>
    </w:p>
    <w:p>
      <w:pPr>
        <w:ind w:left="760" w:right="80" w:hanging="752"/>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sales of our Class A common stock or Class B common stock by our insiders or other stockholders, or future stock issuances;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solvency of financial institutions with which we have financial deposits or investments in excess of insurance limits;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the COVID-19 pandemic, natural disasters or major catastrophic events.</w:t>
      </w:r>
    </w:p>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0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Our Class A common stock, which is our publicly-traded class of stock, has one vote per share, and our Class B common stock has ten votes per share, except as otherwise required by law. Our Class B common stock is held by our founders and early investors. As of May 6, 2024, the holders of our Class B common stock hold in the aggregate 39.9 % of the voting power of our capital stock, which may increase from time to time, including as a result of our Share Repurchase Program.</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13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analysts, including securities analysts do not publish research or reports about our business or if they publish negative evaluations of our Class A common stock, the price of our Class A common stock could decline.</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Class A common stock or that we will repurchase shares at favorable prices.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1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1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2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Repurchasing our Class A common stock reduces the amount of cash we have available, and we may fail to realize the anticipated long-term stockholder value of any share repurchase program.</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8"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28" w:lineRule="exact"/>
        <w:rPr>
          <w:sz w:val="20"/>
          <w:szCs w:val="20"/>
          <w:color w:val="auto"/>
        </w:rPr>
      </w:pPr>
    </w:p>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28" w:lineRule="exact"/>
        <w:rPr>
          <w:sz w:val="20"/>
          <w:szCs w:val="20"/>
          <w:color w:val="auto"/>
        </w:rPr>
      </w:pPr>
    </w:p>
    <w:p>
      <w:pPr>
        <w:ind w:left="760" w:right="160" w:hanging="752"/>
        <w:spacing w:after="0" w:line="28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would result in a change in control of our company requires the approval of a majority of our outstanding Class B common stock voting as a separate class;</w:t>
      </w:r>
    </w:p>
    <w:p>
      <w:pPr>
        <w:spacing w:after="0" w:line="108" w:lineRule="exact"/>
        <w:rPr>
          <w:rFonts w:ascii="Times New Roman" w:cs="Times New Roman" w:eastAsia="Times New Roman" w:hAnsi="Times New Roman"/>
          <w:sz w:val="18"/>
          <w:szCs w:val="18"/>
          <w:color w:val="auto"/>
        </w:rPr>
      </w:pPr>
    </w:p>
    <w:p>
      <w:pPr>
        <w:ind w:left="760" w:right="100" w:hanging="752"/>
        <w:spacing w:after="0" w:line="265"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3"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stockholders holding two-thirds of the voting power of our then outstanding capital stock;</w:t>
      </w:r>
    </w:p>
    <w:p>
      <w:pPr>
        <w:spacing w:after="0" w:line="108" w:lineRule="exact"/>
        <w:rPr>
          <w:rFonts w:ascii="Times New Roman" w:cs="Times New Roman" w:eastAsia="Times New Roman" w:hAnsi="Times New Roman"/>
          <w:sz w:val="18"/>
          <w:szCs w:val="18"/>
          <w:color w:val="auto"/>
        </w:rPr>
      </w:pPr>
    </w:p>
    <w:p>
      <w:pPr>
        <w:ind w:left="760" w:right="120" w:hanging="752"/>
        <w:spacing w:after="0" w:line="28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our amended and restated bylaws require the approval of stockholders holding two-thirds of the voting power of our then outstanding capital stock;</w:t>
      </w:r>
    </w:p>
    <w:p>
      <w:pPr>
        <w:spacing w:after="0" w:line="108" w:lineRule="exact"/>
        <w:rPr>
          <w:rFonts w:ascii="Times New Roman" w:cs="Times New Roman" w:eastAsia="Times New Roman" w:hAnsi="Times New Roman"/>
          <w:sz w:val="18"/>
          <w:szCs w:val="18"/>
          <w:color w:val="auto"/>
        </w:rPr>
      </w:pPr>
    </w:p>
    <w:p>
      <w:pPr>
        <w:ind w:left="760" w:right="480" w:hanging="752"/>
        <w:spacing w:after="0" w:line="28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only be able to take action at a meeting of stockholders and may not be able to take action by written consent for any matter;</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able to act by written consent only if the action is first recommended or approved by the board of directors;</w:t>
      </w:r>
    </w:p>
    <w:p>
      <w:pPr>
        <w:spacing w:after="0" w:line="170"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may be filled only by our board of directors and not by stockholders;</w:t>
      </w:r>
    </w:p>
    <w:p>
      <w:pPr>
        <w:spacing w:after="0" w:line="170" w:lineRule="exact"/>
        <w:rPr>
          <w:rFonts w:ascii="Times New Roman" w:cs="Times New Roman" w:eastAsia="Times New Roman" w:hAnsi="Times New Roman"/>
          <w:sz w:val="18"/>
          <w:szCs w:val="18"/>
          <w:color w:val="auto"/>
        </w:rPr>
      </w:pPr>
    </w:p>
    <w:p>
      <w:pPr>
        <w:ind w:left="760" w:right="200" w:hanging="752"/>
        <w:spacing w:after="0" w:line="28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the board of directors, chief executive officer or a majority of the board of directors are authorized to call a special meeting of stockholders;</w:t>
      </w:r>
    </w:p>
    <w:p>
      <w:pPr>
        <w:spacing w:after="0" w:line="108"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60" w:right="60" w:hanging="752"/>
        <w:spacing w:after="0" w:line="28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08" w:lineRule="exact"/>
        <w:rPr>
          <w:rFonts w:ascii="Times New Roman" w:cs="Times New Roman" w:eastAsia="Times New Roman" w:hAnsi="Times New Roman"/>
          <w:sz w:val="18"/>
          <w:szCs w:val="18"/>
          <w:color w:val="auto"/>
        </w:rPr>
      </w:pPr>
    </w:p>
    <w:p>
      <w:pPr>
        <w:ind w:left="760" w:right="20" w:hanging="752"/>
        <w:spacing w:after="0" w:line="28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 and changes to U.S. tax laws may cause us to make adjustments to our financial statements.</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2023, we had U.S. federal and state net operating loss carryforwards (NOLs) of $148.1 million and $151.8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increased costs and management resources as a result of operating as a public company.</w:t>
      </w:r>
    </w:p>
    <w:p>
      <w:pPr>
        <w:spacing w:after="0" w:line="17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matters are subject to increasing scrutiny and evolving expectations from customers, regulators, investors and other stakeholders and may expose us to reputational, cost and other risks.</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Companies across all industries are subject to increasing scrutiny and evolving expectations regarding ESG matters. In particular, customers, regulators, investors and other stakeholders are increasingly focusing on environmental issues, including climate change, energy use, industrial waste, and other sustainability concerns. Failure to implement sufficient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29"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0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facilities in Redwood City and those of our third-party manufacturers are vulnerable to natural disasters, public health crises, including the impact of health epidemics such as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spacing w:after="0" w:line="12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vendors, partners or customers, experience a significant disruption in our information technology systems or breaches of data security, our business could be adversely affected.</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2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our security measures, or those of our vendors, partners and customers,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pacing w:after="0" w:line="13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breach could compromise our customers’ networks and the information stored there could be accessed, publicly disclosed, lost or stolen.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went into effect on January 1, 2023. The CPRA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4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6"/>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546"/>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Outside Director Compensation Policy (as amended on February 28, 2024).</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3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40" w:type="dxa"/>
            <w:vAlign w:val="bottom"/>
          </w:tcPr>
          <w:p>
            <w:pPr>
              <w:spacing w:after="0"/>
              <w:rPr>
                <w:sz w:val="24"/>
                <w:szCs w:val="24"/>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9"/>
              </w:rPr>
              <w:t>Certification of Principal Executive Officer Pursuant to Rules 13a-14(a) and</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3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24"/>
                <w:szCs w:val="24"/>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3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24"/>
                <w:szCs w:val="24"/>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FF"/>
                <w:w w:val="93"/>
              </w:rPr>
              <w:t>2002.</w:t>
            </w:r>
          </w:p>
        </w:tc>
        <w:tc>
          <w:tcPr>
            <w:tcW w:w="3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3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40" w:type="dxa"/>
            <w:vAlign w:val="bottom"/>
          </w:tcPr>
          <w:p>
            <w:pPr>
              <w:spacing w:after="0"/>
              <w:rPr>
                <w:sz w:val="24"/>
                <w:szCs w:val="24"/>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0" w:type="dxa"/>
            <w:vAlign w:val="bottom"/>
            <w:gridSpan w:val="7"/>
          </w:tcPr>
          <w:p>
            <w:pPr>
              <w:spacing w:after="0" w:line="182"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2"/>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FF"/>
                <w:w w:val="93"/>
              </w:rPr>
              <w:t>2002.</w:t>
            </w:r>
          </w:p>
        </w:tc>
        <w:tc>
          <w:tcPr>
            <w:tcW w:w="3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77"/>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101.INS</w:t>
            </w:r>
          </w:p>
        </w:tc>
        <w:tc>
          <w:tcPr>
            <w:tcW w:w="140" w:type="dxa"/>
            <w:vAlign w:val="bottom"/>
          </w:tcPr>
          <w:p>
            <w:pPr>
              <w:spacing w:after="0"/>
              <w:rPr>
                <w:sz w:val="24"/>
                <w:szCs w:val="24"/>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9"/>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140" w:type="dxa"/>
            <w:vAlign w:val="bottom"/>
          </w:tcPr>
          <w:p>
            <w:pPr>
              <w:spacing w:after="0"/>
              <w:rPr>
                <w:sz w:val="24"/>
                <w:szCs w:val="24"/>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Linkbase Documents</w:t>
            </w: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36" w:lineRule="exact"/>
        <w:rPr>
          <w:sz w:val="20"/>
          <w:szCs w:val="20"/>
          <w:color w:val="auto"/>
        </w:rPr>
      </w:pPr>
    </w:p>
    <w:p>
      <w:pPr>
        <w:jc w:val="both"/>
        <w:ind w:left="1240" w:right="4760" w:hanging="807"/>
        <w:spacing w:after="0" w:line="264" w:lineRule="auto"/>
        <w:tabs>
          <w:tab w:leader="none" w:pos="124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122" w:lineRule="exact"/>
        <w:rPr>
          <w:rFonts w:ascii="Times New Roman" w:cs="Times New Roman" w:eastAsia="Times New Roman" w:hAnsi="Times New Roman"/>
          <w:sz w:val="17"/>
          <w:szCs w:val="17"/>
          <w:color w:val="auto"/>
        </w:rPr>
      </w:pPr>
    </w:p>
    <w:p>
      <w:pPr>
        <w:ind w:left="120" w:hanging="112"/>
        <w:spacing w:after="0"/>
        <w:tabs>
          <w:tab w:leader="none" w:pos="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9005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ind w:firstLine="8"/>
        <w:spacing w:after="0" w:line="221" w:lineRule="auto"/>
        <w:tabs>
          <w:tab w:leader="none" w:pos="10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50" w:lineRule="exact"/>
        <w:rPr>
          <w:sz w:val="20"/>
          <w:szCs w:val="20"/>
          <w:color w:val="auto"/>
        </w:rPr>
      </w:pPr>
    </w:p>
    <w:p>
      <w:pPr>
        <w:ind w:left="60"/>
        <w:spacing w:after="0"/>
        <w:tabs>
          <w:tab w:leader="none" w:pos="5760" w:val="left"/>
          <w:tab w:leader="none" w:pos="63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34290</wp:posOffset>
            </wp:positionV>
            <wp:extent cx="29883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4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1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6" w:lineRule="exact"/>
        <w:rPr>
          <w:sz w:val="20"/>
          <w:szCs w:val="20"/>
          <w:color w:val="auto"/>
        </w:rPr>
      </w:pPr>
    </w:p>
    <w:p>
      <w:pPr>
        <w:ind w:left="60"/>
        <w:spacing w:after="0"/>
        <w:tabs>
          <w:tab w:leader="none" w:pos="5760" w:val="left"/>
          <w:tab w:leader="none" w:pos="63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34290</wp:posOffset>
            </wp:positionV>
            <wp:extent cx="298831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988310" cy="8255"/>
                    </a:xfrm>
                    <a:prstGeom prst="rect">
                      <a:avLst/>
                    </a:prstGeom>
                    <a:noFill/>
                  </pic:spPr>
                </pic:pic>
              </a:graphicData>
            </a:graphic>
          </wp:anchor>
        </w:drawing>
      </w:r>
    </w:p>
    <w:p>
      <w:pPr>
        <w:spacing w:after="0" w:line="4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David R. Horn</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6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SEER,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 COMPENSATION POLICY</w:t>
      </w:r>
    </w:p>
    <w:p>
      <w:pPr>
        <w:spacing w:after="0" w:line="20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(as most recently amended and restated effective as of</w:t>
      </w:r>
    </w:p>
    <w:p>
      <w:pPr>
        <w:spacing w:after="0" w:line="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February 28, 2024 (the “Restatement Date”))</w:t>
      </w:r>
    </w:p>
    <w:p>
      <w:pPr>
        <w:spacing w:after="0" w:line="393"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Seer,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believes that the granting of equity and cash compensation to members of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members of the Board,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represents an effective tool to attract, retain and reward Directors who are not employees of the Company (“</w:t>
      </w:r>
      <w:r>
        <w:rPr>
          <w:rFonts w:ascii="Times New Roman" w:cs="Times New Roman" w:eastAsia="Times New Roman" w:hAnsi="Times New Roman"/>
          <w:sz w:val="20"/>
          <w:szCs w:val="20"/>
          <w:b w:val="1"/>
          <w:bCs w:val="1"/>
          <w:color w:val="auto"/>
        </w:rPr>
        <w:t>Outside Directors</w:t>
      </w:r>
      <w:r>
        <w:rPr>
          <w:rFonts w:ascii="Times New Roman" w:cs="Times New Roman" w:eastAsia="Times New Roman" w:hAnsi="Times New Roman"/>
          <w:sz w:val="20"/>
          <w:szCs w:val="20"/>
          <w:color w:val="auto"/>
        </w:rPr>
        <w:t>”). This Outside Director Compensation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158" w:lineRule="exact"/>
        <w:rPr>
          <w:sz w:val="20"/>
          <w:szCs w:val="20"/>
          <w:color w:val="auto"/>
        </w:rPr>
      </w:pPr>
    </w:p>
    <w:p>
      <w:pPr>
        <w:jc w:val="both"/>
        <w:ind w:firstLine="757"/>
        <w:spacing w:after="0" w:line="267" w:lineRule="auto"/>
        <w:tabs>
          <w:tab w:leader="none" w:pos="11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Policy, as initially adopted and prior to any subsequent amendments and restatements, became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 w:cs="Times New Roman" w:eastAsia="Times New Roman" w:hAnsi="Times New Roman"/>
          <w:sz w:val="20"/>
          <w:szCs w:val="20"/>
          <w:b w:val="1"/>
          <w:bCs w:val="1"/>
          <w:color w:val="auto"/>
        </w:rPr>
        <w:t>Registration Date</w:t>
      </w:r>
      <w:r>
        <w:rPr>
          <w:rFonts w:ascii="Times New Roman" w:cs="Times New Roman" w:eastAsia="Times New Roman" w:hAnsi="Times New Roman"/>
          <w:sz w:val="20"/>
          <w:szCs w:val="20"/>
          <w:color w:val="auto"/>
        </w:rPr>
        <w:t>,” and the effective date of this Policy,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Policy, as most recently amended and restated, is effective as of the Restatement Date.</w:t>
      </w:r>
    </w:p>
    <w:p>
      <w:pPr>
        <w:spacing w:after="0" w:line="150"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Compensation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Board Member Annual Cash Retainer</w:t>
      </w:r>
      <w:r>
        <w:rPr>
          <w:rFonts w:ascii="Times New Roman" w:cs="Times New Roman" w:eastAsia="Times New Roman" w:hAnsi="Times New Roman"/>
          <w:sz w:val="22"/>
          <w:szCs w:val="22"/>
          <w:color w:val="auto"/>
        </w:rPr>
        <w:t>. Beginning for Fiscal Year 2024, each Outside Director will be paid an annual cash retainer of $42,500. There are no per meeting attendance fees for attending Board meetings or meetings of any committee of the Board.</w:t>
      </w:r>
    </w:p>
    <w:p>
      <w:pPr>
        <w:spacing w:after="0" w:line="166" w:lineRule="exact"/>
        <w:rPr>
          <w:sz w:val="20"/>
          <w:szCs w:val="20"/>
          <w:color w:val="auto"/>
        </w:rPr>
      </w:pPr>
    </w:p>
    <w:p>
      <w:pPr>
        <w:jc w:val="both"/>
        <w:ind w:firstLine="1498"/>
        <w:spacing w:after="0" w:line="26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Additional Annual Cash Retainers</w:t>
      </w:r>
      <w:r>
        <w:rPr>
          <w:rFonts w:ascii="Times New Roman" w:cs="Times New Roman" w:eastAsia="Times New Roman" w:hAnsi="Times New Roman"/>
          <w:sz w:val="22"/>
          <w:szCs w:val="22"/>
          <w:color w:val="auto"/>
        </w:rPr>
        <w:t>. Each Outside Director who serves as the Lead Independent Director, or the chair or a member of a committee of the Board, will be eligible to earn additional annual fees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 w:type="dxa"/>
            <w:vAlign w:val="bottom"/>
          </w:tcPr>
          <w:p>
            <w:pPr>
              <w:spacing w:after="0"/>
              <w:rPr>
                <w:sz w:val="24"/>
                <w:szCs w:val="24"/>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Lead Independent Director:</w:t>
            </w:r>
          </w:p>
        </w:tc>
        <w:tc>
          <w:tcPr>
            <w:tcW w:w="466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$25,000</w:t>
            </w:r>
          </w:p>
        </w:tc>
        <w:tc>
          <w:tcPr>
            <w:tcW w:w="100" w:type="dxa"/>
            <w:vAlign w:val="bottom"/>
          </w:tcPr>
          <w:p>
            <w:pPr>
              <w:spacing w:after="0"/>
              <w:rPr>
                <w:sz w:val="24"/>
                <w:szCs w:val="24"/>
                <w:color w:val="auto"/>
              </w:rPr>
            </w:pPr>
          </w:p>
        </w:tc>
      </w:tr>
      <w:tr>
        <w:trPr>
          <w:trHeight w:val="123"/>
        </w:trPr>
        <w:tc>
          <w:tcPr>
            <w:tcW w:w="4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82"/>
        </w:trPr>
        <w:tc>
          <w:tcPr>
            <w:tcW w:w="40" w:type="dxa"/>
            <w:vAlign w:val="bottom"/>
          </w:tcPr>
          <w:p>
            <w:pPr>
              <w:spacing w:after="0"/>
              <w:rPr>
                <w:sz w:val="24"/>
                <w:szCs w:val="24"/>
                <w:color w:val="auto"/>
              </w:rPr>
            </w:pPr>
          </w:p>
        </w:tc>
        <w:tc>
          <w:tcPr>
            <w:tcW w:w="644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2"/>
                <w:szCs w:val="22"/>
                <w:color w:val="auto"/>
              </w:rPr>
              <w:t>Audit Committee Chair:</w:t>
            </w:r>
          </w:p>
        </w:tc>
        <w:tc>
          <w:tcPr>
            <w:tcW w:w="4660" w:type="dxa"/>
            <w:vAlign w:val="bottom"/>
            <w:shd w:val="clear" w:color="auto" w:fill="D9D9D9"/>
          </w:tcPr>
          <w:p>
            <w:pPr>
              <w:jc w:val="right"/>
              <w:ind w:right="1172"/>
              <w:spacing w:after="0"/>
              <w:rPr>
                <w:sz w:val="20"/>
                <w:szCs w:val="20"/>
                <w:color w:val="auto"/>
              </w:rPr>
            </w:pPr>
            <w:r>
              <w:rPr>
                <w:rFonts w:ascii="Times New Roman" w:cs="Times New Roman" w:eastAsia="Times New Roman" w:hAnsi="Times New Roman"/>
                <w:sz w:val="22"/>
                <w:szCs w:val="22"/>
                <w:color w:val="auto"/>
              </w:rPr>
              <w:t>$20,000</w:t>
            </w:r>
          </w:p>
        </w:tc>
        <w:tc>
          <w:tcPr>
            <w:tcW w:w="100" w:type="dxa"/>
            <w:vAlign w:val="bottom"/>
          </w:tcPr>
          <w:p>
            <w:pPr>
              <w:spacing w:after="0"/>
              <w:rPr>
                <w:sz w:val="24"/>
                <w:szCs w:val="24"/>
                <w:color w:val="auto"/>
              </w:rPr>
            </w:pPr>
          </w:p>
        </w:tc>
      </w:tr>
      <w:tr>
        <w:trPr>
          <w:trHeight w:val="122"/>
        </w:trPr>
        <w:tc>
          <w:tcPr>
            <w:tcW w:w="40" w:type="dxa"/>
            <w:vAlign w:val="bottom"/>
          </w:tcPr>
          <w:p>
            <w:pPr>
              <w:spacing w:after="0"/>
              <w:rPr>
                <w:sz w:val="10"/>
                <w:szCs w:val="10"/>
                <w:color w:val="auto"/>
              </w:rPr>
            </w:pPr>
          </w:p>
        </w:tc>
        <w:tc>
          <w:tcPr>
            <w:tcW w:w="6440" w:type="dxa"/>
            <w:vAlign w:val="bottom"/>
            <w:shd w:val="clear" w:color="auto" w:fill="D9D9D9"/>
          </w:tcPr>
          <w:p>
            <w:pPr>
              <w:spacing w:after="0"/>
              <w:rPr>
                <w:sz w:val="10"/>
                <w:szCs w:val="10"/>
                <w:color w:val="auto"/>
              </w:rPr>
            </w:pPr>
          </w:p>
        </w:tc>
        <w:tc>
          <w:tcPr>
            <w:tcW w:w="4660" w:type="dxa"/>
            <w:vAlign w:val="bottom"/>
            <w:shd w:val="clear" w:color="auto" w:fill="D9D9D9"/>
          </w:tcPr>
          <w:p>
            <w:pPr>
              <w:spacing w:after="0"/>
              <w:rPr>
                <w:sz w:val="10"/>
                <w:szCs w:val="10"/>
                <w:color w:val="auto"/>
              </w:rPr>
            </w:pPr>
          </w:p>
        </w:tc>
        <w:tc>
          <w:tcPr>
            <w:tcW w:w="100" w:type="dxa"/>
            <w:vAlign w:val="bottom"/>
          </w:tcPr>
          <w:p>
            <w:pPr>
              <w:spacing w:after="0"/>
              <w:rPr>
                <w:sz w:val="10"/>
                <w:szCs w:val="10"/>
                <w:color w:val="auto"/>
              </w:rPr>
            </w:pPr>
          </w:p>
        </w:tc>
      </w:tr>
      <w:tr>
        <w:trPr>
          <w:trHeight w:val="282"/>
        </w:trPr>
        <w:tc>
          <w:tcPr>
            <w:tcW w:w="40" w:type="dxa"/>
            <w:vAlign w:val="bottom"/>
          </w:tcPr>
          <w:p>
            <w:pPr>
              <w:spacing w:after="0"/>
              <w:rPr>
                <w:sz w:val="24"/>
                <w:szCs w:val="24"/>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Audit Committee Member:</w:t>
            </w:r>
          </w:p>
        </w:tc>
        <w:tc>
          <w:tcPr>
            <w:tcW w:w="46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$10,000</w:t>
            </w:r>
          </w:p>
        </w:tc>
        <w:tc>
          <w:tcPr>
            <w:tcW w:w="100" w:type="dxa"/>
            <w:vAlign w:val="bottom"/>
          </w:tcPr>
          <w:p>
            <w:pPr>
              <w:spacing w:after="0"/>
              <w:rPr>
                <w:sz w:val="24"/>
                <w:szCs w:val="24"/>
                <w:color w:val="auto"/>
              </w:rPr>
            </w:pPr>
          </w:p>
        </w:tc>
      </w:tr>
      <w:tr>
        <w:trPr>
          <w:trHeight w:val="122"/>
        </w:trPr>
        <w:tc>
          <w:tcPr>
            <w:tcW w:w="4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82"/>
        </w:trPr>
        <w:tc>
          <w:tcPr>
            <w:tcW w:w="40" w:type="dxa"/>
            <w:vAlign w:val="bottom"/>
          </w:tcPr>
          <w:p>
            <w:pPr>
              <w:spacing w:after="0"/>
              <w:rPr>
                <w:sz w:val="24"/>
                <w:szCs w:val="24"/>
                <w:color w:val="auto"/>
              </w:rPr>
            </w:pPr>
          </w:p>
        </w:tc>
        <w:tc>
          <w:tcPr>
            <w:tcW w:w="644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2"/>
                <w:szCs w:val="22"/>
                <w:color w:val="auto"/>
              </w:rPr>
              <w:t>Talent and Compensation Committee Chair:</w:t>
            </w:r>
          </w:p>
        </w:tc>
        <w:tc>
          <w:tcPr>
            <w:tcW w:w="4660" w:type="dxa"/>
            <w:vAlign w:val="bottom"/>
            <w:shd w:val="clear" w:color="auto" w:fill="D9D9D9"/>
          </w:tcPr>
          <w:p>
            <w:pPr>
              <w:jc w:val="right"/>
              <w:ind w:right="1172"/>
              <w:spacing w:after="0"/>
              <w:rPr>
                <w:sz w:val="20"/>
                <w:szCs w:val="20"/>
                <w:color w:val="auto"/>
              </w:rPr>
            </w:pPr>
            <w:r>
              <w:rPr>
                <w:rFonts w:ascii="Times New Roman" w:cs="Times New Roman" w:eastAsia="Times New Roman" w:hAnsi="Times New Roman"/>
                <w:sz w:val="22"/>
                <w:szCs w:val="22"/>
                <w:color w:val="auto"/>
              </w:rPr>
              <w:t>$15,000</w:t>
            </w:r>
          </w:p>
        </w:tc>
        <w:tc>
          <w:tcPr>
            <w:tcW w:w="100" w:type="dxa"/>
            <w:vAlign w:val="bottom"/>
          </w:tcPr>
          <w:p>
            <w:pPr>
              <w:spacing w:after="0"/>
              <w:rPr>
                <w:sz w:val="24"/>
                <w:szCs w:val="24"/>
                <w:color w:val="auto"/>
              </w:rPr>
            </w:pPr>
          </w:p>
        </w:tc>
      </w:tr>
      <w:tr>
        <w:trPr>
          <w:trHeight w:val="122"/>
        </w:trPr>
        <w:tc>
          <w:tcPr>
            <w:tcW w:w="40" w:type="dxa"/>
            <w:vAlign w:val="bottom"/>
          </w:tcPr>
          <w:p>
            <w:pPr>
              <w:spacing w:after="0"/>
              <w:rPr>
                <w:sz w:val="10"/>
                <w:szCs w:val="10"/>
                <w:color w:val="auto"/>
              </w:rPr>
            </w:pPr>
          </w:p>
        </w:tc>
        <w:tc>
          <w:tcPr>
            <w:tcW w:w="6440" w:type="dxa"/>
            <w:vAlign w:val="bottom"/>
            <w:shd w:val="clear" w:color="auto" w:fill="D9D9D9"/>
          </w:tcPr>
          <w:p>
            <w:pPr>
              <w:spacing w:after="0"/>
              <w:rPr>
                <w:sz w:val="10"/>
                <w:szCs w:val="10"/>
                <w:color w:val="auto"/>
              </w:rPr>
            </w:pPr>
          </w:p>
        </w:tc>
        <w:tc>
          <w:tcPr>
            <w:tcW w:w="4660" w:type="dxa"/>
            <w:vAlign w:val="bottom"/>
            <w:shd w:val="clear" w:color="auto" w:fill="D9D9D9"/>
          </w:tcPr>
          <w:p>
            <w:pPr>
              <w:spacing w:after="0"/>
              <w:rPr>
                <w:sz w:val="10"/>
                <w:szCs w:val="10"/>
                <w:color w:val="auto"/>
              </w:rPr>
            </w:pPr>
          </w:p>
        </w:tc>
        <w:tc>
          <w:tcPr>
            <w:tcW w:w="100" w:type="dxa"/>
            <w:vAlign w:val="bottom"/>
          </w:tcPr>
          <w:p>
            <w:pPr>
              <w:spacing w:after="0"/>
              <w:rPr>
                <w:sz w:val="10"/>
                <w:szCs w:val="10"/>
                <w:color w:val="auto"/>
              </w:rPr>
            </w:pPr>
          </w:p>
        </w:tc>
      </w:tr>
      <w:tr>
        <w:trPr>
          <w:trHeight w:val="660"/>
        </w:trPr>
        <w:tc>
          <w:tcPr>
            <w:tcW w:w="6480" w:type="dxa"/>
            <w:vAlign w:val="bottom"/>
            <w:gridSpan w:val="2"/>
          </w:tcPr>
          <w:p>
            <w:pPr>
              <w:jc w:val="right"/>
              <w:ind w:right="5292"/>
              <w:spacing w:after="0"/>
              <w:rPr>
                <w:sz w:val="20"/>
                <w:szCs w:val="20"/>
                <w:color w:val="auto"/>
              </w:rPr>
            </w:pPr>
            <w:r>
              <w:rPr>
                <w:rFonts w:ascii="Times New Roman" w:cs="Times New Roman" w:eastAsia="Times New Roman" w:hAnsi="Times New Roman"/>
                <w:sz w:val="13"/>
                <w:szCs w:val="13"/>
                <w:color w:val="auto"/>
              </w:rPr>
              <w:t>4851-7371-2846.17</w:t>
            </w:r>
          </w:p>
        </w:tc>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93" w:name="page94"/>
    <w:bookmarkEnd w:id="93"/>
    <w:tbl>
      <w:tblPr>
        <w:tblLayout w:type="fixed"/>
        <w:tblInd w:w="40" w:type="dxa"/>
        <w:tblCellMar>
          <w:top w:w="0" w:type="dxa"/>
          <w:left w:w="0" w:type="dxa"/>
          <w:bottom w:w="0" w:type="dxa"/>
          <w:right w:w="0" w:type="dxa"/>
        </w:tblCellMar>
      </w:tblPr>
      <w:tr>
        <w:trPr>
          <w:trHeight w:val="282"/>
        </w:trPr>
        <w:tc>
          <w:tcPr>
            <w:tcW w:w="7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Talent and Compensation Committee Member:</w:t>
            </w:r>
          </w:p>
        </w:tc>
        <w:tc>
          <w:tcPr>
            <w:tcW w:w="39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$7,500</w:t>
            </w:r>
          </w:p>
        </w:tc>
      </w:tr>
      <w:tr>
        <w:trPr>
          <w:trHeight w:val="123"/>
        </w:trPr>
        <w:tc>
          <w:tcPr>
            <w:tcW w:w="7180" w:type="dxa"/>
            <w:vAlign w:val="bottom"/>
          </w:tcPr>
          <w:p>
            <w:pPr>
              <w:spacing w:after="0"/>
              <w:rPr>
                <w:sz w:val="10"/>
                <w:szCs w:val="10"/>
                <w:color w:val="auto"/>
              </w:rPr>
            </w:pPr>
          </w:p>
        </w:tc>
        <w:tc>
          <w:tcPr>
            <w:tcW w:w="3920" w:type="dxa"/>
            <w:vAlign w:val="bottom"/>
          </w:tcPr>
          <w:p>
            <w:pPr>
              <w:spacing w:after="0"/>
              <w:rPr>
                <w:sz w:val="10"/>
                <w:szCs w:val="10"/>
                <w:color w:val="auto"/>
              </w:rPr>
            </w:pPr>
          </w:p>
        </w:tc>
      </w:tr>
      <w:tr>
        <w:trPr>
          <w:trHeight w:val="282"/>
        </w:trPr>
        <w:tc>
          <w:tcPr>
            <w:tcW w:w="71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2"/>
                <w:szCs w:val="22"/>
                <w:color w:val="auto"/>
              </w:rPr>
              <w:t>Corporate Governance and Nominating Committee Chair:</w:t>
            </w:r>
          </w:p>
        </w:tc>
        <w:tc>
          <w:tcPr>
            <w:tcW w:w="3920" w:type="dxa"/>
            <w:vAlign w:val="bottom"/>
            <w:shd w:val="clear" w:color="auto" w:fill="D9D9D9"/>
          </w:tcPr>
          <w:p>
            <w:pPr>
              <w:ind w:left="1940"/>
              <w:spacing w:after="0"/>
              <w:rPr>
                <w:sz w:val="20"/>
                <w:szCs w:val="20"/>
                <w:color w:val="auto"/>
              </w:rPr>
            </w:pPr>
            <w:r>
              <w:rPr>
                <w:rFonts w:ascii="Times New Roman" w:cs="Times New Roman" w:eastAsia="Times New Roman" w:hAnsi="Times New Roman"/>
                <w:sz w:val="22"/>
                <w:szCs w:val="22"/>
                <w:color w:val="auto"/>
              </w:rPr>
              <w:t>$10,000</w:t>
            </w:r>
          </w:p>
        </w:tc>
      </w:tr>
      <w:tr>
        <w:trPr>
          <w:trHeight w:val="122"/>
        </w:trPr>
        <w:tc>
          <w:tcPr>
            <w:tcW w:w="7180" w:type="dxa"/>
            <w:vAlign w:val="bottom"/>
            <w:shd w:val="clear" w:color="auto" w:fill="D9D9D9"/>
          </w:tcPr>
          <w:p>
            <w:pPr>
              <w:spacing w:after="0"/>
              <w:rPr>
                <w:sz w:val="10"/>
                <w:szCs w:val="10"/>
                <w:color w:val="auto"/>
              </w:rPr>
            </w:pPr>
          </w:p>
        </w:tc>
        <w:tc>
          <w:tcPr>
            <w:tcW w:w="3920" w:type="dxa"/>
            <w:vAlign w:val="bottom"/>
            <w:shd w:val="clear" w:color="auto" w:fill="D9D9D9"/>
          </w:tcPr>
          <w:p>
            <w:pPr>
              <w:spacing w:after="0"/>
              <w:rPr>
                <w:sz w:val="10"/>
                <w:szCs w:val="10"/>
                <w:color w:val="auto"/>
              </w:rPr>
            </w:pPr>
          </w:p>
        </w:tc>
      </w:tr>
      <w:tr>
        <w:trPr>
          <w:trHeight w:val="282"/>
        </w:trPr>
        <w:tc>
          <w:tcPr>
            <w:tcW w:w="7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Corporate Governance and Nominating Committee Member:</w:t>
            </w:r>
          </w:p>
        </w:tc>
        <w:tc>
          <w:tcPr>
            <w:tcW w:w="39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$5,000</w:t>
            </w:r>
          </w:p>
        </w:tc>
      </w:tr>
      <w:tr>
        <w:trPr>
          <w:trHeight w:val="122"/>
        </w:trPr>
        <w:tc>
          <w:tcPr>
            <w:tcW w:w="7180" w:type="dxa"/>
            <w:vAlign w:val="bottom"/>
          </w:tcPr>
          <w:p>
            <w:pPr>
              <w:spacing w:after="0"/>
              <w:rPr>
                <w:sz w:val="10"/>
                <w:szCs w:val="10"/>
                <w:color w:val="auto"/>
              </w:rPr>
            </w:pPr>
          </w:p>
        </w:tc>
        <w:tc>
          <w:tcPr>
            <w:tcW w:w="3920" w:type="dxa"/>
            <w:vAlign w:val="bottom"/>
          </w:tcPr>
          <w:p>
            <w:pPr>
              <w:spacing w:after="0"/>
              <w:rPr>
                <w:sz w:val="10"/>
                <w:szCs w:val="10"/>
                <w:color w:val="auto"/>
              </w:rPr>
            </w:pPr>
          </w:p>
        </w:tc>
      </w:tr>
      <w:tr>
        <w:trPr>
          <w:trHeight w:val="282"/>
        </w:trPr>
        <w:tc>
          <w:tcPr>
            <w:tcW w:w="71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22"/>
                <w:szCs w:val="22"/>
                <w:color w:val="auto"/>
              </w:rPr>
              <w:t>Science and Technology Committee Chair:</w:t>
            </w:r>
          </w:p>
        </w:tc>
        <w:tc>
          <w:tcPr>
            <w:tcW w:w="3920" w:type="dxa"/>
            <w:vAlign w:val="bottom"/>
            <w:shd w:val="clear" w:color="auto" w:fill="D9D9D9"/>
          </w:tcPr>
          <w:p>
            <w:pPr>
              <w:ind w:left="1880"/>
              <w:spacing w:after="0"/>
              <w:rPr>
                <w:sz w:val="20"/>
                <w:szCs w:val="20"/>
                <w:color w:val="auto"/>
              </w:rPr>
            </w:pPr>
            <w:r>
              <w:rPr>
                <w:rFonts w:ascii="Times New Roman" w:cs="Times New Roman" w:eastAsia="Times New Roman" w:hAnsi="Times New Roman"/>
                <w:sz w:val="22"/>
                <w:szCs w:val="22"/>
                <w:color w:val="auto"/>
              </w:rPr>
              <w:t>$10,000</w:t>
            </w:r>
          </w:p>
        </w:tc>
      </w:tr>
      <w:tr>
        <w:trPr>
          <w:trHeight w:val="122"/>
        </w:trPr>
        <w:tc>
          <w:tcPr>
            <w:tcW w:w="7180" w:type="dxa"/>
            <w:vAlign w:val="bottom"/>
            <w:shd w:val="clear" w:color="auto" w:fill="D9D9D9"/>
          </w:tcPr>
          <w:p>
            <w:pPr>
              <w:spacing w:after="0"/>
              <w:rPr>
                <w:sz w:val="10"/>
                <w:szCs w:val="10"/>
                <w:color w:val="auto"/>
              </w:rPr>
            </w:pPr>
          </w:p>
        </w:tc>
        <w:tc>
          <w:tcPr>
            <w:tcW w:w="3920" w:type="dxa"/>
            <w:vAlign w:val="bottom"/>
            <w:shd w:val="clear" w:color="auto" w:fill="D9D9D9"/>
          </w:tcPr>
          <w:p>
            <w:pPr>
              <w:spacing w:after="0"/>
              <w:rPr>
                <w:sz w:val="10"/>
                <w:szCs w:val="10"/>
                <w:color w:val="auto"/>
              </w:rPr>
            </w:pPr>
          </w:p>
        </w:tc>
      </w:tr>
      <w:tr>
        <w:trPr>
          <w:trHeight w:val="282"/>
        </w:trPr>
        <w:tc>
          <w:tcPr>
            <w:tcW w:w="7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Science and Technology Committee Member:</w:t>
            </w:r>
          </w:p>
        </w:tc>
        <w:tc>
          <w:tcPr>
            <w:tcW w:w="39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311"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Lead Independent Director will receive the annual fee for services provided in such role as well as the annual fee as an Outside Director.</w:t>
      </w:r>
    </w:p>
    <w:p>
      <w:pPr>
        <w:spacing w:after="0" w:line="175" w:lineRule="exact"/>
        <w:rPr>
          <w:sz w:val="20"/>
          <w:szCs w:val="20"/>
          <w:color w:val="auto"/>
        </w:rPr>
      </w:pPr>
    </w:p>
    <w:p>
      <w:pPr>
        <w:jc w:val="both"/>
        <w:ind w:firstLine="1498"/>
        <w:spacing w:after="0" w:line="263"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color w:val="auto"/>
        </w:rPr>
        <w:t>Payment Timing and Proration</w:t>
      </w:r>
      <w:r>
        <w:rPr>
          <w:rFonts w:ascii="Times New Roman" w:cs="Times New Roman" w:eastAsia="Times New Roman" w:hAnsi="Times New Roman"/>
          <w:sz w:val="20"/>
          <w:szCs w:val="20"/>
          <w:color w:val="auto"/>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cs="Times New Roman" w:eastAsia="Times New Roman" w:hAnsi="Times New Roman"/>
          <w:sz w:val="20"/>
          <w:szCs w:val="20"/>
          <w:b w:val="1"/>
          <w:bCs w:val="1"/>
          <w:color w:val="auto"/>
        </w:rPr>
        <w:t>Fiscal Quarter</w:t>
      </w:r>
      <w:r>
        <w:rPr>
          <w:rFonts w:ascii="Times New Roman" w:cs="Times New Roman" w:eastAsia="Times New Roman" w:hAnsi="Times New Roman"/>
          <w:sz w:val="20"/>
          <w:szCs w:val="20"/>
          <w:color w:val="auto"/>
        </w:rPr>
        <w:t>”), and such payment will be made no later than thirty (30) days following the end of such immediately preceding Fiscal Quarter. For clarity, an Outside Director who has served as an Outside Director, as a member of an applicable committee (or chair thereof), or as Lead Independent Director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w:t>
      </w:r>
    </w:p>
    <w:p>
      <w:pPr>
        <w:spacing w:after="0" w:line="151" w:lineRule="exact"/>
        <w:rPr>
          <w:sz w:val="20"/>
          <w:szCs w:val="20"/>
          <w:color w:val="auto"/>
        </w:rPr>
      </w:pPr>
    </w:p>
    <w:p>
      <w:pPr>
        <w:jc w:val="both"/>
        <w:ind w:firstLine="757"/>
        <w:spacing w:after="0"/>
        <w:tabs>
          <w:tab w:leader="none" w:pos="119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Compensation</w:t>
      </w:r>
      <w:r>
        <w:rPr>
          <w:rFonts w:ascii="Times New Roman" w:cs="Times New Roman" w:eastAsia="Times New Roman" w:hAnsi="Times New Roman"/>
          <w:sz w:val="22"/>
          <w:szCs w:val="22"/>
          <w:color w:val="auto"/>
        </w:rPr>
        <w:t>. Outside Directors will be eligible to receive all types of Awards (except Incentive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under the Plan, including discretionary Awards not covered under this Policy. All grants of Awards to Outside Directors pursuant to Sections 3.2 and 3.3 of this Policy will be automatic and nondiscretionary, except as otherwise provided herein, and will be made in accordance with the following provisions:</w:t>
      </w:r>
    </w:p>
    <w:p>
      <w:pPr>
        <w:spacing w:after="0" w:line="175"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No Discretion</w:t>
      </w:r>
      <w:r>
        <w:rPr>
          <w:rFonts w:ascii="Times New Roman" w:cs="Times New Roman" w:eastAsia="Times New Roman" w:hAnsi="Times New Roman"/>
          <w:sz w:val="22"/>
          <w:szCs w:val="22"/>
          <w:color w:val="auto"/>
        </w:rPr>
        <w:t>. No person will have any discretion to select which Outside Directors will be granted Awards under this Policy or to determine the number of Shares to be covered by such Awards (except as provided in Sections 3.5.4 and 10 below).</w:t>
      </w:r>
    </w:p>
    <w:p>
      <w:pPr>
        <w:spacing w:after="0" w:line="166"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Initial Awards</w:t>
      </w:r>
      <w:r>
        <w:rPr>
          <w:rFonts w:ascii="Times New Roman" w:cs="Times New Roman" w:eastAsia="Times New Roman" w:hAnsi="Times New Roman"/>
          <w:sz w:val="22"/>
          <w:szCs w:val="22"/>
          <w:color w:val="auto"/>
        </w:rPr>
        <w:t>. Each individual who first becomes an Outside Director on or following the Restatement Date automatically will be granted an award of Options (an “</w:t>
      </w:r>
      <w:r>
        <w:rPr>
          <w:rFonts w:ascii="Times New Roman" w:cs="Times New Roman" w:eastAsia="Times New Roman" w:hAnsi="Times New Roman"/>
          <w:sz w:val="22"/>
          <w:szCs w:val="22"/>
          <w:b w:val="1"/>
          <w:bCs w:val="1"/>
          <w:color w:val="auto"/>
        </w:rPr>
        <w:t>Option Award</w:t>
      </w:r>
      <w:r>
        <w:rPr>
          <w:rFonts w:ascii="Times New Roman" w:cs="Times New Roman" w:eastAsia="Times New Roman" w:hAnsi="Times New Roman"/>
          <w:sz w:val="22"/>
          <w:szCs w:val="22"/>
          <w:color w:val="auto"/>
        </w:rPr>
        <w:t>”) to purchase 69,470 Shares and an award of Restricted Stock Units covering 46,886 Shares (an “</w:t>
      </w:r>
      <w:r>
        <w:rPr>
          <w:rFonts w:ascii="Times New Roman" w:cs="Times New Roman" w:eastAsia="Times New Roman" w:hAnsi="Times New Roman"/>
          <w:sz w:val="22"/>
          <w:szCs w:val="22"/>
          <w:b w:val="1"/>
          <w:bCs w:val="1"/>
          <w:color w:val="auto"/>
        </w:rPr>
        <w:t>Initial RSU Award</w:t>
      </w:r>
      <w:r>
        <w:rPr>
          <w:rFonts w:ascii="Times New Roman" w:cs="Times New Roman" w:eastAsia="Times New Roman" w:hAnsi="Times New Roman"/>
          <w:sz w:val="22"/>
          <w:szCs w:val="22"/>
          <w:color w:val="auto"/>
        </w:rPr>
        <w:t>” and together with the Option Award, the “</w:t>
      </w:r>
      <w:r>
        <w:rPr>
          <w:rFonts w:ascii="Times New Roman" w:cs="Times New Roman" w:eastAsia="Times New Roman" w:hAnsi="Times New Roman"/>
          <w:sz w:val="22"/>
          <w:szCs w:val="22"/>
          <w:b w:val="1"/>
          <w:bCs w:val="1"/>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Awards</w:t>
      </w:r>
      <w:r>
        <w:rPr>
          <w:rFonts w:ascii="Times New Roman" w:cs="Times New Roman" w:eastAsia="Times New Roman" w:hAnsi="Times New Roman"/>
          <w:sz w:val="22"/>
          <w:szCs w:val="22"/>
          <w:color w:val="auto"/>
        </w:rPr>
        <w:t>”). The grant date of the Initial Awards will be the first Trading Day on or after the date on which such individual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becomes an Outside Director (such first date as an Outside Director, the “</w:t>
      </w:r>
      <w:r>
        <w:rPr>
          <w:rFonts w:ascii="Times New Roman" w:cs="Times New Roman" w:eastAsia="Times New Roman" w:hAnsi="Times New Roman"/>
          <w:sz w:val="22"/>
          <w:szCs w:val="22"/>
          <w:b w:val="1"/>
          <w:bCs w:val="1"/>
          <w:color w:val="auto"/>
        </w:rPr>
        <w:t>Initial Start Date</w:t>
      </w:r>
      <w:r>
        <w:rPr>
          <w:rFonts w:ascii="Times New Roman" w:cs="Times New Roman" w:eastAsia="Times New Roman" w:hAnsi="Times New Roman"/>
          <w:sz w:val="22"/>
          <w:szCs w:val="22"/>
          <w:color w:val="auto"/>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any Initial Awards. Each Initial Award will be scheduled to vest as to one-third (1/3rd) of the Shares subject to the Initial Award on each of the one (1), two (2) and three (3) year anniversaries of the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sectPr>
      </w:pPr>
    </w:p>
    <w:bookmarkStart w:id="94" w:name="page95"/>
    <w:bookmarkEnd w:id="94"/>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Start Date, subject to the Outside Director remaining a Service Provider through the applicable vesting date.</w:t>
      </w:r>
    </w:p>
    <w:p>
      <w:pPr>
        <w:spacing w:after="0" w:line="201" w:lineRule="exact"/>
        <w:rPr>
          <w:sz w:val="20"/>
          <w:szCs w:val="20"/>
          <w:color w:val="auto"/>
        </w:rPr>
      </w:pPr>
    </w:p>
    <w:p>
      <w:pPr>
        <w:jc w:val="both"/>
        <w:ind w:firstLine="1498"/>
        <w:spacing w:after="0" w:line="23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On the date of each Annual Meeting of the Company’s stockholders (an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Meeting</w:t>
      </w:r>
      <w:r>
        <w:rPr>
          <w:rFonts w:ascii="Times New Roman" w:cs="Times New Roman" w:eastAsia="Times New Roman" w:hAnsi="Times New Roman"/>
          <w:sz w:val="22"/>
          <w:szCs w:val="22"/>
          <w:color w:val="auto"/>
        </w:rPr>
        <w:t>”) that occurs on or after the Restatement Date, each Outside Director automatically will be granted an award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covering 58,178 Shares (an “</w:t>
      </w:r>
      <w:r>
        <w:rPr>
          <w:rFonts w:ascii="Times New Roman" w:cs="Times New Roman" w:eastAsia="Times New Roman" w:hAnsi="Times New Roman"/>
          <w:sz w:val="22"/>
          <w:szCs w:val="22"/>
          <w:b w:val="1"/>
          <w:bCs w:val="1"/>
          <w:color w:val="auto"/>
        </w:rPr>
        <w:t>Annual Award</w:t>
      </w:r>
      <w:r>
        <w:rPr>
          <w:rFonts w:ascii="Times New Roman" w:cs="Times New Roman" w:eastAsia="Times New Roman" w:hAnsi="Times New Roman"/>
          <w:sz w:val="22"/>
          <w:szCs w:val="22"/>
          <w:color w:val="auto"/>
        </w:rPr>
        <w:t>”); provided that any Outside Director who is not continuing as an Outside Director following the applicable Annual Meeting will not receive any Annual Award with respect to such Annual Meeting; provided, further, however, that if an individual commenced service as an Outside Director after the date of the Annual Meeting that occurred immediately prior to such Annual Meeting, then the Annual Award granted to such Outside Director will be prorated based on the number of whole months that the individual served as an Outside Director prior to the Annual Award’s grant date during the twelve (12) month period immediately preceding such Annual Meeting (with any resulting fractional Share rounded down to the nearest whole Share). Each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spacing w:after="0" w:line="181"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Additional Terms of Initial Awards and Annual Awards</w:t>
      </w:r>
      <w:r>
        <w:rPr>
          <w:rFonts w:ascii="Times New Roman" w:cs="Times New Roman" w:eastAsia="Times New Roman" w:hAnsi="Times New Roman"/>
          <w:sz w:val="22"/>
          <w:szCs w:val="22"/>
          <w:color w:val="auto"/>
        </w:rPr>
        <w:t xml:space="preserve"> . The terms and conditions of each Option Award, Initial RSU Award, and Annual Award (each of such Initial RSU Award or Annual Award, an “</w:t>
      </w:r>
      <w:r>
        <w:rPr>
          <w:rFonts w:ascii="Times New Roman" w:cs="Times New Roman" w:eastAsia="Times New Roman" w:hAnsi="Times New Roman"/>
          <w:sz w:val="22"/>
          <w:szCs w:val="22"/>
          <w:b w:val="1"/>
          <w:bCs w:val="1"/>
          <w:color w:val="auto"/>
        </w:rPr>
        <w:t>RSU Award</w:t>
      </w:r>
      <w:r>
        <w:rPr>
          <w:rFonts w:ascii="Times New Roman" w:cs="Times New Roman" w:eastAsia="Times New Roman" w:hAnsi="Times New Roman"/>
          <w:sz w:val="22"/>
          <w:szCs w:val="22"/>
          <w:color w:val="auto"/>
        </w:rPr>
        <w:t>”) will be as follows.</w:t>
      </w:r>
    </w:p>
    <w:p>
      <w:pPr>
        <w:spacing w:after="0" w:line="170" w:lineRule="exact"/>
        <w:rPr>
          <w:sz w:val="20"/>
          <w:szCs w:val="20"/>
          <w:color w:val="auto"/>
        </w:rPr>
      </w:pPr>
    </w:p>
    <w:p>
      <w:pPr>
        <w:ind w:left="3000"/>
        <w:spacing w:after="0"/>
        <w:tabs>
          <w:tab w:leader="none" w:pos="3840" w:val="left"/>
        </w:tabs>
        <w:rPr>
          <w:sz w:val="20"/>
          <w:szCs w:val="20"/>
          <w:color w:val="auto"/>
        </w:rPr>
      </w:pPr>
      <w:r>
        <w:rPr>
          <w:rFonts w:ascii="Times New Roman" w:cs="Times New Roman" w:eastAsia="Times New Roman" w:hAnsi="Times New Roman"/>
          <w:sz w:val="22"/>
          <w:szCs w:val="22"/>
          <w:color w:val="auto"/>
        </w:rPr>
        <w:t>3.4.1</w:t>
      </w:r>
      <w:r>
        <w:rPr>
          <w:sz w:val="20"/>
          <w:szCs w:val="20"/>
          <w:color w:val="auto"/>
        </w:rPr>
        <w:tab/>
      </w:r>
      <w:r>
        <w:rPr>
          <w:rFonts w:ascii="Times New Roman" w:cs="Times New Roman" w:eastAsia="Times New Roman" w:hAnsi="Times New Roman"/>
          <w:sz w:val="20"/>
          <w:szCs w:val="20"/>
          <w:color w:val="auto"/>
        </w:rPr>
        <w:t>The term of each Option Award will be ten (10) years, subject to earlier termination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provided in the Plan.</w:t>
      </w:r>
    </w:p>
    <w:p>
      <w:pPr>
        <w:spacing w:after="0" w:line="181" w:lineRule="exact"/>
        <w:rPr>
          <w:sz w:val="20"/>
          <w:szCs w:val="20"/>
          <w:color w:val="auto"/>
        </w:rPr>
      </w:pPr>
    </w:p>
    <w:p>
      <w:pPr>
        <w:ind w:right="20" w:firstLine="2995"/>
        <w:spacing w:after="0" w:line="258" w:lineRule="auto"/>
        <w:rPr>
          <w:sz w:val="20"/>
          <w:szCs w:val="20"/>
          <w:color w:val="auto"/>
        </w:rPr>
      </w:pPr>
      <w:r>
        <w:rPr>
          <w:rFonts w:ascii="Times New Roman" w:cs="Times New Roman" w:eastAsia="Times New Roman" w:hAnsi="Times New Roman"/>
          <w:sz w:val="22"/>
          <w:szCs w:val="22"/>
          <w:color w:val="auto"/>
        </w:rPr>
        <w:t>3.4.2 The per Share exercise price of each Option Award will be equal to one hundred percent (100%) of the Fair Market Value per Share on such Option Award’s grant date.</w:t>
      </w:r>
    </w:p>
    <w:p>
      <w:pPr>
        <w:spacing w:after="0" w:line="157" w:lineRule="exact"/>
        <w:rPr>
          <w:sz w:val="20"/>
          <w:szCs w:val="20"/>
          <w:color w:val="auto"/>
        </w:rPr>
      </w:pPr>
    </w:p>
    <w:p>
      <w:pPr>
        <w:jc w:val="both"/>
        <w:ind w:firstLine="2995"/>
        <w:spacing w:after="0" w:line="244" w:lineRule="auto"/>
        <w:rPr>
          <w:sz w:val="20"/>
          <w:szCs w:val="20"/>
          <w:color w:val="auto"/>
        </w:rPr>
      </w:pPr>
      <w:r>
        <w:rPr>
          <w:rFonts w:ascii="Times New Roman" w:cs="Times New Roman" w:eastAsia="Times New Roman" w:hAnsi="Times New Roman"/>
          <w:sz w:val="22"/>
          <w:szCs w:val="22"/>
          <w:color w:val="auto"/>
        </w:rPr>
        <w:t>3.4.3 Each Option Award and RSU Award will be granted under and subject to the terms and conditions of the Plan and the applicable form of Award Agreement previously approved by the Board or its Committee (as defined below), as applicable, for use thereunder.</w:t>
      </w:r>
    </w:p>
    <w:p>
      <w:pPr>
        <w:spacing w:after="0" w:line="172" w:lineRule="exact"/>
        <w:rPr>
          <w:sz w:val="20"/>
          <w:szCs w:val="20"/>
          <w:color w:val="auto"/>
        </w:rPr>
      </w:pPr>
    </w:p>
    <w:p>
      <w:pPr>
        <w:jc w:val="both"/>
        <w:ind w:firstLine="2995"/>
        <w:spacing w:after="0" w:line="244" w:lineRule="auto"/>
        <w:rPr>
          <w:sz w:val="20"/>
          <w:szCs w:val="20"/>
          <w:color w:val="auto"/>
        </w:rPr>
      </w:pPr>
      <w:r>
        <w:rPr>
          <w:rFonts w:ascii="Times New Roman" w:cs="Times New Roman" w:eastAsia="Times New Roman" w:hAnsi="Times New Roman"/>
          <w:sz w:val="22"/>
          <w:szCs w:val="22"/>
          <w:color w:val="auto"/>
        </w:rPr>
        <w:t>3.4.4 The Board or its Committee, as applicable and in its discretion, may change and otherwise revise the terms of Option Awards and RSU Awards to be granted in the future pursuant to this Policy, including without limitation the number of Shares subject thereto and type of Award.</w:t>
      </w:r>
    </w:p>
    <w:p>
      <w:pPr>
        <w:spacing w:after="0" w:line="168" w:lineRule="exact"/>
        <w:rPr>
          <w:sz w:val="20"/>
          <w:szCs w:val="20"/>
          <w:color w:val="auto"/>
        </w:rPr>
      </w:pPr>
    </w:p>
    <w:p>
      <w:pPr>
        <w:jc w:val="both"/>
        <w:ind w:firstLine="757"/>
        <w:spacing w:after="0"/>
        <w:tabs>
          <w:tab w:leader="none" w:pos="120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In the event of a Change in Control, each Outside Director will fully vest in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Company equity awards that were granted to him or her while an Outside Director, as of immediately prior to the Change in Control, including any Option Award and RSU Award, provided that the Outside Director continues to be an Outside Director through the date of such Change in Control.</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79" w:lineRule="exact"/>
        <w:rPr>
          <w:sz w:val="20"/>
          <w:szCs w:val="20"/>
          <w:color w:val="auto"/>
        </w:rPr>
      </w:pPr>
    </w:p>
    <w:p>
      <w:pPr>
        <w:jc w:val="both"/>
        <w:ind w:firstLine="757"/>
        <w:spacing w:after="0" w:line="257" w:lineRule="auto"/>
        <w:tabs>
          <w:tab w:leader="none" w:pos="11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Compensation Limit</w:t>
      </w:r>
      <w:r>
        <w:rPr>
          <w:rFonts w:ascii="Times New Roman" w:cs="Times New Roman" w:eastAsia="Times New Roman" w:hAnsi="Times New Roman"/>
          <w:sz w:val="20"/>
          <w:szCs w:val="20"/>
          <w:color w:val="auto"/>
        </w:rPr>
        <w:t>. No Outside Director may be granted, in any Fiscal Year, Awards with values (based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their grant date fair value determined in accordance with U.S. generally accepted accounting principles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and be provided any other compensation (including without limitation any cash retainers or fees) in amounts that, in any Fiscal Year,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 If a reduction in any Awards and/or other compensation provided or to be provided to an Outside Director in a given Fiscal Year is necessary so that the aggregate compensation provided to such Outside Director in such Fiscal Year does not exceed the applicable limit provided in the first sentence of this Section 5, the Awards and/or other compensation to the Outside Director will be reduced in reverse chronological order, such that the latest Award granted or to be granted or other compensation paid or to be paid will be reduced first. If more than one Award is granted on the same date or other compensation is paid on the same date, all such Awards and other compensation paid on the same date will be reduced pro rata (with the value of any Awards being based on their grant date fair value determined in accordance with GAAP). In no event will an Outside Director have any discretion with respect to the ordering of payment reductions.</w:t>
      </w: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ind w:firstLine="757"/>
        <w:spacing w:after="0" w:line="261" w:lineRule="auto"/>
        <w:tabs>
          <w:tab w:leader="none" w:pos="120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Travel Expenses</w:t>
      </w:r>
      <w:r>
        <w:rPr>
          <w:rFonts w:ascii="Times New Roman" w:cs="Times New Roman" w:eastAsia="Times New Roman" w:hAnsi="Times New Roman"/>
          <w:sz w:val="22"/>
          <w:szCs w:val="22"/>
          <w:color w:val="auto"/>
        </w:rPr>
        <w:t>. Each Outside Director’s reasonable, customary and properly documented travel expenses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meetings of the Board and any of its committees, as applicable, will be reimbursed by the Company.</w:t>
      </w:r>
    </w:p>
    <w:p>
      <w:pPr>
        <w:spacing w:after="0" w:line="150"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Shares,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shares of stock that may be delivered pursuant to Option Awards and RSU Awards and/or the number, class, and price of shares of stock covered by each outstanding Option Award and RSU Award.</w:t>
      </w:r>
    </w:p>
    <w:p>
      <w:pPr>
        <w:spacing w:after="0" w:line="175" w:lineRule="exact"/>
        <w:rPr>
          <w:rFonts w:ascii="Times New Roman" w:cs="Times New Roman" w:eastAsia="Times New Roman" w:hAnsi="Times New Roman"/>
          <w:sz w:val="22"/>
          <w:szCs w:val="22"/>
          <w:color w:val="auto"/>
        </w:rPr>
      </w:pPr>
    </w:p>
    <w:p>
      <w:pPr>
        <w:jc w:val="both"/>
        <w:ind w:firstLine="757"/>
        <w:spacing w:after="0" w:line="234" w:lineRule="auto"/>
        <w:tabs>
          <w:tab w:leader="none" w:pos="119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In no event will cash compensation or expense reimbursement payments under this Policy be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obligation to reimburse, indemnify, or hold harmless an Outside Director (or any other person) for any taxes imposed, or other costs incurred, as a result of Section 409A.</w:t>
      </w:r>
    </w:p>
    <w:p>
      <w:pPr>
        <w:spacing w:after="0" w:line="153" w:lineRule="exact"/>
        <w:rPr>
          <w:sz w:val="20"/>
          <w:szCs w:val="20"/>
          <w:color w:val="auto"/>
        </w:rPr>
      </w:pPr>
    </w:p>
    <w:p>
      <w:pPr>
        <w:jc w:val="both"/>
        <w:ind w:firstLine="757"/>
        <w:spacing w:after="0"/>
        <w:tabs>
          <w:tab w:leader="none" w:pos="119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Stockholder Approval</w:t>
      </w:r>
      <w:r>
        <w:rPr>
          <w:rFonts w:ascii="Times New Roman" w:cs="Times New Roman" w:eastAsia="Times New Roman" w:hAnsi="Times New Roman"/>
          <w:sz w:val="22"/>
          <w:szCs w:val="22"/>
          <w:color w:val="auto"/>
        </w:rPr>
        <w:t>. This Policy as initially adopted was approved by the Company’s stockholders prior to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initial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spacing w:after="0" w:line="174"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Revisions</w:t>
      </w:r>
      <w:r>
        <w:rPr>
          <w:rFonts w:ascii="Times New Roman" w:cs="Times New Roman" w:eastAsia="Times New Roman" w:hAnsi="Times New Roman"/>
          <w:sz w:val="22"/>
          <w:szCs w:val="22"/>
          <w:color w:val="auto"/>
        </w:rPr>
        <w:t>. The Board or any committee of the Board that has been designated appropriate authority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Outside Director compensation (or with respect to any applicable element or elements thereof, authority with respect to such element or elements)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spacing w:after="0" w:line="76"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0"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Omid Farokhzad, certify that:</w:t>
      </w:r>
    </w:p>
    <w:p>
      <w:pPr>
        <w:spacing w:after="0" w:line="211"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Seer, Inc.;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65"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760" w:right="260" w:hanging="378"/>
        <w:spacing w:after="0" w:line="281"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1140" w:right="100" w:hanging="383"/>
        <w:spacing w:after="0" w:line="265"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140" w:right="220" w:hanging="383"/>
        <w:spacing w:after="0" w:line="265"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140" w:right="400" w:hanging="383"/>
        <w:spacing w:after="0" w:line="312" w:lineRule="auto"/>
        <w:tabs>
          <w:tab w:leader="none" w:pos="114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40" w:right="100" w:hanging="383"/>
        <w:spacing w:after="0" w:line="265"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8" w:name="page99"/>
    <w:bookmarkEnd w:id="98"/>
    <w:p>
      <w:pPr>
        <w:ind w:left="1140" w:right="640" w:hanging="383"/>
        <w:spacing w:after="0" w:line="281"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140" w:right="320" w:hanging="383"/>
        <w:spacing w:after="0" w:line="281"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245"/>
        </w:trPr>
        <w:tc>
          <w:tcPr>
            <w:tcW w:w="542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Omid Farokhzad</w:t>
            </w:r>
          </w:p>
        </w:tc>
        <w:tc>
          <w:tcPr>
            <w:tcW w:w="4100" w:type="dxa"/>
            <w:vAlign w:val="bottom"/>
          </w:tcPr>
          <w:p>
            <w:pPr>
              <w:spacing w:after="0"/>
              <w:rPr>
                <w:sz w:val="21"/>
                <w:szCs w:val="21"/>
                <w:color w:val="auto"/>
              </w:rPr>
            </w:pPr>
          </w:p>
        </w:tc>
      </w:tr>
      <w:tr>
        <w:trPr>
          <w:trHeight w:val="229"/>
        </w:trPr>
        <w:tc>
          <w:tcPr>
            <w:tcW w:w="54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54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54"/>
        </w:trPr>
        <w:tc>
          <w:tcPr>
            <w:tcW w:w="54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9" w:name="page100"/>
    <w:bookmarkEnd w:id="99"/>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6"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Horn, certify that:</w:t>
      </w:r>
    </w:p>
    <w:p>
      <w:pPr>
        <w:spacing w:after="0" w:line="211"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Seer, Inc.;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65"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760" w:right="260" w:hanging="378"/>
        <w:spacing w:after="0" w:line="281"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1140" w:right="100" w:hanging="383"/>
        <w:spacing w:after="0" w:line="265"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8"/>
          <w:szCs w:val="18"/>
          <w:color w:val="auto"/>
        </w:rPr>
      </w:pPr>
    </w:p>
    <w:p>
      <w:pPr>
        <w:ind w:left="1140" w:right="220" w:hanging="383"/>
        <w:spacing w:after="0" w:line="265"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140" w:right="400" w:hanging="383"/>
        <w:spacing w:after="0" w:line="312" w:lineRule="auto"/>
        <w:tabs>
          <w:tab w:leader="none" w:pos="11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40" w:right="100" w:hanging="383"/>
        <w:spacing w:after="0" w:line="265"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0" w:name="page101"/>
    <w:bookmarkEnd w:id="100"/>
    <w:p>
      <w:pPr>
        <w:ind w:left="1140" w:right="640" w:hanging="383"/>
        <w:spacing w:after="0" w:line="281"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140" w:right="320" w:hanging="383"/>
        <w:spacing w:after="0" w:line="281"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David Horn</w:t>
            </w:r>
          </w:p>
        </w:tc>
        <w:tc>
          <w:tcPr>
            <w:tcW w:w="4220" w:type="dxa"/>
            <w:vAlign w:val="bottom"/>
          </w:tcPr>
          <w:p>
            <w:pPr>
              <w:spacing w:after="0"/>
              <w:rPr>
                <w:sz w:val="17"/>
                <w:szCs w:val="17"/>
                <w:color w:val="auto"/>
              </w:rPr>
            </w:pPr>
          </w:p>
        </w:tc>
      </w:tr>
      <w:tr>
        <w:trPr>
          <w:trHeight w:val="245"/>
        </w:trPr>
        <w:tc>
          <w:tcPr>
            <w:tcW w:w="564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Horn</w:t>
            </w:r>
          </w:p>
        </w:tc>
      </w:tr>
      <w:tr>
        <w:trPr>
          <w:trHeight w:val="229"/>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2286"/>
        </w:trPr>
        <w:tc>
          <w:tcPr>
            <w:tcW w:w="5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Seer, Inc. (the “Company”) on Form 10-Q for the period ended March 31, 2024 as filed with the Securities and Exchange Commission on the date hereof (the “Report”), I, Omid Farokhzad, hereby certify, pursuant to 18 U.S.C. § 1350, as adopted pursuant to § 906 of the Sarbanes-Oxley Act of 2002, that:</w:t>
      </w:r>
    </w:p>
    <w:p>
      <w:pPr>
        <w:spacing w:after="0" w:line="164"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245"/>
        </w:trPr>
        <w:tc>
          <w:tcPr>
            <w:tcW w:w="5420" w:type="dxa"/>
            <w:vAlign w:val="bottom"/>
          </w:tcPr>
          <w:p>
            <w:pPr>
              <w:spacing w:after="0"/>
              <w:rPr>
                <w:sz w:val="21"/>
                <w:szCs w:val="21"/>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Omid Farokhzad</w:t>
            </w:r>
          </w:p>
        </w:tc>
        <w:tc>
          <w:tcPr>
            <w:tcW w:w="4100" w:type="dxa"/>
            <w:vAlign w:val="bottom"/>
          </w:tcPr>
          <w:p>
            <w:pPr>
              <w:spacing w:after="0"/>
              <w:rPr>
                <w:sz w:val="21"/>
                <w:szCs w:val="21"/>
                <w:color w:val="auto"/>
              </w:rPr>
            </w:pPr>
          </w:p>
        </w:tc>
      </w:tr>
      <w:tr>
        <w:trPr>
          <w:trHeight w:val="229"/>
        </w:trPr>
        <w:tc>
          <w:tcPr>
            <w:tcW w:w="54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54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38"/>
        </w:trPr>
        <w:tc>
          <w:tcPr>
            <w:tcW w:w="54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4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Seer, Inc. (the “Company”) on Form 10-Q for the period ended March 31, 2024 as filed with the Securities and Exchange Commission on the date hereof (the “Report”), I, David Horn, hereby certify, pursuant to 18 U.S.C. § 1350, as adopted pursuant to § 906 of the Sarbanes-Oxley Act of 2002, that:</w:t>
      </w:r>
    </w:p>
    <w:p>
      <w:pPr>
        <w:spacing w:after="0" w:line="177"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David Horn</w:t>
            </w:r>
          </w:p>
        </w:tc>
        <w:tc>
          <w:tcPr>
            <w:tcW w:w="4220" w:type="dxa"/>
            <w:vAlign w:val="bottom"/>
          </w:tcPr>
          <w:p>
            <w:pPr>
              <w:spacing w:after="0"/>
              <w:rPr>
                <w:sz w:val="17"/>
                <w:szCs w:val="17"/>
                <w:color w:val="auto"/>
              </w:rPr>
            </w:pPr>
          </w:p>
        </w:tc>
      </w:tr>
      <w:tr>
        <w:trPr>
          <w:trHeight w:val="245"/>
        </w:trPr>
        <w:tc>
          <w:tcPr>
            <w:tcW w:w="5640" w:type="dxa"/>
            <w:vAlign w:val="bottom"/>
          </w:tcPr>
          <w:p>
            <w:pPr>
              <w:spacing w:after="0"/>
              <w:rPr>
                <w:sz w:val="21"/>
                <w:szCs w:val="21"/>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Horn</w:t>
            </w:r>
          </w:p>
        </w:tc>
      </w:tr>
      <w:tr>
        <w:trPr>
          <w:trHeight w:val="229"/>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1638"/>
        </w:trPr>
        <w:tc>
          <w:tcPr>
            <w:tcW w:w="5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03" w:name="page104"/>
    <w:bookmarkEnd w:id="1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upperLetter"/>
      <w:start w:val="24"/>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2"/>
    </w:lvl>
  </w:abstractNum>
  <w:abstractNum w:abstractNumId="6">
    <w:nsid w:val="8138641"/>
    <w:multiLevelType w:val="hybridMultilevel"/>
    <w:lvl w:ilvl="0">
      <w:lvlJc w:val="left"/>
      <w:lvlText w:val="%1."/>
      <w:numFmt w:val="decimal"/>
      <w:start w:val="3"/>
    </w:lvl>
  </w:abstractNum>
  <w:abstractNum w:abstractNumId="7">
    <w:nsid w:val="1E7FF521"/>
    <w:multiLevelType w:val="hybridMultilevel"/>
    <w:lvl w:ilvl="0">
      <w:lvlJc w:val="left"/>
      <w:lvlText w:val="%1."/>
      <w:numFmt w:val="decimal"/>
      <w:start w:val="4"/>
    </w:lvl>
  </w:abstractNum>
  <w:abstractNum w:abstractNumId="8">
    <w:nsid w:val="7C3DBD3D"/>
    <w:multiLevelType w:val="hybridMultilevel"/>
    <w:lvl w:ilvl="0">
      <w:lvlJc w:val="left"/>
      <w:lvlText w:val="%1."/>
      <w:numFmt w:val="decimal"/>
      <w:start w:val="5"/>
    </w:lvl>
  </w:abstractNum>
  <w:abstractNum w:abstractNumId="9">
    <w:nsid w:val="737B8DDC"/>
    <w:multiLevelType w:val="hybridMultilevel"/>
    <w:lvl w:ilvl="0">
      <w:lvlJc w:val="left"/>
      <w:lvlText w:val="%1."/>
      <w:numFmt w:val="decimal"/>
      <w:start w:val="6"/>
    </w:lvl>
  </w:abstractNum>
  <w:abstractNum w:abstractNumId="10">
    <w:nsid w:val="6CEAF087"/>
    <w:multiLevelType w:val="hybridMultilevel"/>
    <w:lvl w:ilvl="0">
      <w:lvlJc w:val="left"/>
      <w:lvlText w:val="%1."/>
      <w:numFmt w:val="decimal"/>
      <w:start w:val="7"/>
    </w:lvl>
  </w:abstractNum>
  <w:abstractNum w:abstractNumId="11">
    <w:nsid w:val="22221A70"/>
    <w:multiLevelType w:val="hybridMultilevel"/>
    <w:lvl w:ilvl="0">
      <w:lvlJc w:val="left"/>
      <w:lvlText w:val="%1."/>
      <w:numFmt w:val="decimal"/>
      <w:start w:val="8"/>
    </w:lvl>
  </w:abstractNum>
  <w:abstractNum w:abstractNumId="12">
    <w:nsid w:val="4516DDE9"/>
    <w:multiLevelType w:val="hybridMultilevel"/>
    <w:lvl w:ilvl="0">
      <w:lvlJc w:val="left"/>
      <w:lvlText w:val="%1."/>
      <w:numFmt w:val="decimal"/>
      <w:start w:val="9"/>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lvl w:ilvl="1">
      <w:lvlJc w:val="left"/>
      <w:lvlText w:val="%2"/>
      <w:numFmt w:val="decimal"/>
      <w:start w:val="104"/>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3"/>
    </w:lvl>
  </w:abstractNum>
  <w:abstractNum w:abstractNumId="44">
    <w:nsid w:val="684A481A"/>
    <w:multiLevelType w:val="hybridMultilevel"/>
    <w:lvl w:ilvl="0">
      <w:lvlJc w:val="left"/>
      <w:lvlText w:val="%1."/>
      <w:numFmt w:val="decimal"/>
      <w:start w:val="4"/>
    </w:lvl>
  </w:abstractNum>
  <w:abstractNum w:abstractNumId="45">
    <w:nsid w:val="579478FE"/>
    <w:multiLevelType w:val="hybridMultilevel"/>
    <w:lvl w:ilvl="0">
      <w:lvlJc w:val="left"/>
      <w:lvlText w:val="%1."/>
      <w:numFmt w:val="decimal"/>
      <w:start w:val="5"/>
    </w:lvl>
  </w:abstractNum>
  <w:abstractNum w:abstractNumId="46">
    <w:nsid w:val="749ABB43"/>
    <w:multiLevelType w:val="hybridMultilevel"/>
    <w:lvl w:ilvl="0">
      <w:lvlJc w:val="left"/>
      <w:lvlText w:val="%1."/>
      <w:numFmt w:val="decimal"/>
      <w:start w:val="9"/>
    </w:lvl>
    <w:lvl w:ilvl="1">
      <w:lvlJc w:val="left"/>
      <w:lvlText w:val="*"/>
      <w:numFmt w:val="bullet"/>
      <w:start w:val="1"/>
    </w:lvl>
  </w:abstractNum>
  <w:abstractNum w:abstractNumId="47">
    <w:nsid w:val="3DC240FB"/>
    <w:multiLevelType w:val="hybridMultilevel"/>
    <w:lvl w:ilvl="0">
      <w:lvlJc w:val="left"/>
      <w:lvlText w:val="%1."/>
      <w:numFmt w:val="decimal"/>
      <w:start w:val="1"/>
    </w:lvl>
    <w:lvl w:ilvl="1">
      <w:lvlJc w:val="left"/>
      <w:lvlText w:val="(%2)"/>
      <w:numFmt w:val="lowerLetter"/>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2024-05-08T16:19:49Z</dcterms:created>
  <dcterms:modified xsi:type="dcterms:W3CDTF">2024-05-08T16:19:49Z</dcterms:modified>
</cp:coreProperties>
</file>