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596265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563880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199"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65" w:lineRule="exact"/>
        <w:rPr>
          <w:sz w:val="24"/>
          <w:szCs w:val="24"/>
          <w:color w:val="auto"/>
        </w:rPr>
      </w:pPr>
    </w:p>
    <w:p>
      <w:pPr>
        <w:spacing w:after="0"/>
        <w:rPr>
          <w:sz w:val="20"/>
          <w:szCs w:val="20"/>
          <w:color w:val="auto"/>
        </w:rPr>
      </w:pPr>
      <w:r>
        <w:rPr>
          <w:rFonts w:ascii="Arial" w:cs="Arial" w:eastAsia="Arial" w:hAnsi="Arial"/>
          <w:sz w:val="17"/>
          <w:szCs w:val="17"/>
          <w:color w:val="auto"/>
        </w:rPr>
        <w:t>[X] QUARTERLY REPORT PURSUANT TO SECTION 13 OR 15(d) OF THE SECURITIES EXCHANGE ACT OF 1934</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 the quarterly period ended September 30, 2022</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w:t>
      </w:r>
    </w:p>
    <w:p>
      <w:pPr>
        <w:spacing w:after="0" w:line="159" w:lineRule="exact"/>
        <w:rPr>
          <w:sz w:val="24"/>
          <w:szCs w:val="24"/>
          <w:color w:val="auto"/>
        </w:rPr>
      </w:pPr>
    </w:p>
    <w:p>
      <w:pPr>
        <w:spacing w:after="0"/>
        <w:rPr>
          <w:sz w:val="20"/>
          <w:szCs w:val="20"/>
          <w:color w:val="auto"/>
        </w:rPr>
      </w:pPr>
      <w:r>
        <w:rPr>
          <w:rFonts w:ascii="Arial" w:cs="Arial" w:eastAsia="Arial" w:hAnsi="Arial"/>
          <w:sz w:val="17"/>
          <w:szCs w:val="17"/>
          <w:color w:val="auto"/>
        </w:rPr>
        <w:t>[ ] TRANSITION REPORT PURSUANT TO SECTION 13 OR 15(d) OF THE SECURITIES EXCHANGE ACT OF 1934</w:t>
      </w:r>
    </w:p>
    <w:p>
      <w:pPr>
        <w:spacing w:after="0" w:line="170" w:lineRule="exact"/>
        <w:rPr>
          <w:sz w:val="24"/>
          <w:szCs w:val="24"/>
          <w:color w:val="auto"/>
        </w:rPr>
      </w:pPr>
    </w:p>
    <w:p>
      <w:pPr>
        <w:ind w:left="3420"/>
        <w:spacing w:after="0"/>
        <w:rPr>
          <w:sz w:val="20"/>
          <w:szCs w:val="20"/>
          <w:color w:val="auto"/>
        </w:rPr>
      </w:pPr>
      <w:r>
        <w:rPr>
          <w:rFonts w:ascii="Arial" w:cs="Arial" w:eastAsia="Arial" w:hAnsi="Arial"/>
          <w:sz w:val="15"/>
          <w:szCs w:val="15"/>
          <w:color w:val="auto"/>
        </w:rPr>
        <w:t>For the transition period from _______________ to _______________</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Commission file number 001-39747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2613660</wp:posOffset>
            </wp:positionH>
            <wp:positionV relativeFrom="paragraph">
              <wp:posOffset>158115</wp:posOffset>
            </wp:positionV>
            <wp:extent cx="1924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405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SEER,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2613660</wp:posOffset>
            </wp:positionH>
            <wp:positionV relativeFrom="paragraph">
              <wp:posOffset>57150</wp:posOffset>
            </wp:positionV>
            <wp:extent cx="1924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4050" cy="8255"/>
                    </a:xfrm>
                    <a:prstGeom prst="rect">
                      <a:avLst/>
                    </a:prstGeom>
                    <a:noFill/>
                  </pic:spPr>
                </pic:pic>
              </a:graphicData>
            </a:graphic>
          </wp:anchor>
        </w:drawing>
      </w:r>
    </w:p>
    <w:p>
      <w:pPr>
        <w:spacing w:after="0" w:line="344" w:lineRule="exact"/>
        <w:rPr>
          <w:sz w:val="24"/>
          <w:szCs w:val="24"/>
          <w:color w:val="auto"/>
        </w:rPr>
      </w:pPr>
    </w:p>
    <w:tbl>
      <w:tblPr>
        <w:tblLayout w:type="fixed"/>
        <w:tblInd w:w="100" w:type="dxa"/>
        <w:tblCellMar>
          <w:top w:w="0" w:type="dxa"/>
          <w:left w:w="0" w:type="dxa"/>
          <w:bottom w:w="0" w:type="dxa"/>
          <w:right w:w="0" w:type="dxa"/>
        </w:tblCellMar>
      </w:tblPr>
      <w:tr>
        <w:trPr>
          <w:trHeight w:val="178"/>
        </w:trPr>
        <w:tc>
          <w:tcPr>
            <w:tcW w:w="5800" w:type="dxa"/>
            <w:vAlign w:val="bottom"/>
          </w:tcPr>
          <w:p>
            <w:pPr>
              <w:jc w:val="center"/>
              <w:ind w:right="2191"/>
              <w:spacing w:after="0"/>
              <w:rPr>
                <w:sz w:val="20"/>
                <w:szCs w:val="20"/>
                <w:color w:val="auto"/>
              </w:rPr>
            </w:pPr>
            <w:r>
              <w:rPr>
                <w:rFonts w:ascii="Arial" w:cs="Arial" w:eastAsia="Arial" w:hAnsi="Arial"/>
                <w:sz w:val="14"/>
                <w:szCs w:val="14"/>
                <w:b w:val="1"/>
                <w:bCs w:val="1"/>
                <w:color w:val="auto"/>
                <w:w w:val="87"/>
              </w:rPr>
              <w:t>Delaware</w:t>
            </w:r>
          </w:p>
        </w:tc>
        <w:tc>
          <w:tcPr>
            <w:tcW w:w="4660" w:type="dxa"/>
            <w:vAlign w:val="bottom"/>
          </w:tcPr>
          <w:p>
            <w:pPr>
              <w:jc w:val="right"/>
              <w:ind w:right="791"/>
              <w:spacing w:after="0"/>
              <w:rPr>
                <w:sz w:val="20"/>
                <w:szCs w:val="20"/>
                <w:color w:val="auto"/>
              </w:rPr>
            </w:pPr>
            <w:r>
              <w:rPr>
                <w:rFonts w:ascii="Arial" w:cs="Arial" w:eastAsia="Arial" w:hAnsi="Arial"/>
                <w:sz w:val="14"/>
                <w:szCs w:val="14"/>
                <w:b w:val="1"/>
                <w:bCs w:val="1"/>
                <w:color w:val="auto"/>
              </w:rPr>
              <w:t>82-1153150</w:t>
            </w:r>
          </w:p>
        </w:tc>
      </w:tr>
      <w:tr>
        <w:trPr>
          <w:trHeight w:val="206"/>
        </w:trPr>
        <w:tc>
          <w:tcPr>
            <w:tcW w:w="5800" w:type="dxa"/>
            <w:vAlign w:val="bottom"/>
          </w:tcPr>
          <w:p>
            <w:pPr>
              <w:jc w:val="center"/>
              <w:ind w:right="2191"/>
              <w:spacing w:after="0"/>
              <w:rPr>
                <w:sz w:val="20"/>
                <w:szCs w:val="20"/>
                <w:color w:val="auto"/>
              </w:rPr>
            </w:pPr>
            <w:r>
              <w:rPr>
                <w:rFonts w:ascii="Arial" w:cs="Arial" w:eastAsia="Arial" w:hAnsi="Arial"/>
                <w:sz w:val="14"/>
                <w:szCs w:val="14"/>
                <w:b w:val="1"/>
                <w:bCs w:val="1"/>
                <w:color w:val="auto"/>
                <w:w w:val="89"/>
              </w:rPr>
              <w:t>(State or other jurisdiction of incorporation or organization)</w:t>
            </w:r>
          </w:p>
        </w:tc>
        <w:tc>
          <w:tcPr>
            <w:tcW w:w="4660" w:type="dxa"/>
            <w:vAlign w:val="bottom"/>
          </w:tcPr>
          <w:p>
            <w:pPr>
              <w:jc w:val="center"/>
              <w:ind w:left="2211"/>
              <w:spacing w:after="0"/>
              <w:rPr>
                <w:sz w:val="20"/>
                <w:szCs w:val="20"/>
                <w:color w:val="auto"/>
              </w:rPr>
            </w:pPr>
            <w:r>
              <w:rPr>
                <w:rFonts w:ascii="Arial" w:cs="Arial" w:eastAsia="Arial" w:hAnsi="Arial"/>
                <w:sz w:val="14"/>
                <w:szCs w:val="14"/>
                <w:b w:val="1"/>
                <w:bCs w:val="1"/>
                <w:color w:val="auto"/>
                <w:w w:val="91"/>
              </w:rPr>
              <w:t>(I.R.S. Employer Identification Number)</w:t>
            </w:r>
          </w:p>
        </w:tc>
      </w:tr>
    </w:tbl>
    <w:p>
      <w:pPr>
        <w:spacing w:after="0" w:line="260" w:lineRule="exact"/>
        <w:rPr>
          <w:sz w:val="24"/>
          <w:szCs w:val="24"/>
          <w:color w:val="auto"/>
        </w:rPr>
      </w:pPr>
    </w:p>
    <w:p>
      <w:pPr>
        <w:ind w:left="4700"/>
        <w:spacing w:after="0"/>
        <w:rPr>
          <w:sz w:val="20"/>
          <w:szCs w:val="20"/>
          <w:color w:val="auto"/>
        </w:rPr>
      </w:pPr>
      <w:r>
        <w:rPr>
          <w:rFonts w:ascii="Arial" w:cs="Arial" w:eastAsia="Arial" w:hAnsi="Arial"/>
          <w:sz w:val="14"/>
          <w:szCs w:val="14"/>
          <w:b w:val="1"/>
          <w:bCs w:val="1"/>
          <w:color w:val="auto"/>
        </w:rPr>
        <w:t>3800 Bridge Parkway, Suite 102</w:t>
      </w:r>
    </w:p>
    <w:p>
      <w:pPr>
        <w:spacing w:after="0" w:line="10" w:lineRule="exact"/>
        <w:rPr>
          <w:sz w:val="24"/>
          <w:szCs w:val="24"/>
          <w:color w:val="auto"/>
        </w:rPr>
      </w:pPr>
    </w:p>
    <w:p>
      <w:pPr>
        <w:ind w:left="4680"/>
        <w:spacing w:after="0"/>
        <w:rPr>
          <w:sz w:val="20"/>
          <w:szCs w:val="20"/>
          <w:color w:val="auto"/>
        </w:rPr>
      </w:pPr>
      <w:r>
        <w:rPr>
          <w:rFonts w:ascii="Arial" w:cs="Arial" w:eastAsia="Arial" w:hAnsi="Arial"/>
          <w:sz w:val="14"/>
          <w:szCs w:val="14"/>
          <w:b w:val="1"/>
          <w:bCs w:val="1"/>
          <w:color w:val="auto"/>
        </w:rPr>
        <w:t>Redwood City, California 94065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650-453-0000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2613660</wp:posOffset>
            </wp:positionH>
            <wp:positionV relativeFrom="paragraph">
              <wp:posOffset>60960</wp:posOffset>
            </wp:positionV>
            <wp:extent cx="1924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405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0" w:type="dxa"/>
            <w:vAlign w:val="bottom"/>
            <w:gridSpan w:val="4"/>
          </w:tcPr>
          <w:p>
            <w:pPr>
              <w:jc w:val="center"/>
              <w:ind w:right="60"/>
              <w:spacing w:after="0"/>
              <w:rPr>
                <w:sz w:val="20"/>
                <w:szCs w:val="20"/>
                <w:color w:val="auto"/>
              </w:rPr>
            </w:pPr>
            <w:r>
              <w:rPr>
                <w:rFonts w:ascii="Arial" w:cs="Arial" w:eastAsia="Arial" w:hAnsi="Arial"/>
                <w:sz w:val="14"/>
                <w:szCs w:val="14"/>
                <w:color w:val="auto"/>
                <w:w w:val="88"/>
              </w:rPr>
              <w:t>Securities registered pursuant to section 12(b) of the Act:</w:t>
            </w:r>
          </w:p>
        </w:tc>
        <w:tc>
          <w:tcPr>
            <w:tcW w:w="3980" w:type="dxa"/>
            <w:vAlign w:val="bottom"/>
          </w:tcPr>
          <w:p>
            <w:pPr>
              <w:spacing w:after="0"/>
              <w:rPr>
                <w:sz w:val="15"/>
                <w:szCs w:val="15"/>
                <w:color w:val="auto"/>
              </w:rPr>
            </w:pPr>
          </w:p>
        </w:tc>
      </w:tr>
      <w:tr>
        <w:trPr>
          <w:trHeight w:val="89"/>
        </w:trPr>
        <w:tc>
          <w:tcPr>
            <w:tcW w:w="3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980" w:type="dxa"/>
            <w:vAlign w:val="bottom"/>
          </w:tcPr>
          <w:p>
            <w:pPr>
              <w:spacing w:after="0"/>
              <w:rPr>
                <w:sz w:val="7"/>
                <w:szCs w:val="7"/>
                <w:color w:val="auto"/>
              </w:rPr>
            </w:pPr>
          </w:p>
        </w:tc>
      </w:tr>
      <w:tr>
        <w:trPr>
          <w:trHeight w:val="426"/>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gridSpan w:val="3"/>
          </w:tcPr>
          <w:p>
            <w:pPr>
              <w:jc w:val="center"/>
              <w:ind w:right="140"/>
              <w:spacing w:after="0"/>
              <w:rPr>
                <w:sz w:val="20"/>
                <w:szCs w:val="20"/>
                <w:color w:val="auto"/>
              </w:rPr>
            </w:pPr>
            <w:r>
              <w:rPr>
                <w:rFonts w:ascii="Arial" w:cs="Arial" w:eastAsia="Arial" w:hAnsi="Arial"/>
                <w:sz w:val="15"/>
                <w:szCs w:val="15"/>
                <w:i w:val="1"/>
                <w:iCs w:val="1"/>
                <w:color w:val="auto"/>
                <w:w w:val="94"/>
              </w:rPr>
              <w:t>Copies to:</w:t>
            </w:r>
          </w:p>
        </w:tc>
        <w:tc>
          <w:tcPr>
            <w:tcW w:w="3980" w:type="dxa"/>
            <w:vAlign w:val="bottom"/>
          </w:tcPr>
          <w:p>
            <w:pPr>
              <w:spacing w:after="0"/>
              <w:rPr>
                <w:sz w:val="24"/>
                <w:szCs w:val="24"/>
                <w:color w:val="auto"/>
              </w:rPr>
            </w:pPr>
          </w:p>
        </w:tc>
      </w:tr>
      <w:tr>
        <w:trPr>
          <w:trHeight w:val="243"/>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Title of each class</w:t>
            </w:r>
          </w:p>
        </w:tc>
        <w:tc>
          <w:tcPr>
            <w:tcW w:w="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5"/>
                <w:szCs w:val="15"/>
                <w:b w:val="1"/>
                <w:bCs w:val="1"/>
                <w:color w:val="auto"/>
                <w:w w:val="94"/>
              </w:rPr>
              <w:t>Trading Symbol(s)</w:t>
            </w:r>
          </w:p>
        </w:tc>
        <w:tc>
          <w:tcPr>
            <w:tcW w:w="80" w:type="dxa"/>
            <w:vAlign w:val="bottom"/>
          </w:tcPr>
          <w:p>
            <w:pPr>
              <w:spacing w:after="0"/>
              <w:rPr>
                <w:sz w:val="21"/>
                <w:szCs w:val="21"/>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Name of Exchange on which registered</w:t>
            </w:r>
          </w:p>
        </w:tc>
      </w:tr>
      <w:tr>
        <w:trPr>
          <w:trHeight w:val="214"/>
        </w:trPr>
        <w:tc>
          <w:tcPr>
            <w:tcW w:w="4060" w:type="dxa"/>
            <w:vAlign w:val="bottom"/>
            <w:gridSpan w:val="2"/>
          </w:tcPr>
          <w:p>
            <w:pPr>
              <w:jc w:val="center"/>
              <w:ind w:right="80"/>
              <w:spacing w:after="0"/>
              <w:rPr>
                <w:sz w:val="20"/>
                <w:szCs w:val="20"/>
                <w:color w:val="auto"/>
              </w:rPr>
            </w:pPr>
            <w:r>
              <w:rPr>
                <w:rFonts w:ascii="Arial" w:cs="Arial" w:eastAsia="Arial" w:hAnsi="Arial"/>
                <w:sz w:val="15"/>
                <w:szCs w:val="15"/>
                <w:color w:val="auto"/>
                <w:w w:val="92"/>
              </w:rPr>
              <w:t>Common Stock, par value $0.00001</w:t>
            </w:r>
          </w:p>
        </w:tc>
        <w:tc>
          <w:tcPr>
            <w:tcW w:w="60" w:type="dxa"/>
            <w:vAlign w:val="bottom"/>
          </w:tcPr>
          <w:p>
            <w:pPr>
              <w:spacing w:after="0"/>
              <w:rPr>
                <w:sz w:val="18"/>
                <w:szCs w:val="18"/>
                <w:color w:val="auto"/>
              </w:rPr>
            </w:pPr>
          </w:p>
        </w:tc>
        <w:tc>
          <w:tcPr>
            <w:tcW w:w="3140" w:type="dxa"/>
            <w:vAlign w:val="bottom"/>
            <w:gridSpan w:val="3"/>
          </w:tcPr>
          <w:p>
            <w:pPr>
              <w:jc w:val="center"/>
              <w:ind w:right="160"/>
              <w:spacing w:after="0"/>
              <w:rPr>
                <w:sz w:val="20"/>
                <w:szCs w:val="20"/>
                <w:color w:val="auto"/>
              </w:rPr>
            </w:pPr>
            <w:r>
              <w:rPr>
                <w:rFonts w:ascii="Arial" w:cs="Arial" w:eastAsia="Arial" w:hAnsi="Arial"/>
                <w:sz w:val="15"/>
                <w:szCs w:val="15"/>
                <w:color w:val="auto"/>
                <w:w w:val="92"/>
              </w:rPr>
              <w:t>SEER</w:t>
            </w:r>
          </w:p>
        </w:tc>
        <w:tc>
          <w:tcPr>
            <w:tcW w:w="3980" w:type="dxa"/>
            <w:vAlign w:val="bottom"/>
          </w:tcPr>
          <w:p>
            <w:pPr>
              <w:jc w:val="center"/>
              <w:spacing w:after="0"/>
              <w:rPr>
                <w:sz w:val="20"/>
                <w:szCs w:val="20"/>
                <w:color w:val="auto"/>
              </w:rPr>
            </w:pPr>
            <w:r>
              <w:rPr>
                <w:rFonts w:ascii="Arial" w:cs="Arial" w:eastAsia="Arial" w:hAnsi="Arial"/>
                <w:sz w:val="15"/>
                <w:szCs w:val="15"/>
                <w:color w:val="auto"/>
                <w:w w:val="96"/>
              </w:rPr>
              <w:t>NASDAQ Global Select Market</w:t>
            </w:r>
          </w:p>
        </w:tc>
      </w:tr>
    </w:tbl>
    <w:p>
      <w:pPr>
        <w:spacing w:after="0" w:line="200" w:lineRule="exact"/>
        <w:rPr>
          <w:sz w:val="24"/>
          <w:szCs w:val="24"/>
          <w:color w:val="auto"/>
        </w:rPr>
      </w:pPr>
    </w:p>
    <w:p>
      <w:pPr>
        <w:spacing w:after="0" w:line="223" w:lineRule="exact"/>
        <w:rPr>
          <w:sz w:val="24"/>
          <w:szCs w:val="24"/>
          <w:color w:val="auto"/>
        </w:rPr>
      </w:pPr>
    </w:p>
    <w:p>
      <w:pPr>
        <w:ind w:right="320"/>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20"/>
        <w:spacing w:after="0" w:line="20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35"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480" w:type="dxa"/>
        <w:tblCellMar>
          <w:top w:w="0" w:type="dxa"/>
          <w:left w:w="0" w:type="dxa"/>
          <w:bottom w:w="0" w:type="dxa"/>
          <w:right w:w="0" w:type="dxa"/>
        </w:tblCellMar>
      </w:tblPr>
      <w:tr>
        <w:trPr>
          <w:trHeight w:val="232"/>
        </w:trPr>
        <w:tc>
          <w:tcPr>
            <w:tcW w:w="17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0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480" w:type="dxa"/>
            <w:vAlign w:val="bottom"/>
          </w:tcPr>
          <w:p>
            <w:pPr>
              <w:ind w:left="2600"/>
              <w:spacing w:after="0"/>
              <w:rPr>
                <w:sz w:val="20"/>
                <w:szCs w:val="20"/>
                <w:color w:val="auto"/>
              </w:rPr>
            </w:pPr>
            <w:r>
              <w:rPr>
                <w:rFonts w:ascii="Arial" w:cs="Arial" w:eastAsia="Arial" w:hAnsi="Arial"/>
                <w:sz w:val="15"/>
                <w:szCs w:val="15"/>
                <w:color w:val="auto"/>
              </w:rPr>
              <w:t>Accelerated filer</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2"/>
        </w:trPr>
        <w:tc>
          <w:tcPr>
            <w:tcW w:w="1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80" w:type="dxa"/>
            <w:vAlign w:val="bottom"/>
          </w:tcPr>
          <w:p>
            <w:pPr>
              <w:ind w:left="2600"/>
              <w:spacing w:after="0"/>
              <w:rPr>
                <w:sz w:val="20"/>
                <w:szCs w:val="20"/>
                <w:color w:val="auto"/>
              </w:rPr>
            </w:pPr>
            <w:r>
              <w:rPr>
                <w:rFonts w:ascii="Arial" w:cs="Arial" w:eastAsia="Arial" w:hAnsi="Arial"/>
                <w:sz w:val="15"/>
                <w:szCs w:val="15"/>
                <w:color w:val="auto"/>
              </w:rPr>
              <w:t>Smaller reporting company</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4"/>
        </w:trPr>
        <w:tc>
          <w:tcPr>
            <w:tcW w:w="1720" w:type="dxa"/>
            <w:vAlign w:val="bottom"/>
          </w:tcPr>
          <w:p>
            <w:pPr>
              <w:spacing w:after="0"/>
              <w:rPr>
                <w:sz w:val="20"/>
                <w:szCs w:val="20"/>
                <w:color w:val="auto"/>
              </w:rPr>
            </w:pPr>
            <w:r>
              <w:rPr>
                <w:rFonts w:ascii="Arial" w:cs="Arial" w:eastAsia="Arial" w:hAnsi="Arial"/>
                <w:sz w:val="15"/>
                <w:szCs w:val="15"/>
                <w:color w:val="auto"/>
              </w:rPr>
              <w:t>Non-accelerated filer</w:t>
            </w:r>
          </w:p>
        </w:tc>
        <w:tc>
          <w:tcPr>
            <w:tcW w:w="30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480" w:type="dxa"/>
            <w:vAlign w:val="bottom"/>
          </w:tcPr>
          <w:p>
            <w:pPr>
              <w:ind w:left="2600"/>
              <w:spacing w:after="0"/>
              <w:rPr>
                <w:sz w:val="20"/>
                <w:szCs w:val="20"/>
                <w:color w:val="auto"/>
              </w:rPr>
            </w:pPr>
            <w:r>
              <w:rPr>
                <w:rFonts w:ascii="Arial" w:cs="Arial" w:eastAsia="Arial" w:hAnsi="Arial"/>
                <w:sz w:val="15"/>
                <w:szCs w:val="15"/>
                <w:color w:val="auto"/>
              </w:rPr>
              <w:t>Emerging growth company</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37" w:lineRule="exact"/>
        <w:rPr>
          <w:sz w:val="24"/>
          <w:szCs w:val="24"/>
          <w:color w:val="auto"/>
        </w:rPr>
      </w:pPr>
    </w:p>
    <w:p>
      <w:pPr>
        <w:ind w:right="480"/>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9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5" w:lineRule="exact"/>
        <w:rPr>
          <w:sz w:val="24"/>
          <w:szCs w:val="24"/>
          <w:color w:val="auto"/>
        </w:rPr>
      </w:pPr>
    </w:p>
    <w:p>
      <w:pPr>
        <w:ind w:right="220"/>
        <w:spacing w:after="0" w:line="283" w:lineRule="auto"/>
        <w:rPr>
          <w:sz w:val="20"/>
          <w:szCs w:val="20"/>
          <w:color w:val="auto"/>
        </w:rPr>
      </w:pPr>
      <w:r>
        <w:rPr>
          <w:rFonts w:ascii="Arial" w:cs="Arial" w:eastAsia="Arial" w:hAnsi="Arial"/>
          <w:sz w:val="15"/>
          <w:szCs w:val="15"/>
          <w:color w:val="auto"/>
        </w:rPr>
        <w:t>As of November 4, 2022, the registrant had 58,596,598 shares of Class A common stock, $0.00001 par value per share, and 4,044,969 shares of Class B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282575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 w:name="page2"/>
    <w:bookmarkEnd w:id="1"/>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0000FF"/>
                <w:w w:val="90"/>
              </w:rPr>
              <w:t>PART I.</w:t>
            </w:r>
          </w:p>
        </w:tc>
        <w:tc>
          <w:tcPr>
            <w:tcW w:w="500" w:type="dxa"/>
            <w:vAlign w:val="bottom"/>
            <w:gridSpan w:val="2"/>
          </w:tcPr>
          <w:p>
            <w:pPr>
              <w:spacing w:after="0"/>
              <w:rPr>
                <w:sz w:val="16"/>
                <w:szCs w:val="16"/>
                <w:color w:val="auto"/>
              </w:rPr>
            </w:pPr>
          </w:p>
        </w:tc>
        <w:tc>
          <w:tcPr>
            <w:tcW w:w="7900" w:type="dxa"/>
            <w:vAlign w:val="bottom"/>
            <w:gridSpan w:val="18"/>
          </w:tcPr>
          <w:p>
            <w:pPr>
              <w:spacing w:after="0"/>
              <w:rPr>
                <w:sz w:val="20"/>
                <w:szCs w:val="20"/>
                <w:color w:val="auto"/>
              </w:rPr>
            </w:pPr>
            <w:r>
              <w:rPr>
                <w:rFonts w:ascii="Arial" w:cs="Arial" w:eastAsia="Arial" w:hAnsi="Arial"/>
                <w:sz w:val="17"/>
                <w:szCs w:val="17"/>
                <w:color w:val="0000FF"/>
              </w:rPr>
              <w:t>FINANCIAL INFORMATION</w:t>
            </w:r>
          </w:p>
        </w:tc>
        <w:tc>
          <w:tcPr>
            <w:tcW w:w="1880" w:type="dxa"/>
            <w:vAlign w:val="bottom"/>
            <w:gridSpan w:val="2"/>
          </w:tcPr>
          <w:p>
            <w:pPr>
              <w:jc w:val="center"/>
              <w:ind w:left="1714"/>
              <w:spacing w:after="0"/>
              <w:rPr>
                <w:sz w:val="20"/>
                <w:szCs w:val="20"/>
                <w:color w:val="auto"/>
              </w:rPr>
            </w:pPr>
            <w:r>
              <w:rPr>
                <w:rFonts w:ascii="Arial" w:cs="Arial" w:eastAsia="Arial" w:hAnsi="Arial"/>
                <w:sz w:val="17"/>
                <w:szCs w:val="17"/>
                <w:color w:val="0000FF"/>
                <w:w w:val="84"/>
              </w:rPr>
              <w:t>1</w:t>
            </w:r>
          </w:p>
        </w:tc>
        <w:tc>
          <w:tcPr>
            <w:tcW w:w="3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0000FF"/>
              </w:rPr>
              <w:t>Item 1.</w:t>
            </w:r>
          </w:p>
        </w:tc>
        <w:tc>
          <w:tcPr>
            <w:tcW w:w="500" w:type="dxa"/>
            <w:vAlign w:val="bottom"/>
            <w:gridSpan w:val="2"/>
          </w:tcPr>
          <w:p>
            <w:pPr>
              <w:spacing w:after="0"/>
              <w:rPr>
                <w:sz w:val="17"/>
                <w:szCs w:val="17"/>
                <w:color w:val="auto"/>
              </w:rPr>
            </w:pPr>
          </w:p>
        </w:tc>
        <w:tc>
          <w:tcPr>
            <w:tcW w:w="7900" w:type="dxa"/>
            <w:vAlign w:val="bottom"/>
            <w:gridSpan w:val="18"/>
          </w:tcPr>
          <w:p>
            <w:pPr>
              <w:spacing w:after="0"/>
              <w:rPr>
                <w:sz w:val="20"/>
                <w:szCs w:val="20"/>
                <w:color w:val="auto"/>
              </w:rPr>
            </w:pPr>
            <w:r>
              <w:rPr>
                <w:rFonts w:ascii="Arial" w:cs="Arial" w:eastAsia="Arial" w:hAnsi="Arial"/>
                <w:sz w:val="17"/>
                <w:szCs w:val="17"/>
                <w:color w:val="0000FF"/>
              </w:rPr>
              <w:t>Financial Statements (Unaudited)</w:t>
            </w:r>
          </w:p>
        </w:tc>
        <w:tc>
          <w:tcPr>
            <w:tcW w:w="1880" w:type="dxa"/>
            <w:vAlign w:val="bottom"/>
            <w:gridSpan w:val="2"/>
          </w:tcPr>
          <w:p>
            <w:pPr>
              <w:jc w:val="center"/>
              <w:ind w:left="1714"/>
              <w:spacing w:after="0"/>
              <w:rPr>
                <w:sz w:val="20"/>
                <w:szCs w:val="20"/>
                <w:color w:val="auto"/>
              </w:rPr>
            </w:pPr>
            <w:r>
              <w:rPr>
                <w:rFonts w:ascii="Arial" w:cs="Arial" w:eastAsia="Arial" w:hAnsi="Arial"/>
                <w:sz w:val="17"/>
                <w:szCs w:val="17"/>
                <w:color w:val="0000FF"/>
                <w:w w:val="84"/>
              </w:rPr>
              <w:t>1</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0" w:type="dxa"/>
            <w:vAlign w:val="bottom"/>
            <w:gridSpan w:val="11"/>
          </w:tcPr>
          <w:p>
            <w:pPr>
              <w:spacing w:after="0"/>
              <w:rPr>
                <w:sz w:val="20"/>
                <w:szCs w:val="20"/>
                <w:color w:val="auto"/>
              </w:rPr>
            </w:pPr>
            <w:r>
              <w:rPr>
                <w:rFonts w:ascii="Arial" w:cs="Arial" w:eastAsia="Arial" w:hAnsi="Arial"/>
                <w:sz w:val="17"/>
                <w:szCs w:val="17"/>
                <w:color w:val="0000FF"/>
                <w:w w:val="88"/>
              </w:rPr>
              <w:t>Condensed Consolidated Balance Sheets</w:t>
            </w:r>
          </w:p>
        </w:tc>
        <w:tc>
          <w:tcPr>
            <w:tcW w:w="5100" w:type="dxa"/>
            <w:vAlign w:val="bottom"/>
            <w:gridSpan w:val="7"/>
          </w:tcPr>
          <w:p>
            <w:pPr>
              <w:spacing w:after="0"/>
              <w:rPr>
                <w:sz w:val="17"/>
                <w:szCs w:val="17"/>
                <w:color w:val="auto"/>
              </w:rPr>
            </w:pPr>
          </w:p>
        </w:tc>
        <w:tc>
          <w:tcPr>
            <w:tcW w:w="1880" w:type="dxa"/>
            <w:vAlign w:val="bottom"/>
            <w:gridSpan w:val="2"/>
          </w:tcPr>
          <w:p>
            <w:pPr>
              <w:jc w:val="center"/>
              <w:ind w:left="1714"/>
              <w:spacing w:after="0"/>
              <w:rPr>
                <w:sz w:val="20"/>
                <w:szCs w:val="20"/>
                <w:color w:val="auto"/>
              </w:rPr>
            </w:pPr>
            <w:r>
              <w:rPr>
                <w:rFonts w:ascii="Arial" w:cs="Arial" w:eastAsia="Arial" w:hAnsi="Arial"/>
                <w:sz w:val="17"/>
                <w:szCs w:val="17"/>
                <w:color w:val="0000FF"/>
                <w:w w:val="84"/>
              </w:rPr>
              <w:t>1</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160" w:type="dxa"/>
            <w:vAlign w:val="bottom"/>
            <w:gridSpan w:val="17"/>
          </w:tcPr>
          <w:p>
            <w:pPr>
              <w:spacing w:after="0"/>
              <w:rPr>
                <w:sz w:val="20"/>
                <w:szCs w:val="20"/>
                <w:color w:val="auto"/>
              </w:rPr>
            </w:pPr>
            <w:r>
              <w:rPr>
                <w:rFonts w:ascii="Arial" w:cs="Arial" w:eastAsia="Arial" w:hAnsi="Arial"/>
                <w:sz w:val="17"/>
                <w:szCs w:val="17"/>
                <w:color w:val="0000FF"/>
              </w:rPr>
              <w:t>Condensed Consolidated Statements of Operations and Comprehensive Loss</w:t>
            </w:r>
          </w:p>
        </w:tc>
        <w:tc>
          <w:tcPr>
            <w:tcW w:w="1740" w:type="dxa"/>
            <w:vAlign w:val="bottom"/>
          </w:tcPr>
          <w:p>
            <w:pPr>
              <w:spacing w:after="0"/>
              <w:rPr>
                <w:sz w:val="17"/>
                <w:szCs w:val="17"/>
                <w:color w:val="auto"/>
              </w:rPr>
            </w:pPr>
          </w:p>
        </w:tc>
        <w:tc>
          <w:tcPr>
            <w:tcW w:w="1880" w:type="dxa"/>
            <w:vAlign w:val="bottom"/>
            <w:gridSpan w:val="2"/>
          </w:tcPr>
          <w:p>
            <w:pPr>
              <w:jc w:val="center"/>
              <w:ind w:left="1714"/>
              <w:spacing w:after="0"/>
              <w:rPr>
                <w:sz w:val="20"/>
                <w:szCs w:val="20"/>
                <w:color w:val="auto"/>
              </w:rPr>
            </w:pPr>
            <w:r>
              <w:rPr>
                <w:rFonts w:ascii="Arial" w:cs="Arial" w:eastAsia="Arial" w:hAnsi="Arial"/>
                <w:sz w:val="17"/>
                <w:szCs w:val="17"/>
                <w:color w:val="0000FF"/>
                <w:w w:val="84"/>
              </w:rPr>
              <w:t>2</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160" w:type="dxa"/>
            <w:vAlign w:val="bottom"/>
            <w:gridSpan w:val="17"/>
          </w:tcPr>
          <w:p>
            <w:pPr>
              <w:spacing w:after="0"/>
              <w:rPr>
                <w:sz w:val="20"/>
                <w:szCs w:val="20"/>
                <w:color w:val="auto"/>
              </w:rPr>
            </w:pPr>
            <w:r>
              <w:rPr>
                <w:rFonts w:ascii="Arial" w:cs="Arial" w:eastAsia="Arial" w:hAnsi="Arial"/>
                <w:sz w:val="17"/>
                <w:szCs w:val="17"/>
                <w:color w:val="0000FF"/>
              </w:rPr>
              <w:t>Condensed Consolidated Statements of Changes in Stockholders’ Equity</w:t>
            </w:r>
          </w:p>
        </w:tc>
        <w:tc>
          <w:tcPr>
            <w:tcW w:w="1740" w:type="dxa"/>
            <w:vAlign w:val="bottom"/>
          </w:tcPr>
          <w:p>
            <w:pPr>
              <w:spacing w:after="0"/>
              <w:rPr>
                <w:sz w:val="17"/>
                <w:szCs w:val="17"/>
                <w:color w:val="auto"/>
              </w:rPr>
            </w:pPr>
          </w:p>
        </w:tc>
        <w:tc>
          <w:tcPr>
            <w:tcW w:w="1880" w:type="dxa"/>
            <w:vAlign w:val="bottom"/>
            <w:gridSpan w:val="2"/>
          </w:tcPr>
          <w:p>
            <w:pPr>
              <w:jc w:val="center"/>
              <w:ind w:left="1714"/>
              <w:spacing w:after="0"/>
              <w:rPr>
                <w:sz w:val="20"/>
                <w:szCs w:val="20"/>
                <w:color w:val="auto"/>
              </w:rPr>
            </w:pPr>
            <w:r>
              <w:rPr>
                <w:rFonts w:ascii="Arial" w:cs="Arial" w:eastAsia="Arial" w:hAnsi="Arial"/>
                <w:sz w:val="17"/>
                <w:szCs w:val="17"/>
                <w:color w:val="0000FF"/>
                <w:w w:val="84"/>
              </w:rPr>
              <w:t>3</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0" w:type="dxa"/>
            <w:vAlign w:val="bottom"/>
            <w:gridSpan w:val="15"/>
          </w:tcPr>
          <w:p>
            <w:pPr>
              <w:spacing w:after="0"/>
              <w:rPr>
                <w:sz w:val="20"/>
                <w:szCs w:val="20"/>
                <w:color w:val="auto"/>
              </w:rPr>
            </w:pPr>
            <w:r>
              <w:rPr>
                <w:rFonts w:ascii="Arial" w:cs="Arial" w:eastAsia="Arial" w:hAnsi="Arial"/>
                <w:sz w:val="17"/>
                <w:szCs w:val="17"/>
                <w:color w:val="0000FF"/>
              </w:rPr>
              <w:t>Condensed Consolidated Statements of Cash Flows</w:t>
            </w:r>
          </w:p>
        </w:tc>
        <w:tc>
          <w:tcPr>
            <w:tcW w:w="2900" w:type="dxa"/>
            <w:vAlign w:val="bottom"/>
            <w:gridSpan w:val="3"/>
          </w:tcPr>
          <w:p>
            <w:pPr>
              <w:spacing w:after="0"/>
              <w:rPr>
                <w:sz w:val="17"/>
                <w:szCs w:val="17"/>
                <w:color w:val="auto"/>
              </w:rPr>
            </w:pPr>
          </w:p>
        </w:tc>
        <w:tc>
          <w:tcPr>
            <w:tcW w:w="1880" w:type="dxa"/>
            <w:vAlign w:val="bottom"/>
            <w:gridSpan w:val="2"/>
          </w:tcPr>
          <w:p>
            <w:pPr>
              <w:jc w:val="center"/>
              <w:ind w:left="1714"/>
              <w:spacing w:after="0"/>
              <w:rPr>
                <w:sz w:val="20"/>
                <w:szCs w:val="20"/>
                <w:color w:val="auto"/>
              </w:rPr>
            </w:pPr>
            <w:r>
              <w:rPr>
                <w:rFonts w:ascii="Arial" w:cs="Arial" w:eastAsia="Arial" w:hAnsi="Arial"/>
                <w:sz w:val="17"/>
                <w:szCs w:val="17"/>
                <w:color w:val="0000FF"/>
                <w:w w:val="84"/>
              </w:rPr>
              <w:t>5</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900" w:type="dxa"/>
            <w:vAlign w:val="bottom"/>
            <w:gridSpan w:val="18"/>
          </w:tcPr>
          <w:p>
            <w:pPr>
              <w:spacing w:after="0"/>
              <w:rPr>
                <w:sz w:val="20"/>
                <w:szCs w:val="20"/>
                <w:color w:val="auto"/>
              </w:rPr>
            </w:pPr>
            <w:r>
              <w:rPr>
                <w:rFonts w:ascii="Arial" w:cs="Arial" w:eastAsia="Arial" w:hAnsi="Arial"/>
                <w:sz w:val="17"/>
                <w:szCs w:val="17"/>
                <w:color w:val="0000FF"/>
              </w:rPr>
              <w:t>Notes to Unaudited Condensed Consolidated Financial Statements</w:t>
            </w:r>
          </w:p>
        </w:tc>
        <w:tc>
          <w:tcPr>
            <w:tcW w:w="1880" w:type="dxa"/>
            <w:vAlign w:val="bottom"/>
            <w:gridSpan w:val="2"/>
          </w:tcPr>
          <w:p>
            <w:pPr>
              <w:jc w:val="center"/>
              <w:ind w:left="1714"/>
              <w:spacing w:after="0"/>
              <w:rPr>
                <w:sz w:val="20"/>
                <w:szCs w:val="20"/>
                <w:color w:val="auto"/>
              </w:rPr>
            </w:pPr>
            <w:r>
              <w:rPr>
                <w:rFonts w:ascii="Arial" w:cs="Arial" w:eastAsia="Arial" w:hAnsi="Arial"/>
                <w:sz w:val="17"/>
                <w:szCs w:val="17"/>
                <w:color w:val="0000FF"/>
                <w:w w:val="84"/>
              </w:rPr>
              <w:t>6</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Arial" w:cs="Arial" w:eastAsia="Arial" w:hAnsi="Arial"/>
                <w:sz w:val="17"/>
                <w:szCs w:val="17"/>
                <w:color w:val="0000FF"/>
              </w:rPr>
              <w:t>Item 2.</w:t>
            </w:r>
          </w:p>
        </w:tc>
        <w:tc>
          <w:tcPr>
            <w:tcW w:w="7900" w:type="dxa"/>
            <w:vAlign w:val="bottom"/>
            <w:gridSpan w:val="18"/>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880" w:type="dxa"/>
            <w:vAlign w:val="bottom"/>
            <w:gridSpan w:val="2"/>
          </w:tcPr>
          <w:p>
            <w:pPr>
              <w:jc w:val="center"/>
              <w:ind w:left="1634"/>
              <w:spacing w:after="0"/>
              <w:rPr>
                <w:sz w:val="20"/>
                <w:szCs w:val="20"/>
                <w:color w:val="auto"/>
              </w:rPr>
            </w:pPr>
            <w:r>
              <w:rPr>
                <w:rFonts w:ascii="Arial" w:cs="Arial" w:eastAsia="Arial" w:hAnsi="Arial"/>
                <w:sz w:val="17"/>
                <w:szCs w:val="17"/>
                <w:color w:val="0000FF"/>
                <w:w w:val="84"/>
              </w:rPr>
              <w:t>19</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Arial" w:cs="Arial" w:eastAsia="Arial" w:hAnsi="Arial"/>
                <w:sz w:val="17"/>
                <w:szCs w:val="17"/>
                <w:color w:val="0000FF"/>
              </w:rPr>
              <w:t>Item 3.</w:t>
            </w:r>
          </w:p>
        </w:tc>
        <w:tc>
          <w:tcPr>
            <w:tcW w:w="7900" w:type="dxa"/>
            <w:vAlign w:val="bottom"/>
            <w:gridSpan w:val="18"/>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1880" w:type="dxa"/>
            <w:vAlign w:val="bottom"/>
            <w:gridSpan w:val="2"/>
          </w:tcPr>
          <w:p>
            <w:pPr>
              <w:jc w:val="center"/>
              <w:ind w:left="1634"/>
              <w:spacing w:after="0"/>
              <w:rPr>
                <w:sz w:val="20"/>
                <w:szCs w:val="20"/>
                <w:color w:val="auto"/>
              </w:rPr>
            </w:pPr>
            <w:r>
              <w:rPr>
                <w:rFonts w:ascii="Arial" w:cs="Arial" w:eastAsia="Arial" w:hAnsi="Arial"/>
                <w:sz w:val="17"/>
                <w:szCs w:val="17"/>
                <w:color w:val="0000FF"/>
                <w:w w:val="84"/>
              </w:rPr>
              <w:t>28</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Arial" w:cs="Arial" w:eastAsia="Arial" w:hAnsi="Arial"/>
                <w:sz w:val="17"/>
                <w:szCs w:val="17"/>
                <w:color w:val="0000FF"/>
              </w:rPr>
              <w:t>Item 4.</w:t>
            </w:r>
          </w:p>
        </w:tc>
        <w:tc>
          <w:tcPr>
            <w:tcW w:w="7900" w:type="dxa"/>
            <w:vAlign w:val="bottom"/>
            <w:gridSpan w:val="18"/>
          </w:tcPr>
          <w:p>
            <w:pPr>
              <w:spacing w:after="0"/>
              <w:rPr>
                <w:sz w:val="20"/>
                <w:szCs w:val="20"/>
                <w:color w:val="auto"/>
              </w:rPr>
            </w:pPr>
            <w:r>
              <w:rPr>
                <w:rFonts w:ascii="Arial" w:cs="Arial" w:eastAsia="Arial" w:hAnsi="Arial"/>
                <w:sz w:val="17"/>
                <w:szCs w:val="17"/>
                <w:color w:val="0000FF"/>
              </w:rPr>
              <w:t>Controls and Procedures</w:t>
            </w:r>
          </w:p>
        </w:tc>
        <w:tc>
          <w:tcPr>
            <w:tcW w:w="1880" w:type="dxa"/>
            <w:vAlign w:val="bottom"/>
            <w:gridSpan w:val="2"/>
          </w:tcPr>
          <w:p>
            <w:pPr>
              <w:jc w:val="center"/>
              <w:ind w:left="1634"/>
              <w:spacing w:after="0"/>
              <w:rPr>
                <w:sz w:val="20"/>
                <w:szCs w:val="20"/>
                <w:color w:val="auto"/>
              </w:rPr>
            </w:pPr>
            <w:r>
              <w:rPr>
                <w:rFonts w:ascii="Arial" w:cs="Arial" w:eastAsia="Arial" w:hAnsi="Arial"/>
                <w:sz w:val="17"/>
                <w:szCs w:val="17"/>
                <w:color w:val="0000FF"/>
                <w:w w:val="84"/>
              </w:rPr>
              <w:t>28</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0" w:type="dxa"/>
            <w:vAlign w:val="bottom"/>
            <w:gridSpan w:val="3"/>
          </w:tcPr>
          <w:p>
            <w:pPr>
              <w:spacing w:after="0"/>
              <w:rPr>
                <w:sz w:val="20"/>
                <w:szCs w:val="20"/>
                <w:color w:val="auto"/>
              </w:rPr>
            </w:pPr>
            <w:r>
              <w:rPr>
                <w:rFonts w:ascii="Arial" w:cs="Arial" w:eastAsia="Arial" w:hAnsi="Arial"/>
                <w:sz w:val="17"/>
                <w:szCs w:val="17"/>
                <w:color w:val="0000FF"/>
                <w:w w:val="90"/>
              </w:rPr>
              <w:t>PART II.</w:t>
            </w:r>
          </w:p>
        </w:tc>
        <w:tc>
          <w:tcPr>
            <w:tcW w:w="440" w:type="dxa"/>
            <w:vAlign w:val="bottom"/>
          </w:tcPr>
          <w:p>
            <w:pPr>
              <w:spacing w:after="0"/>
              <w:rPr>
                <w:sz w:val="17"/>
                <w:szCs w:val="17"/>
                <w:color w:val="auto"/>
              </w:rPr>
            </w:pPr>
          </w:p>
        </w:tc>
        <w:tc>
          <w:tcPr>
            <w:tcW w:w="1800" w:type="dxa"/>
            <w:vAlign w:val="bottom"/>
            <w:gridSpan w:val="6"/>
          </w:tcPr>
          <w:p>
            <w:pPr>
              <w:spacing w:after="0"/>
              <w:rPr>
                <w:sz w:val="20"/>
                <w:szCs w:val="20"/>
                <w:color w:val="auto"/>
              </w:rPr>
            </w:pPr>
            <w:r>
              <w:rPr>
                <w:rFonts w:ascii="Arial" w:cs="Arial" w:eastAsia="Arial" w:hAnsi="Arial"/>
                <w:sz w:val="17"/>
                <w:szCs w:val="17"/>
                <w:color w:val="0000FF"/>
                <w:w w:val="97"/>
              </w:rPr>
              <w:t>OTHER INFORMATION</w:t>
            </w:r>
          </w:p>
        </w:tc>
        <w:tc>
          <w:tcPr>
            <w:tcW w:w="6100" w:type="dxa"/>
            <w:vAlign w:val="bottom"/>
            <w:gridSpan w:val="12"/>
          </w:tcPr>
          <w:p>
            <w:pPr>
              <w:spacing w:after="0"/>
              <w:rPr>
                <w:sz w:val="17"/>
                <w:szCs w:val="17"/>
                <w:color w:val="auto"/>
              </w:rPr>
            </w:pPr>
          </w:p>
        </w:tc>
        <w:tc>
          <w:tcPr>
            <w:tcW w:w="1880" w:type="dxa"/>
            <w:vAlign w:val="bottom"/>
            <w:gridSpan w:val="2"/>
          </w:tcPr>
          <w:p>
            <w:pPr>
              <w:jc w:val="center"/>
              <w:ind w:left="1634"/>
              <w:spacing w:after="0"/>
              <w:rPr>
                <w:sz w:val="20"/>
                <w:szCs w:val="20"/>
                <w:color w:val="auto"/>
              </w:rPr>
            </w:pPr>
            <w:r>
              <w:rPr>
                <w:rFonts w:ascii="Arial" w:cs="Arial" w:eastAsia="Arial" w:hAnsi="Arial"/>
                <w:sz w:val="17"/>
                <w:szCs w:val="17"/>
                <w:color w:val="0000FF"/>
                <w:w w:val="84"/>
              </w:rPr>
              <w:t>30</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0" w:type="dxa"/>
            <w:vAlign w:val="bottom"/>
            <w:gridSpan w:val="3"/>
          </w:tcPr>
          <w:p>
            <w:pPr>
              <w:spacing w:after="0"/>
              <w:rPr>
                <w:sz w:val="20"/>
                <w:szCs w:val="20"/>
                <w:color w:val="auto"/>
              </w:rPr>
            </w:pPr>
            <w:r>
              <w:rPr>
                <w:rFonts w:ascii="Arial" w:cs="Arial" w:eastAsia="Arial" w:hAnsi="Arial"/>
                <w:sz w:val="17"/>
                <w:szCs w:val="17"/>
                <w:color w:val="0000FF"/>
              </w:rPr>
              <w:t>Item 1.</w:t>
            </w:r>
          </w:p>
        </w:tc>
        <w:tc>
          <w:tcPr>
            <w:tcW w:w="440" w:type="dxa"/>
            <w:vAlign w:val="bottom"/>
          </w:tcPr>
          <w:p>
            <w:pPr>
              <w:spacing w:after="0"/>
              <w:rPr>
                <w:sz w:val="17"/>
                <w:szCs w:val="17"/>
                <w:color w:val="auto"/>
              </w:rPr>
            </w:pPr>
          </w:p>
        </w:tc>
        <w:tc>
          <w:tcPr>
            <w:tcW w:w="1800" w:type="dxa"/>
            <w:vAlign w:val="bottom"/>
            <w:gridSpan w:val="6"/>
          </w:tcPr>
          <w:p>
            <w:pPr>
              <w:spacing w:after="0"/>
              <w:rPr>
                <w:sz w:val="20"/>
                <w:szCs w:val="20"/>
                <w:color w:val="auto"/>
              </w:rPr>
            </w:pPr>
            <w:r>
              <w:rPr>
                <w:rFonts w:ascii="Arial" w:cs="Arial" w:eastAsia="Arial" w:hAnsi="Arial"/>
                <w:sz w:val="17"/>
                <w:szCs w:val="17"/>
                <w:color w:val="0000FF"/>
              </w:rPr>
              <w:t>Legal Proceedings</w:t>
            </w:r>
          </w:p>
        </w:tc>
        <w:tc>
          <w:tcPr>
            <w:tcW w:w="6100" w:type="dxa"/>
            <w:vAlign w:val="bottom"/>
            <w:gridSpan w:val="12"/>
          </w:tcPr>
          <w:p>
            <w:pPr>
              <w:spacing w:after="0"/>
              <w:rPr>
                <w:sz w:val="17"/>
                <w:szCs w:val="17"/>
                <w:color w:val="auto"/>
              </w:rPr>
            </w:pPr>
          </w:p>
        </w:tc>
        <w:tc>
          <w:tcPr>
            <w:tcW w:w="1880" w:type="dxa"/>
            <w:vAlign w:val="bottom"/>
            <w:gridSpan w:val="2"/>
          </w:tcPr>
          <w:p>
            <w:pPr>
              <w:jc w:val="center"/>
              <w:ind w:left="1634"/>
              <w:spacing w:after="0"/>
              <w:rPr>
                <w:sz w:val="20"/>
                <w:szCs w:val="20"/>
                <w:color w:val="auto"/>
              </w:rPr>
            </w:pPr>
            <w:r>
              <w:rPr>
                <w:rFonts w:ascii="Arial" w:cs="Arial" w:eastAsia="Arial" w:hAnsi="Arial"/>
                <w:sz w:val="17"/>
                <w:szCs w:val="17"/>
                <w:color w:val="0000FF"/>
                <w:w w:val="84"/>
              </w:rPr>
              <w:t>30</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0" w:type="dxa"/>
            <w:vAlign w:val="bottom"/>
            <w:gridSpan w:val="3"/>
          </w:tcPr>
          <w:p>
            <w:pPr>
              <w:spacing w:after="0"/>
              <w:rPr>
                <w:sz w:val="20"/>
                <w:szCs w:val="20"/>
                <w:color w:val="auto"/>
              </w:rPr>
            </w:pPr>
            <w:r>
              <w:rPr>
                <w:rFonts w:ascii="Arial" w:cs="Arial" w:eastAsia="Arial" w:hAnsi="Arial"/>
                <w:sz w:val="17"/>
                <w:szCs w:val="17"/>
                <w:color w:val="0000FF"/>
                <w:w w:val="91"/>
              </w:rPr>
              <w:t>Item 1A.</w:t>
            </w:r>
          </w:p>
        </w:tc>
        <w:tc>
          <w:tcPr>
            <w:tcW w:w="440" w:type="dxa"/>
            <w:vAlign w:val="bottom"/>
          </w:tcPr>
          <w:p>
            <w:pPr>
              <w:spacing w:after="0"/>
              <w:rPr>
                <w:sz w:val="17"/>
                <w:szCs w:val="17"/>
                <w:color w:val="auto"/>
              </w:rPr>
            </w:pPr>
          </w:p>
        </w:tc>
        <w:tc>
          <w:tcPr>
            <w:tcW w:w="7900" w:type="dxa"/>
            <w:vAlign w:val="bottom"/>
            <w:gridSpan w:val="18"/>
          </w:tcPr>
          <w:p>
            <w:pPr>
              <w:spacing w:after="0"/>
              <w:rPr>
                <w:sz w:val="20"/>
                <w:szCs w:val="20"/>
                <w:color w:val="auto"/>
              </w:rPr>
            </w:pPr>
            <w:r>
              <w:rPr>
                <w:rFonts w:ascii="Arial" w:cs="Arial" w:eastAsia="Arial" w:hAnsi="Arial"/>
                <w:sz w:val="17"/>
                <w:szCs w:val="17"/>
                <w:color w:val="0000FF"/>
              </w:rPr>
              <w:t>Risk Factors</w:t>
            </w:r>
          </w:p>
        </w:tc>
        <w:tc>
          <w:tcPr>
            <w:tcW w:w="1880" w:type="dxa"/>
            <w:vAlign w:val="bottom"/>
            <w:gridSpan w:val="2"/>
          </w:tcPr>
          <w:p>
            <w:pPr>
              <w:jc w:val="center"/>
              <w:ind w:left="1634"/>
              <w:spacing w:after="0"/>
              <w:rPr>
                <w:sz w:val="20"/>
                <w:szCs w:val="20"/>
                <w:color w:val="auto"/>
              </w:rPr>
            </w:pPr>
            <w:r>
              <w:rPr>
                <w:rFonts w:ascii="Arial" w:cs="Arial" w:eastAsia="Arial" w:hAnsi="Arial"/>
                <w:sz w:val="17"/>
                <w:szCs w:val="17"/>
                <w:color w:val="0000FF"/>
                <w:w w:val="84"/>
              </w:rPr>
              <w:t>30</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0" w:type="dxa"/>
            <w:vAlign w:val="bottom"/>
            <w:gridSpan w:val="3"/>
          </w:tcPr>
          <w:p>
            <w:pPr>
              <w:spacing w:after="0"/>
              <w:rPr>
                <w:sz w:val="20"/>
                <w:szCs w:val="20"/>
                <w:color w:val="auto"/>
              </w:rPr>
            </w:pPr>
            <w:r>
              <w:rPr>
                <w:rFonts w:ascii="Arial" w:cs="Arial" w:eastAsia="Arial" w:hAnsi="Arial"/>
                <w:sz w:val="17"/>
                <w:szCs w:val="17"/>
                <w:color w:val="0000FF"/>
              </w:rPr>
              <w:t>Item 2.</w:t>
            </w:r>
          </w:p>
        </w:tc>
        <w:tc>
          <w:tcPr>
            <w:tcW w:w="440" w:type="dxa"/>
            <w:vAlign w:val="bottom"/>
          </w:tcPr>
          <w:p>
            <w:pPr>
              <w:spacing w:after="0"/>
              <w:rPr>
                <w:sz w:val="17"/>
                <w:szCs w:val="17"/>
                <w:color w:val="auto"/>
              </w:rPr>
            </w:pPr>
          </w:p>
        </w:tc>
        <w:tc>
          <w:tcPr>
            <w:tcW w:w="7900" w:type="dxa"/>
            <w:vAlign w:val="bottom"/>
            <w:gridSpan w:val="18"/>
          </w:tcPr>
          <w:p>
            <w:pPr>
              <w:spacing w:after="0"/>
              <w:rPr>
                <w:sz w:val="20"/>
                <w:szCs w:val="20"/>
                <w:color w:val="auto"/>
              </w:rPr>
            </w:pPr>
            <w:r>
              <w:rPr>
                <w:rFonts w:ascii="Arial" w:cs="Arial" w:eastAsia="Arial" w:hAnsi="Arial"/>
                <w:sz w:val="17"/>
                <w:szCs w:val="17"/>
                <w:color w:val="0000FF"/>
              </w:rPr>
              <w:t>Unregistered Sales of Equity Securities</w:t>
            </w:r>
          </w:p>
        </w:tc>
        <w:tc>
          <w:tcPr>
            <w:tcW w:w="1880" w:type="dxa"/>
            <w:vAlign w:val="bottom"/>
            <w:gridSpan w:val="2"/>
          </w:tcPr>
          <w:p>
            <w:pPr>
              <w:jc w:val="center"/>
              <w:ind w:left="1634"/>
              <w:spacing w:after="0"/>
              <w:rPr>
                <w:sz w:val="20"/>
                <w:szCs w:val="20"/>
                <w:color w:val="auto"/>
              </w:rPr>
            </w:pPr>
            <w:r>
              <w:rPr>
                <w:rFonts w:ascii="Arial" w:cs="Arial" w:eastAsia="Arial" w:hAnsi="Arial"/>
                <w:sz w:val="17"/>
                <w:szCs w:val="17"/>
                <w:color w:val="0000FF"/>
                <w:w w:val="84"/>
              </w:rPr>
              <w:t>72</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Arial" w:cs="Arial" w:eastAsia="Arial" w:hAnsi="Arial"/>
                <w:sz w:val="17"/>
                <w:szCs w:val="17"/>
                <w:color w:val="0000FF"/>
              </w:rPr>
              <w:t>Item 3.</w:t>
            </w:r>
          </w:p>
        </w:tc>
        <w:tc>
          <w:tcPr>
            <w:tcW w:w="7900" w:type="dxa"/>
            <w:vAlign w:val="bottom"/>
            <w:gridSpan w:val="18"/>
          </w:tcPr>
          <w:p>
            <w:pPr>
              <w:spacing w:after="0"/>
              <w:rPr>
                <w:sz w:val="20"/>
                <w:szCs w:val="20"/>
                <w:color w:val="auto"/>
              </w:rPr>
            </w:pPr>
            <w:r>
              <w:rPr>
                <w:rFonts w:ascii="Arial" w:cs="Arial" w:eastAsia="Arial" w:hAnsi="Arial"/>
                <w:sz w:val="17"/>
                <w:szCs w:val="17"/>
                <w:color w:val="0000FF"/>
              </w:rPr>
              <w:t>Defaults Upon Senior Securities</w:t>
            </w:r>
          </w:p>
        </w:tc>
        <w:tc>
          <w:tcPr>
            <w:tcW w:w="1880" w:type="dxa"/>
            <w:vAlign w:val="bottom"/>
            <w:gridSpan w:val="2"/>
          </w:tcPr>
          <w:p>
            <w:pPr>
              <w:jc w:val="center"/>
              <w:ind w:left="1634"/>
              <w:spacing w:after="0"/>
              <w:rPr>
                <w:sz w:val="20"/>
                <w:szCs w:val="20"/>
                <w:color w:val="auto"/>
              </w:rPr>
            </w:pPr>
            <w:r>
              <w:rPr>
                <w:rFonts w:ascii="Arial" w:cs="Arial" w:eastAsia="Arial" w:hAnsi="Arial"/>
                <w:sz w:val="17"/>
                <w:szCs w:val="17"/>
                <w:color w:val="0000FF"/>
                <w:w w:val="84"/>
              </w:rPr>
              <w:t>72</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Arial" w:cs="Arial" w:eastAsia="Arial" w:hAnsi="Arial"/>
                <w:sz w:val="17"/>
                <w:szCs w:val="17"/>
                <w:color w:val="0000FF"/>
              </w:rPr>
              <w:t>Item 4.</w:t>
            </w:r>
          </w:p>
        </w:tc>
        <w:tc>
          <w:tcPr>
            <w:tcW w:w="7900" w:type="dxa"/>
            <w:vAlign w:val="bottom"/>
            <w:gridSpan w:val="18"/>
          </w:tcPr>
          <w:p>
            <w:pPr>
              <w:spacing w:after="0"/>
              <w:rPr>
                <w:sz w:val="20"/>
                <w:szCs w:val="20"/>
                <w:color w:val="auto"/>
              </w:rPr>
            </w:pPr>
            <w:r>
              <w:rPr>
                <w:rFonts w:ascii="Arial" w:cs="Arial" w:eastAsia="Arial" w:hAnsi="Arial"/>
                <w:sz w:val="17"/>
                <w:szCs w:val="17"/>
                <w:color w:val="0000FF"/>
              </w:rPr>
              <w:t>Mine Safety Disclosure</w:t>
            </w:r>
          </w:p>
        </w:tc>
        <w:tc>
          <w:tcPr>
            <w:tcW w:w="1880" w:type="dxa"/>
            <w:vAlign w:val="bottom"/>
            <w:gridSpan w:val="2"/>
          </w:tcPr>
          <w:p>
            <w:pPr>
              <w:jc w:val="center"/>
              <w:ind w:left="1634"/>
              <w:spacing w:after="0"/>
              <w:rPr>
                <w:sz w:val="20"/>
                <w:szCs w:val="20"/>
                <w:color w:val="auto"/>
              </w:rPr>
            </w:pPr>
            <w:r>
              <w:rPr>
                <w:rFonts w:ascii="Arial" w:cs="Arial" w:eastAsia="Arial" w:hAnsi="Arial"/>
                <w:sz w:val="17"/>
                <w:szCs w:val="17"/>
                <w:color w:val="0000FF"/>
                <w:w w:val="84"/>
              </w:rPr>
              <w:t>72</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Arial" w:cs="Arial" w:eastAsia="Arial" w:hAnsi="Arial"/>
                <w:sz w:val="17"/>
                <w:szCs w:val="17"/>
                <w:color w:val="0000FF"/>
              </w:rPr>
              <w:t>Item 5.</w:t>
            </w:r>
          </w:p>
        </w:tc>
        <w:tc>
          <w:tcPr>
            <w:tcW w:w="7900" w:type="dxa"/>
            <w:vAlign w:val="bottom"/>
            <w:gridSpan w:val="18"/>
          </w:tcPr>
          <w:p>
            <w:pPr>
              <w:spacing w:after="0"/>
              <w:rPr>
                <w:sz w:val="20"/>
                <w:szCs w:val="20"/>
                <w:color w:val="auto"/>
              </w:rPr>
            </w:pPr>
            <w:r>
              <w:rPr>
                <w:rFonts w:ascii="Arial" w:cs="Arial" w:eastAsia="Arial" w:hAnsi="Arial"/>
                <w:sz w:val="17"/>
                <w:szCs w:val="17"/>
                <w:color w:val="0000FF"/>
              </w:rPr>
              <w:t>Other Information</w:t>
            </w:r>
          </w:p>
        </w:tc>
        <w:tc>
          <w:tcPr>
            <w:tcW w:w="1880" w:type="dxa"/>
            <w:vAlign w:val="bottom"/>
            <w:gridSpan w:val="2"/>
          </w:tcPr>
          <w:p>
            <w:pPr>
              <w:jc w:val="center"/>
              <w:ind w:left="1634"/>
              <w:spacing w:after="0"/>
              <w:rPr>
                <w:sz w:val="20"/>
                <w:szCs w:val="20"/>
                <w:color w:val="auto"/>
              </w:rPr>
            </w:pPr>
            <w:r>
              <w:rPr>
                <w:rFonts w:ascii="Arial" w:cs="Arial" w:eastAsia="Arial" w:hAnsi="Arial"/>
                <w:sz w:val="17"/>
                <w:szCs w:val="17"/>
                <w:color w:val="0000FF"/>
                <w:w w:val="84"/>
              </w:rPr>
              <w:t>72</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760" w:type="dxa"/>
            <w:vAlign w:val="bottom"/>
            <w:gridSpan w:val="11"/>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Arial" w:cs="Arial" w:eastAsia="Arial" w:hAnsi="Arial"/>
                <w:sz w:val="17"/>
                <w:szCs w:val="17"/>
                <w:color w:val="0000FF"/>
              </w:rPr>
              <w:t>Item 6.</w:t>
            </w:r>
          </w:p>
        </w:tc>
        <w:tc>
          <w:tcPr>
            <w:tcW w:w="7900" w:type="dxa"/>
            <w:vAlign w:val="bottom"/>
            <w:gridSpan w:val="18"/>
          </w:tcPr>
          <w:p>
            <w:pPr>
              <w:spacing w:after="0"/>
              <w:rPr>
                <w:sz w:val="20"/>
                <w:szCs w:val="20"/>
                <w:color w:val="auto"/>
              </w:rPr>
            </w:pPr>
            <w:r>
              <w:rPr>
                <w:rFonts w:ascii="Arial" w:cs="Arial" w:eastAsia="Arial" w:hAnsi="Arial"/>
                <w:sz w:val="17"/>
                <w:szCs w:val="17"/>
                <w:color w:val="0000FF"/>
              </w:rPr>
              <w:t>Exhibits</w:t>
            </w:r>
          </w:p>
        </w:tc>
        <w:tc>
          <w:tcPr>
            <w:tcW w:w="1880" w:type="dxa"/>
            <w:vAlign w:val="bottom"/>
            <w:gridSpan w:val="2"/>
          </w:tcPr>
          <w:p>
            <w:pPr>
              <w:jc w:val="center"/>
              <w:ind w:left="1634"/>
              <w:spacing w:after="0"/>
              <w:rPr>
                <w:sz w:val="20"/>
                <w:szCs w:val="20"/>
                <w:color w:val="auto"/>
              </w:rPr>
            </w:pPr>
            <w:r>
              <w:rPr>
                <w:rFonts w:ascii="Arial" w:cs="Arial" w:eastAsia="Arial" w:hAnsi="Arial"/>
                <w:sz w:val="17"/>
                <w:szCs w:val="17"/>
                <w:color w:val="0000FF"/>
                <w:w w:val="84"/>
              </w:rPr>
              <w:t>73</w:t>
            </w:r>
          </w:p>
        </w:tc>
        <w:tc>
          <w:tcPr>
            <w:tcW w:w="3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15"/>
          </w:tcPr>
          <w:p>
            <w:pPr>
              <w:ind w:left="120"/>
              <w:spacing w:after="0"/>
              <w:rPr>
                <w:sz w:val="20"/>
                <w:szCs w:val="20"/>
                <w:color w:val="auto"/>
              </w:rPr>
            </w:pPr>
            <w:r>
              <w:rPr>
                <w:rFonts w:ascii="Arial" w:cs="Arial" w:eastAsia="Arial" w:hAnsi="Arial"/>
                <w:sz w:val="17"/>
                <w:szCs w:val="17"/>
                <w:color w:val="0000FF"/>
              </w:rPr>
              <w:t>Signatures</w:t>
            </w:r>
          </w:p>
        </w:tc>
        <w:tc>
          <w:tcPr>
            <w:tcW w:w="18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r>
      <w:tr>
        <w:trPr>
          <w:trHeight w:val="1997"/>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3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24" w:lineRule="exact"/>
        <w:rPr>
          <w:sz w:val="20"/>
          <w:szCs w:val="20"/>
          <w:color w:val="auto"/>
        </w:rPr>
      </w:pPr>
    </w:p>
    <w:p>
      <w:pPr>
        <w:ind w:left="620" w:hanging="307"/>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estimates of our addressable market, market growth, key performance indicators, capital requirements and our needs for additional financing;</w:t>
      </w:r>
    </w:p>
    <w:p>
      <w:pPr>
        <w:spacing w:after="0" w:line="176" w:lineRule="exact"/>
        <w:rPr>
          <w:rFonts w:ascii="Arial" w:cs="Arial" w:eastAsia="Arial" w:hAnsi="Arial"/>
          <w:sz w:val="16"/>
          <w:szCs w:val="16"/>
          <w:color w:val="auto"/>
        </w:rPr>
      </w:pPr>
    </w:p>
    <w:p>
      <w:pPr>
        <w:ind w:left="620" w:right="460" w:hanging="307"/>
        <w:spacing w:after="0" w:line="279"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our financial performance, including among others, revenue, cost of revenue, gross profit, operating expenses, loss from operations and net losses;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successfully execute our broad release commercialization plan, including our ability to attract customers;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implementation of our business model, strategic plans and expected pricing for the Proteograph™ Product Suite;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the rate and degree of market acceptance of the Proteograph Product Suite;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the Proteograph Product Suite on the field of proteomics and the size and growth of the addressable proteomics market;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competitive companies and technologies and our industry;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manage and grow our business;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develop and commercialize new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establish and maintain intellectual property protection for our products or avoid or defend claims of infringement;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performance of third-party manufacturers and suppliers;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potential effects of government regulation;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hire and retain key personnel and to manage our future growth effectively;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volatility of the trading price of our Class A common stock;</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benefits of the PrognomIQ, Inc. transaction;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local, regional, and national and international economic conditions and events;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COVID-19 on our business;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about market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951865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8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spacing w:after="0" w:line="135" w:lineRule="exact"/>
        <w:rPr>
          <w:sz w:val="20"/>
          <w:szCs w:val="20"/>
          <w:color w:val="auto"/>
        </w:rPr>
      </w:pPr>
    </w:p>
    <w:p>
      <w:pPr>
        <w:ind w:right="220"/>
        <w:spacing w:after="0" w:line="307"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908050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7"/>
          <w:szCs w:val="17"/>
          <w:b w:val="1"/>
          <w:bCs w:val="1"/>
          <w:color w:val="auto"/>
        </w:rPr>
        <w:t>PART I—FINANCIAL INFORMATION</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6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w:t>
      </w:r>
    </w:p>
    <w:p>
      <w:pPr>
        <w:jc w:val="center"/>
        <w:ind w:right="100"/>
        <w:spacing w:after="0"/>
        <w:rPr>
          <w:sz w:val="20"/>
          <w:szCs w:val="20"/>
          <w:color w:val="auto"/>
        </w:rPr>
      </w:pPr>
      <w:r>
        <w:rPr>
          <w:rFonts w:ascii="Arial" w:cs="Arial" w:eastAsia="Arial" w:hAnsi="Arial"/>
          <w:sz w:val="17"/>
          <w:szCs w:val="17"/>
          <w:b w:val="1"/>
          <w:bCs w:val="1"/>
          <w:i w:val="1"/>
          <w:iCs w:val="1"/>
          <w:color w:val="auto"/>
        </w:rPr>
        <w:t>(in thousands, except share and per share amounts)</w:t>
      </w:r>
    </w:p>
    <w:p>
      <w:pPr>
        <w:spacing w:after="0" w:line="77"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7940" w:type="dxa"/>
            <w:vAlign w:val="bottom"/>
          </w:tcPr>
          <w:p>
            <w:pPr>
              <w:spacing w:after="0"/>
              <w:rPr>
                <w:sz w:val="15"/>
                <w:szCs w:val="15"/>
                <w:color w:val="auto"/>
              </w:rPr>
            </w:pPr>
          </w:p>
        </w:tc>
        <w:tc>
          <w:tcPr>
            <w:tcW w:w="1660" w:type="dxa"/>
            <w:vAlign w:val="bottom"/>
            <w:gridSpan w:val="3"/>
          </w:tcPr>
          <w:p>
            <w:pPr>
              <w:ind w:left="3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3"/>
        </w:trPr>
        <w:tc>
          <w:tcPr>
            <w:tcW w:w="79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7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9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ASSETS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960" w:type="dxa"/>
            <w:vAlign w:val="bottom"/>
            <w:tcBorders>
              <w:bottom w:val="single" w:sz="8" w:color="CCEEFF"/>
            </w:tcBorders>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68,069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7940" w:type="dxa"/>
            <w:vAlign w:val="bottom"/>
          </w:tcPr>
          <w:p>
            <w:pPr>
              <w:ind w:left="220"/>
              <w:spacing w:after="0"/>
              <w:rPr>
                <w:sz w:val="20"/>
                <w:szCs w:val="20"/>
                <w:color w:val="auto"/>
              </w:rPr>
            </w:pPr>
            <w:r>
              <w:rPr>
                <w:rFonts w:ascii="Arial" w:cs="Arial" w:eastAsia="Arial" w:hAnsi="Arial"/>
                <w:sz w:val="14"/>
                <w:szCs w:val="14"/>
                <w:color w:val="auto"/>
              </w:rPr>
              <w:t>Short-term investments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367,995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940" w:type="dxa"/>
            <w:vAlign w:val="bottom"/>
          </w:tcPr>
          <w:p>
            <w:pPr>
              <w:ind w:left="220"/>
              <w:spacing w:after="0"/>
              <w:rPr>
                <w:sz w:val="20"/>
                <w:szCs w:val="20"/>
                <w:color w:val="auto"/>
              </w:rPr>
            </w:pPr>
            <w:r>
              <w:rPr>
                <w:rFonts w:ascii="Arial" w:cs="Arial" w:eastAsia="Arial" w:hAnsi="Arial"/>
                <w:sz w:val="14"/>
                <w:szCs w:val="14"/>
                <w:color w:val="auto"/>
              </w:rPr>
              <w:t>Related party receivables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receivables</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940" w:type="dxa"/>
            <w:vAlign w:val="bottom"/>
          </w:tcPr>
          <w:p>
            <w:pPr>
              <w:ind w:left="220"/>
              <w:spacing w:after="0"/>
              <w:rPr>
                <w:sz w:val="20"/>
                <w:szCs w:val="20"/>
                <w:color w:val="auto"/>
              </w:rPr>
            </w:pPr>
            <w:r>
              <w:rPr>
                <w:rFonts w:ascii="Arial" w:cs="Arial" w:eastAsia="Arial" w:hAnsi="Arial"/>
                <w:sz w:val="14"/>
                <w:szCs w:val="14"/>
                <w:color w:val="auto"/>
              </w:rPr>
              <w:t>Inventory</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450,471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investments</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94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27,465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16,084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94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94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960" w:type="dxa"/>
            <w:vAlign w:val="bottom"/>
            <w:tcBorders>
              <w:top w:val="single" w:sz="8" w:color="auto"/>
              <w:bottom w:val="single" w:sz="8" w:color="auto"/>
            </w:tcBorders>
          </w:tcPr>
          <w:p>
            <w:pPr>
              <w:jc w:val="right"/>
              <w:ind w:right="811"/>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500,212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9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LIABILITIES AND STOCKHOLDERS’ EQUITY</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9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960" w:type="dxa"/>
            <w:vAlign w:val="bottom"/>
            <w:tcBorders>
              <w:bottom w:val="single" w:sz="8" w:color="CCEEFF"/>
            </w:tcBorders>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94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940" w:type="dxa"/>
            <w:vAlign w:val="bottom"/>
          </w:tcPr>
          <w:p>
            <w:pPr>
              <w:ind w:left="220"/>
              <w:spacing w:after="0"/>
              <w:rPr>
                <w:sz w:val="20"/>
                <w:szCs w:val="20"/>
                <w:color w:val="auto"/>
              </w:rPr>
            </w:pPr>
            <w:r>
              <w:rPr>
                <w:rFonts w:ascii="Arial" w:cs="Arial" w:eastAsia="Arial" w:hAnsi="Arial"/>
                <w:sz w:val="14"/>
                <w:szCs w:val="14"/>
                <w:color w:val="auto"/>
              </w:rPr>
              <w:t>Operating lease liabilities, current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13,616</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net of current portion</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28,509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940" w:type="dxa"/>
            <w:vAlign w:val="bottom"/>
          </w:tcPr>
          <w:p>
            <w:pPr>
              <w:ind w:left="20"/>
              <w:spacing w:after="0"/>
              <w:rPr>
                <w:sz w:val="20"/>
                <w:szCs w:val="20"/>
                <w:color w:val="auto"/>
              </w:rPr>
            </w:pPr>
            <w:r>
              <w:rPr>
                <w:rFonts w:ascii="Arial" w:cs="Arial" w:eastAsia="Arial" w:hAnsi="Arial"/>
                <w:sz w:val="14"/>
                <w:szCs w:val="14"/>
                <w:color w:val="auto"/>
              </w:rPr>
              <w:t>Other noncurrent liabilities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7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liabilities</w:t>
            </w: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42,444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0"/>
              <w:spacing w:after="0"/>
              <w:rPr>
                <w:sz w:val="20"/>
                <w:szCs w:val="20"/>
                <w:color w:val="auto"/>
              </w:rPr>
            </w:pPr>
            <w:r>
              <w:rPr>
                <w:rFonts w:ascii="Arial" w:cs="Arial" w:eastAsia="Arial" w:hAnsi="Arial"/>
                <w:sz w:val="14"/>
                <w:szCs w:val="14"/>
                <w:color w:val="auto"/>
              </w:rPr>
              <w:t>Commitments and contingencies (Note 8)</w:t>
            </w: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7940" w:type="dxa"/>
            <w:vAlign w:val="bottom"/>
          </w:tcPr>
          <w:p>
            <w:pPr>
              <w:ind w:left="220"/>
              <w:spacing w:after="0" w:line="137" w:lineRule="exact"/>
              <w:rPr>
                <w:sz w:val="20"/>
                <w:szCs w:val="20"/>
                <w:color w:val="auto"/>
              </w:rPr>
            </w:pPr>
            <w:r>
              <w:rPr>
                <w:rFonts w:ascii="Arial" w:cs="Arial" w:eastAsia="Arial" w:hAnsi="Arial"/>
                <w:sz w:val="14"/>
                <w:szCs w:val="14"/>
                <w:color w:val="auto"/>
                <w:w w:val="87"/>
              </w:rPr>
              <w:t>Preferred stock, $0.00001 par value; 5,000,000 shares authorized as of September 30, 2022 and December 31, 2021; zero shares issued and</w:t>
            </w: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940" w:type="dxa"/>
            <w:vAlign w:val="bottom"/>
          </w:tcPr>
          <w:p>
            <w:pPr>
              <w:ind w:left="380"/>
              <w:spacing w:after="0"/>
              <w:rPr>
                <w:sz w:val="20"/>
                <w:szCs w:val="20"/>
                <w:color w:val="auto"/>
              </w:rPr>
            </w:pPr>
            <w:r>
              <w:rPr>
                <w:rFonts w:ascii="Arial" w:cs="Arial" w:eastAsia="Arial" w:hAnsi="Arial"/>
                <w:sz w:val="14"/>
                <w:szCs w:val="14"/>
                <w:color w:val="auto"/>
              </w:rPr>
              <w:t>outstanding as of September 30, 2022 and December 31, 2021</w:t>
            </w:r>
          </w:p>
        </w:tc>
        <w:tc>
          <w:tcPr>
            <w:tcW w:w="96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7940" w:type="dxa"/>
            <w:vAlign w:val="bottom"/>
            <w:shd w:val="clear" w:color="auto" w:fill="CCEEFF"/>
          </w:tcPr>
          <w:p>
            <w:pPr>
              <w:ind w:left="220"/>
              <w:spacing w:after="0" w:line="137" w:lineRule="exact"/>
              <w:rPr>
                <w:sz w:val="20"/>
                <w:szCs w:val="20"/>
                <w:color w:val="auto"/>
              </w:rPr>
            </w:pPr>
            <w:r>
              <w:rPr>
                <w:rFonts w:ascii="Arial" w:cs="Arial" w:eastAsia="Arial" w:hAnsi="Arial"/>
                <w:sz w:val="14"/>
                <w:szCs w:val="14"/>
                <w:color w:val="auto"/>
                <w:w w:val="89"/>
              </w:rPr>
              <w:t>Class A common stock, $0.00001 par value; 94,000,000 shares authorized as of September 30, 2022 and December 31, 2021; 58,591,785</w:t>
            </w:r>
          </w:p>
        </w:tc>
        <w:tc>
          <w:tcPr>
            <w:tcW w:w="9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and 57,493,005 shares issued and outstanding as of September 30, 2022 and December 31, 2021, respectively</w:t>
            </w:r>
          </w:p>
        </w:tc>
        <w:tc>
          <w:tcPr>
            <w:tcW w:w="9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940" w:type="dxa"/>
            <w:vAlign w:val="bottom"/>
          </w:tcPr>
          <w:p>
            <w:pPr>
              <w:ind w:left="220"/>
              <w:spacing w:after="0" w:line="137" w:lineRule="exact"/>
              <w:rPr>
                <w:sz w:val="20"/>
                <w:szCs w:val="20"/>
                <w:color w:val="auto"/>
              </w:rPr>
            </w:pPr>
            <w:r>
              <w:rPr>
                <w:rFonts w:ascii="Arial" w:cs="Arial" w:eastAsia="Arial" w:hAnsi="Arial"/>
                <w:sz w:val="14"/>
                <w:szCs w:val="14"/>
                <w:color w:val="auto"/>
                <w:w w:val="88"/>
              </w:rPr>
              <w:t>Class B common stock, $0.00001 par value; 6,000,000 shares authorized as of September 30, 2022 and December 31, 2021; 4,044,969 and</w:t>
            </w: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940" w:type="dxa"/>
            <w:vAlign w:val="bottom"/>
          </w:tcPr>
          <w:p>
            <w:pPr>
              <w:ind w:left="380"/>
              <w:spacing w:after="0"/>
              <w:rPr>
                <w:sz w:val="20"/>
                <w:szCs w:val="20"/>
                <w:color w:val="auto"/>
              </w:rPr>
            </w:pPr>
            <w:r>
              <w:rPr>
                <w:rFonts w:ascii="Arial" w:cs="Arial" w:eastAsia="Arial" w:hAnsi="Arial"/>
                <w:sz w:val="14"/>
                <w:szCs w:val="14"/>
                <w:color w:val="auto"/>
              </w:rPr>
              <w:t>4,522,478 shares issued and outstanding as of September 30, 2022 and December 31, 2021, respectively</w:t>
            </w:r>
          </w:p>
        </w:tc>
        <w:tc>
          <w:tcPr>
            <w:tcW w:w="96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Additional paid-in capital</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657,431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2"/>
        </w:trPr>
        <w:tc>
          <w:tcPr>
            <w:tcW w:w="794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(2,693)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(196,971)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5"/>
        </w:trPr>
        <w:tc>
          <w:tcPr>
            <w:tcW w:w="7940" w:type="dxa"/>
            <w:vAlign w:val="bottom"/>
          </w:tcPr>
          <w:p>
            <w:pPr>
              <w:ind w:left="440"/>
              <w:spacing w:after="0"/>
              <w:rPr>
                <w:sz w:val="20"/>
                <w:szCs w:val="20"/>
                <w:color w:val="auto"/>
              </w:rPr>
            </w:pPr>
            <w:r>
              <w:rPr>
                <w:rFonts w:ascii="Arial" w:cs="Arial" w:eastAsia="Arial" w:hAnsi="Arial"/>
                <w:sz w:val="14"/>
                <w:szCs w:val="14"/>
                <w:color w:val="auto"/>
              </w:rPr>
              <w:t>Total stockholders’ equity</w:t>
            </w: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457,768</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7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96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500,212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50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and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5"/>
                <w:szCs w:val="15"/>
                <w:color w:val="auto"/>
              </w:rPr>
            </w:pPr>
          </w:p>
        </w:tc>
        <w:tc>
          <w:tcPr>
            <w:tcW w:w="336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220"/>
              <w:spacing w:after="0"/>
              <w:rPr>
                <w:sz w:val="20"/>
                <w:szCs w:val="20"/>
                <w:color w:val="auto"/>
              </w:rPr>
            </w:pPr>
            <w:r>
              <w:rPr>
                <w:rFonts w:ascii="Arial" w:cs="Arial" w:eastAsia="Arial" w:hAnsi="Arial"/>
                <w:sz w:val="17"/>
                <w:szCs w:val="17"/>
                <w:color w:val="auto"/>
              </w:rPr>
              <w:t>Product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2,571</w:t>
            </w:r>
          </w:p>
        </w:tc>
        <w:tc>
          <w:tcPr>
            <w:tcW w:w="80" w:type="dxa"/>
            <w:vAlign w:val="bottom"/>
          </w:tcPr>
          <w:p>
            <w:pPr>
              <w:spacing w:after="0"/>
              <w:rPr>
                <w:sz w:val="22"/>
                <w:szCs w:val="22"/>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858</w:t>
            </w:r>
          </w:p>
        </w:tc>
        <w:tc>
          <w:tcPr>
            <w:tcW w:w="100" w:type="dxa"/>
            <w:vAlign w:val="bottom"/>
          </w:tcPr>
          <w:p>
            <w:pPr>
              <w:spacing w:after="0"/>
              <w:rPr>
                <w:sz w:val="22"/>
                <w:szCs w:val="22"/>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7,126</w:t>
            </w:r>
          </w:p>
        </w:tc>
        <w:tc>
          <w:tcPr>
            <w:tcW w:w="80" w:type="dxa"/>
            <w:vAlign w:val="bottom"/>
          </w:tcPr>
          <w:p>
            <w:pPr>
              <w:spacing w:after="0"/>
              <w:rPr>
                <w:sz w:val="22"/>
                <w:szCs w:val="22"/>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1,695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220"/>
              <w:spacing w:after="0"/>
              <w:rPr>
                <w:sz w:val="20"/>
                <w:szCs w:val="20"/>
                <w:color w:val="auto"/>
              </w:rPr>
            </w:pPr>
            <w:r>
              <w:rPr>
                <w:rFonts w:ascii="Arial" w:cs="Arial" w:eastAsia="Arial" w:hAnsi="Arial"/>
                <w:sz w:val="17"/>
                <w:szCs w:val="17"/>
                <w:color w:val="auto"/>
              </w:rPr>
              <w:t>Related party</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1,316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3,494</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1,167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Grant and other</w:t>
            </w:r>
          </w:p>
        </w:tc>
        <w:tc>
          <w:tcPr>
            <w:tcW w:w="3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3,955</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2,155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10,888</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220"/>
              <w:spacing w:after="0"/>
              <w:rPr>
                <w:sz w:val="20"/>
                <w:szCs w:val="20"/>
                <w:color w:val="auto"/>
              </w:rPr>
            </w:pPr>
            <w:r>
              <w:rPr>
                <w:rFonts w:ascii="Arial" w:cs="Arial" w:eastAsia="Arial" w:hAnsi="Arial"/>
                <w:sz w:val="17"/>
                <w:szCs w:val="17"/>
                <w:color w:val="auto"/>
              </w:rPr>
              <w:t>Product</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1,371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574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4,674</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Related party</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1,366</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cost of revenue</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2,010</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6,090</w:t>
            </w:r>
          </w:p>
        </w:tc>
        <w:tc>
          <w:tcPr>
            <w:tcW w:w="8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4,798</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1,979</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11,564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7,745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33,167</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20,906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Selling, general and administrative</w:t>
            </w: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15,447</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11,855</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43,917</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32,672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27,011</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19,600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77,084</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53,578</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(25,066)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(18,431)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(72,286)</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(51,599)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220"/>
              <w:spacing w:after="0"/>
              <w:rPr>
                <w:sz w:val="20"/>
                <w:szCs w:val="20"/>
                <w:color w:val="auto"/>
              </w:rPr>
            </w:pPr>
            <w:r>
              <w:rPr>
                <w:rFonts w:ascii="Arial" w:cs="Arial" w:eastAsia="Arial" w:hAnsi="Arial"/>
                <w:sz w:val="17"/>
                <w:szCs w:val="17"/>
                <w:color w:val="auto"/>
              </w:rPr>
              <w:t>Other expense</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41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other income</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1,086</w:t>
            </w: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1,845</w:t>
            </w:r>
          </w:p>
        </w:tc>
        <w:tc>
          <w:tcPr>
            <w:tcW w:w="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(23,980)</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(70,441)</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(51,430)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w w:val="97"/>
              </w:rPr>
              <w:t>Unrealized gain (loss) on available-for-sale securities</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(2,157)</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(23,560)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(18,359)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(72,598)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(51,492)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w w:val="97"/>
              </w:rPr>
              <w:t>Net loss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160" w:type="dxa"/>
            <w:vAlign w:val="bottom"/>
            <w:vMerge w:val="continue"/>
          </w:tcPr>
          <w:p>
            <w:pPr>
              <w:spacing w:after="0"/>
              <w:rPr>
                <w:sz w:val="14"/>
                <w:szCs w:val="14"/>
                <w:color w:val="auto"/>
              </w:rPr>
            </w:pP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(0.38)</w:t>
            </w:r>
          </w:p>
        </w:tc>
        <w:tc>
          <w:tcPr>
            <w:tcW w:w="80" w:type="dxa"/>
            <w:vAlign w:val="bottom"/>
          </w:tcPr>
          <w:p>
            <w:pPr>
              <w:spacing w:after="0"/>
              <w:rPr>
                <w:sz w:val="14"/>
                <w:szCs w:val="14"/>
                <w:color w:val="auto"/>
              </w:rPr>
            </w:pPr>
          </w:p>
        </w:tc>
        <w:tc>
          <w:tcPr>
            <w:tcW w:w="380" w:type="dxa"/>
            <w:vAlign w:val="bottom"/>
            <w:vMerge w:val="restart"/>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(0.30)</w:t>
            </w:r>
          </w:p>
        </w:tc>
        <w:tc>
          <w:tcPr>
            <w:tcW w:w="100" w:type="dxa"/>
            <w:vAlign w:val="bottom"/>
          </w:tcPr>
          <w:p>
            <w:pPr>
              <w:spacing w:after="0"/>
              <w:rPr>
                <w:sz w:val="14"/>
                <w:szCs w:val="14"/>
                <w:color w:val="auto"/>
              </w:rPr>
            </w:pPr>
          </w:p>
        </w:tc>
        <w:tc>
          <w:tcPr>
            <w:tcW w:w="420" w:type="dxa"/>
            <w:vAlign w:val="bottom"/>
            <w:vMerge w:val="restart"/>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(1.13)</w:t>
            </w:r>
          </w:p>
        </w:tc>
        <w:tc>
          <w:tcPr>
            <w:tcW w:w="80" w:type="dxa"/>
            <w:vAlign w:val="bottom"/>
          </w:tcPr>
          <w:p>
            <w:pPr>
              <w:spacing w:after="0"/>
              <w:rPr>
                <w:sz w:val="14"/>
                <w:szCs w:val="14"/>
                <w:color w:val="auto"/>
              </w:rPr>
            </w:pPr>
          </w:p>
        </w:tc>
        <w:tc>
          <w:tcPr>
            <w:tcW w:w="440" w:type="dxa"/>
            <w:vAlign w:val="bottom"/>
            <w:vMerge w:val="restart"/>
          </w:tcPr>
          <w:p>
            <w:pPr>
              <w:jc w:val="right"/>
              <w:ind w:right="234"/>
              <w:spacing w:after="0"/>
              <w:rPr>
                <w:sz w:val="20"/>
                <w:szCs w:val="20"/>
                <w:color w:val="auto"/>
              </w:rPr>
            </w:pPr>
            <w:r>
              <w:rPr>
                <w:rFonts w:ascii="Arial" w:cs="Arial" w:eastAsia="Arial" w:hAnsi="Arial"/>
                <w:sz w:val="17"/>
                <w:szCs w:val="17"/>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(0.85)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7"/>
                <w:szCs w:val="17"/>
                <w:color w:val="auto"/>
              </w:rPr>
              <w:t>basic and diluted</w:t>
            </w:r>
          </w:p>
        </w:tc>
        <w:tc>
          <w:tcPr>
            <w:tcW w:w="3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16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w w:val="93"/>
              </w:rPr>
              <w:t>Weighted-average common shares outstanding, basic and</w:t>
            </w:r>
          </w:p>
        </w:tc>
        <w:tc>
          <w:tcPr>
            <w:tcW w:w="3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62,538,983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61,133,518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62,308,314</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60,625,601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1100"/>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(Unaudited)</w:t>
      </w:r>
    </w:p>
    <w:p>
      <w:pPr>
        <w:spacing w:after="0" w:line="155" w:lineRule="exact"/>
        <w:rPr>
          <w:sz w:val="20"/>
          <w:szCs w:val="20"/>
          <w:color w:val="auto"/>
        </w:rPr>
      </w:pPr>
    </w:p>
    <w:p>
      <w:pPr>
        <w:ind w:left="4300"/>
        <w:spacing w:after="0"/>
        <w:rPr>
          <w:sz w:val="20"/>
          <w:szCs w:val="20"/>
          <w:color w:val="auto"/>
        </w:rPr>
      </w:pPr>
      <w:r>
        <w:rPr>
          <w:rFonts w:ascii="Arial" w:cs="Arial" w:eastAsia="Arial" w:hAnsi="Arial"/>
          <w:sz w:val="17"/>
          <w:szCs w:val="17"/>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1700" w:type="dxa"/>
            <w:vAlign w:val="bottom"/>
            <w:gridSpan w:val="3"/>
            <w:vMerge w:val="restart"/>
          </w:tcPr>
          <w:p>
            <w:pPr>
              <w:jc w:val="right"/>
              <w:ind w:right="86"/>
              <w:spacing w:after="0"/>
              <w:rPr>
                <w:sz w:val="20"/>
                <w:szCs w:val="20"/>
                <w:color w:val="auto"/>
              </w:rPr>
            </w:pPr>
            <w:r>
              <w:rPr>
                <w:rFonts w:ascii="Arial" w:cs="Arial" w:eastAsia="Arial" w:hAnsi="Arial"/>
                <w:sz w:val="14"/>
                <w:szCs w:val="14"/>
                <w:b w:val="1"/>
                <w:bCs w:val="1"/>
                <w:color w:val="auto"/>
              </w:rPr>
              <w:t>Class A and Class B</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700" w:type="dxa"/>
            <w:vAlign w:val="bottom"/>
            <w:tcBorders>
              <w:bottom w:val="single" w:sz="8" w:color="auto"/>
            </w:tcBorders>
            <w:gridSpan w:val="3"/>
          </w:tcPr>
          <w:p>
            <w:pPr>
              <w:jc w:val="right"/>
              <w:ind w:right="206"/>
              <w:spacing w:after="0" w:line="155" w:lineRule="exact"/>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Additional</w:t>
            </w:r>
          </w:p>
        </w:tc>
        <w:tc>
          <w:tcPr>
            <w:tcW w:w="102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86"/>
              </w:rPr>
              <w:t>Accumulated</w:t>
            </w:r>
          </w:p>
        </w:tc>
        <w:tc>
          <w:tcPr>
            <w:tcW w:w="112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Comprehensive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Paid in Capital</w:t>
            </w:r>
          </w:p>
        </w:tc>
        <w:tc>
          <w:tcPr>
            <w:tcW w:w="20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Income (Loss)</w:t>
            </w:r>
          </w:p>
        </w:tc>
        <w:tc>
          <w:tcPr>
            <w:tcW w:w="200" w:type="dxa"/>
            <w:vAlign w:val="bottom"/>
          </w:tcPr>
          <w:p>
            <w:pPr>
              <w:spacing w:after="0"/>
              <w:rPr>
                <w:sz w:val="16"/>
                <w:szCs w:val="16"/>
                <w:color w:val="auto"/>
              </w:rPr>
            </w:pPr>
          </w:p>
        </w:tc>
        <w:tc>
          <w:tcPr>
            <w:tcW w:w="740" w:type="dxa"/>
            <w:vAlign w:val="bottom"/>
          </w:tcPr>
          <w:p>
            <w:pPr>
              <w:jc w:val="right"/>
              <w:ind w:right="2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7"/>
        </w:trPr>
        <w:tc>
          <w:tcPr>
            <w:tcW w:w="40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December 31, 2021</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62,015,483</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95"/>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629,981</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(126,530)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502,916</w:t>
            </w:r>
          </w:p>
        </w:tc>
        <w:tc>
          <w:tcPr>
            <w:tcW w:w="0" w:type="dxa"/>
            <w:vAlign w:val="bottom"/>
          </w:tcPr>
          <w:p>
            <w:pPr>
              <w:spacing w:after="0"/>
              <w:rPr>
                <w:sz w:val="1"/>
                <w:szCs w:val="1"/>
                <w:color w:val="auto"/>
              </w:rPr>
            </w:pPr>
          </w:p>
        </w:tc>
      </w:tr>
      <w:tr>
        <w:trPr>
          <w:trHeight w:val="160"/>
        </w:trPr>
        <w:tc>
          <w:tcPr>
            <w:tcW w:w="4020" w:type="dxa"/>
            <w:vAlign w:val="bottom"/>
          </w:tcPr>
          <w:p>
            <w:pPr>
              <w:ind w:left="80"/>
              <w:spacing w:after="0" w:line="160" w:lineRule="exact"/>
              <w:rPr>
                <w:sz w:val="20"/>
                <w:szCs w:val="20"/>
                <w:color w:val="auto"/>
              </w:rPr>
            </w:pPr>
            <w:r>
              <w:rPr>
                <w:rFonts w:ascii="Arial" w:cs="Arial" w:eastAsia="Arial" w:hAnsi="Arial"/>
                <w:sz w:val="15"/>
                <w:szCs w:val="15"/>
                <w:color w:val="auto"/>
                <w:w w:val="98"/>
              </w:rPr>
              <w:t>Issuance of Class A common stock from exercise of options</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283,251</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773</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773</w:t>
            </w:r>
          </w:p>
        </w:tc>
        <w:tc>
          <w:tcPr>
            <w:tcW w:w="0" w:type="dxa"/>
            <w:vAlign w:val="bottom"/>
          </w:tcPr>
          <w:p>
            <w:pPr>
              <w:spacing w:after="0"/>
              <w:rPr>
                <w:sz w:val="1"/>
                <w:szCs w:val="1"/>
                <w:color w:val="auto"/>
              </w:rPr>
            </w:pPr>
          </w:p>
        </w:tc>
      </w:tr>
      <w:tr>
        <w:trPr>
          <w:trHeight w:val="199"/>
        </w:trPr>
        <w:tc>
          <w:tcPr>
            <w:tcW w:w="4020" w:type="dxa"/>
            <w:vAlign w:val="bottom"/>
          </w:tcPr>
          <w:p>
            <w:pPr>
              <w:ind w:left="220"/>
              <w:spacing w:after="0"/>
              <w:rPr>
                <w:sz w:val="20"/>
                <w:szCs w:val="20"/>
                <w:color w:val="auto"/>
              </w:rPr>
            </w:pPr>
            <w:r>
              <w:rPr>
                <w:rFonts w:ascii="Arial" w:cs="Arial" w:eastAsia="Arial" w:hAnsi="Arial"/>
                <w:sz w:val="15"/>
                <w:szCs w:val="15"/>
                <w:color w:val="auto"/>
              </w:rPr>
              <w:t>and release of restricted stock units</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020" w:type="dxa"/>
            <w:vAlign w:val="bottom"/>
            <w:shd w:val="clear" w:color="auto" w:fill="CCEEFF"/>
          </w:tcPr>
          <w:p>
            <w:pPr>
              <w:ind w:left="80"/>
              <w:spacing w:after="0"/>
              <w:rPr>
                <w:sz w:val="20"/>
                <w:szCs w:val="20"/>
                <w:color w:val="auto"/>
              </w:rPr>
            </w:pPr>
            <w:r>
              <w:rPr>
                <w:rFonts w:ascii="Arial" w:cs="Arial" w:eastAsia="Arial" w:hAnsi="Arial"/>
                <w:sz w:val="15"/>
                <w:szCs w:val="15"/>
                <w:color w:val="auto"/>
              </w:rPr>
              <w:t>Repurchase of Class A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(5,841)</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4020" w:type="dxa"/>
            <w:vAlign w:val="bottom"/>
          </w:tcPr>
          <w:p>
            <w:pPr>
              <w:ind w:left="80"/>
              <w:spacing w:after="0" w:line="160" w:lineRule="exact"/>
              <w:rPr>
                <w:sz w:val="20"/>
                <w:szCs w:val="20"/>
                <w:color w:val="auto"/>
              </w:rPr>
            </w:pPr>
            <w:r>
              <w:rPr>
                <w:rFonts w:ascii="Arial" w:cs="Arial" w:eastAsia="Arial" w:hAnsi="Arial"/>
                <w:sz w:val="15"/>
                <w:szCs w:val="15"/>
                <w:color w:val="auto"/>
                <w:w w:val="93"/>
              </w:rPr>
              <w:t>Vesting of early exercised stock options and restricted common</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44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99"/>
        </w:trPr>
        <w:tc>
          <w:tcPr>
            <w:tcW w:w="4020" w:type="dxa"/>
            <w:vAlign w:val="bottom"/>
          </w:tcPr>
          <w:p>
            <w:pPr>
              <w:ind w:left="220"/>
              <w:spacing w:after="0"/>
              <w:rPr>
                <w:sz w:val="20"/>
                <w:szCs w:val="20"/>
                <w:color w:val="auto"/>
              </w:rPr>
            </w:pPr>
            <w:r>
              <w:rPr>
                <w:rFonts w:ascii="Arial" w:cs="Arial" w:eastAsia="Arial" w:hAnsi="Arial"/>
                <w:sz w:val="15"/>
                <w:szCs w:val="15"/>
                <w:color w:val="auto"/>
              </w:rPr>
              <w:t>stock</w:t>
            </w:r>
          </w:p>
        </w:tc>
        <w:tc>
          <w:tcPr>
            <w:tcW w:w="100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020" w:type="dxa"/>
            <w:vAlign w:val="bottom"/>
            <w:shd w:val="clear" w:color="auto" w:fill="CCEEFF"/>
          </w:tcPr>
          <w:p>
            <w:pPr>
              <w:ind w:left="8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8,062</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8,062</w:t>
            </w:r>
          </w:p>
        </w:tc>
        <w:tc>
          <w:tcPr>
            <w:tcW w:w="0" w:type="dxa"/>
            <w:vAlign w:val="bottom"/>
          </w:tcPr>
          <w:p>
            <w:pPr>
              <w:spacing w:after="0"/>
              <w:rPr>
                <w:sz w:val="1"/>
                <w:szCs w:val="1"/>
                <w:color w:val="auto"/>
              </w:rPr>
            </w:pPr>
          </w:p>
        </w:tc>
      </w:tr>
      <w:tr>
        <w:trPr>
          <w:trHeight w:val="229"/>
        </w:trPr>
        <w:tc>
          <w:tcPr>
            <w:tcW w:w="4020" w:type="dxa"/>
            <w:vAlign w:val="bottom"/>
          </w:tcPr>
          <w:p>
            <w:pPr>
              <w:ind w:left="80"/>
              <w:spacing w:after="0"/>
              <w:rPr>
                <w:sz w:val="20"/>
                <w:szCs w:val="20"/>
                <w:color w:val="auto"/>
              </w:rPr>
            </w:pPr>
            <w:r>
              <w:rPr>
                <w:rFonts w:ascii="Arial" w:cs="Arial" w:eastAsia="Arial" w:hAnsi="Arial"/>
                <w:sz w:val="15"/>
                <w:szCs w:val="15"/>
                <w:color w:val="auto"/>
              </w:rPr>
              <w:t>Other comprehensive loss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(1,691)</w:t>
            </w:r>
          </w:p>
        </w:tc>
        <w:tc>
          <w:tcPr>
            <w:tcW w:w="0" w:type="dxa"/>
            <w:vAlign w:val="bottom"/>
          </w:tcPr>
          <w:p>
            <w:pPr>
              <w:spacing w:after="0"/>
              <w:rPr>
                <w:sz w:val="1"/>
                <w:szCs w:val="1"/>
                <w:color w:val="auto"/>
              </w:rPr>
            </w:pPr>
          </w:p>
        </w:tc>
      </w:tr>
      <w:tr>
        <w:trPr>
          <w:trHeight w:val="232"/>
        </w:trPr>
        <w:tc>
          <w:tcPr>
            <w:tcW w:w="4020" w:type="dxa"/>
            <w:vAlign w:val="bottom"/>
            <w:shd w:val="clear" w:color="auto" w:fill="CCEEFF"/>
          </w:tcPr>
          <w:p>
            <w:pPr>
              <w:ind w:left="80"/>
              <w:spacing w:after="0"/>
              <w:rPr>
                <w:sz w:val="20"/>
                <w:szCs w:val="20"/>
                <w:color w:val="auto"/>
              </w:rPr>
            </w:pPr>
            <w:r>
              <w:rPr>
                <w:rFonts w:ascii="Arial" w:cs="Arial" w:eastAsia="Arial" w:hAnsi="Arial"/>
                <w:sz w:val="15"/>
                <w:szCs w:val="15"/>
                <w:color w:val="auto"/>
              </w:rPr>
              <w:t>Net loss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(23,646)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(23,646)</w:t>
            </w:r>
          </w:p>
        </w:tc>
        <w:tc>
          <w:tcPr>
            <w:tcW w:w="0" w:type="dxa"/>
            <w:vAlign w:val="bottom"/>
          </w:tcPr>
          <w:p>
            <w:pPr>
              <w:spacing w:after="0"/>
              <w:rPr>
                <w:sz w:val="1"/>
                <w:szCs w:val="1"/>
                <w:color w:val="auto"/>
              </w:rPr>
            </w:pPr>
          </w:p>
        </w:tc>
      </w:tr>
      <w:tr>
        <w:trPr>
          <w:trHeight w:val="218"/>
        </w:trPr>
        <w:tc>
          <w:tcPr>
            <w:tcW w:w="4020" w:type="dxa"/>
            <w:vAlign w:val="bottom"/>
          </w:tcPr>
          <w:p>
            <w:pPr>
              <w:ind w:left="20"/>
              <w:spacing w:after="0"/>
              <w:rPr>
                <w:sz w:val="20"/>
                <w:szCs w:val="20"/>
                <w:color w:val="auto"/>
              </w:rPr>
            </w:pPr>
            <w:r>
              <w:rPr>
                <w:rFonts w:ascii="Arial" w:cs="Arial" w:eastAsia="Arial" w:hAnsi="Arial"/>
                <w:sz w:val="15"/>
                <w:szCs w:val="15"/>
                <w:color w:val="auto"/>
              </w:rPr>
              <w:t>Balance at March 31, 2022</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62,292,893</w:t>
            </w: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638,860</w:t>
            </w: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(150,176)</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(2,227)</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486,458</w:t>
            </w:r>
          </w:p>
        </w:tc>
        <w:tc>
          <w:tcPr>
            <w:tcW w:w="0" w:type="dxa"/>
            <w:vAlign w:val="bottom"/>
          </w:tcPr>
          <w:p>
            <w:pPr>
              <w:spacing w:after="0"/>
              <w:rPr>
                <w:sz w:val="1"/>
                <w:szCs w:val="1"/>
                <w:color w:val="auto"/>
              </w:rPr>
            </w:pPr>
          </w:p>
        </w:tc>
      </w:tr>
      <w:tr>
        <w:trPr>
          <w:trHeight w:val="169"/>
        </w:trPr>
        <w:tc>
          <w:tcPr>
            <w:tcW w:w="402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w w:val="98"/>
              </w:rPr>
              <w:t>Issuance of Class A common stock from exercise of options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260,533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445</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and release of restricted stock units</w:t>
            </w: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20" w:type="dxa"/>
            <w:vAlign w:val="bottom"/>
          </w:tcPr>
          <w:p>
            <w:pPr>
              <w:ind w:left="80"/>
              <w:spacing w:after="0" w:line="160" w:lineRule="exact"/>
              <w:rPr>
                <w:sz w:val="20"/>
                <w:szCs w:val="20"/>
                <w:color w:val="auto"/>
              </w:rPr>
            </w:pPr>
            <w:r>
              <w:rPr>
                <w:rFonts w:ascii="Arial" w:cs="Arial" w:eastAsia="Arial" w:hAnsi="Arial"/>
                <w:sz w:val="15"/>
                <w:szCs w:val="15"/>
                <w:color w:val="auto"/>
                <w:w w:val="95"/>
              </w:rPr>
              <w:t>Issuance of common stock in connection with employee stock</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56,753</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420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420</w:t>
            </w:r>
          </w:p>
        </w:tc>
        <w:tc>
          <w:tcPr>
            <w:tcW w:w="0" w:type="dxa"/>
            <w:vAlign w:val="bottom"/>
          </w:tcPr>
          <w:p>
            <w:pPr>
              <w:spacing w:after="0"/>
              <w:rPr>
                <w:sz w:val="1"/>
                <w:szCs w:val="1"/>
                <w:color w:val="auto"/>
              </w:rPr>
            </w:pPr>
          </w:p>
        </w:tc>
      </w:tr>
      <w:tr>
        <w:trPr>
          <w:trHeight w:val="199"/>
        </w:trPr>
        <w:tc>
          <w:tcPr>
            <w:tcW w:w="4020" w:type="dxa"/>
            <w:vAlign w:val="bottom"/>
          </w:tcPr>
          <w:p>
            <w:pPr>
              <w:ind w:left="220"/>
              <w:spacing w:after="0"/>
              <w:rPr>
                <w:sz w:val="20"/>
                <w:szCs w:val="20"/>
                <w:color w:val="auto"/>
              </w:rPr>
            </w:pPr>
            <w:r>
              <w:rPr>
                <w:rFonts w:ascii="Arial" w:cs="Arial" w:eastAsia="Arial" w:hAnsi="Arial"/>
                <w:sz w:val="15"/>
                <w:szCs w:val="15"/>
                <w:color w:val="auto"/>
              </w:rPr>
              <w:t>purchase plan</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w w:val="93"/>
              </w:rPr>
              <w:t>Vesting of early exercised stock options and restricted common</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w:t>
            </w:r>
          </w:p>
        </w:tc>
        <w:tc>
          <w:tcPr>
            <w:tcW w:w="1000" w:type="dxa"/>
            <w:vAlign w:val="bottom"/>
            <w:gridSpan w:val="2"/>
            <w:vMerge w:val="continue"/>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8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8,378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8,378</w:t>
            </w:r>
          </w:p>
        </w:tc>
        <w:tc>
          <w:tcPr>
            <w:tcW w:w="0" w:type="dxa"/>
            <w:vAlign w:val="bottom"/>
          </w:tcPr>
          <w:p>
            <w:pPr>
              <w:spacing w:after="0"/>
              <w:rPr>
                <w:sz w:val="1"/>
                <w:szCs w:val="1"/>
                <w:color w:val="auto"/>
              </w:rPr>
            </w:pPr>
          </w:p>
        </w:tc>
      </w:tr>
      <w:tr>
        <w:trPr>
          <w:trHeight w:val="235"/>
        </w:trPr>
        <w:tc>
          <w:tcPr>
            <w:tcW w:w="4020" w:type="dxa"/>
            <w:vAlign w:val="bottom"/>
            <w:shd w:val="clear" w:color="auto" w:fill="CCEEFF"/>
          </w:tcPr>
          <w:p>
            <w:pPr>
              <w:ind w:left="80"/>
              <w:spacing w:after="0"/>
              <w:rPr>
                <w:sz w:val="20"/>
                <w:szCs w:val="20"/>
                <w:color w:val="auto"/>
              </w:rPr>
            </w:pPr>
            <w:r>
              <w:rPr>
                <w:rFonts w:ascii="Arial" w:cs="Arial" w:eastAsia="Arial" w:hAnsi="Arial"/>
                <w:sz w:val="15"/>
                <w:szCs w:val="15"/>
                <w:color w:val="auto"/>
              </w:rPr>
              <w:t>Other comprehensive loss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(886)</w:t>
            </w:r>
          </w:p>
        </w:tc>
        <w:tc>
          <w:tcPr>
            <w:tcW w:w="0" w:type="dxa"/>
            <w:vAlign w:val="bottom"/>
          </w:tcPr>
          <w:p>
            <w:pPr>
              <w:spacing w:after="0"/>
              <w:rPr>
                <w:sz w:val="1"/>
                <w:szCs w:val="1"/>
                <w:color w:val="auto"/>
              </w:rPr>
            </w:pPr>
          </w:p>
        </w:tc>
      </w:tr>
      <w:tr>
        <w:trPr>
          <w:trHeight w:val="229"/>
        </w:trPr>
        <w:tc>
          <w:tcPr>
            <w:tcW w:w="4020" w:type="dxa"/>
            <w:vAlign w:val="bottom"/>
          </w:tcPr>
          <w:p>
            <w:pPr>
              <w:ind w:left="80"/>
              <w:spacing w:after="0"/>
              <w:rPr>
                <w:sz w:val="20"/>
                <w:szCs w:val="20"/>
                <w:color w:val="auto"/>
              </w:rPr>
            </w:pPr>
            <w:r>
              <w:rPr>
                <w:rFonts w:ascii="Arial" w:cs="Arial" w:eastAsia="Arial" w:hAnsi="Arial"/>
                <w:sz w:val="15"/>
                <w:szCs w:val="15"/>
                <w:color w:val="auto"/>
              </w:rPr>
              <w:t>Net loss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(22,815)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(22,815)</w:t>
            </w:r>
          </w:p>
        </w:tc>
        <w:tc>
          <w:tcPr>
            <w:tcW w:w="0" w:type="dxa"/>
            <w:vAlign w:val="bottom"/>
          </w:tcPr>
          <w:p>
            <w:pPr>
              <w:spacing w:after="0"/>
              <w:rPr>
                <w:sz w:val="1"/>
                <w:szCs w:val="1"/>
                <w:color w:val="auto"/>
              </w:rPr>
            </w:pPr>
          </w:p>
        </w:tc>
      </w:tr>
      <w:tr>
        <w:trPr>
          <w:trHeight w:val="228"/>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June 30,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62,610,179</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648,146</w:t>
            </w: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(172,991)</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472,043</w:t>
            </w:r>
          </w:p>
        </w:tc>
        <w:tc>
          <w:tcPr>
            <w:tcW w:w="0" w:type="dxa"/>
            <w:vAlign w:val="bottom"/>
          </w:tcPr>
          <w:p>
            <w:pPr>
              <w:spacing w:after="0"/>
              <w:rPr>
                <w:sz w:val="1"/>
                <w:szCs w:val="1"/>
                <w:color w:val="auto"/>
              </w:rPr>
            </w:pPr>
          </w:p>
        </w:tc>
      </w:tr>
      <w:tr>
        <w:trPr>
          <w:trHeight w:val="160"/>
        </w:trPr>
        <w:tc>
          <w:tcPr>
            <w:tcW w:w="4020" w:type="dxa"/>
            <w:vAlign w:val="bottom"/>
          </w:tcPr>
          <w:p>
            <w:pPr>
              <w:ind w:left="80"/>
              <w:spacing w:after="0" w:line="160" w:lineRule="exact"/>
              <w:rPr>
                <w:sz w:val="20"/>
                <w:szCs w:val="20"/>
                <w:color w:val="auto"/>
              </w:rPr>
            </w:pPr>
            <w:r>
              <w:rPr>
                <w:rFonts w:ascii="Arial" w:cs="Arial" w:eastAsia="Arial" w:hAnsi="Arial"/>
                <w:sz w:val="15"/>
                <w:szCs w:val="15"/>
                <w:color w:val="auto"/>
                <w:w w:val="98"/>
              </w:rPr>
              <w:t>Issuance of Class A common stock from exercise of options</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26,575</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169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99"/>
        </w:trPr>
        <w:tc>
          <w:tcPr>
            <w:tcW w:w="4020" w:type="dxa"/>
            <w:vAlign w:val="bottom"/>
          </w:tcPr>
          <w:p>
            <w:pPr>
              <w:ind w:left="220"/>
              <w:spacing w:after="0"/>
              <w:rPr>
                <w:sz w:val="20"/>
                <w:szCs w:val="20"/>
                <w:color w:val="auto"/>
              </w:rPr>
            </w:pPr>
            <w:r>
              <w:rPr>
                <w:rFonts w:ascii="Arial" w:cs="Arial" w:eastAsia="Arial" w:hAnsi="Arial"/>
                <w:sz w:val="15"/>
                <w:szCs w:val="15"/>
                <w:color w:val="auto"/>
              </w:rPr>
              <w:t>and release of restricted stock units</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w w:val="93"/>
              </w:rPr>
              <w:t>Vesting of early exercised stock options and restricted common</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w:t>
            </w:r>
          </w:p>
        </w:tc>
        <w:tc>
          <w:tcPr>
            <w:tcW w:w="1000" w:type="dxa"/>
            <w:vAlign w:val="bottom"/>
            <w:gridSpan w:val="2"/>
            <w:vMerge w:val="continue"/>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8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9,073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9,073</w:t>
            </w:r>
          </w:p>
        </w:tc>
        <w:tc>
          <w:tcPr>
            <w:tcW w:w="0" w:type="dxa"/>
            <w:vAlign w:val="bottom"/>
          </w:tcPr>
          <w:p>
            <w:pPr>
              <w:spacing w:after="0"/>
              <w:rPr>
                <w:sz w:val="1"/>
                <w:szCs w:val="1"/>
                <w:color w:val="auto"/>
              </w:rPr>
            </w:pPr>
          </w:p>
        </w:tc>
      </w:tr>
      <w:tr>
        <w:trPr>
          <w:trHeight w:val="235"/>
        </w:trPr>
        <w:tc>
          <w:tcPr>
            <w:tcW w:w="4020" w:type="dxa"/>
            <w:vAlign w:val="bottom"/>
            <w:shd w:val="clear" w:color="auto" w:fill="CCEEFF"/>
          </w:tcPr>
          <w:p>
            <w:pPr>
              <w:ind w:left="80"/>
              <w:spacing w:after="0"/>
              <w:rPr>
                <w:sz w:val="20"/>
                <w:szCs w:val="20"/>
                <w:color w:val="auto"/>
              </w:rPr>
            </w:pPr>
            <w:r>
              <w:rPr>
                <w:rFonts w:ascii="Arial" w:cs="Arial" w:eastAsia="Arial" w:hAnsi="Arial"/>
                <w:sz w:val="15"/>
                <w:szCs w:val="15"/>
                <w:color w:val="auto"/>
              </w:rPr>
              <w:t>Other comprehensive income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w:t>
            </w:r>
          </w:p>
        </w:tc>
        <w:tc>
          <w:tcPr>
            <w:tcW w:w="0" w:type="dxa"/>
            <w:vAlign w:val="bottom"/>
          </w:tcPr>
          <w:p>
            <w:pPr>
              <w:spacing w:after="0"/>
              <w:rPr>
                <w:sz w:val="1"/>
                <w:szCs w:val="1"/>
                <w:color w:val="auto"/>
              </w:rPr>
            </w:pPr>
          </w:p>
        </w:tc>
      </w:tr>
      <w:tr>
        <w:trPr>
          <w:trHeight w:val="229"/>
        </w:trPr>
        <w:tc>
          <w:tcPr>
            <w:tcW w:w="4020" w:type="dxa"/>
            <w:vAlign w:val="bottom"/>
          </w:tcPr>
          <w:p>
            <w:pPr>
              <w:ind w:left="80"/>
              <w:spacing w:after="0"/>
              <w:rPr>
                <w:sz w:val="20"/>
                <w:szCs w:val="20"/>
                <w:color w:val="auto"/>
              </w:rPr>
            </w:pPr>
            <w:r>
              <w:rPr>
                <w:rFonts w:ascii="Arial" w:cs="Arial" w:eastAsia="Arial" w:hAnsi="Arial"/>
                <w:sz w:val="15"/>
                <w:szCs w:val="15"/>
                <w:color w:val="auto"/>
              </w:rPr>
              <w:t>Net loss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(23,980)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(23,980)</w:t>
            </w:r>
          </w:p>
        </w:tc>
        <w:tc>
          <w:tcPr>
            <w:tcW w:w="0" w:type="dxa"/>
            <w:vAlign w:val="bottom"/>
          </w:tcPr>
          <w:p>
            <w:pPr>
              <w:spacing w:after="0"/>
              <w:rPr>
                <w:sz w:val="1"/>
                <w:szCs w:val="1"/>
                <w:color w:val="auto"/>
              </w:rPr>
            </w:pPr>
          </w:p>
        </w:tc>
      </w:tr>
      <w:tr>
        <w:trPr>
          <w:trHeight w:val="253"/>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September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62,636,754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9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657,431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(196,971)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457,768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184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20" w:type="dxa"/>
            <w:vAlign w:val="bottom"/>
          </w:tcPr>
          <w:p>
            <w:pPr>
              <w:spacing w:after="0"/>
              <w:rPr>
                <w:sz w:val="14"/>
                <w:szCs w:val="14"/>
                <w:color w:val="auto"/>
              </w:rPr>
            </w:pPr>
          </w:p>
        </w:tc>
        <w:tc>
          <w:tcPr>
            <w:tcW w:w="1720" w:type="dxa"/>
            <w:vAlign w:val="bottom"/>
            <w:gridSpan w:val="3"/>
            <w:vMerge w:val="restart"/>
          </w:tcPr>
          <w:p>
            <w:pPr>
              <w:jc w:val="right"/>
              <w:ind w:right="86"/>
              <w:spacing w:after="0"/>
              <w:rPr>
                <w:sz w:val="20"/>
                <w:szCs w:val="20"/>
                <w:color w:val="auto"/>
              </w:rPr>
            </w:pPr>
            <w:r>
              <w:rPr>
                <w:rFonts w:ascii="Arial" w:cs="Arial" w:eastAsia="Arial" w:hAnsi="Arial"/>
                <w:sz w:val="14"/>
                <w:szCs w:val="14"/>
                <w:b w:val="1"/>
                <w:bCs w:val="1"/>
                <w:color w:val="auto"/>
              </w:rPr>
              <w:t>Class A and Class B</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Accumulated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22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226"/>
              <w:spacing w:after="0" w:line="148" w:lineRule="exact"/>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Paid in</w:t>
            </w:r>
          </w:p>
        </w:tc>
        <w:tc>
          <w:tcPr>
            <w:tcW w:w="102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Accumulated</w:t>
            </w:r>
          </w:p>
        </w:tc>
        <w:tc>
          <w:tcPr>
            <w:tcW w:w="108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Comprehensive</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20" w:type="dxa"/>
            <w:vAlign w:val="bottom"/>
          </w:tcPr>
          <w:p>
            <w:pPr>
              <w:spacing w:after="0"/>
              <w:rPr>
                <w:sz w:val="16"/>
                <w:szCs w:val="16"/>
                <w:color w:val="auto"/>
              </w:rPr>
            </w:pP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6"/>
                <w:szCs w:val="16"/>
                <w:color w:val="auto"/>
              </w:rPr>
            </w:pPr>
          </w:p>
        </w:tc>
        <w:tc>
          <w:tcPr>
            <w:tcW w:w="700" w:type="dxa"/>
            <w:vAlign w:val="bottom"/>
          </w:tcPr>
          <w:p>
            <w:pPr>
              <w:jc w:val="right"/>
              <w:ind w:right="22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5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December 31, 2020</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59,261,051</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6"/>
              <w:spacing w:after="0"/>
              <w:rPr>
                <w:sz w:val="20"/>
                <w:szCs w:val="20"/>
                <w:color w:val="auto"/>
              </w:rPr>
            </w:pPr>
            <w:r>
              <w:rPr>
                <w:rFonts w:ascii="Arial" w:cs="Arial" w:eastAsia="Arial" w:hAnsi="Arial"/>
                <w:sz w:val="15"/>
                <w:szCs w:val="15"/>
                <w:color w:val="auto"/>
                <w:w w:val="95"/>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486,915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(55,361)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431,609</w:t>
            </w:r>
          </w:p>
        </w:tc>
        <w:tc>
          <w:tcPr>
            <w:tcW w:w="0" w:type="dxa"/>
            <w:vAlign w:val="bottom"/>
          </w:tcPr>
          <w:p>
            <w:pPr>
              <w:spacing w:after="0"/>
              <w:rPr>
                <w:sz w:val="1"/>
                <w:szCs w:val="1"/>
                <w:color w:val="auto"/>
              </w:rPr>
            </w:pPr>
          </w:p>
        </w:tc>
      </w:tr>
      <w:tr>
        <w:trPr>
          <w:trHeight w:val="229"/>
        </w:trPr>
        <w:tc>
          <w:tcPr>
            <w:tcW w:w="5220" w:type="dxa"/>
            <w:vAlign w:val="bottom"/>
          </w:tcPr>
          <w:p>
            <w:pPr>
              <w:ind w:left="80"/>
              <w:spacing w:after="0"/>
              <w:rPr>
                <w:sz w:val="20"/>
                <w:szCs w:val="20"/>
                <w:color w:val="auto"/>
              </w:rPr>
            </w:pPr>
            <w:r>
              <w:rPr>
                <w:rFonts w:ascii="Arial" w:cs="Arial" w:eastAsia="Arial" w:hAnsi="Arial"/>
                <w:sz w:val="15"/>
                <w:szCs w:val="15"/>
                <w:color w:val="auto"/>
              </w:rPr>
              <w:t>Issuance of Class A common stock from exercise of options</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399,174</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171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235"/>
        </w:trPr>
        <w:tc>
          <w:tcPr>
            <w:tcW w:w="5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Repurchase of Class A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w:t>
            </w: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9"/>
        </w:trPr>
        <w:tc>
          <w:tcPr>
            <w:tcW w:w="5220" w:type="dxa"/>
            <w:vAlign w:val="bottom"/>
          </w:tcPr>
          <w:p>
            <w:pPr>
              <w:ind w:left="80"/>
              <w:spacing w:after="0"/>
              <w:rPr>
                <w:sz w:val="20"/>
                <w:szCs w:val="20"/>
                <w:color w:val="auto"/>
              </w:rPr>
            </w:pPr>
            <w:r>
              <w:rPr>
                <w:rFonts w:ascii="Arial" w:cs="Arial" w:eastAsia="Arial" w:hAnsi="Arial"/>
                <w:sz w:val="15"/>
                <w:szCs w:val="15"/>
                <w:color w:val="auto"/>
              </w:rPr>
              <w:t>Vesting of early exercised stock options and restricted common stock</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w w:val="95"/>
              </w:rPr>
              <w:t>Issuance of Class A common stock upon follow-on offering, net of issuance costs</w:t>
            </w:r>
          </w:p>
        </w:tc>
        <w:tc>
          <w:tcPr>
            <w:tcW w:w="9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1,650,000</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102,959</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102,959</w:t>
            </w:r>
          </w:p>
        </w:tc>
        <w:tc>
          <w:tcPr>
            <w:tcW w:w="0" w:type="dxa"/>
            <w:vAlign w:val="bottom"/>
          </w:tcPr>
          <w:p>
            <w:pPr>
              <w:spacing w:after="0"/>
              <w:rPr>
                <w:sz w:val="1"/>
                <w:szCs w:val="1"/>
                <w:color w:val="auto"/>
              </w:rPr>
            </w:pPr>
          </w:p>
        </w:tc>
      </w:tr>
      <w:tr>
        <w:trPr>
          <w:trHeight w:val="201"/>
        </w:trPr>
        <w:tc>
          <w:tcPr>
            <w:tcW w:w="5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of $7,591</w:t>
            </w: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80"/>
              <w:spacing w:after="0"/>
              <w:rPr>
                <w:sz w:val="20"/>
                <w:szCs w:val="20"/>
                <w:color w:val="auto"/>
              </w:rPr>
            </w:pPr>
            <w:r>
              <w:rPr>
                <w:rFonts w:ascii="Arial" w:cs="Arial" w:eastAsia="Arial" w:hAnsi="Arial"/>
                <w:sz w:val="15"/>
                <w:szCs w:val="15"/>
                <w:color w:val="auto"/>
              </w:rPr>
              <w:t>Return of profit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11,403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11,403</w:t>
            </w:r>
          </w:p>
        </w:tc>
        <w:tc>
          <w:tcPr>
            <w:tcW w:w="0" w:type="dxa"/>
            <w:vAlign w:val="bottom"/>
          </w:tcPr>
          <w:p>
            <w:pPr>
              <w:spacing w:after="0"/>
              <w:rPr>
                <w:sz w:val="1"/>
                <w:szCs w:val="1"/>
                <w:color w:val="auto"/>
              </w:rPr>
            </w:pPr>
          </w:p>
        </w:tc>
      </w:tr>
      <w:tr>
        <w:trPr>
          <w:trHeight w:val="235"/>
        </w:trPr>
        <w:tc>
          <w:tcPr>
            <w:tcW w:w="5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6,039</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6,039</w:t>
            </w:r>
          </w:p>
        </w:tc>
        <w:tc>
          <w:tcPr>
            <w:tcW w:w="0" w:type="dxa"/>
            <w:vAlign w:val="bottom"/>
          </w:tcPr>
          <w:p>
            <w:pPr>
              <w:spacing w:after="0"/>
              <w:rPr>
                <w:sz w:val="1"/>
                <w:szCs w:val="1"/>
                <w:color w:val="auto"/>
              </w:rPr>
            </w:pPr>
          </w:p>
        </w:tc>
      </w:tr>
      <w:tr>
        <w:trPr>
          <w:trHeight w:val="229"/>
        </w:trPr>
        <w:tc>
          <w:tcPr>
            <w:tcW w:w="5220" w:type="dxa"/>
            <w:vAlign w:val="bottom"/>
          </w:tcPr>
          <w:p>
            <w:pPr>
              <w:ind w:left="80"/>
              <w:spacing w:after="0"/>
              <w:rPr>
                <w:sz w:val="20"/>
                <w:szCs w:val="20"/>
                <w:color w:val="auto"/>
              </w:rPr>
            </w:pPr>
            <w:r>
              <w:rPr>
                <w:rFonts w:ascii="Arial" w:cs="Arial" w:eastAsia="Arial" w:hAnsi="Arial"/>
                <w:sz w:val="15"/>
                <w:szCs w:val="15"/>
                <w:color w:val="auto"/>
              </w:rPr>
              <w:t>Other comprehensive loss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32"/>
        </w:trPr>
        <w:tc>
          <w:tcPr>
            <w:tcW w:w="5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Net loss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(16,429)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(16,429)</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Arial" w:cs="Arial" w:eastAsia="Arial" w:hAnsi="Arial"/>
                <w:sz w:val="15"/>
                <w:szCs w:val="15"/>
                <w:color w:val="auto"/>
              </w:rPr>
              <w:t>Balance at March 31, 2021</w:t>
            </w:r>
          </w:p>
        </w:tc>
        <w:tc>
          <w:tcPr>
            <w:tcW w:w="9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61,309,349</w:t>
            </w:r>
          </w:p>
        </w:tc>
        <w:tc>
          <w:tcPr>
            <w:tcW w:w="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607,531</w:t>
            </w: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(71,790)</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28</w:t>
            </w: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535,770</w:t>
            </w:r>
          </w:p>
        </w:tc>
        <w:tc>
          <w:tcPr>
            <w:tcW w:w="0" w:type="dxa"/>
            <w:vAlign w:val="bottom"/>
          </w:tcPr>
          <w:p>
            <w:pPr>
              <w:spacing w:after="0"/>
              <w:rPr>
                <w:sz w:val="1"/>
                <w:szCs w:val="1"/>
                <w:color w:val="auto"/>
              </w:rPr>
            </w:pPr>
          </w:p>
        </w:tc>
      </w:tr>
      <w:tr>
        <w:trPr>
          <w:trHeight w:val="169"/>
        </w:trPr>
        <w:tc>
          <w:tcPr>
            <w:tcW w:w="522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Issuance of Class A common stock from exercise of options and release of</w:t>
            </w:r>
          </w:p>
        </w:tc>
        <w:tc>
          <w:tcPr>
            <w:tcW w:w="9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132,766</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236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201"/>
        </w:trPr>
        <w:tc>
          <w:tcPr>
            <w:tcW w:w="5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restricted stock units</w:t>
            </w: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80"/>
              <w:spacing w:after="0"/>
              <w:rPr>
                <w:sz w:val="20"/>
                <w:szCs w:val="20"/>
                <w:color w:val="auto"/>
              </w:rPr>
            </w:pPr>
            <w:r>
              <w:rPr>
                <w:rFonts w:ascii="Arial" w:cs="Arial" w:eastAsia="Arial" w:hAnsi="Arial"/>
                <w:sz w:val="15"/>
                <w:szCs w:val="15"/>
                <w:color w:val="auto"/>
              </w:rPr>
              <w:t>Repurchase of Class A common stock</w:t>
            </w:r>
          </w:p>
        </w:tc>
        <w:tc>
          <w:tcPr>
            <w:tcW w:w="940" w:type="dxa"/>
            <w:vAlign w:val="bottom"/>
          </w:tcPr>
          <w:p>
            <w:pPr>
              <w:jc w:val="right"/>
              <w:spacing w:after="0"/>
              <w:rPr>
                <w:sz w:val="20"/>
                <w:szCs w:val="20"/>
                <w:color w:val="auto"/>
              </w:rPr>
            </w:pPr>
            <w:r>
              <w:rPr>
                <w:rFonts w:ascii="Arial" w:cs="Arial" w:eastAsia="Arial" w:hAnsi="Arial"/>
                <w:sz w:val="15"/>
                <w:szCs w:val="15"/>
                <w:color w:val="auto"/>
              </w:rPr>
              <w:t>(18,852)</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5"/>
        </w:trPr>
        <w:tc>
          <w:tcPr>
            <w:tcW w:w="5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Vesting of early exercised stock options and restricted common stock</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285</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229"/>
        </w:trPr>
        <w:tc>
          <w:tcPr>
            <w:tcW w:w="5220" w:type="dxa"/>
            <w:vAlign w:val="bottom"/>
          </w:tcPr>
          <w:p>
            <w:pPr>
              <w:ind w:left="8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6,431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6,431</w:t>
            </w:r>
          </w:p>
        </w:tc>
        <w:tc>
          <w:tcPr>
            <w:tcW w:w="0" w:type="dxa"/>
            <w:vAlign w:val="bottom"/>
          </w:tcPr>
          <w:p>
            <w:pPr>
              <w:spacing w:after="0"/>
              <w:rPr>
                <w:sz w:val="1"/>
                <w:szCs w:val="1"/>
                <w:color w:val="auto"/>
              </w:rPr>
            </w:pPr>
          </w:p>
        </w:tc>
      </w:tr>
      <w:tr>
        <w:trPr>
          <w:trHeight w:val="235"/>
        </w:trPr>
        <w:tc>
          <w:tcPr>
            <w:tcW w:w="5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Other comprehensive loss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29"/>
        </w:trPr>
        <w:tc>
          <w:tcPr>
            <w:tcW w:w="5220" w:type="dxa"/>
            <w:vAlign w:val="bottom"/>
          </w:tcPr>
          <w:p>
            <w:pPr>
              <w:ind w:left="80"/>
              <w:spacing w:after="0"/>
              <w:rPr>
                <w:sz w:val="20"/>
                <w:szCs w:val="20"/>
                <w:color w:val="auto"/>
              </w:rPr>
            </w:pPr>
            <w:r>
              <w:rPr>
                <w:rFonts w:ascii="Arial" w:cs="Arial" w:eastAsia="Arial" w:hAnsi="Arial"/>
                <w:sz w:val="15"/>
                <w:szCs w:val="15"/>
                <w:color w:val="auto"/>
              </w:rPr>
              <w:t>Net loss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(16,616)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(16,616)</w:t>
            </w:r>
          </w:p>
        </w:tc>
        <w:tc>
          <w:tcPr>
            <w:tcW w:w="0" w:type="dxa"/>
            <w:vAlign w:val="bottom"/>
          </w:tcPr>
          <w:p>
            <w:pPr>
              <w:spacing w:after="0"/>
              <w:rPr>
                <w:sz w:val="1"/>
                <w:szCs w:val="1"/>
                <w:color w:val="auto"/>
              </w:rPr>
            </w:pPr>
          </w:p>
        </w:tc>
      </w:tr>
      <w:tr>
        <w:trPr>
          <w:trHeight w:val="228"/>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June 30, 2021</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61,423,263</w:t>
            </w:r>
          </w:p>
        </w:tc>
        <w:tc>
          <w:tcPr>
            <w:tcW w:w="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614,483</w:t>
            </w: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(88,406)</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526,044</w:t>
            </w:r>
          </w:p>
        </w:tc>
        <w:tc>
          <w:tcPr>
            <w:tcW w:w="0" w:type="dxa"/>
            <w:vAlign w:val="bottom"/>
          </w:tcPr>
          <w:p>
            <w:pPr>
              <w:spacing w:after="0"/>
              <w:rPr>
                <w:sz w:val="1"/>
                <w:szCs w:val="1"/>
                <w:color w:val="auto"/>
              </w:rPr>
            </w:pPr>
          </w:p>
        </w:tc>
      </w:tr>
      <w:tr>
        <w:trPr>
          <w:trHeight w:val="160"/>
        </w:trPr>
        <w:tc>
          <w:tcPr>
            <w:tcW w:w="5220" w:type="dxa"/>
            <w:vAlign w:val="bottom"/>
          </w:tcPr>
          <w:p>
            <w:pPr>
              <w:ind w:left="80"/>
              <w:spacing w:after="0" w:line="160" w:lineRule="exact"/>
              <w:rPr>
                <w:sz w:val="20"/>
                <w:szCs w:val="20"/>
                <w:color w:val="auto"/>
              </w:rPr>
            </w:pPr>
            <w:r>
              <w:rPr>
                <w:rFonts w:ascii="Arial" w:cs="Arial" w:eastAsia="Arial" w:hAnsi="Arial"/>
                <w:sz w:val="15"/>
                <w:szCs w:val="15"/>
                <w:color w:val="auto"/>
              </w:rPr>
              <w:t>Issuance of Class A common stock from exercise of options and release of</w:t>
            </w:r>
          </w:p>
        </w:tc>
        <w:tc>
          <w:tcPr>
            <w:tcW w:w="940" w:type="dxa"/>
            <w:vAlign w:val="bottom"/>
            <w:vMerge w:val="restart"/>
          </w:tcPr>
          <w:p>
            <w:pPr>
              <w:jc w:val="right"/>
              <w:ind w:right="4"/>
              <w:spacing w:after="0"/>
              <w:rPr>
                <w:sz w:val="20"/>
                <w:szCs w:val="20"/>
                <w:color w:val="auto"/>
              </w:rPr>
            </w:pPr>
            <w:r>
              <w:rPr>
                <w:rFonts w:ascii="Arial" w:cs="Arial" w:eastAsia="Arial" w:hAnsi="Arial"/>
                <w:sz w:val="15"/>
                <w:szCs w:val="15"/>
                <w:color w:val="auto"/>
              </w:rPr>
              <w:t>230,635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5"/>
                <w:szCs w:val="15"/>
                <w:color w:val="auto"/>
              </w:rPr>
              <w:t>631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631</w:t>
            </w:r>
          </w:p>
        </w:tc>
        <w:tc>
          <w:tcPr>
            <w:tcW w:w="0" w:type="dxa"/>
            <w:vAlign w:val="bottom"/>
          </w:tcPr>
          <w:p>
            <w:pPr>
              <w:spacing w:after="0"/>
              <w:rPr>
                <w:sz w:val="1"/>
                <w:szCs w:val="1"/>
                <w:color w:val="auto"/>
              </w:rPr>
            </w:pPr>
          </w:p>
        </w:tc>
      </w:tr>
      <w:tr>
        <w:trPr>
          <w:trHeight w:val="199"/>
        </w:trPr>
        <w:tc>
          <w:tcPr>
            <w:tcW w:w="5220" w:type="dxa"/>
            <w:vAlign w:val="bottom"/>
          </w:tcPr>
          <w:p>
            <w:pPr>
              <w:ind w:left="220"/>
              <w:spacing w:after="0"/>
              <w:rPr>
                <w:sz w:val="20"/>
                <w:szCs w:val="20"/>
                <w:color w:val="auto"/>
              </w:rPr>
            </w:pPr>
            <w:r>
              <w:rPr>
                <w:rFonts w:ascii="Arial" w:cs="Arial" w:eastAsia="Arial" w:hAnsi="Arial"/>
                <w:sz w:val="15"/>
                <w:szCs w:val="15"/>
                <w:color w:val="auto"/>
              </w:rPr>
              <w:t>restricted stock units</w:t>
            </w:r>
          </w:p>
        </w:tc>
        <w:tc>
          <w:tcPr>
            <w:tcW w:w="9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Vesting of early exercised stock options and restricted common stock</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229"/>
        </w:trPr>
        <w:tc>
          <w:tcPr>
            <w:tcW w:w="5220" w:type="dxa"/>
            <w:vAlign w:val="bottom"/>
          </w:tcPr>
          <w:p>
            <w:pPr>
              <w:ind w:left="8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6,786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6,786</w:t>
            </w:r>
          </w:p>
        </w:tc>
        <w:tc>
          <w:tcPr>
            <w:tcW w:w="0" w:type="dxa"/>
            <w:vAlign w:val="bottom"/>
          </w:tcPr>
          <w:p>
            <w:pPr>
              <w:spacing w:after="0"/>
              <w:rPr>
                <w:sz w:val="1"/>
                <w:szCs w:val="1"/>
                <w:color w:val="auto"/>
              </w:rPr>
            </w:pPr>
          </w:p>
        </w:tc>
      </w:tr>
      <w:tr>
        <w:trPr>
          <w:trHeight w:val="235"/>
        </w:trPr>
        <w:tc>
          <w:tcPr>
            <w:tcW w:w="5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Other comprehensive income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29"/>
        </w:trPr>
        <w:tc>
          <w:tcPr>
            <w:tcW w:w="5220" w:type="dxa"/>
            <w:vAlign w:val="bottom"/>
          </w:tcPr>
          <w:p>
            <w:pPr>
              <w:ind w:left="80"/>
              <w:spacing w:after="0"/>
              <w:rPr>
                <w:sz w:val="20"/>
                <w:szCs w:val="20"/>
                <w:color w:val="auto"/>
              </w:rPr>
            </w:pPr>
            <w:r>
              <w:rPr>
                <w:rFonts w:ascii="Arial" w:cs="Arial" w:eastAsia="Arial" w:hAnsi="Arial"/>
                <w:sz w:val="15"/>
                <w:szCs w:val="15"/>
                <w:color w:val="auto"/>
              </w:rPr>
              <w:t>Net loss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(18,385)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(18,385)</w:t>
            </w:r>
          </w:p>
        </w:tc>
        <w:tc>
          <w:tcPr>
            <w:tcW w:w="0" w:type="dxa"/>
            <w:vAlign w:val="bottom"/>
          </w:tcPr>
          <w:p>
            <w:pPr>
              <w:spacing w:after="0"/>
              <w:rPr>
                <w:sz w:val="1"/>
                <w:szCs w:val="1"/>
                <w:color w:val="auto"/>
              </w:rPr>
            </w:pPr>
          </w:p>
        </w:tc>
      </w:tr>
      <w:tr>
        <w:trPr>
          <w:trHeight w:val="253"/>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September 30, 2021</w:t>
            </w:r>
          </w:p>
        </w:tc>
        <w:tc>
          <w:tcPr>
            <w:tcW w:w="9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61,653,898</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46"/>
              <w:spacing w:after="0"/>
              <w:rPr>
                <w:sz w:val="20"/>
                <w:szCs w:val="20"/>
                <w:color w:val="auto"/>
              </w:rPr>
            </w:pPr>
            <w:r>
              <w:rPr>
                <w:rFonts w:ascii="Arial" w:cs="Arial" w:eastAsia="Arial" w:hAnsi="Arial"/>
                <w:sz w:val="15"/>
                <w:szCs w:val="15"/>
                <w:color w:val="auto"/>
                <w:w w:val="9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621,994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(106,791)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515,196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(in thousands)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60" w:type="dxa"/>
            <w:vAlign w:val="bottom"/>
          </w:tcPr>
          <w:p>
            <w:pPr>
              <w:spacing w:after="0"/>
              <w:rPr>
                <w:sz w:val="15"/>
                <w:szCs w:val="15"/>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75"/>
        </w:trPr>
        <w:tc>
          <w:tcPr>
            <w:tcW w:w="78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82"/>
        </w:trPr>
        <w:tc>
          <w:tcPr>
            <w:tcW w:w="78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ind w:right="79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(70,441)</w:t>
            </w:r>
          </w:p>
        </w:tc>
        <w:tc>
          <w:tcPr>
            <w:tcW w:w="100" w:type="dxa"/>
            <w:vAlign w:val="bottom"/>
          </w:tcPr>
          <w:p>
            <w:pPr>
              <w:spacing w:after="0"/>
              <w:rPr>
                <w:sz w:val="15"/>
                <w:szCs w:val="15"/>
                <w:color w:val="auto"/>
              </w:rPr>
            </w:pPr>
          </w:p>
        </w:tc>
        <w:tc>
          <w:tcPr>
            <w:tcW w:w="980" w:type="dxa"/>
            <w:vAlign w:val="bottom"/>
          </w:tcPr>
          <w:p>
            <w:pPr>
              <w:jc w:val="right"/>
              <w:ind w:right="831"/>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(51,430)</w:t>
            </w: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82"/>
        </w:trPr>
        <w:tc>
          <w:tcPr>
            <w:tcW w:w="78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25,513</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19,256</w:t>
            </w: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2,839</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2"/>
        </w:trPr>
        <w:tc>
          <w:tcPr>
            <w:tcW w:w="7860" w:type="dxa"/>
            <w:vAlign w:val="bottom"/>
          </w:tcPr>
          <w:p>
            <w:pPr>
              <w:ind w:left="240"/>
              <w:spacing w:after="0"/>
              <w:rPr>
                <w:sz w:val="20"/>
                <w:szCs w:val="20"/>
                <w:color w:val="auto"/>
              </w:rPr>
            </w:pPr>
            <w:r>
              <w:rPr>
                <w:rFonts w:ascii="Arial" w:cs="Arial" w:eastAsia="Arial" w:hAnsi="Arial"/>
                <w:sz w:val="14"/>
                <w:szCs w:val="14"/>
                <w:color w:val="auto"/>
              </w:rPr>
              <w:t>Loss on disposal of property and equipment</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amortization of premium and unrealized loss on available-for-sale securities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2"/>
        </w:trPr>
        <w:tc>
          <w:tcPr>
            <w:tcW w:w="7860" w:type="dxa"/>
            <w:vAlign w:val="bottom"/>
          </w:tcPr>
          <w:p>
            <w:pPr>
              <w:ind w:left="220"/>
              <w:spacing w:after="0"/>
              <w:rPr>
                <w:sz w:val="20"/>
                <w:szCs w:val="20"/>
                <w:color w:val="auto"/>
              </w:rPr>
            </w:pPr>
            <w:r>
              <w:rPr>
                <w:rFonts w:ascii="Arial" w:cs="Arial" w:eastAsia="Arial" w:hAnsi="Arial"/>
                <w:sz w:val="14"/>
                <w:szCs w:val="14"/>
                <w:color w:val="auto"/>
              </w:rPr>
              <w:t>Non-cash operating lease expense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1,497</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82"/>
        </w:trPr>
        <w:tc>
          <w:tcPr>
            <w:tcW w:w="7860" w:type="dxa"/>
            <w:vAlign w:val="bottom"/>
          </w:tcPr>
          <w:p>
            <w:pPr>
              <w:ind w:left="440"/>
              <w:spacing w:after="0"/>
              <w:rPr>
                <w:sz w:val="20"/>
                <w:szCs w:val="20"/>
                <w:color w:val="auto"/>
              </w:rPr>
            </w:pPr>
            <w:r>
              <w:rPr>
                <w:rFonts w:ascii="Arial" w:cs="Arial" w:eastAsia="Arial" w:hAnsi="Arial"/>
                <w:sz w:val="14"/>
                <w:szCs w:val="14"/>
                <w:color w:val="auto"/>
              </w:rPr>
              <w:t>Accounts receivable, net</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(2,042)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Related party receivables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2"/>
        </w:trPr>
        <w:tc>
          <w:tcPr>
            <w:tcW w:w="7860" w:type="dxa"/>
            <w:vAlign w:val="bottom"/>
          </w:tcPr>
          <w:p>
            <w:pPr>
              <w:ind w:left="440"/>
              <w:spacing w:after="0"/>
              <w:rPr>
                <w:sz w:val="20"/>
                <w:szCs w:val="20"/>
                <w:color w:val="auto"/>
              </w:rPr>
            </w:pPr>
            <w:r>
              <w:rPr>
                <w:rFonts w:ascii="Arial" w:cs="Arial" w:eastAsia="Arial" w:hAnsi="Arial"/>
                <w:sz w:val="14"/>
                <w:szCs w:val="14"/>
                <w:color w:val="auto"/>
              </w:rPr>
              <w:t>Other receivables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2"/>
        </w:trPr>
        <w:tc>
          <w:tcPr>
            <w:tcW w:w="7860" w:type="dxa"/>
            <w:vAlign w:val="bottom"/>
          </w:tcPr>
          <w:p>
            <w:pPr>
              <w:ind w:left="440"/>
              <w:spacing w:after="0"/>
              <w:rPr>
                <w:sz w:val="20"/>
                <w:szCs w:val="20"/>
                <w:color w:val="auto"/>
              </w:rPr>
            </w:pPr>
            <w:r>
              <w:rPr>
                <w:rFonts w:ascii="Arial" w:cs="Arial" w:eastAsia="Arial" w:hAnsi="Arial"/>
                <w:sz w:val="14"/>
                <w:szCs w:val="14"/>
                <w:color w:val="auto"/>
              </w:rPr>
              <w:t>Inventory</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(2,372)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Other assets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2"/>
        </w:trPr>
        <w:tc>
          <w:tcPr>
            <w:tcW w:w="7860" w:type="dxa"/>
            <w:vAlign w:val="bottom"/>
          </w:tcPr>
          <w:p>
            <w:pPr>
              <w:ind w:left="440"/>
              <w:spacing w:after="0"/>
              <w:rPr>
                <w:sz w:val="20"/>
                <w:szCs w:val="20"/>
                <w:color w:val="auto"/>
              </w:rPr>
            </w:pPr>
            <w:r>
              <w:rPr>
                <w:rFonts w:ascii="Arial" w:cs="Arial" w:eastAsia="Arial" w:hAnsi="Arial"/>
                <w:sz w:val="14"/>
                <w:szCs w:val="14"/>
                <w:color w:val="auto"/>
              </w:rPr>
              <w:t>Accounts payable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Deferred revenue</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2"/>
        </w:trPr>
        <w:tc>
          <w:tcPr>
            <w:tcW w:w="7860" w:type="dxa"/>
            <w:vAlign w:val="bottom"/>
          </w:tcPr>
          <w:p>
            <w:pPr>
              <w:ind w:left="440"/>
              <w:spacing w:after="0"/>
              <w:rPr>
                <w:sz w:val="20"/>
                <w:szCs w:val="20"/>
                <w:color w:val="auto"/>
              </w:rPr>
            </w:pPr>
            <w:r>
              <w:rPr>
                <w:rFonts w:ascii="Arial" w:cs="Arial" w:eastAsia="Arial" w:hAnsi="Arial"/>
                <w:sz w:val="14"/>
                <w:szCs w:val="14"/>
                <w:color w:val="auto"/>
              </w:rPr>
              <w:t>Accrued expenses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Operating lease liabilities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2"/>
        </w:trPr>
        <w:tc>
          <w:tcPr>
            <w:tcW w:w="7860" w:type="dxa"/>
            <w:vAlign w:val="bottom"/>
          </w:tcPr>
          <w:p>
            <w:pPr>
              <w:ind w:left="440"/>
              <w:spacing w:after="0"/>
              <w:rPr>
                <w:sz w:val="20"/>
                <w:szCs w:val="20"/>
                <w:color w:val="auto"/>
              </w:rPr>
            </w:pPr>
            <w:r>
              <w:rPr>
                <w:rFonts w:ascii="Arial" w:cs="Arial" w:eastAsia="Arial" w:hAnsi="Arial"/>
                <w:sz w:val="14"/>
                <w:szCs w:val="14"/>
                <w:color w:val="auto"/>
              </w:rPr>
              <w:t>Other current liabilities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9"/>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Other noncurrent liabilities</w:t>
            </w:r>
          </w:p>
        </w:tc>
        <w:tc>
          <w:tcPr>
            <w:tcW w:w="9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75"/>
        </w:trPr>
        <w:tc>
          <w:tcPr>
            <w:tcW w:w="7860" w:type="dxa"/>
            <w:vAlign w:val="bottom"/>
          </w:tcPr>
          <w:p>
            <w:pPr>
              <w:ind w:left="640"/>
              <w:spacing w:after="0"/>
              <w:rPr>
                <w:sz w:val="20"/>
                <w:szCs w:val="20"/>
                <w:color w:val="auto"/>
              </w:rPr>
            </w:pPr>
            <w:r>
              <w:rPr>
                <w:rFonts w:ascii="Arial" w:cs="Arial" w:eastAsia="Arial" w:hAnsi="Arial"/>
                <w:sz w:val="14"/>
                <w:szCs w:val="14"/>
                <w:color w:val="auto"/>
              </w:rPr>
              <w:t>Net cash used in operating activities</w:t>
            </w:r>
          </w:p>
        </w:tc>
        <w:tc>
          <w:tcPr>
            <w:tcW w:w="9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(46,524)</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(33,978)</w:t>
            </w:r>
          </w:p>
        </w:tc>
        <w:tc>
          <w:tcPr>
            <w:tcW w:w="100" w:type="dxa"/>
            <w:vAlign w:val="bottom"/>
          </w:tcPr>
          <w:p>
            <w:pPr>
              <w:spacing w:after="0"/>
              <w:rPr>
                <w:sz w:val="15"/>
                <w:szCs w:val="15"/>
                <w:color w:val="auto"/>
              </w:rPr>
            </w:pPr>
          </w:p>
        </w:tc>
      </w:tr>
      <w:tr>
        <w:trPr>
          <w:trHeight w:val="37"/>
        </w:trPr>
        <w:tc>
          <w:tcPr>
            <w:tcW w:w="78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17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82"/>
        </w:trPr>
        <w:tc>
          <w:tcPr>
            <w:tcW w:w="786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(5,292)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(5,588)</w:t>
            </w: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disposal of property and equipment</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82"/>
        </w:trPr>
        <w:tc>
          <w:tcPr>
            <w:tcW w:w="7860" w:type="dxa"/>
            <w:vAlign w:val="bottom"/>
          </w:tcPr>
          <w:p>
            <w:pPr>
              <w:ind w:left="20"/>
              <w:spacing w:after="0"/>
              <w:rPr>
                <w:sz w:val="20"/>
                <w:szCs w:val="20"/>
                <w:color w:val="auto"/>
              </w:rPr>
            </w:pPr>
            <w:r>
              <w:rPr>
                <w:rFonts w:ascii="Arial" w:cs="Arial" w:eastAsia="Arial" w:hAnsi="Arial"/>
                <w:sz w:val="14"/>
                <w:szCs w:val="14"/>
                <w:color w:val="auto"/>
              </w:rPr>
              <w:t>Purchase of available-for-sale securities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(202,748)</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6"/>
              </w:rPr>
              <w:t>(169,801)</w:t>
            </w: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maturities of available-for-sale securities</w:t>
            </w:r>
          </w:p>
        </w:tc>
        <w:tc>
          <w:tcPr>
            <w:tcW w:w="9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87,863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75"/>
        </w:trPr>
        <w:tc>
          <w:tcPr>
            <w:tcW w:w="7860" w:type="dxa"/>
            <w:vAlign w:val="bottom"/>
          </w:tcPr>
          <w:p>
            <w:pPr>
              <w:ind w:left="640"/>
              <w:spacing w:after="0"/>
              <w:rPr>
                <w:sz w:val="20"/>
                <w:szCs w:val="20"/>
                <w:color w:val="auto"/>
              </w:rPr>
            </w:pPr>
            <w:r>
              <w:rPr>
                <w:rFonts w:ascii="Arial" w:cs="Arial" w:eastAsia="Arial" w:hAnsi="Arial"/>
                <w:sz w:val="14"/>
                <w:szCs w:val="14"/>
                <w:color w:val="auto"/>
              </w:rPr>
              <w:t>Net cash used in investing activities</w:t>
            </w:r>
          </w:p>
        </w:tc>
        <w:tc>
          <w:tcPr>
            <w:tcW w:w="9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(120,007)</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(83,389)</w:t>
            </w:r>
          </w:p>
        </w:tc>
        <w:tc>
          <w:tcPr>
            <w:tcW w:w="100" w:type="dxa"/>
            <w:vAlign w:val="bottom"/>
          </w:tcPr>
          <w:p>
            <w:pPr>
              <w:spacing w:after="0"/>
              <w:rPr>
                <w:sz w:val="15"/>
                <w:szCs w:val="15"/>
                <w:color w:val="auto"/>
              </w:rPr>
            </w:pPr>
          </w:p>
        </w:tc>
      </w:tr>
      <w:tr>
        <w:trPr>
          <w:trHeight w:val="37"/>
        </w:trPr>
        <w:tc>
          <w:tcPr>
            <w:tcW w:w="78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17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82"/>
        </w:trPr>
        <w:tc>
          <w:tcPr>
            <w:tcW w:w="786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upon follow-on public offering, net of issuance costs</w:t>
            </w:r>
          </w:p>
        </w:tc>
        <w:tc>
          <w:tcPr>
            <w:tcW w:w="9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102,959</w:t>
            </w: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return of profit</w:t>
            </w:r>
          </w:p>
        </w:tc>
        <w:tc>
          <w:tcPr>
            <w:tcW w:w="9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11,403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2"/>
        </w:trPr>
        <w:tc>
          <w:tcPr>
            <w:tcW w:w="7860" w:type="dxa"/>
            <w:vAlign w:val="bottom"/>
          </w:tcPr>
          <w:p>
            <w:pPr>
              <w:ind w:left="20"/>
              <w:spacing w:after="0"/>
              <w:rPr>
                <w:sz w:val="20"/>
                <w:szCs w:val="20"/>
                <w:color w:val="auto"/>
              </w:rPr>
            </w:pPr>
            <w:r>
              <w:rPr>
                <w:rFonts w:ascii="Arial" w:cs="Arial" w:eastAsia="Arial" w:hAnsi="Arial"/>
                <w:sz w:val="14"/>
                <w:szCs w:val="14"/>
                <w:color w:val="auto"/>
              </w:rPr>
              <w:t>Repurchase of Class A common stock</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exercise of Class A common stock options including early exercised options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1,387</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2"/>
        </w:trPr>
        <w:tc>
          <w:tcPr>
            <w:tcW w:w="7860" w:type="dxa"/>
            <w:vAlign w:val="bottom"/>
          </w:tcPr>
          <w:p>
            <w:pPr>
              <w:ind w:left="20"/>
              <w:spacing w:after="0"/>
              <w:rPr>
                <w:sz w:val="20"/>
                <w:szCs w:val="20"/>
                <w:color w:val="auto"/>
              </w:rPr>
            </w:pPr>
            <w:r>
              <w:rPr>
                <w:rFonts w:ascii="Arial" w:cs="Arial" w:eastAsia="Arial" w:hAnsi="Arial"/>
                <w:sz w:val="14"/>
                <w:szCs w:val="14"/>
                <w:color w:val="auto"/>
              </w:rPr>
              <w:t>Proceeds from issuance of common stock in connection with employee stock purchase plan</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37"/>
        </w:trPr>
        <w:tc>
          <w:tcPr>
            <w:tcW w:w="78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12"/>
        </w:trPr>
        <w:tc>
          <w:tcPr>
            <w:tcW w:w="7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Net cash provided by financing activities</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115,365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9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(164,744)</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5"/>
                <w:szCs w:val="15"/>
                <w:color w:val="auto"/>
              </w:rPr>
            </w:pPr>
          </w:p>
        </w:tc>
      </w:tr>
      <w:tr>
        <w:trPr>
          <w:trHeight w:val="37"/>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9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233,337</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333,928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6"/>
        </w:trPr>
        <w:tc>
          <w:tcPr>
            <w:tcW w:w="78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940" w:type="dxa"/>
            <w:vAlign w:val="bottom"/>
            <w:tcBorders>
              <w:top w:val="single" w:sz="8" w:color="auto"/>
              <w:bottom w:val="single" w:sz="8" w:color="auto"/>
            </w:tcBorders>
          </w:tcPr>
          <w:p>
            <w:pPr>
              <w:jc w:val="right"/>
              <w:ind w:right="791"/>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68,593</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31"/>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331,926</w:t>
            </w:r>
          </w:p>
        </w:tc>
        <w:tc>
          <w:tcPr>
            <w:tcW w:w="100" w:type="dxa"/>
            <w:vAlign w:val="bottom"/>
          </w:tcPr>
          <w:p>
            <w:pPr>
              <w:spacing w:after="0"/>
              <w:rPr>
                <w:sz w:val="17"/>
                <w:szCs w:val="17"/>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65"/>
        </w:trPr>
        <w:tc>
          <w:tcPr>
            <w:tcW w:w="7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ACTIVITIES</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7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purchases included in accounts payable</w:t>
            </w: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Property and equipment purchases included in accrued expenses</w:t>
            </w:r>
          </w:p>
        </w:tc>
        <w:tc>
          <w:tcPr>
            <w:tcW w:w="94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6"/>
                <w:szCs w:val="16"/>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liability obtained in exchange for right-of-use assets</w:t>
            </w: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23,232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ectPr>
          <w:pgSz w:w="11900" w:h="16838" w:orient="portrait"/>
          <w:cols w:equalWidth="0" w:num="1">
            <w:col w:w="11140"/>
          </w:cols>
          <w:pgMar w:left="38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187960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121" w:right="37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 w:hanging="617"/>
        <w:spacing w:after="0"/>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DESCRIPTION OF THE BUSINESS</w:t>
      </w:r>
    </w:p>
    <w:p>
      <w:pPr>
        <w:spacing w:after="0" w:line="171" w:lineRule="exact"/>
        <w:rPr>
          <w:sz w:val="20"/>
          <w:szCs w:val="20"/>
          <w:color w:val="auto"/>
        </w:rPr>
      </w:pPr>
    </w:p>
    <w:p>
      <w:pPr>
        <w:jc w:val="both"/>
        <w:ind w:right="20"/>
        <w:spacing w:after="0" w:line="307" w:lineRule="auto"/>
        <w:rPr>
          <w:sz w:val="20"/>
          <w:szCs w:val="20"/>
          <w:color w:val="auto"/>
        </w:rPr>
      </w:pPr>
      <w:r>
        <w:rPr>
          <w:rFonts w:ascii="Arial" w:cs="Arial" w:eastAsia="Arial" w:hAnsi="Arial"/>
          <w:sz w:val="15"/>
          <w:szCs w:val="15"/>
          <w:color w:val="auto"/>
        </w:rPr>
        <w:t>Seer, Inc. (the Company) was incorporated in Delaware on March 16, 2017, and is headquartered in Redwood City, California, with wholly-owned subsidiaries in Massachusetts and the United Kingdom. The Company is a life sciences company focused on capturing deep molecular insights from the proteome to enable novel insights and breakthroughs in the understanding of biology and disease. Since inception, the Company has devoted its efforts principally to research, development and commercialization of its technology and products, recruiting management and technical staff, acquiring operating assets, and raising capital.</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On May 25, 2022, the Company incorporated Seer Bio UK Limited, a wholly owned subsidiary under the laws of United Kingdom.</w:t>
      </w:r>
    </w:p>
    <w:p>
      <w:pPr>
        <w:spacing w:after="0" w:line="16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Company is subject to a number of risks, similar to other early-stage life science companies, including, but not limited to, development and commercialization of its products, market acceptance of its products, development by its competitors of new technological innovations, protection of its intellectual property, and raising additional capital.</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Offering</w:t>
      </w:r>
    </w:p>
    <w:p>
      <w:pPr>
        <w:spacing w:after="0" w:line="165"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On February 1, 2021, the Company completed an underwritten public offering of 1,650,000 shares of its Class A common stock at a public offering price of $67.00 per share. The Company received net proceeds of $103.0 million after deducting offering costs, underwriting discounts, and commissions of $7.6 million.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65"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As of September 30, 2022, the Company has incurred significant losses and has had negative cash flows from operations. As of September 30, 2022, the Company had cash and cash equivalents and short-term investments of $436.1 million and an accumulated deficit of $197.0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September 30, 2022 provide sufficient capital resources to continue its operations for at least 12 months from the issuance date of the accompanying unaudited condensed consolidated financial statements.</w:t>
      </w:r>
    </w:p>
    <w:p>
      <w:pPr>
        <w:spacing w:after="0" w:line="95" w:lineRule="exact"/>
        <w:rPr>
          <w:sz w:val="20"/>
          <w:szCs w:val="20"/>
          <w:color w:val="auto"/>
        </w:rPr>
      </w:pPr>
    </w:p>
    <w:p>
      <w:pPr>
        <w:ind w:left="620" w:hanging="617"/>
        <w:spacing w:after="0"/>
        <w:tabs>
          <w:tab w:leader="none" w:pos="6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65"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The unaudited condensed consolidated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 The unaudited condensed consolidated financial statements include the accounts of Seer, Inc. and its wholly-owned subsidiaries. All intercompany transactions and balances have been eliminated.</w:t>
      </w:r>
    </w:p>
    <w:p>
      <w:pPr>
        <w:spacing w:after="0" w:line="9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condensed consolidated balance sheet at December 31, 2021 has been derived from the audited consolidated financial statements of the Company at that date. Certain information and footnote disclosures typically included in the Company’s audited consolidated financial statements have been condensed or omitted. The accompanying unaudited condensed consolidated financial statements have been prepared on the same basis as the annual consolidated financial statements and, in the opinion of management, reflect all adjustments, which include only normal recurring adjustments, necessary to state fairly the Company’s financial position, results of operations, comprehensive loss and cash flows for the periods presented, but are not necessarily indicative of the results of operations to be anticipated for any future annual or interim period.</w:t>
      </w:r>
    </w:p>
    <w:p>
      <w:pPr>
        <w:spacing w:after="0" w:line="132" w:lineRule="exact"/>
        <w:rPr>
          <w:sz w:val="20"/>
          <w:szCs w:val="20"/>
          <w:color w:val="auto"/>
        </w:rPr>
      </w:pPr>
    </w:p>
    <w:p>
      <w:pPr>
        <w:ind w:right="640"/>
        <w:spacing w:after="0" w:line="349" w:lineRule="auto"/>
        <w:rPr>
          <w:sz w:val="20"/>
          <w:szCs w:val="20"/>
          <w:color w:val="auto"/>
        </w:rPr>
      </w:pPr>
      <w:r>
        <w:rPr>
          <w:rFonts w:ascii="Arial" w:cs="Arial" w:eastAsia="Arial" w:hAnsi="Arial"/>
          <w:sz w:val="15"/>
          <w:szCs w:val="15"/>
          <w:color w:val="auto"/>
        </w:rPr>
        <w:t>The accompanying unaudited condensed consolidated financial statements and notes should be read in conjunction with the audited consolidated financial statements and related notes for the year ended December 31, 2021 included in our Annual Report on Form 10-K filed with the SEC on 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 xml:space="preserve">The Company has also made certain presentation changes to retroactively adjust for the effects of Accounting Standards Codification No.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adoption of which was disclosed in our Annual Report on Form 10-K filed on March 1, 2022, with an adoption effective date of January 1, 2021, using the modified retrospective method. The following table shows the affected line items within the unaudited condensed consolidated statements of cash flows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 2021</w:t>
            </w:r>
          </w:p>
        </w:tc>
        <w:tc>
          <w:tcPr>
            <w:tcW w:w="1160" w:type="dxa"/>
            <w:vAlign w:val="bottom"/>
          </w:tcPr>
          <w:p>
            <w:pPr>
              <w:spacing w:after="0"/>
              <w:rPr>
                <w:sz w:val="15"/>
                <w:szCs w:val="15"/>
                <w:color w:val="auto"/>
              </w:rPr>
            </w:pPr>
          </w:p>
        </w:tc>
      </w:tr>
      <w:tr>
        <w:trPr>
          <w:trHeight w:val="24"/>
        </w:trPr>
        <w:tc>
          <w:tcPr>
            <w:tcW w:w="598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9"/>
        </w:trPr>
        <w:tc>
          <w:tcPr>
            <w:tcW w:w="5980" w:type="dxa"/>
            <w:vAlign w:val="bottom"/>
          </w:tcPr>
          <w:p>
            <w:pPr>
              <w:spacing w:after="0"/>
              <w:rPr>
                <w:sz w:val="15"/>
                <w:szCs w:val="15"/>
                <w:color w:val="auto"/>
              </w:rPr>
            </w:pPr>
          </w:p>
        </w:tc>
        <w:tc>
          <w:tcPr>
            <w:tcW w:w="15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b w:val="1"/>
                <w:bCs w:val="1"/>
                <w:color w:val="auto"/>
                <w:w w:val="92"/>
              </w:rPr>
              <w:t>As Previously Reported</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Adjustments</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88"/>
              </w:rPr>
              <w:t>As Adjusted</w:t>
            </w:r>
          </w:p>
        </w:tc>
      </w:tr>
      <w:tr>
        <w:trPr>
          <w:trHeight w:val="232"/>
        </w:trPr>
        <w:tc>
          <w:tcPr>
            <w:tcW w:w="5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7"/>
        </w:trPr>
        <w:tc>
          <w:tcPr>
            <w:tcW w:w="5980" w:type="dxa"/>
            <w:vAlign w:val="bottom"/>
          </w:tcPr>
          <w:p>
            <w:pPr>
              <w:ind w:left="20"/>
              <w:spacing w:after="0"/>
              <w:rPr>
                <w:sz w:val="20"/>
                <w:szCs w:val="20"/>
                <w:color w:val="auto"/>
              </w:rPr>
            </w:pPr>
            <w:r>
              <w:rPr>
                <w:rFonts w:ascii="Arial" w:cs="Arial" w:eastAsia="Arial" w:hAnsi="Arial"/>
                <w:sz w:val="17"/>
                <w:szCs w:val="17"/>
                <w:color w:val="auto"/>
              </w:rPr>
              <w:t>Non-cash operating lease expense</w:t>
            </w:r>
          </w:p>
        </w:tc>
        <w:tc>
          <w:tcPr>
            <w:tcW w:w="540" w:type="dxa"/>
            <w:vAlign w:val="bottom"/>
          </w:tcPr>
          <w:p>
            <w:pPr>
              <w:jc w:val="right"/>
              <w:ind w:right="358"/>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74"/>
              <w:spacing w:after="0"/>
              <w:rPr>
                <w:sz w:val="20"/>
                <w:szCs w:val="20"/>
                <w:color w:val="auto"/>
              </w:rPr>
            </w:pPr>
            <w:r>
              <w:rPr>
                <w:rFonts w:ascii="Arial" w:cs="Arial" w:eastAsia="Arial" w:hAnsi="Arial"/>
                <w:sz w:val="17"/>
                <w:szCs w:val="17"/>
                <w:color w:val="auto"/>
              </w:rPr>
              <w:t>— $</w:t>
            </w:r>
          </w:p>
        </w:tc>
        <w:tc>
          <w:tcPr>
            <w:tcW w:w="1300" w:type="dxa"/>
            <w:vAlign w:val="bottom"/>
          </w:tcPr>
          <w:p>
            <w:pPr>
              <w:jc w:val="right"/>
              <w:spacing w:after="0"/>
              <w:rPr>
                <w:sz w:val="20"/>
                <w:szCs w:val="20"/>
                <w:color w:val="auto"/>
              </w:rPr>
            </w:pPr>
            <w:r>
              <w:rPr>
                <w:rFonts w:ascii="Arial" w:cs="Arial" w:eastAsia="Arial" w:hAnsi="Arial"/>
                <w:sz w:val="17"/>
                <w:szCs w:val="17"/>
                <w:color w:val="auto"/>
              </w:rPr>
              <w:t>764</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764</w:t>
            </w:r>
          </w:p>
        </w:tc>
      </w:tr>
      <w:tr>
        <w:trPr>
          <w:trHeight w:val="25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5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w:t>
            </w:r>
          </w:p>
        </w:tc>
      </w:tr>
      <w:tr>
        <w:trPr>
          <w:trHeight w:val="257"/>
        </w:trPr>
        <w:tc>
          <w:tcPr>
            <w:tcW w:w="5980" w:type="dxa"/>
            <w:vAlign w:val="bottom"/>
          </w:tcPr>
          <w:p>
            <w:pPr>
              <w:ind w:left="20"/>
              <w:spacing w:after="0"/>
              <w:rPr>
                <w:sz w:val="20"/>
                <w:szCs w:val="20"/>
                <w:color w:val="auto"/>
              </w:rPr>
            </w:pPr>
            <w:r>
              <w:rPr>
                <w:rFonts w:ascii="Arial" w:cs="Arial" w:eastAsia="Arial" w:hAnsi="Arial"/>
                <w:sz w:val="17"/>
                <w:szCs w:val="17"/>
                <w:color w:val="auto"/>
              </w:rPr>
              <w:t>Deferred rent</w:t>
            </w:r>
          </w:p>
        </w:tc>
        <w:tc>
          <w:tcPr>
            <w:tcW w:w="5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870</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(870)</w:t>
            </w: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8"/>
        </w:trPr>
        <w:tc>
          <w:tcPr>
            <w:tcW w:w="5980" w:type="dxa"/>
            <w:vAlign w:val="bottom"/>
          </w:tcPr>
          <w:p>
            <w:pPr>
              <w:ind w:left="20"/>
              <w:spacing w:after="0"/>
              <w:rPr>
                <w:sz w:val="20"/>
                <w:szCs w:val="20"/>
                <w:color w:val="auto"/>
              </w:rPr>
            </w:pPr>
            <w:r>
              <w:rPr>
                <w:rFonts w:ascii="Arial" w:cs="Arial" w:eastAsia="Arial" w:hAnsi="Arial"/>
                <w:sz w:val="17"/>
                <w:szCs w:val="17"/>
                <w:color w:val="auto"/>
              </w:rPr>
              <w:t>Net cash used in operating activities</w:t>
            </w:r>
          </w:p>
        </w:tc>
        <w:tc>
          <w:tcPr>
            <w:tcW w:w="540" w:type="dxa"/>
            <w:vAlign w:val="bottom"/>
          </w:tcPr>
          <w:p>
            <w:pPr>
              <w:jc w:val="right"/>
              <w:ind w:right="358"/>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(33,978)</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(33,978)</w:t>
            </w:r>
          </w:p>
        </w:tc>
      </w:tr>
      <w:tr>
        <w:trPr>
          <w:trHeight w:val="246"/>
        </w:trPr>
        <w:tc>
          <w:tcPr>
            <w:tcW w:w="59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19"/>
        </w:trPr>
        <w:tc>
          <w:tcPr>
            <w:tcW w:w="598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 of non-cash activities:</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liability obtained in exchange for right-of-use assets</w:t>
            </w:r>
          </w:p>
        </w:tc>
        <w:tc>
          <w:tcPr>
            <w:tcW w:w="540" w:type="dxa"/>
            <w:vAlign w:val="bottom"/>
            <w:shd w:val="clear" w:color="auto" w:fill="CCEEFF"/>
          </w:tcPr>
          <w:p>
            <w:pPr>
              <w:jc w:val="right"/>
              <w:ind w:right="358"/>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23,232</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23,232</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preparation of unaudited condensed consolidated financial statements in conformity with U.S. GAAP requires management to make estimates and assumptions that affect the reported amounts of assets, liabilities, and the disclosure of contingent assets and liabilities at the date of the unaudited condensed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the fair value of common stock, stock-based compensation, accrued research and development expenses, allowance for credit losses, inventory valuation, useful lives and valuation of property and equipment, income tax uncertainties, and tax valuation allowances.</w:t>
      </w:r>
    </w:p>
    <w:p>
      <w:pPr>
        <w:spacing w:after="0" w:line="13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the COVID-19 Pandemic</w:t>
      </w:r>
    </w:p>
    <w:p>
      <w:pPr>
        <w:spacing w:after="0" w:line="165"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As a result of the COVID-19 pandemic (COVID-19), the Company’s operations experienced disruptions and restrictions on employees’ ability to work and on the hiring of additional personnel, particularly as it relates to the Company’s phased commercial release. The Company’s personnel has experienced delays in accessing customers in certain countries with strict COVID-19 policies to provide installation and training services. Continued disruptions from COVID-19 could harm the Company’s operations and the Company cannot anticipate all the ways in which it could be adversely impacted by health epidemics such as COVID-19. The Company continues to monitor and assess the effects of the COVID-19 pandemic on its business, financial condition, results of operations and cash flows.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 and Restricted Cash</w:t>
      </w:r>
    </w:p>
    <w:p>
      <w:pPr>
        <w:spacing w:after="0" w:line="16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at the date of purchase to be cash equivalents. Cash and cash equivalents are stated at fair value.</w:t>
      </w:r>
    </w:p>
    <w:p>
      <w:pPr>
        <w:spacing w:after="0" w:line="11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Restricted cash as of September 30, 2022 and December 31, 2021 represents cash held by a financial institution as security for a letter of credit issued to the lessor for one of the Company’s operating leases and is classified as noncurrent.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table provides a reconciliation of cash and cash equivalents and restricted cash reported within the unaudited condensed consolidated balance sheets that sum to the total of the same amounts shown in the unaudited condensed consolidated statements of cash flows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340" w:type="dxa"/>
            <w:vAlign w:val="bottom"/>
          </w:tcPr>
          <w:p>
            <w:pPr>
              <w:jc w:val="right"/>
              <w:ind w:right="321"/>
              <w:spacing w:after="0"/>
              <w:rPr>
                <w:sz w:val="20"/>
                <w:szCs w:val="20"/>
                <w:color w:val="auto"/>
              </w:rPr>
            </w:pPr>
            <w:r>
              <w:rPr>
                <w:rFonts w:ascii="Arial" w:cs="Arial" w:eastAsia="Arial" w:hAnsi="Arial"/>
                <w:sz w:val="14"/>
                <w:szCs w:val="14"/>
                <w:b w:val="1"/>
                <w:bCs w:val="1"/>
                <w:color w:val="auto"/>
              </w:rPr>
              <w:t>December 31,</w:t>
            </w:r>
          </w:p>
        </w:tc>
      </w:tr>
      <w:tr>
        <w:trPr>
          <w:trHeight w:val="193"/>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581"/>
              <w:spacing w:after="0"/>
              <w:rPr>
                <w:sz w:val="20"/>
                <w:szCs w:val="20"/>
                <w:color w:val="auto"/>
              </w:rPr>
            </w:pPr>
            <w:r>
              <w:rPr>
                <w:rFonts w:ascii="Arial" w:cs="Arial" w:eastAsia="Arial" w:hAnsi="Arial"/>
                <w:sz w:val="14"/>
                <w:szCs w:val="14"/>
                <w:b w:val="1"/>
                <w:bCs w:val="1"/>
                <w:color w:val="auto"/>
              </w:rPr>
              <w:t>2021</w:t>
            </w:r>
          </w:p>
        </w:tc>
      </w:tr>
      <w:tr>
        <w:trPr>
          <w:trHeight w:val="24"/>
        </w:trPr>
        <w:tc>
          <w:tcPr>
            <w:tcW w:w="6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6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232,813</w:t>
            </w:r>
          </w:p>
        </w:tc>
      </w:tr>
      <w:tr>
        <w:trPr>
          <w:trHeight w:val="21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524</w:t>
            </w:r>
          </w:p>
        </w:tc>
      </w:tr>
      <w:tr>
        <w:trPr>
          <w:trHeight w:val="23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and cash equivalents and restricted cash</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233,337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Net</w:t>
      </w:r>
    </w:p>
    <w:p>
      <w:pPr>
        <w:spacing w:after="0" w:line="16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Specific allowance amounts are established to record the appropriate allowance for customers that have an identified risk of default. General allowance amounts are established based upon an assessment of expected credit losses for the Company’s receivables by aging category. Balances are written off when they are ultimately determined to be uncollectible. There was no allowance for credit losses related to accounts receivable as of September 30, 2022 and December 31, 2021.</w:t>
      </w:r>
    </w:p>
    <w:p>
      <w:pPr>
        <w:spacing w:after="0" w:line="132"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As of September 30, 2022, there were three customers that represented 18%, 15%, and 13% of the total accounts receivable balance, including related party receivables. As of December 31, 2021, there were three customers that represented 34%, 23%, and 19% of the total accounts receivable balance, including related party receivables.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Company generates revenue from sales of products and services. The Company’s product, the Proteograph Product Suite, consists of an instrument with embedded software essential to the instrument's functionality, and consumables as well as platform evaluation agreements. The Company began recognizing revenue from shipments of its Proteograph Product Suite during the second quarter of 2021. The service revenue primarily consists of revenue received from the generation and analysis of proteomic data on behalf of the customer and revenue is recognized upon delivery of the reports.</w:t>
      </w:r>
    </w:p>
    <w:p>
      <w:pPr>
        <w:spacing w:after="0" w:line="112"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w:t>
      </w:r>
    </w:p>
    <w:p>
      <w:pPr>
        <w:spacing w:after="0" w:line="104"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Revenue is recorded net of discounts and sales taxes collected on behalf of governmental authorities. Customers are invoiced generally upon shipment, or upon order for services, and payment is typically due within 30 or 60 days. Cash received from customers in advance of product shipment or providing services is recorded as a contract liability. The Company’s contracts with its customers generally do not include rights of return.</w:t>
      </w:r>
    </w:p>
    <w:p>
      <w:pPr>
        <w:spacing w:after="0" w:line="10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At times, the Company may enter into arrangements with payment terms which exceed one year from the transfer of control of the product or service. In such cases, the Company assesses whether the arrangement contains a significant financing component. If a significant financing component exists, the transaction price is adjusted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140"/>
        <w:spacing w:after="0" w:line="266" w:lineRule="auto"/>
        <w:rPr>
          <w:sz w:val="20"/>
          <w:szCs w:val="20"/>
          <w:color w:val="auto"/>
        </w:rPr>
      </w:pPr>
      <w:r>
        <w:rPr>
          <w:rFonts w:ascii="Arial" w:cs="Arial" w:eastAsia="Arial" w:hAnsi="Arial"/>
          <w:sz w:val="17"/>
          <w:szCs w:val="17"/>
          <w:color w:val="auto"/>
        </w:rPr>
        <w:t>the financing portion of the arrangement, which is recorded as interest income over the payment term using the effective interest method. The Company does not assess whether a significant financing component exists when, at contract inception, the period between the transfer of control to a customer and final payment is one year or less.</w:t>
      </w:r>
    </w:p>
    <w:p>
      <w:pPr>
        <w:spacing w:after="0" w:line="124"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The Company elected the practical expedient to account for shipping and handling activities that occur after the customer has obtained control as a fulfillment activity and not a separate performance obligation. The Company expenses the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spacing w:after="0" w:line="12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Grant and Other Revenue</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117" w:lineRule="exact"/>
        <w:rPr>
          <w:sz w:val="20"/>
          <w:szCs w:val="20"/>
          <w:color w:val="auto"/>
        </w:rPr>
      </w:pPr>
    </w:p>
    <w:p>
      <w:pPr>
        <w:jc w:val="both"/>
        <w:ind w:right="40"/>
        <w:spacing w:after="0" w:line="318" w:lineRule="auto"/>
        <w:rPr>
          <w:sz w:val="20"/>
          <w:szCs w:val="20"/>
          <w:color w:val="auto"/>
        </w:rPr>
      </w:pPr>
      <w:r>
        <w:rPr>
          <w:rFonts w:ascii="Arial" w:cs="Arial" w:eastAsia="Arial" w:hAnsi="Arial"/>
          <w:sz w:val="15"/>
          <w:szCs w:val="15"/>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ind w:right="140"/>
        <w:spacing w:after="0" w:line="307" w:lineRule="auto"/>
        <w:rPr>
          <w:sz w:val="20"/>
          <w:szCs w:val="20"/>
          <w:color w:val="auto"/>
        </w:rPr>
      </w:pPr>
      <w:r>
        <w:rPr>
          <w:rFonts w:ascii="Arial" w:cs="Arial" w:eastAsia="Arial" w:hAnsi="Arial"/>
          <w:sz w:val="15"/>
          <w:szCs w:val="15"/>
          <w:color w:val="auto"/>
        </w:rPr>
        <w:t>Beginning in 2022, the Tax Cuts and Jobs Act of 2017 eliminates the option to deduct research and development expenditures in the period incurred and requires amortization over five years or fifteen years pursuant to Internal Revenue Code Section 174. Although Congress is considering legislation that would defer the amortization requirement to later years, there is no assurance that the requirement to amortize will be repealed or otherwise modified. The Company is currently assessing the impact of this provision but does not expect it to have a material impact on its financial position, results of operations or cash flows in 2022.</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Prior Period Reclassification</w:t>
      </w:r>
    </w:p>
    <w:p>
      <w:pPr>
        <w:spacing w:after="0" w:line="16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Company included accrued research and development within accrued expenses for the prior period in order to conform to current year presentation for the Company’s condensed consolidated balance sheets. This reclassification had no effect on the Company’s previously reported financial position.</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6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In November 2021, the FASB issued ASU No. 2021-10, </w:t>
      </w:r>
      <w:r>
        <w:rPr>
          <w:rFonts w:ascii="Arial" w:cs="Arial" w:eastAsia="Arial" w:hAnsi="Arial"/>
          <w:sz w:val="17"/>
          <w:szCs w:val="17"/>
          <w:i w:val="1"/>
          <w:iCs w:val="1"/>
          <w:color w:val="auto"/>
        </w:rPr>
        <w:t>Government Assistance (ASC Topic 832): Disclosures by Business Entities about Government Assistance</w:t>
      </w:r>
      <w:r>
        <w:rPr>
          <w:rFonts w:ascii="Arial" w:cs="Arial" w:eastAsia="Arial" w:hAnsi="Arial"/>
          <w:sz w:val="17"/>
          <w:szCs w:val="17"/>
          <w:color w:val="auto"/>
        </w:rPr>
        <w:t>. This standard requires annual disclosures that increase the transparency of transactions involving government grants, including the type of transactions, the accounting for those transactions and the effect of those transactions on an entity’s financial statements. The Company adopted this standard as of January 1, 2022, which did not have a material impact on its financial statements as of the adoption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 w:hanging="617"/>
        <w:spacing w:after="0"/>
        <w:tabs>
          <w:tab w:leader="none" w:pos="6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 AND FAIR VALUE OF FINANCIAL INSTRUMENTS</w:t>
      </w:r>
    </w:p>
    <w:p>
      <w:pPr>
        <w:spacing w:after="0" w:line="171"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The following tables set forth the fair value of the Company’s financial assets that were measured at fair value on a recurring basis by level within the fair value hierarchy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September 30, 2022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7"/>
        </w:trPr>
        <w:tc>
          <w:tcPr>
            <w:tcW w:w="5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5"/>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jc w:val="right"/>
              <w:ind w:right="60"/>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6"/>
              <w:spacing w:after="0"/>
              <w:rPr>
                <w:sz w:val="20"/>
                <w:szCs w:val="20"/>
                <w:color w:val="auto"/>
              </w:rPr>
            </w:pPr>
            <w:r>
              <w:rPr>
                <w:rFonts w:ascii="Arial" w:cs="Arial" w:eastAsia="Arial" w:hAnsi="Arial"/>
                <w:sz w:val="14"/>
                <w:szCs w:val="14"/>
                <w:b w:val="1"/>
                <w:bCs w:val="1"/>
                <w:color w:val="auto"/>
              </w:rPr>
              <w:t>Total</w:t>
            </w:r>
          </w:p>
        </w:tc>
      </w:tr>
      <w:tr>
        <w:trPr>
          <w:trHeight w:val="37"/>
        </w:trPr>
        <w:tc>
          <w:tcPr>
            <w:tcW w:w="52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18"/>
        </w:trPr>
        <w:tc>
          <w:tcPr>
            <w:tcW w:w="520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9"/>
        </w:trPr>
        <w:tc>
          <w:tcPr>
            <w:tcW w:w="5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Money market funds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55,155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90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55,155</w:t>
            </w:r>
          </w:p>
        </w:tc>
      </w:tr>
      <w:tr>
        <w:trPr>
          <w:trHeight w:val="257"/>
        </w:trPr>
        <w:tc>
          <w:tcPr>
            <w:tcW w:w="5200" w:type="dxa"/>
            <w:vAlign w:val="bottom"/>
          </w:tcPr>
          <w:p>
            <w:pPr>
              <w:ind w:left="120"/>
              <w:spacing w:after="0"/>
              <w:rPr>
                <w:sz w:val="20"/>
                <w:szCs w:val="20"/>
                <w:color w:val="auto"/>
              </w:rPr>
            </w:pPr>
            <w:r>
              <w:rPr>
                <w:rFonts w:ascii="Arial" w:cs="Arial" w:eastAsia="Arial" w:hAnsi="Arial"/>
                <w:sz w:val="17"/>
                <w:szCs w:val="17"/>
                <w:color w:val="auto"/>
              </w:rPr>
              <w:t>Commercial paper</w:t>
            </w: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3,976</w:t>
            </w: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3,976</w:t>
            </w:r>
          </w:p>
        </w:tc>
      </w:tr>
      <w:tr>
        <w:trPr>
          <w:trHeight w:val="258"/>
        </w:trPr>
        <w:tc>
          <w:tcPr>
            <w:tcW w:w="5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Corporate debt securities</w:t>
            </w: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8,938</w:t>
            </w:r>
          </w:p>
        </w:tc>
        <w:tc>
          <w:tcPr>
            <w:tcW w:w="8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8,938</w:t>
            </w:r>
          </w:p>
        </w:tc>
      </w:tr>
      <w:tr>
        <w:trPr>
          <w:trHeight w:val="251"/>
        </w:trPr>
        <w:tc>
          <w:tcPr>
            <w:tcW w:w="5200" w:type="dxa"/>
            <w:vAlign w:val="bottom"/>
          </w:tcPr>
          <w:p>
            <w:pPr>
              <w:ind w:left="220"/>
              <w:spacing w:after="0"/>
              <w:rPr>
                <w:sz w:val="20"/>
                <w:szCs w:val="20"/>
                <w:color w:val="auto"/>
              </w:rPr>
            </w:pPr>
            <w:r>
              <w:rPr>
                <w:rFonts w:ascii="Arial" w:cs="Arial" w:eastAsia="Arial" w:hAnsi="Arial"/>
                <w:sz w:val="17"/>
                <w:szCs w:val="17"/>
                <w:color w:val="auto"/>
              </w:rPr>
              <w:t>Total cash equivalents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12,914</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68,069</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5200" w:type="dxa"/>
            <w:vAlign w:val="bottom"/>
          </w:tcPr>
          <w:p>
            <w:pPr>
              <w:ind w:left="120"/>
              <w:spacing w:after="0"/>
              <w:rPr>
                <w:sz w:val="20"/>
                <w:szCs w:val="20"/>
                <w:color w:val="auto"/>
              </w:rPr>
            </w:pPr>
            <w:r>
              <w:rPr>
                <w:rFonts w:ascii="Arial" w:cs="Arial" w:eastAsia="Arial" w:hAnsi="Arial"/>
                <w:sz w:val="17"/>
                <w:szCs w:val="17"/>
                <w:color w:val="auto"/>
              </w:rPr>
              <w:t>U.S. Treasury securities</w:t>
            </w: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237,571</w:t>
            </w: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237,571</w:t>
            </w:r>
          </w:p>
        </w:tc>
      </w:tr>
      <w:tr>
        <w:trPr>
          <w:trHeight w:val="259"/>
        </w:trPr>
        <w:tc>
          <w:tcPr>
            <w:tcW w:w="5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Commercial paper</w:t>
            </w: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61,585</w:t>
            </w: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61,585</w:t>
            </w:r>
          </w:p>
        </w:tc>
      </w:tr>
      <w:tr>
        <w:trPr>
          <w:trHeight w:val="257"/>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Corporate debt securities</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73,712</w:t>
            </w: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73,712</w:t>
            </w:r>
          </w:p>
        </w:tc>
      </w:tr>
      <w:tr>
        <w:trPr>
          <w:trHeight w:val="251"/>
        </w:trPr>
        <w:tc>
          <w:tcPr>
            <w:tcW w:w="5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investments</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372,868</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372,868</w:t>
            </w:r>
          </w:p>
        </w:tc>
      </w:tr>
      <w:tr>
        <w:trPr>
          <w:trHeight w:val="252"/>
        </w:trPr>
        <w:tc>
          <w:tcPr>
            <w:tcW w:w="5200" w:type="dxa"/>
            <w:vAlign w:val="bottom"/>
          </w:tcPr>
          <w:p>
            <w:pPr>
              <w:ind w:left="20"/>
              <w:spacing w:after="0"/>
              <w:rPr>
                <w:sz w:val="20"/>
                <w:szCs w:val="20"/>
                <w:color w:val="auto"/>
              </w:rPr>
            </w:pPr>
            <w:r>
              <w:rPr>
                <w:rFonts w:ascii="Arial" w:cs="Arial" w:eastAsia="Arial" w:hAnsi="Arial"/>
                <w:sz w:val="17"/>
                <w:szCs w:val="17"/>
                <w:color w:val="auto"/>
              </w:rPr>
              <w:t>Total assets measured at fair value</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55,155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385,782</w:t>
            </w:r>
          </w:p>
        </w:tc>
        <w:tc>
          <w:tcPr>
            <w:tcW w:w="80" w:type="dxa"/>
            <w:vAlign w:val="bottom"/>
          </w:tcPr>
          <w:p>
            <w:pPr>
              <w:spacing w:after="0"/>
              <w:rPr>
                <w:sz w:val="21"/>
                <w:szCs w:val="21"/>
                <w:color w:val="auto"/>
              </w:rPr>
            </w:pPr>
          </w:p>
        </w:tc>
        <w:tc>
          <w:tcPr>
            <w:tcW w:w="1080" w:type="dxa"/>
            <w:vAlign w:val="bottom"/>
            <w:tcBorders>
              <w:bottom w:val="single" w:sz="8" w:color="auto"/>
            </w:tcBorders>
          </w:tcPr>
          <w:p>
            <w:pPr>
              <w:jc w:val="right"/>
              <w:ind w:right="900"/>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440,937</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4"/>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
        </w:trPr>
        <w:tc>
          <w:tcPr>
            <w:tcW w:w="5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5"/>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jc w:val="right"/>
              <w:ind w:right="60"/>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6"/>
              <w:spacing w:after="0"/>
              <w:rPr>
                <w:sz w:val="20"/>
                <w:szCs w:val="20"/>
                <w:color w:val="auto"/>
              </w:rPr>
            </w:pPr>
            <w:r>
              <w:rPr>
                <w:rFonts w:ascii="Arial" w:cs="Arial" w:eastAsia="Arial" w:hAnsi="Arial"/>
                <w:sz w:val="14"/>
                <w:szCs w:val="14"/>
                <w:b w:val="1"/>
                <w:bCs w:val="1"/>
                <w:color w:val="auto"/>
              </w:rPr>
              <w:t>Total</w:t>
            </w:r>
          </w:p>
        </w:tc>
      </w:tr>
      <w:tr>
        <w:trPr>
          <w:trHeight w:val="37"/>
        </w:trPr>
        <w:tc>
          <w:tcPr>
            <w:tcW w:w="52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18"/>
        </w:trPr>
        <w:tc>
          <w:tcPr>
            <w:tcW w:w="520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8"/>
        </w:trPr>
        <w:tc>
          <w:tcPr>
            <w:tcW w:w="5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Money market funds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232,813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232,813</w:t>
            </w:r>
          </w:p>
        </w:tc>
      </w:tr>
      <w:tr>
        <w:trPr>
          <w:trHeight w:val="251"/>
        </w:trPr>
        <w:tc>
          <w:tcPr>
            <w:tcW w:w="5200" w:type="dxa"/>
            <w:vAlign w:val="bottom"/>
          </w:tcPr>
          <w:p>
            <w:pPr>
              <w:ind w:left="220"/>
              <w:spacing w:after="0"/>
              <w:rPr>
                <w:sz w:val="20"/>
                <w:szCs w:val="20"/>
                <w:color w:val="auto"/>
              </w:rPr>
            </w:pPr>
            <w:r>
              <w:rPr>
                <w:rFonts w:ascii="Arial" w:cs="Arial" w:eastAsia="Arial" w:hAnsi="Arial"/>
                <w:sz w:val="17"/>
                <w:szCs w:val="17"/>
                <w:color w:val="auto"/>
              </w:rPr>
              <w:t>Total cash equivalents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232,813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232,813</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U.S. Treasury securities</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260,447</w:t>
            </w: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260,447</w:t>
            </w:r>
          </w:p>
        </w:tc>
      </w:tr>
      <w:tr>
        <w:trPr>
          <w:trHeight w:val="251"/>
        </w:trPr>
        <w:tc>
          <w:tcPr>
            <w:tcW w:w="5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investments</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260,447</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260,447</w:t>
            </w:r>
          </w:p>
        </w:tc>
      </w:tr>
      <w:tr>
        <w:trPr>
          <w:trHeight w:val="252"/>
        </w:trPr>
        <w:tc>
          <w:tcPr>
            <w:tcW w:w="5200" w:type="dxa"/>
            <w:vAlign w:val="bottom"/>
          </w:tcPr>
          <w:p>
            <w:pPr>
              <w:ind w:left="20"/>
              <w:spacing w:after="0"/>
              <w:rPr>
                <w:sz w:val="20"/>
                <w:szCs w:val="20"/>
                <w:color w:val="auto"/>
              </w:rPr>
            </w:pPr>
            <w:r>
              <w:rPr>
                <w:rFonts w:ascii="Arial" w:cs="Arial" w:eastAsia="Arial" w:hAnsi="Arial"/>
                <w:sz w:val="17"/>
                <w:szCs w:val="17"/>
                <w:color w:val="auto"/>
              </w:rPr>
              <w:t>Total assets measured at fair value</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232,813</w:t>
            </w:r>
          </w:p>
        </w:tc>
        <w:tc>
          <w:tcPr>
            <w:tcW w:w="100" w:type="dxa"/>
            <w:vAlign w:val="bottom"/>
          </w:tcPr>
          <w:p>
            <w:pPr>
              <w:spacing w:after="0"/>
              <w:rPr>
                <w:sz w:val="21"/>
                <w:szCs w:val="21"/>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260,447</w:t>
            </w:r>
          </w:p>
        </w:tc>
        <w:tc>
          <w:tcPr>
            <w:tcW w:w="80" w:type="dxa"/>
            <w:vAlign w:val="bottom"/>
          </w:tcPr>
          <w:p>
            <w:pPr>
              <w:spacing w:after="0"/>
              <w:rPr>
                <w:sz w:val="21"/>
                <w:szCs w:val="21"/>
                <w:color w:val="auto"/>
              </w:rPr>
            </w:pPr>
          </w:p>
        </w:tc>
        <w:tc>
          <w:tcPr>
            <w:tcW w:w="1080" w:type="dxa"/>
            <w:vAlign w:val="bottom"/>
          </w:tcPr>
          <w:p>
            <w:pPr>
              <w:jc w:val="right"/>
              <w:ind w:right="900"/>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493,260</w:t>
            </w:r>
          </w:p>
        </w:tc>
      </w:tr>
      <w:tr>
        <w:trPr>
          <w:trHeight w:val="20"/>
        </w:trPr>
        <w:tc>
          <w:tcPr>
            <w:tcW w:w="5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2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carrying amount of the Company’s accounts receivable, other receivables, prepaid expenses and other current assets, accounts payable, and accrued expenses approximate fair value due to their short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Company’s cash equivalents and investments and the gross unrealized holding gains and losses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gridSpan w:val="5"/>
          </w:tcPr>
          <w:p>
            <w:pPr>
              <w:ind w:left="740"/>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7"/>
        </w:trPr>
        <w:tc>
          <w:tcPr>
            <w:tcW w:w="5200" w:type="dxa"/>
            <w:vAlign w:val="bottom"/>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79"/>
        </w:trPr>
        <w:tc>
          <w:tcPr>
            <w:tcW w:w="5200" w:type="dxa"/>
            <w:vAlign w:val="bottom"/>
          </w:tcPr>
          <w:p>
            <w:pPr>
              <w:spacing w:after="0"/>
              <w:rPr>
                <w:sz w:val="15"/>
                <w:szCs w:val="15"/>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Amortized Cost Basis</w:t>
            </w:r>
          </w:p>
        </w:tc>
        <w:tc>
          <w:tcPr>
            <w:tcW w:w="16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6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260" w:type="dxa"/>
            <w:vAlign w:val="bottom"/>
          </w:tcPr>
          <w:p>
            <w:pPr>
              <w:spacing w:after="0"/>
              <w:rPr>
                <w:sz w:val="15"/>
                <w:szCs w:val="15"/>
                <w:color w:val="auto"/>
              </w:rPr>
            </w:pP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22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4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18"/>
        </w:trPr>
        <w:tc>
          <w:tcPr>
            <w:tcW w:w="520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5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Money market funds</w:t>
            </w:r>
          </w:p>
        </w:tc>
        <w:tc>
          <w:tcPr>
            <w:tcW w:w="460" w:type="dxa"/>
            <w:vAlign w:val="bottom"/>
            <w:shd w:val="clear" w:color="auto" w:fill="CCEEFF"/>
          </w:tcPr>
          <w:p>
            <w:pPr>
              <w:jc w:val="right"/>
              <w:ind w:right="28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55,155</w:t>
            </w:r>
          </w:p>
        </w:tc>
      </w:tr>
      <w:tr>
        <w:trPr>
          <w:trHeight w:val="218"/>
        </w:trPr>
        <w:tc>
          <w:tcPr>
            <w:tcW w:w="5200" w:type="dxa"/>
            <w:vAlign w:val="bottom"/>
          </w:tcPr>
          <w:p>
            <w:pPr>
              <w:ind w:left="120"/>
              <w:spacing w:after="0"/>
              <w:rPr>
                <w:sz w:val="20"/>
                <w:szCs w:val="20"/>
                <w:color w:val="auto"/>
              </w:rPr>
            </w:pPr>
            <w:r>
              <w:rPr>
                <w:rFonts w:ascii="Arial" w:cs="Arial" w:eastAsia="Arial" w:hAnsi="Arial"/>
                <w:sz w:val="17"/>
                <w:szCs w:val="17"/>
                <w:color w:val="auto"/>
              </w:rPr>
              <w:t>Commercial paper</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3,976</w:t>
            </w:r>
          </w:p>
        </w:tc>
      </w:tr>
      <w:tr>
        <w:trPr>
          <w:trHeight w:val="220"/>
        </w:trPr>
        <w:tc>
          <w:tcPr>
            <w:tcW w:w="5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Corporate debt securities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8,938</w:t>
            </w:r>
          </w:p>
        </w:tc>
      </w:tr>
      <w:tr>
        <w:trPr>
          <w:trHeight w:val="211"/>
        </w:trPr>
        <w:tc>
          <w:tcPr>
            <w:tcW w:w="5200" w:type="dxa"/>
            <w:vAlign w:val="bottom"/>
          </w:tcPr>
          <w:p>
            <w:pPr>
              <w:ind w:left="220"/>
              <w:spacing w:after="0"/>
              <w:rPr>
                <w:sz w:val="20"/>
                <w:szCs w:val="20"/>
                <w:color w:val="auto"/>
              </w:rPr>
            </w:pPr>
            <w:r>
              <w:rPr>
                <w:rFonts w:ascii="Arial" w:cs="Arial" w:eastAsia="Arial" w:hAnsi="Arial"/>
                <w:sz w:val="17"/>
                <w:szCs w:val="17"/>
                <w:color w:val="auto"/>
              </w:rPr>
              <w:t>Total cash equivalents</w:t>
            </w: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68,071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68,069</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5200" w:type="dxa"/>
            <w:vAlign w:val="bottom"/>
          </w:tcPr>
          <w:p>
            <w:pPr>
              <w:ind w:left="120"/>
              <w:spacing w:after="0"/>
              <w:rPr>
                <w:sz w:val="20"/>
                <w:szCs w:val="20"/>
                <w:color w:val="auto"/>
              </w:rPr>
            </w:pPr>
            <w:r>
              <w:rPr>
                <w:rFonts w:ascii="Arial" w:cs="Arial" w:eastAsia="Arial" w:hAnsi="Arial"/>
                <w:sz w:val="17"/>
                <w:szCs w:val="17"/>
                <w:color w:val="auto"/>
              </w:rPr>
              <w:t>U.S. Treasury securities</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239,702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237,571</w:t>
            </w:r>
          </w:p>
        </w:tc>
      </w:tr>
      <w:tr>
        <w:trPr>
          <w:trHeight w:val="220"/>
        </w:trPr>
        <w:tc>
          <w:tcPr>
            <w:tcW w:w="5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Commercial paper</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61,585</w:t>
            </w:r>
          </w:p>
        </w:tc>
      </w:tr>
      <w:tr>
        <w:trPr>
          <w:trHeight w:val="257"/>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Corporate debt securities</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74,129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73,712</w:t>
            </w:r>
          </w:p>
        </w:tc>
      </w:tr>
      <w:tr>
        <w:trPr>
          <w:trHeight w:val="212"/>
        </w:trPr>
        <w:tc>
          <w:tcPr>
            <w:tcW w:w="5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investments</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375,558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372,868</w:t>
            </w:r>
          </w:p>
        </w:tc>
      </w:tr>
      <w:tr>
        <w:trPr>
          <w:trHeight w:val="213"/>
        </w:trPr>
        <w:tc>
          <w:tcPr>
            <w:tcW w:w="5200" w:type="dxa"/>
            <w:vAlign w:val="bottom"/>
          </w:tcPr>
          <w:p>
            <w:pPr>
              <w:ind w:left="20"/>
              <w:spacing w:after="0"/>
              <w:rPr>
                <w:sz w:val="20"/>
                <w:szCs w:val="20"/>
                <w:color w:val="auto"/>
              </w:rPr>
            </w:pPr>
            <w:r>
              <w:rPr>
                <w:rFonts w:ascii="Arial" w:cs="Arial" w:eastAsia="Arial" w:hAnsi="Arial"/>
                <w:sz w:val="17"/>
                <w:szCs w:val="17"/>
                <w:color w:val="auto"/>
              </w:rPr>
              <w:t>Total assets measured at fair value</w:t>
            </w: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443,629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440,937</w:t>
            </w:r>
          </w:p>
        </w:tc>
      </w:tr>
      <w:tr>
        <w:trPr>
          <w:trHeight w:val="20"/>
        </w:trPr>
        <w:tc>
          <w:tcPr>
            <w:tcW w:w="5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44"/>
        </w:trPr>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5"/>
          </w:tcPr>
          <w:p>
            <w:pPr>
              <w:ind w:left="76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5200" w:type="dxa"/>
            <w:vAlign w:val="bottom"/>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79"/>
        </w:trPr>
        <w:tc>
          <w:tcPr>
            <w:tcW w:w="5200" w:type="dxa"/>
            <w:vAlign w:val="bottom"/>
          </w:tcPr>
          <w:p>
            <w:pPr>
              <w:spacing w:after="0"/>
              <w:rPr>
                <w:sz w:val="15"/>
                <w:szCs w:val="15"/>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Amortized Cost Basis</w:t>
            </w:r>
          </w:p>
        </w:tc>
        <w:tc>
          <w:tcPr>
            <w:tcW w:w="16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6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260" w:type="dxa"/>
            <w:vAlign w:val="bottom"/>
          </w:tcPr>
          <w:p>
            <w:pPr>
              <w:spacing w:after="0"/>
              <w:rPr>
                <w:sz w:val="15"/>
                <w:szCs w:val="15"/>
                <w:color w:val="auto"/>
              </w:rPr>
            </w:pP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22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4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18"/>
        </w:trPr>
        <w:tc>
          <w:tcPr>
            <w:tcW w:w="520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9"/>
        </w:trPr>
        <w:tc>
          <w:tcPr>
            <w:tcW w:w="5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Money market funds</w:t>
            </w: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232,813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232,813</w:t>
            </w:r>
          </w:p>
        </w:tc>
      </w:tr>
      <w:tr>
        <w:trPr>
          <w:trHeight w:val="211"/>
        </w:trPr>
        <w:tc>
          <w:tcPr>
            <w:tcW w:w="5200" w:type="dxa"/>
            <w:vAlign w:val="bottom"/>
          </w:tcPr>
          <w:p>
            <w:pPr>
              <w:ind w:left="120"/>
              <w:spacing w:after="0"/>
              <w:rPr>
                <w:sz w:val="20"/>
                <w:szCs w:val="20"/>
                <w:color w:val="auto"/>
              </w:rPr>
            </w:pPr>
            <w:r>
              <w:rPr>
                <w:rFonts w:ascii="Arial" w:cs="Arial" w:eastAsia="Arial" w:hAnsi="Arial"/>
                <w:sz w:val="17"/>
                <w:szCs w:val="17"/>
                <w:color w:val="auto"/>
              </w:rPr>
              <w:t>Total cash equivalents</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232,813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232,813</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U.S. Treasury securities</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260,983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260,447</w:t>
            </w:r>
          </w:p>
        </w:tc>
      </w:tr>
      <w:tr>
        <w:trPr>
          <w:trHeight w:val="212"/>
        </w:trPr>
        <w:tc>
          <w:tcPr>
            <w:tcW w:w="5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investments</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260,983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260,447</w:t>
            </w:r>
          </w:p>
        </w:tc>
      </w:tr>
      <w:tr>
        <w:trPr>
          <w:trHeight w:val="213"/>
        </w:trPr>
        <w:tc>
          <w:tcPr>
            <w:tcW w:w="5200" w:type="dxa"/>
            <w:vAlign w:val="bottom"/>
          </w:tcPr>
          <w:p>
            <w:pPr>
              <w:ind w:left="20"/>
              <w:spacing w:after="0"/>
              <w:rPr>
                <w:sz w:val="20"/>
                <w:szCs w:val="20"/>
                <w:color w:val="auto"/>
              </w:rPr>
            </w:pPr>
            <w:r>
              <w:rPr>
                <w:rFonts w:ascii="Arial" w:cs="Arial" w:eastAsia="Arial" w:hAnsi="Arial"/>
                <w:sz w:val="17"/>
                <w:szCs w:val="17"/>
                <w:color w:val="auto"/>
              </w:rPr>
              <w:t>Total assets measured at fair value</w:t>
            </w:r>
          </w:p>
        </w:tc>
        <w:tc>
          <w:tcPr>
            <w:tcW w:w="460" w:type="dxa"/>
            <w:vAlign w:val="bottom"/>
          </w:tcPr>
          <w:p>
            <w:pPr>
              <w:jc w:val="right"/>
              <w:ind w:right="280"/>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493,796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(536)</w:t>
            </w:r>
          </w:p>
        </w:tc>
        <w:tc>
          <w:tcPr>
            <w:tcW w:w="8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493,260</w:t>
            </w:r>
          </w:p>
        </w:tc>
      </w:tr>
      <w:tr>
        <w:trPr>
          <w:trHeight w:val="20"/>
        </w:trPr>
        <w:tc>
          <w:tcPr>
            <w:tcW w:w="5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As of September 30, 2022 and December 31, 2021, unrealized losses on available-for-sale investments are not attributable to credit risk and are considered to be temporary. Approximately $0.5 million of the Company’s investments have been in a continuous unrealized loss position for 12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September 30, 2022, $4.9 million of available-for-sale investments had remaining maturities between one and two years. The remainder of the available-for-sale investments have a remaining maturity of one year or less. As of September 30, 2022 and December 31, 2021, the Company recorded $0.9 million and $0.3 million of accrued interest, respectively, related to its available-for-sale investments as a component of other receivables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219"/>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7"/>
                <w:szCs w:val="17"/>
                <w:b w:val="1"/>
                <w:bCs w:val="1"/>
                <w:color w:val="auto"/>
              </w:rPr>
              <w:t>4.</w:t>
            </w:r>
          </w:p>
        </w:tc>
        <w:tc>
          <w:tcPr>
            <w:tcW w:w="5940" w:type="dxa"/>
            <w:vAlign w:val="bottom"/>
          </w:tcPr>
          <w:p>
            <w:pPr>
              <w:ind w:left="240"/>
              <w:spacing w:after="0"/>
              <w:rPr>
                <w:sz w:val="20"/>
                <w:szCs w:val="20"/>
                <w:color w:val="auto"/>
              </w:rPr>
            </w:pPr>
            <w:r>
              <w:rPr>
                <w:rFonts w:ascii="Arial" w:cs="Arial" w:eastAsia="Arial" w:hAnsi="Arial"/>
                <w:sz w:val="17"/>
                <w:szCs w:val="17"/>
                <w:b w:val="1"/>
                <w:bCs w:val="1"/>
                <w:color w:val="auto"/>
              </w:rPr>
              <w:t>OTHER FINANCIAL STATEMENT INFORMATION</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63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Inventory</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320" w:type="dxa"/>
            <w:vAlign w:val="bottom"/>
            <w:gridSpan w:val="2"/>
          </w:tcPr>
          <w:p>
            <w:pPr>
              <w:spacing w:after="0"/>
              <w:rPr>
                <w:sz w:val="20"/>
                <w:szCs w:val="20"/>
                <w:color w:val="auto"/>
              </w:rPr>
            </w:pPr>
            <w:r>
              <w:rPr>
                <w:rFonts w:ascii="Arial" w:cs="Arial" w:eastAsia="Arial" w:hAnsi="Arial"/>
                <w:sz w:val="17"/>
                <w:szCs w:val="17"/>
                <w:color w:val="auto"/>
              </w:rPr>
              <w:t>Inventory consists of the following (in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260" w:type="dxa"/>
            <w:vAlign w:val="bottom"/>
          </w:tcPr>
          <w:p>
            <w:pPr>
              <w:spacing w:after="0"/>
              <w:rPr>
                <w:sz w:val="24"/>
                <w:szCs w:val="24"/>
                <w:color w:val="auto"/>
              </w:rPr>
            </w:pPr>
          </w:p>
        </w:tc>
        <w:tc>
          <w:tcPr>
            <w:tcW w:w="1340" w:type="dxa"/>
            <w:vAlign w:val="bottom"/>
          </w:tcPr>
          <w:p>
            <w:pPr>
              <w:jc w:val="center"/>
              <w:ind w:right="178"/>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ind w:right="17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7"/>
        </w:trPr>
        <w:tc>
          <w:tcPr>
            <w:tcW w:w="632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1,836</w:t>
            </w:r>
          </w:p>
        </w:tc>
        <w:tc>
          <w:tcPr>
            <w:tcW w:w="0" w:type="dxa"/>
            <w:vAlign w:val="bottom"/>
          </w:tcPr>
          <w:p>
            <w:pPr>
              <w:spacing w:after="0"/>
              <w:rPr>
                <w:sz w:val="1"/>
                <w:szCs w:val="1"/>
                <w:color w:val="auto"/>
              </w:rPr>
            </w:pP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Work-in-progress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231F20"/>
              </w:rPr>
              <w:t>209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1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2,088</w:t>
            </w:r>
          </w:p>
        </w:tc>
        <w:tc>
          <w:tcPr>
            <w:tcW w:w="0" w:type="dxa"/>
            <w:vAlign w:val="bottom"/>
          </w:tcPr>
          <w:p>
            <w:pPr>
              <w:spacing w:after="0"/>
              <w:rPr>
                <w:sz w:val="1"/>
                <w:szCs w:val="1"/>
                <w:color w:val="auto"/>
              </w:rPr>
            </w:pPr>
          </w:p>
        </w:tc>
      </w:tr>
      <w:tr>
        <w:trPr>
          <w:trHeight w:val="213"/>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Total inventory</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4,145</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Property and Equipment, Net</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6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320" w:type="dxa"/>
            <w:vAlign w:val="bottom"/>
            <w:gridSpan w:val="2"/>
          </w:tcPr>
          <w:p>
            <w:pPr>
              <w:spacing w:after="0"/>
              <w:rPr>
                <w:sz w:val="20"/>
                <w:szCs w:val="20"/>
                <w:color w:val="auto"/>
              </w:rPr>
            </w:pPr>
            <w:r>
              <w:rPr>
                <w:rFonts w:ascii="Arial" w:cs="Arial" w:eastAsia="Arial" w:hAnsi="Arial"/>
                <w:sz w:val="17"/>
                <w:szCs w:val="17"/>
                <w:color w:val="auto"/>
              </w:rPr>
              <w:t>Property and equipment, net consists of the following (in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260" w:type="dxa"/>
            <w:vAlign w:val="bottom"/>
          </w:tcPr>
          <w:p>
            <w:pPr>
              <w:spacing w:after="0"/>
              <w:rPr>
                <w:sz w:val="24"/>
                <w:szCs w:val="24"/>
                <w:color w:val="auto"/>
              </w:rPr>
            </w:pPr>
          </w:p>
        </w:tc>
        <w:tc>
          <w:tcPr>
            <w:tcW w:w="1340" w:type="dxa"/>
            <w:vAlign w:val="bottom"/>
          </w:tcPr>
          <w:p>
            <w:pPr>
              <w:jc w:val="center"/>
              <w:ind w:right="178"/>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ind w:right="17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7"/>
        </w:trPr>
        <w:tc>
          <w:tcPr>
            <w:tcW w:w="632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Laboratory equipment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13,823</w:t>
            </w:r>
          </w:p>
        </w:tc>
        <w:tc>
          <w:tcPr>
            <w:tcW w:w="0" w:type="dxa"/>
            <w:vAlign w:val="bottom"/>
          </w:tcPr>
          <w:p>
            <w:pPr>
              <w:spacing w:after="0"/>
              <w:rPr>
                <w:sz w:val="1"/>
                <w:szCs w:val="1"/>
                <w:color w:val="auto"/>
              </w:rPr>
            </w:pP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Computer equipment and software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2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3,235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2,449</w:t>
            </w:r>
          </w:p>
        </w:tc>
        <w:tc>
          <w:tcPr>
            <w:tcW w:w="0" w:type="dxa"/>
            <w:vAlign w:val="bottom"/>
          </w:tcPr>
          <w:p>
            <w:pPr>
              <w:spacing w:after="0"/>
              <w:rPr>
                <w:sz w:val="1"/>
                <w:szCs w:val="1"/>
                <w:color w:val="auto"/>
              </w:rPr>
            </w:pPr>
          </w:p>
        </w:tc>
      </w:tr>
      <w:tr>
        <w:trPr>
          <w:trHeight w:val="22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Construction-in-progress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0" w:type="dxa"/>
            <w:vAlign w:val="bottom"/>
          </w:tcPr>
          <w:p>
            <w:pPr>
              <w:spacing w:after="0"/>
              <w:rPr>
                <w:sz w:val="1"/>
                <w:szCs w:val="1"/>
                <w:color w:val="auto"/>
              </w:rPr>
            </w:pPr>
          </w:p>
        </w:tc>
      </w:tr>
      <w:tr>
        <w:trPr>
          <w:trHeight w:val="211"/>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Property and equipment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22,869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17,995</w:t>
            </w:r>
          </w:p>
        </w:tc>
        <w:tc>
          <w:tcPr>
            <w:tcW w:w="0" w:type="dxa"/>
            <w:vAlign w:val="bottom"/>
          </w:tcPr>
          <w:p>
            <w:pPr>
              <w:spacing w:after="0"/>
              <w:rPr>
                <w:sz w:val="1"/>
                <w:szCs w:val="1"/>
                <w:color w:val="auto"/>
              </w:rPr>
            </w:pPr>
          </w:p>
        </w:tc>
      </w:tr>
      <w:tr>
        <w:trPr>
          <w:trHeight w:val="21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(4,908)</w:t>
            </w:r>
          </w:p>
        </w:tc>
        <w:tc>
          <w:tcPr>
            <w:tcW w:w="0" w:type="dxa"/>
            <w:vAlign w:val="bottom"/>
          </w:tcPr>
          <w:p>
            <w:pPr>
              <w:spacing w:after="0"/>
              <w:rPr>
                <w:sz w:val="1"/>
                <w:szCs w:val="1"/>
                <w:color w:val="auto"/>
              </w:rPr>
            </w:pPr>
          </w:p>
        </w:tc>
      </w:tr>
      <w:tr>
        <w:trPr>
          <w:trHeight w:val="213"/>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Total property and equipment, net</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16,084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Depreciation and amortization expense related to property and equipment was $1.0 million and $0.7 million for the three months ended September 30, 2022 and 2021, respectively. Depreciation and amortization expense related to property and equipment was $2.8 million and $1.7 million for the nine months ended September 30, 2022 and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340" w:type="dxa"/>
            <w:vAlign w:val="bottom"/>
          </w:tcPr>
          <w:p>
            <w:pPr>
              <w:jc w:val="right"/>
              <w:ind w:right="319"/>
              <w:spacing w:after="0"/>
              <w:rPr>
                <w:sz w:val="20"/>
                <w:szCs w:val="20"/>
                <w:color w:val="auto"/>
              </w:rPr>
            </w:pPr>
            <w:r>
              <w:rPr>
                <w:rFonts w:ascii="Arial" w:cs="Arial" w:eastAsia="Arial" w:hAnsi="Arial"/>
                <w:sz w:val="14"/>
                <w:szCs w:val="14"/>
                <w:b w:val="1"/>
                <w:bCs w:val="1"/>
                <w:color w:val="auto"/>
              </w:rPr>
              <w:t>December 31,</w:t>
            </w:r>
          </w:p>
        </w:tc>
      </w:tr>
      <w:tr>
        <w:trPr>
          <w:trHeight w:val="219"/>
        </w:trPr>
        <w:tc>
          <w:tcPr>
            <w:tcW w:w="6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37"/>
        </w:trPr>
        <w:tc>
          <w:tcPr>
            <w:tcW w:w="63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compensation</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4,730</w:t>
            </w:r>
          </w:p>
        </w:tc>
      </w:tr>
      <w:tr>
        <w:trPr>
          <w:trHeight w:val="218"/>
        </w:trPr>
        <w:tc>
          <w:tcPr>
            <w:tcW w:w="6320" w:type="dxa"/>
            <w:vAlign w:val="bottom"/>
          </w:tcPr>
          <w:p>
            <w:pPr>
              <w:ind w:left="20"/>
              <w:spacing w:after="0"/>
              <w:rPr>
                <w:sz w:val="20"/>
                <w:szCs w:val="20"/>
                <w:color w:val="auto"/>
              </w:rPr>
            </w:pPr>
            <w:r>
              <w:rPr>
                <w:rFonts w:ascii="Arial" w:cs="Arial" w:eastAsia="Arial" w:hAnsi="Arial"/>
                <w:sz w:val="17"/>
                <w:szCs w:val="17"/>
                <w:color w:val="auto"/>
              </w:rPr>
              <w:t>Accrued professional services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388</w:t>
            </w:r>
          </w:p>
        </w:tc>
      </w:tr>
      <w:tr>
        <w:trPr>
          <w:trHeight w:val="220"/>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taxes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r>
      <w:tr>
        <w:trPr>
          <w:trHeight w:val="21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2,819</w:t>
            </w:r>
          </w:p>
        </w:tc>
      </w:tr>
      <w:tr>
        <w:trPr>
          <w:trHeight w:val="23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accrued expenses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620" w:hanging="617"/>
        <w:spacing w:after="0"/>
        <w:tabs>
          <w:tab w:leader="none" w:pos="6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REVENUE AND DEFERRED REVENUE</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Product revenue consists of an instrument with embedded software essential to the instrument’s functionality, consumables and platform evaluation agreements. Service revenue primarily consists of revenue received from the generation and analysis of proteomic data on behalf of the customer. Related party revenue is comprised of both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760"/>
        <w:spacing w:after="0" w:line="279" w:lineRule="auto"/>
        <w:rPr>
          <w:sz w:val="20"/>
          <w:szCs w:val="20"/>
          <w:color w:val="auto"/>
        </w:rPr>
      </w:pPr>
      <w:r>
        <w:rPr>
          <w:rFonts w:ascii="Arial" w:cs="Arial" w:eastAsia="Arial" w:hAnsi="Arial"/>
          <w:sz w:val="17"/>
          <w:szCs w:val="17"/>
          <w:color w:val="auto"/>
        </w:rPr>
        <w:t>sale of products and services performed for PrognomIQ, as further discussed in Note 9. Grant revenues consist of services performed specifically for the reimbursement of research-related expenses.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Revenue</w:t>
      </w:r>
    </w:p>
    <w:p>
      <w:pPr>
        <w:spacing w:after="0" w:line="165"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For the three and nine months ended September 30, 2022, the Company recognized $2.6 million and $7.1 million of product revenue to non-related customers, respectively. For the three and nine months ended September 30, 2021, the Company recognized $0.9 million and $1.7 million of product revenue to non-related customers, respectively.</w:t>
      </w:r>
    </w:p>
    <w:p>
      <w:pPr>
        <w:spacing w:after="0" w:line="124" w:lineRule="exact"/>
        <w:rPr>
          <w:sz w:val="20"/>
          <w:szCs w:val="20"/>
          <w:color w:val="auto"/>
        </w:rPr>
      </w:pPr>
    </w:p>
    <w:p>
      <w:pPr>
        <w:ind w:right="80"/>
        <w:spacing w:after="0" w:line="443" w:lineRule="auto"/>
        <w:rPr>
          <w:sz w:val="20"/>
          <w:szCs w:val="20"/>
          <w:color w:val="auto"/>
        </w:rPr>
      </w:pPr>
      <w:r>
        <w:rPr>
          <w:rFonts w:ascii="Arial" w:cs="Arial" w:eastAsia="Arial" w:hAnsi="Arial"/>
          <w:sz w:val="17"/>
          <w:szCs w:val="17"/>
          <w:color w:val="auto"/>
        </w:rPr>
        <w:t xml:space="preserve">As of September 30, 2022 and December 31, 2021, the Company recorded $0.1 million and $0.4 million of deferred revenue related to product sales, respectively. </w:t>
      </w:r>
      <w:r>
        <w:rPr>
          <w:rFonts w:ascii="Arial" w:cs="Arial" w:eastAsia="Arial" w:hAnsi="Arial"/>
          <w:sz w:val="17"/>
          <w:szCs w:val="17"/>
          <w:b w:val="1"/>
          <w:bCs w:val="1"/>
          <w:i w:val="1"/>
          <w:iCs w:val="1"/>
          <w:color w:val="auto"/>
        </w:rPr>
        <w:t>Service Revenue</w:t>
      </w:r>
    </w:p>
    <w:p>
      <w:pPr>
        <w:ind w:right="360"/>
        <w:spacing w:after="0" w:line="279" w:lineRule="auto"/>
        <w:rPr>
          <w:sz w:val="20"/>
          <w:szCs w:val="20"/>
          <w:color w:val="auto"/>
        </w:rPr>
      </w:pPr>
      <w:r>
        <w:rPr>
          <w:rFonts w:ascii="Arial" w:cs="Arial" w:eastAsia="Arial" w:hAnsi="Arial"/>
          <w:sz w:val="17"/>
          <w:szCs w:val="17"/>
          <w:color w:val="auto"/>
        </w:rPr>
        <w:t>For the three and nine months ended September 30, 2022, the Company recognized $0.1 million and $0.2 million of service revenue to non-related customers,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2022 and December 31, 2021, the Company recorded $0.2 million and $0 of deferred service revenue,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Deferred revenue activity for the period ended September 30, 2022 and December 31, 2021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260" w:type="dxa"/>
            <w:vAlign w:val="bottom"/>
          </w:tcPr>
          <w:p>
            <w:pPr>
              <w:spacing w:after="0"/>
              <w:rPr>
                <w:sz w:val="15"/>
                <w:szCs w:val="15"/>
                <w:color w:val="auto"/>
              </w:rPr>
            </w:pPr>
          </w:p>
        </w:tc>
        <w:tc>
          <w:tcPr>
            <w:tcW w:w="1340" w:type="dxa"/>
            <w:vAlign w:val="bottom"/>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r>
      <w:tr>
        <w:trPr>
          <w:trHeight w:val="219"/>
        </w:trPr>
        <w:tc>
          <w:tcPr>
            <w:tcW w:w="6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580"/>
              <w:spacing w:after="0"/>
              <w:rPr>
                <w:sz w:val="20"/>
                <w:szCs w:val="20"/>
                <w:color w:val="auto"/>
              </w:rPr>
            </w:pPr>
            <w:r>
              <w:rPr>
                <w:rFonts w:ascii="Arial" w:cs="Arial" w:eastAsia="Arial" w:hAnsi="Arial"/>
                <w:sz w:val="14"/>
                <w:szCs w:val="14"/>
                <w:b w:val="1"/>
                <w:bCs w:val="1"/>
                <w:color w:val="auto"/>
              </w:rPr>
              <w:t>2021</w:t>
            </w:r>
          </w:p>
        </w:tc>
      </w:tr>
      <w:tr>
        <w:trPr>
          <w:trHeight w:val="37"/>
        </w:trPr>
        <w:tc>
          <w:tcPr>
            <w:tcW w:w="63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beginning of period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center"/>
              <w:ind w:left="880"/>
              <w:spacing w:after="0"/>
              <w:rPr>
                <w:sz w:val="20"/>
                <w:szCs w:val="20"/>
                <w:color w:val="auto"/>
              </w:rPr>
            </w:pPr>
            <w:r>
              <w:rPr>
                <w:rFonts w:ascii="Arial" w:cs="Arial" w:eastAsia="Arial" w:hAnsi="Arial"/>
                <w:sz w:val="17"/>
                <w:szCs w:val="17"/>
                <w:color w:val="auto"/>
                <w:w w:val="91"/>
              </w:rPr>
              <w:t>376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center"/>
              <w:ind w:left="840"/>
              <w:spacing w:after="0"/>
              <w:rPr>
                <w:sz w:val="20"/>
                <w:szCs w:val="20"/>
                <w:color w:val="auto"/>
              </w:rPr>
            </w:pPr>
            <w:r>
              <w:rPr>
                <w:rFonts w:ascii="Arial" w:cs="Arial" w:eastAsia="Arial" w:hAnsi="Arial"/>
                <w:sz w:val="17"/>
                <w:szCs w:val="17"/>
                <w:color w:val="auto"/>
                <w:w w:val="91"/>
              </w:rPr>
              <w:t>250</w:t>
            </w:r>
          </w:p>
        </w:tc>
      </w:tr>
      <w:tr>
        <w:trPr>
          <w:trHeight w:val="218"/>
        </w:trPr>
        <w:tc>
          <w:tcPr>
            <w:tcW w:w="6320" w:type="dxa"/>
            <w:vAlign w:val="bottom"/>
          </w:tcPr>
          <w:p>
            <w:pPr>
              <w:ind w:left="20"/>
              <w:spacing w:after="0"/>
              <w:rPr>
                <w:sz w:val="20"/>
                <w:szCs w:val="20"/>
                <w:color w:val="auto"/>
              </w:rPr>
            </w:pPr>
            <w:r>
              <w:rPr>
                <w:rFonts w:ascii="Arial" w:cs="Arial" w:eastAsia="Arial" w:hAnsi="Arial"/>
                <w:sz w:val="17"/>
                <w:szCs w:val="17"/>
                <w:color w:val="auto"/>
              </w:rPr>
              <w:t>Additions</w:t>
            </w:r>
          </w:p>
        </w:tc>
        <w:tc>
          <w:tcPr>
            <w:tcW w:w="240" w:type="dxa"/>
            <w:vAlign w:val="bottom"/>
          </w:tcPr>
          <w:p>
            <w:pPr>
              <w:spacing w:after="0"/>
              <w:rPr>
                <w:sz w:val="18"/>
                <w:szCs w:val="18"/>
                <w:color w:val="auto"/>
              </w:rPr>
            </w:pPr>
          </w:p>
        </w:tc>
        <w:tc>
          <w:tcPr>
            <w:tcW w:w="1340" w:type="dxa"/>
            <w:vAlign w:val="bottom"/>
          </w:tcPr>
          <w:p>
            <w:pPr>
              <w:jc w:val="center"/>
              <w:ind w:left="880"/>
              <w:spacing w:after="0"/>
              <w:rPr>
                <w:sz w:val="20"/>
                <w:szCs w:val="20"/>
                <w:color w:val="auto"/>
              </w:rPr>
            </w:pPr>
            <w:r>
              <w:rPr>
                <w:rFonts w:ascii="Arial" w:cs="Arial" w:eastAsia="Arial" w:hAnsi="Arial"/>
                <w:sz w:val="17"/>
                <w:szCs w:val="17"/>
                <w:color w:val="auto"/>
                <w:w w:val="91"/>
              </w:rPr>
              <w:t>716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ind w:left="840"/>
              <w:spacing w:after="0"/>
              <w:rPr>
                <w:sz w:val="20"/>
                <w:szCs w:val="20"/>
                <w:color w:val="auto"/>
              </w:rPr>
            </w:pPr>
            <w:r>
              <w:rPr>
                <w:rFonts w:ascii="Arial" w:cs="Arial" w:eastAsia="Arial" w:hAnsi="Arial"/>
                <w:sz w:val="17"/>
                <w:szCs w:val="17"/>
                <w:color w:val="auto"/>
                <w:w w:val="91"/>
              </w:rPr>
              <w:t>376</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recognized</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40"/>
              <w:spacing w:after="0"/>
              <w:rPr>
                <w:sz w:val="20"/>
                <w:szCs w:val="20"/>
                <w:color w:val="auto"/>
              </w:rPr>
            </w:pPr>
            <w:r>
              <w:rPr>
                <w:rFonts w:ascii="Arial" w:cs="Arial" w:eastAsia="Arial" w:hAnsi="Arial"/>
                <w:sz w:val="17"/>
                <w:szCs w:val="17"/>
                <w:color w:val="auto"/>
                <w:w w:val="95"/>
              </w:rPr>
              <w:t>(767)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20"/>
              <w:spacing w:after="0"/>
              <w:rPr>
                <w:sz w:val="20"/>
                <w:szCs w:val="20"/>
                <w:color w:val="auto"/>
              </w:rPr>
            </w:pPr>
            <w:r>
              <w:rPr>
                <w:rFonts w:ascii="Arial" w:cs="Arial" w:eastAsia="Arial" w:hAnsi="Arial"/>
                <w:sz w:val="17"/>
                <w:szCs w:val="17"/>
                <w:color w:val="auto"/>
                <w:w w:val="90"/>
              </w:rPr>
              <w:t>(250)</w:t>
            </w:r>
          </w:p>
        </w:tc>
      </w:tr>
      <w:tr>
        <w:trPr>
          <w:trHeight w:val="213"/>
        </w:trPr>
        <w:tc>
          <w:tcPr>
            <w:tcW w:w="6320" w:type="dxa"/>
            <w:vAlign w:val="bottom"/>
          </w:tcPr>
          <w:p>
            <w:pPr>
              <w:ind w:left="20"/>
              <w:spacing w:after="0"/>
              <w:rPr>
                <w:sz w:val="20"/>
                <w:szCs w:val="20"/>
                <w:color w:val="auto"/>
              </w:rPr>
            </w:pPr>
            <w:r>
              <w:rPr>
                <w:rFonts w:ascii="Arial" w:cs="Arial" w:eastAsia="Arial" w:hAnsi="Arial"/>
                <w:sz w:val="17"/>
                <w:szCs w:val="17"/>
                <w:color w:val="auto"/>
              </w:rPr>
              <w:t>Balance, end of period</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center"/>
              <w:ind w:left="880"/>
              <w:spacing w:after="0"/>
              <w:rPr>
                <w:sz w:val="20"/>
                <w:szCs w:val="20"/>
                <w:color w:val="auto"/>
              </w:rPr>
            </w:pPr>
            <w:r>
              <w:rPr>
                <w:rFonts w:ascii="Arial" w:cs="Arial" w:eastAsia="Arial" w:hAnsi="Arial"/>
                <w:sz w:val="17"/>
                <w:szCs w:val="17"/>
                <w:color w:val="auto"/>
                <w:w w:val="91"/>
              </w:rPr>
              <w:t>325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center"/>
              <w:ind w:left="840"/>
              <w:spacing w:after="0"/>
              <w:rPr>
                <w:sz w:val="20"/>
                <w:szCs w:val="20"/>
                <w:color w:val="auto"/>
              </w:rPr>
            </w:pPr>
            <w:r>
              <w:rPr>
                <w:rFonts w:ascii="Arial" w:cs="Arial" w:eastAsia="Arial" w:hAnsi="Arial"/>
                <w:sz w:val="17"/>
                <w:szCs w:val="17"/>
                <w:color w:val="auto"/>
                <w:w w:val="91"/>
              </w:rPr>
              <w:t>376</w:t>
            </w: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right="80"/>
        <w:spacing w:after="0" w:line="318" w:lineRule="auto"/>
        <w:rPr>
          <w:sz w:val="20"/>
          <w:szCs w:val="20"/>
          <w:color w:val="auto"/>
        </w:rPr>
      </w:pPr>
      <w:r>
        <w:rPr>
          <w:rFonts w:ascii="Arial" w:cs="Arial" w:eastAsia="Arial" w:hAnsi="Arial"/>
          <w:sz w:val="15"/>
          <w:szCs w:val="15"/>
          <w:color w:val="auto"/>
        </w:rPr>
        <w:t>Transaction price allocated to remaining performance obligations represents contracted revenue that has not yet been recognized, which includes deferred revenue and non-cancelable amounts that will be invoiced and recognized as revenues in future periods. As of September 30, 2022, $3.3 million of revenue is expected to be recognized from the remaining performance obligations, of which 79% is expected to be recognized within 12 months and the remainder thereafter.</w:t>
      </w:r>
    </w:p>
    <w:p>
      <w:pPr>
        <w:spacing w:after="0" w:line="8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For the three and nine months ended September 30, 2022, 21% and 26% of the Company’s total revenue, respectively, was generated outside of the United States, primarily from countries in Asia. For the three and nine months ended September 30, 2021, 18% and 22% of the Company’s total revenue, respectively, was generated outside of the United States, primarily in Asia.</w:t>
      </w:r>
    </w:p>
    <w:p>
      <w:pPr>
        <w:spacing w:after="0" w:line="12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For the three months ended September 30, 2022, three customers accounted for 33%, 18%, and 11% of the Company’s total revenue. For the nine months ended September 30, 2022, two customers accounted for 32% and 11% of the Company’s total revenue. For the three months ended September 30, 2021, three customers accounted for 37%, 23%, and 17% of the Company’s total revenue. For the nine months ended September 30, 2021, four customers accounted for 33%, 14%, 11%, and 10% of the Company’s total revenue.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 and Other Revenue</w:t>
      </w:r>
    </w:p>
    <w:p>
      <w:pPr>
        <w:spacing w:after="0" w:line="16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August 2019, the Company received a notice of a Small Business Innovation Research (SBIR) grant award from the National Institutes of Health, which will provide funding of approximately $1.1 million to the Company for its development of research applications. In June 2020, the Company received a notice that additional grant consideration of $0.9 million would be awarded. In May 2022, the SBIR grant reached the end of the award period. During the three months ended September 30, 2022 and 2021, the Company recognized $0 and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99"/>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$10,000 of grant revenue, respectively, with respect to the award. During the nine months ended September 30, 2022 and 2021, the Company recognized $64,000 and $0.2 million of grant revenue, respectively, with respect to the award.</w:t>
      </w:r>
    </w:p>
    <w:p>
      <w:pPr>
        <w:spacing w:after="0" w:line="107" w:lineRule="exact"/>
        <w:rPr>
          <w:sz w:val="20"/>
          <w:szCs w:val="20"/>
          <w:color w:val="auto"/>
        </w:rPr>
      </w:pPr>
    </w:p>
    <w:p>
      <w:pPr>
        <w:ind w:left="620" w:hanging="617"/>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STOCK AND STOCKHOLDERS’ EQUITY</w:t>
      </w:r>
    </w:p>
    <w:p>
      <w:pPr>
        <w:spacing w:after="0" w:line="17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As of September 30, 2022, the Company is authorized to issue 105,000,000 shares of capital stock consisting of 94,000,000 shares of Class A common stock, 6,000,000 shares of Class B common stock, and 5,000,000 shares of preferred stock.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Common stock issued and outstanding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40" w:type="dxa"/>
            <w:vAlign w:val="bottom"/>
          </w:tcPr>
          <w:p>
            <w:pPr>
              <w:spacing w:after="0"/>
              <w:rPr>
                <w:sz w:val="15"/>
                <w:szCs w:val="15"/>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tcPr>
          <w:p>
            <w:pPr>
              <w:jc w:val="right"/>
              <w:ind w:right="321"/>
              <w:spacing w:after="0"/>
              <w:rPr>
                <w:sz w:val="20"/>
                <w:szCs w:val="20"/>
                <w:color w:val="auto"/>
              </w:rPr>
            </w:pPr>
            <w:r>
              <w:rPr>
                <w:rFonts w:ascii="Arial" w:cs="Arial" w:eastAsia="Arial" w:hAnsi="Arial"/>
                <w:sz w:val="14"/>
                <w:szCs w:val="14"/>
                <w:b w:val="1"/>
                <w:bCs w:val="1"/>
                <w:color w:val="auto"/>
              </w:rPr>
              <w:t>December 31,</w:t>
            </w:r>
          </w:p>
        </w:tc>
      </w:tr>
      <w:tr>
        <w:trPr>
          <w:trHeight w:val="219"/>
        </w:trPr>
        <w:tc>
          <w:tcPr>
            <w:tcW w:w="6340" w:type="dxa"/>
            <w:vAlign w:val="bottom"/>
          </w:tcPr>
          <w:p>
            <w:pPr>
              <w:spacing w:after="0"/>
              <w:rPr>
                <w:sz w:val="19"/>
                <w:szCs w:val="19"/>
                <w:color w:val="auto"/>
              </w:rPr>
            </w:pPr>
          </w:p>
        </w:tc>
        <w:tc>
          <w:tcPr>
            <w:tcW w:w="1580" w:type="dxa"/>
            <w:vAlign w:val="bottom"/>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580" w:type="dxa"/>
            <w:vAlign w:val="bottom"/>
          </w:tcPr>
          <w:p>
            <w:pPr>
              <w:jc w:val="right"/>
              <w:ind w:right="581"/>
              <w:spacing w:after="0"/>
              <w:rPr>
                <w:sz w:val="20"/>
                <w:szCs w:val="20"/>
                <w:color w:val="auto"/>
              </w:rPr>
            </w:pPr>
            <w:r>
              <w:rPr>
                <w:rFonts w:ascii="Arial" w:cs="Arial" w:eastAsia="Arial" w:hAnsi="Arial"/>
                <w:sz w:val="14"/>
                <w:szCs w:val="14"/>
                <w:b w:val="1"/>
                <w:bCs w:val="1"/>
                <w:color w:val="auto"/>
              </w:rPr>
              <w:t>2021</w:t>
            </w:r>
          </w:p>
        </w:tc>
      </w:tr>
      <w:tr>
        <w:trPr>
          <w:trHeight w:val="37"/>
        </w:trPr>
        <w:tc>
          <w:tcPr>
            <w:tcW w:w="634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32"/>
        </w:trPr>
        <w:tc>
          <w:tcPr>
            <w:tcW w:w="6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 common stock</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58,591,785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57,493,005</w:t>
            </w:r>
          </w:p>
        </w:tc>
      </w:tr>
      <w:tr>
        <w:trPr>
          <w:trHeight w:val="218"/>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Class B common stock</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4,044,969</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4,522,478</w:t>
            </w:r>
          </w:p>
        </w:tc>
      </w:tr>
      <w:tr>
        <w:trPr>
          <w:trHeight w:val="23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common stock issued and outstanding</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62,636,754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62,015,483</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12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Common stock issued and outstanding on the condensed consolidated balance sheets and condensed consolidated statements of changes in stockholders' equity includes shares related to early exercised options and restricted stock that are subject to repurchase.</w:t>
      </w:r>
    </w:p>
    <w:p>
      <w:pPr>
        <w:spacing w:after="0" w:line="11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the first quarter of 2021, the Company received $11.4 million related to the return of short-swing profits from one of its beneficial owners. These proceeds are recognized as a capital contribution from stockholders as an increase to additional paid-in capital on the condensed consolidated statements of changes in stockholders’ equity and as cash provided by financing activities on the condensed consolidated statements of cash flows.</w:t>
      </w:r>
    </w:p>
    <w:p>
      <w:pPr>
        <w:spacing w:after="0" w:line="101" w:lineRule="exact"/>
        <w:rPr>
          <w:sz w:val="20"/>
          <w:szCs w:val="20"/>
          <w:color w:val="auto"/>
        </w:rPr>
      </w:pPr>
    </w:p>
    <w:p>
      <w:pPr>
        <w:ind w:left="620" w:hanging="617"/>
        <w:spacing w:after="0"/>
        <w:tabs>
          <w:tab w:leader="none" w:pos="6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September 30, 2022, there are 11,400,396 shares of Class A common stock reserved for issuance under the 2020 Equity Incentive Plan, 5,939,230 of which shares are available for issuance in connection with grants of future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for the nine months ended September 30, 2022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Pr>
          <w:p>
            <w:pPr>
              <w:spacing w:after="0"/>
              <w:rPr>
                <w:sz w:val="14"/>
                <w:szCs w:val="14"/>
                <w:color w:val="auto"/>
              </w:rPr>
            </w:pPr>
          </w:p>
        </w:tc>
        <w:tc>
          <w:tcPr>
            <w:tcW w:w="1780" w:type="dxa"/>
            <w:vAlign w:val="bottom"/>
          </w:tcPr>
          <w:p>
            <w:pPr>
              <w:jc w:val="right"/>
              <w:ind w:right="78"/>
              <w:spacing w:after="0"/>
              <w:rPr>
                <w:sz w:val="20"/>
                <w:szCs w:val="20"/>
                <w:color w:val="auto"/>
              </w:rPr>
            </w:pPr>
            <w:r>
              <w:rPr>
                <w:rFonts w:ascii="Arial" w:cs="Arial" w:eastAsia="Arial" w:hAnsi="Arial"/>
                <w:sz w:val="14"/>
                <w:szCs w:val="14"/>
                <w:b w:val="1"/>
                <w:bCs w:val="1"/>
                <w:color w:val="auto"/>
                <w:w w:val="87"/>
              </w:rPr>
              <w:t>Weighted Average Exercise</w:t>
            </w:r>
          </w:p>
        </w:tc>
        <w:tc>
          <w:tcPr>
            <w:tcW w:w="0" w:type="dxa"/>
            <w:vAlign w:val="bottom"/>
          </w:tcPr>
          <w:p>
            <w:pPr>
              <w:spacing w:after="0"/>
              <w:rPr>
                <w:sz w:val="1"/>
                <w:szCs w:val="1"/>
                <w:color w:val="auto"/>
              </w:rPr>
            </w:pPr>
          </w:p>
        </w:tc>
      </w:tr>
      <w:tr>
        <w:trPr>
          <w:trHeight w:val="184"/>
        </w:trPr>
        <w:tc>
          <w:tcPr>
            <w:tcW w:w="73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jc w:val="right"/>
              <w:ind w:right="718"/>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8"/>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9,832,924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w w:val="84"/>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12.49</w:t>
            </w:r>
          </w:p>
        </w:tc>
        <w:tc>
          <w:tcPr>
            <w:tcW w:w="0" w:type="dxa"/>
            <w:vAlign w:val="bottom"/>
          </w:tcPr>
          <w:p>
            <w:pPr>
              <w:spacing w:after="0"/>
              <w:rPr>
                <w:sz w:val="1"/>
                <w:szCs w:val="1"/>
                <w:color w:val="auto"/>
              </w:rPr>
            </w:pPr>
          </w:p>
        </w:tc>
      </w:tr>
      <w:tr>
        <w:trPr>
          <w:trHeight w:val="218"/>
        </w:trPr>
        <w:tc>
          <w:tcPr>
            <w:tcW w:w="7320" w:type="dxa"/>
            <w:vAlign w:val="bottom"/>
          </w:tcPr>
          <w:p>
            <w:pPr>
              <w:ind w:left="20"/>
              <w:spacing w:after="0"/>
              <w:rPr>
                <w:sz w:val="20"/>
                <w:szCs w:val="20"/>
                <w:color w:val="auto"/>
              </w:rPr>
            </w:pPr>
            <w:r>
              <w:rPr>
                <w:rFonts w:ascii="Arial" w:cs="Arial" w:eastAsia="Arial" w:hAnsi="Arial"/>
                <w:sz w:val="17"/>
                <w:szCs w:val="17"/>
                <w:color w:val="auto"/>
              </w:rPr>
              <w:t>Options granted</w:t>
            </w:r>
          </w:p>
        </w:tc>
        <w:tc>
          <w:tcPr>
            <w:tcW w:w="1920" w:type="dxa"/>
            <w:vAlign w:val="bottom"/>
          </w:tcPr>
          <w:p>
            <w:pPr>
              <w:jc w:val="right"/>
              <w:spacing w:after="0"/>
              <w:rPr>
                <w:sz w:val="20"/>
                <w:szCs w:val="20"/>
                <w:color w:val="auto"/>
              </w:rPr>
            </w:pPr>
            <w:r>
              <w:rPr>
                <w:rFonts w:ascii="Arial" w:cs="Arial" w:eastAsia="Arial" w:hAnsi="Arial"/>
                <w:sz w:val="17"/>
                <w:szCs w:val="17"/>
                <w:color w:val="231F20"/>
              </w:rPr>
              <w:t>2,930,552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14.44</w:t>
            </w:r>
          </w:p>
        </w:tc>
        <w:tc>
          <w:tcPr>
            <w:tcW w:w="0" w:type="dxa"/>
            <w:vAlign w:val="bottom"/>
          </w:tcPr>
          <w:p>
            <w:pPr>
              <w:spacing w:after="0"/>
              <w:rPr>
                <w:sz w:val="1"/>
                <w:szCs w:val="1"/>
                <w:color w:val="auto"/>
              </w:rPr>
            </w:pPr>
          </w:p>
        </w:tc>
      </w:tr>
      <w:tr>
        <w:trPr>
          <w:trHeight w:val="22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exercised</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231F20"/>
              </w:rPr>
              <w:t>(306,854)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218"/>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Options cancelled and forfeited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31F20"/>
              </w:rPr>
              <w:t>(1,784,904)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11.16</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September 30, 2022</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10,671,718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13.48</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7"/>
                <w:szCs w:val="17"/>
                <w:color w:val="auto"/>
              </w:rPr>
              <w:t>Vested and exercisable, September 30, 2022</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4,694,141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6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Certain stock options granted provide stock option holders the right to exercise unvested stock options in exchange for restricted shares of Class A common stock. The Company has also issued restricted shares of Class A common stock to employees and directors. There were 92,691 shares and 174,300 shares of restricted stock that were unvested and subject to repurchase as of September 30, 2022 and December 31, 2021,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RSU activity for the nine months ended September 30, 2022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center"/>
              <w:ind w:right="181"/>
              <w:spacing w:after="0"/>
              <w:rPr>
                <w:sz w:val="20"/>
                <w:szCs w:val="20"/>
                <w:color w:val="auto"/>
              </w:rPr>
            </w:pPr>
            <w:r>
              <w:rPr>
                <w:rFonts w:ascii="Arial" w:cs="Arial" w:eastAsia="Arial" w:hAnsi="Arial"/>
                <w:sz w:val="14"/>
                <w:szCs w:val="14"/>
                <w:b w:val="1"/>
                <w:bCs w:val="1"/>
                <w:color w:val="auto"/>
                <w:w w:val="87"/>
              </w:rPr>
              <w:t>Weighted-Average</w:t>
            </w:r>
          </w:p>
        </w:tc>
        <w:tc>
          <w:tcPr>
            <w:tcW w:w="0" w:type="dxa"/>
            <w:vAlign w:val="bottom"/>
          </w:tcPr>
          <w:p>
            <w:pPr>
              <w:spacing w:after="0"/>
              <w:rPr>
                <w:sz w:val="1"/>
                <w:szCs w:val="1"/>
                <w:color w:val="auto"/>
              </w:rPr>
            </w:pPr>
          </w:p>
        </w:tc>
      </w:tr>
      <w:tr>
        <w:trPr>
          <w:trHeight w:val="132"/>
        </w:trPr>
        <w:tc>
          <w:tcPr>
            <w:tcW w:w="7320" w:type="dxa"/>
            <w:vAlign w:val="bottom"/>
          </w:tcPr>
          <w:p>
            <w:pPr>
              <w:spacing w:after="0"/>
              <w:rPr>
                <w:sz w:val="11"/>
                <w:szCs w:val="11"/>
                <w:color w:val="auto"/>
              </w:rPr>
            </w:pPr>
          </w:p>
        </w:tc>
        <w:tc>
          <w:tcPr>
            <w:tcW w:w="20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Restricted Stock Units</w:t>
            </w:r>
          </w:p>
        </w:tc>
        <w:tc>
          <w:tcPr>
            <w:tcW w:w="260" w:type="dxa"/>
            <w:vAlign w:val="bottom"/>
          </w:tcPr>
          <w:p>
            <w:pPr>
              <w:spacing w:after="0"/>
              <w:rPr>
                <w:sz w:val="11"/>
                <w:szCs w:val="11"/>
                <w:color w:val="auto"/>
              </w:rPr>
            </w:pPr>
          </w:p>
        </w:tc>
        <w:tc>
          <w:tcPr>
            <w:tcW w:w="1660" w:type="dxa"/>
            <w:vAlign w:val="bottom"/>
          </w:tcPr>
          <w:p>
            <w:pPr>
              <w:jc w:val="center"/>
              <w:ind w:right="161"/>
              <w:spacing w:after="0" w:line="133"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78"/>
        </w:trPr>
        <w:tc>
          <w:tcPr>
            <w:tcW w:w="732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4"/>
        </w:trPr>
        <w:tc>
          <w:tcPr>
            <w:tcW w:w="73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231F20"/>
              </w:rPr>
              <w:t>740,366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26.49</w:t>
            </w:r>
          </w:p>
        </w:tc>
        <w:tc>
          <w:tcPr>
            <w:tcW w:w="0" w:type="dxa"/>
            <w:vAlign w:val="bottom"/>
          </w:tcPr>
          <w:p>
            <w:pPr>
              <w:spacing w:after="0"/>
              <w:rPr>
                <w:sz w:val="1"/>
                <w:szCs w:val="1"/>
                <w:color w:val="auto"/>
              </w:rPr>
            </w:pPr>
          </w:p>
        </w:tc>
      </w:tr>
      <w:tr>
        <w:trPr>
          <w:trHeight w:val="218"/>
        </w:trPr>
        <w:tc>
          <w:tcPr>
            <w:tcW w:w="7320" w:type="dxa"/>
            <w:vAlign w:val="bottom"/>
          </w:tcPr>
          <w:p>
            <w:pPr>
              <w:ind w:left="20"/>
              <w:spacing w:after="0"/>
              <w:rPr>
                <w:sz w:val="20"/>
                <w:szCs w:val="20"/>
                <w:color w:val="auto"/>
              </w:rPr>
            </w:pPr>
            <w:r>
              <w:rPr>
                <w:rFonts w:ascii="Arial" w:cs="Arial" w:eastAsia="Arial" w:hAnsi="Arial"/>
                <w:sz w:val="17"/>
                <w:szCs w:val="17"/>
                <w:color w:val="auto"/>
              </w:rPr>
              <w:t>Granted</w:t>
            </w:r>
          </w:p>
        </w:tc>
        <w:tc>
          <w:tcPr>
            <w:tcW w:w="1920" w:type="dxa"/>
            <w:vAlign w:val="bottom"/>
          </w:tcPr>
          <w:p>
            <w:pPr>
              <w:jc w:val="right"/>
              <w:spacing w:after="0"/>
              <w:rPr>
                <w:sz w:val="20"/>
                <w:szCs w:val="20"/>
                <w:color w:val="auto"/>
              </w:rPr>
            </w:pPr>
            <w:r>
              <w:rPr>
                <w:rFonts w:ascii="Arial" w:cs="Arial" w:eastAsia="Arial" w:hAnsi="Arial"/>
                <w:sz w:val="17"/>
                <w:szCs w:val="17"/>
                <w:color w:val="231F20"/>
              </w:rPr>
              <w:t>1,625,359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15.11</w:t>
            </w:r>
          </w:p>
        </w:tc>
        <w:tc>
          <w:tcPr>
            <w:tcW w:w="0" w:type="dxa"/>
            <w:vAlign w:val="bottom"/>
          </w:tcPr>
          <w:p>
            <w:pPr>
              <w:spacing w:after="0"/>
              <w:rPr>
                <w:sz w:val="1"/>
                <w:szCs w:val="1"/>
                <w:color w:val="auto"/>
              </w:rPr>
            </w:pPr>
          </w:p>
        </w:tc>
      </w:tr>
      <w:tr>
        <w:trPr>
          <w:trHeight w:val="22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231F20"/>
              </w:rPr>
              <w:t>(263,505)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w:t>
            </w:r>
          </w:p>
        </w:tc>
        <w:tc>
          <w:tcPr>
            <w:tcW w:w="0" w:type="dxa"/>
            <w:vAlign w:val="bottom"/>
          </w:tcPr>
          <w:p>
            <w:pPr>
              <w:spacing w:after="0"/>
              <w:rPr>
                <w:sz w:val="1"/>
                <w:szCs w:val="1"/>
                <w:color w:val="auto"/>
              </w:rPr>
            </w:pPr>
          </w:p>
        </w:tc>
      </w:tr>
      <w:tr>
        <w:trPr>
          <w:trHeight w:val="218"/>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Cancelled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31F20"/>
              </w:rPr>
              <w:t>(474,382)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15.83</w:t>
            </w:r>
          </w:p>
        </w:tc>
        <w:tc>
          <w:tcPr>
            <w:tcW w:w="0" w:type="dxa"/>
            <w:vAlign w:val="bottom"/>
          </w:tcPr>
          <w:p>
            <w:pPr>
              <w:spacing w:after="0"/>
              <w:rPr>
                <w:sz w:val="1"/>
                <w:szCs w:val="1"/>
                <w:color w:val="auto"/>
              </w:rPr>
            </w:pPr>
          </w:p>
        </w:tc>
      </w:tr>
      <w:tr>
        <w:trPr>
          <w:trHeight w:val="23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2022</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1,627,838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A total of 1,195,327 shares of Class A common stock are reserved for issuance under the 2020 Employee Stock Purchase Plan (ESPP) as of September 30, 2022.</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2022, 56,753 shares of Class A common stock were issued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6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following table summarizes the components of stock-based compensation recognized in the Company’s condensed consolidated statements of operations and comprehensive loss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3"/>
          </w:tcPr>
          <w:p>
            <w:pPr>
              <w:jc w:val="center"/>
              <w:ind w:left="621"/>
              <w:spacing w:after="0"/>
              <w:rPr>
                <w:sz w:val="20"/>
                <w:szCs w:val="20"/>
                <w:color w:val="auto"/>
              </w:rPr>
            </w:pPr>
            <w:r>
              <w:rPr>
                <w:rFonts w:ascii="Arial" w:cs="Arial" w:eastAsia="Arial" w:hAnsi="Arial"/>
                <w:sz w:val="14"/>
                <w:szCs w:val="14"/>
                <w:b w:val="1"/>
                <w:bCs w:val="1"/>
                <w:color w:val="auto"/>
                <w:w w:val="89"/>
              </w:rPr>
              <w:t>Three Months Ended</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78"/>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20" w:type="dxa"/>
            <w:vAlign w:val="bottom"/>
            <w:gridSpan w:val="3"/>
          </w:tcPr>
          <w:p>
            <w:pPr>
              <w:jc w:val="center"/>
              <w:ind w:left="621"/>
              <w:spacing w:after="0"/>
              <w:rPr>
                <w:sz w:val="20"/>
                <w:szCs w:val="20"/>
                <w:color w:val="auto"/>
              </w:rPr>
            </w:pPr>
            <w:r>
              <w:rPr>
                <w:rFonts w:ascii="Arial" w:cs="Arial" w:eastAsia="Arial" w:hAnsi="Arial"/>
                <w:sz w:val="14"/>
                <w:szCs w:val="14"/>
                <w:b w:val="1"/>
                <w:bCs w:val="1"/>
                <w:color w:val="auto"/>
                <w:w w:val="87"/>
              </w:rPr>
              <w:t>September 30,</w:t>
            </w: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15"/>
                <w:szCs w:val="15"/>
                <w:color w:val="auto"/>
              </w:rPr>
            </w:pPr>
          </w:p>
        </w:tc>
      </w:tr>
      <w:tr>
        <w:trPr>
          <w:trHeight w:val="37"/>
        </w:trPr>
        <w:tc>
          <w:tcPr>
            <w:tcW w:w="44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5"/>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jc w:val="right"/>
              <w:ind w:right="658"/>
              <w:spacing w:after="0"/>
              <w:rPr>
                <w:sz w:val="20"/>
                <w:szCs w:val="20"/>
                <w:color w:val="auto"/>
              </w:rPr>
            </w:pPr>
            <w:r>
              <w:rPr>
                <w:rFonts w:ascii="Arial" w:cs="Arial" w:eastAsia="Arial" w:hAnsi="Arial"/>
                <w:sz w:val="14"/>
                <w:szCs w:val="14"/>
                <w:b w:val="1"/>
                <w:bCs w:val="1"/>
                <w:color w:val="auto"/>
                <w:w w:val="89"/>
              </w:rPr>
              <w:t>2021</w:t>
            </w:r>
          </w:p>
        </w:tc>
        <w:tc>
          <w:tcPr>
            <w:tcW w:w="400" w:type="dxa"/>
            <w:vAlign w:val="bottom"/>
          </w:tcPr>
          <w:p>
            <w:pPr>
              <w:spacing w:after="0"/>
              <w:rPr>
                <w:sz w:val="15"/>
                <w:szCs w:val="15"/>
                <w:color w:val="auto"/>
              </w:rPr>
            </w:pPr>
          </w:p>
        </w:tc>
        <w:tc>
          <w:tcPr>
            <w:tcW w:w="1160" w:type="dxa"/>
            <w:vAlign w:val="bottom"/>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8"/>
              <w:spacing w:after="0"/>
              <w:rPr>
                <w:sz w:val="20"/>
                <w:szCs w:val="20"/>
                <w:color w:val="auto"/>
              </w:rPr>
            </w:pPr>
            <w:r>
              <w:rPr>
                <w:rFonts w:ascii="Arial" w:cs="Arial" w:eastAsia="Arial" w:hAnsi="Arial"/>
                <w:sz w:val="14"/>
                <w:szCs w:val="14"/>
                <w:b w:val="1"/>
                <w:bCs w:val="1"/>
                <w:color w:val="auto"/>
                <w:w w:val="96"/>
              </w:rPr>
              <w:t>2021</w:t>
            </w:r>
          </w:p>
        </w:tc>
      </w:tr>
      <w:tr>
        <w:trPr>
          <w:trHeight w:val="37"/>
        </w:trPr>
        <w:tc>
          <w:tcPr>
            <w:tcW w:w="44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299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5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w:t>
            </w:r>
          </w:p>
        </w:tc>
      </w:tr>
      <w:tr>
        <w:trPr>
          <w:trHeight w:val="218"/>
        </w:trPr>
        <w:tc>
          <w:tcPr>
            <w:tcW w:w="448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2,395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1,022</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6,788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3,209</w:t>
            </w: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6,379</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5,241</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17,941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14,776</w:t>
            </w:r>
          </w:p>
        </w:tc>
      </w:tr>
      <w:tr>
        <w:trPr>
          <w:trHeight w:val="213"/>
        </w:trPr>
        <w:tc>
          <w:tcPr>
            <w:tcW w:w="4480" w:type="dxa"/>
            <w:vAlign w:val="bottom"/>
          </w:tcPr>
          <w:p>
            <w:pPr>
              <w:ind w:left="20"/>
              <w:spacing w:after="0"/>
              <w:rPr>
                <w:sz w:val="20"/>
                <w:szCs w:val="20"/>
                <w:color w:val="auto"/>
              </w:rPr>
            </w:pPr>
            <w:r>
              <w:rPr>
                <w:rFonts w:ascii="Arial" w:cs="Arial" w:eastAsia="Arial" w:hAnsi="Arial"/>
                <w:sz w:val="17"/>
                <w:szCs w:val="17"/>
                <w:color w:val="auto"/>
              </w:rPr>
              <w:t>Total stock-based compensation</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9,073</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center"/>
              <w:ind w:right="5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6,786</w:t>
            </w:r>
          </w:p>
        </w:tc>
        <w:tc>
          <w:tcPr>
            <w:tcW w:w="4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25,513</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19,256</w:t>
            </w:r>
          </w:p>
        </w:tc>
      </w:tr>
      <w:tr>
        <w:trPr>
          <w:trHeight w:val="20"/>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In February 2022, in connection with a leave of absence taken by one of our executives, a total of 1,330,892 share-based awards were modified to extend the overall term and change the timing of the vesting of the awards. The total incremental stock-based compensation associated with the modification is $0.9 million, which will be recognized over the next eight years.</w:t>
      </w:r>
    </w:p>
    <w:p>
      <w:pPr>
        <w:spacing w:after="0" w:line="124" w:lineRule="exact"/>
        <w:rPr>
          <w:sz w:val="20"/>
          <w:szCs w:val="20"/>
          <w:color w:val="auto"/>
        </w:rPr>
      </w:pPr>
    </w:p>
    <w:p>
      <w:pPr>
        <w:ind w:right="200"/>
        <w:spacing w:after="0" w:line="297" w:lineRule="auto"/>
        <w:rPr>
          <w:sz w:val="20"/>
          <w:szCs w:val="20"/>
          <w:color w:val="auto"/>
        </w:rPr>
      </w:pPr>
      <w:r>
        <w:rPr>
          <w:rFonts w:ascii="Arial" w:cs="Arial" w:eastAsia="Arial" w:hAnsi="Arial"/>
          <w:sz w:val="15"/>
          <w:szCs w:val="15"/>
          <w:color w:val="auto"/>
        </w:rPr>
        <w:t>On June 21, 2022, the Board of Directors approved an option repricing to reduce the exercise price of certain vested, outstanding, and unexercised stock options with an exercise price greater than $19.00 per share that were held by employees who were not members of the Board or Director or officers for purposes of Section 16 of the Securities Exchange Act of 1934, as amended (“Non-Section 16 employees”) to $19.00 per share, which was the Company’s initial public offering price. The Board of Directors also approved the repricing of certain unvested, outstanding, and unexercised stock options with an exercise price greater than $19.00 per share that were held by Non-Section 16 employees to $7.40 per share, which was the closing price of the Company’s Class A common stock on the Nasdaq Global Select Market on the date of the approval of the repricing. Except for the exercise price, the amended stock options have the same terms and conditions (including vesting schedule, number of shares, and expiration date) and will continue to be governed by the terms of the 2020 Equity Incentive Plan.</w:t>
      </w:r>
    </w:p>
    <w:p>
      <w:pPr>
        <w:spacing w:after="0" w:line="10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As a result of the option repricing, the Company recorded $0.4 million and $0.7 million of incremental compensation expense during the three and nine months ended September 30, 2022, respectively. The total unrecognized incremental stock-based compensation associated with the option repricing is $2.0 million, which will be recognized over the next three years.</w:t>
      </w:r>
    </w:p>
    <w:p>
      <w:pPr>
        <w:spacing w:after="0" w:line="118" w:lineRule="exact"/>
        <w:rPr>
          <w:sz w:val="20"/>
          <w:szCs w:val="20"/>
          <w:color w:val="auto"/>
        </w:rPr>
      </w:pPr>
    </w:p>
    <w:p>
      <w:pPr>
        <w:ind w:left="620" w:hanging="617"/>
        <w:spacing w:after="0"/>
        <w:tabs>
          <w:tab w:leader="none" w:pos="6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Facility Lease Agreement</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Company leases office and laboratory space in Redwood City, California with a lease term that is set to end on September 30, 2032. The Company has an option to renew for an additional five-year term at then-current market rates, which is not reasonably certain of being exercised. The lease of additional office and laboratory space pursuant to an amendment entered into in June 2020 commenced in February 2022 and the Company recorded a right-of-use asset of $8.8 million and lease liability of $6.9 million as of the commencement of the lease. This lease liability is based on the present value of lease payments over the lease term, which was estimated using an incremental borrowing rate of 7.4% based on information available at the commencement date. In connection with the leased space, the Company maintains a letter of credit issued to the lessor in the amount of $0.5 million as of September 30, 2022 and December 31, 2021, respectively, which is secured by restricted cash that is classified as noncurrent at each date based on the term of the underlying lease.</w:t>
      </w:r>
    </w:p>
    <w:p>
      <w:pPr>
        <w:spacing w:after="0" w:line="11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During the period from June 2020 through May 2021, the Company was provided with temporary space. The Company was not required to pay additional rent for the temporary space, but was required to pay property taxes, insurance and normal maintenance costs with respect to the temporary space.</w:t>
      </w:r>
    </w:p>
    <w:p>
      <w:pPr>
        <w:spacing w:after="0" w:line="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September 30, 2022, the remaining weighted-average lease term was 10.0 years and the weighted-average incremental borrowing rate used to determine the operating lease liabilities was 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costs related to the Company’s operating leases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00" w:type="dxa"/>
            <w:vAlign w:val="bottom"/>
            <w:gridSpan w:val="6"/>
          </w:tcPr>
          <w:p>
            <w:pPr>
              <w:jc w:val="center"/>
              <w:ind w:right="956"/>
              <w:spacing w:after="0"/>
              <w:rPr>
                <w:sz w:val="20"/>
                <w:szCs w:val="20"/>
                <w:color w:val="auto"/>
              </w:rPr>
            </w:pPr>
            <w:r>
              <w:rPr>
                <w:rFonts w:ascii="Arial" w:cs="Arial" w:eastAsia="Arial" w:hAnsi="Arial"/>
                <w:sz w:val="14"/>
                <w:szCs w:val="14"/>
                <w:b w:val="1"/>
                <w:bCs w:val="1"/>
                <w:color w:val="auto"/>
                <w:w w:val="90"/>
              </w:rPr>
              <w:t>Nine Months Ended</w:t>
            </w:r>
          </w:p>
        </w:tc>
      </w:tr>
      <w:tr>
        <w:trPr>
          <w:trHeight w:val="178"/>
        </w:trPr>
        <w:tc>
          <w:tcPr>
            <w:tcW w:w="4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gridSpan w:val="5"/>
          </w:tcPr>
          <w:p>
            <w:pPr>
              <w:jc w:val="center"/>
              <w:ind w:left="120"/>
              <w:spacing w:after="0"/>
              <w:rPr>
                <w:sz w:val="20"/>
                <w:szCs w:val="20"/>
                <w:color w:val="auto"/>
              </w:rPr>
            </w:pPr>
            <w:r>
              <w:rPr>
                <w:rFonts w:ascii="Arial" w:cs="Arial" w:eastAsia="Arial" w:hAnsi="Arial"/>
                <w:sz w:val="14"/>
                <w:szCs w:val="14"/>
                <w:b w:val="1"/>
                <w:bCs w:val="1"/>
                <w:color w:val="auto"/>
                <w:w w:val="87"/>
              </w:rPr>
              <w:t>September 30,</w:t>
            </w:r>
          </w:p>
        </w:tc>
        <w:tc>
          <w:tcPr>
            <w:tcW w:w="1220" w:type="dxa"/>
            <w:vAlign w:val="bottom"/>
          </w:tcPr>
          <w:p>
            <w:pPr>
              <w:spacing w:after="0"/>
              <w:rPr>
                <w:sz w:val="15"/>
                <w:szCs w:val="15"/>
                <w:color w:val="auto"/>
              </w:rPr>
            </w:pPr>
          </w:p>
        </w:tc>
      </w:tr>
      <w:tr>
        <w:trPr>
          <w:trHeight w:val="37"/>
        </w:trPr>
        <w:tc>
          <w:tcPr>
            <w:tcW w:w="43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5"/>
        </w:trPr>
        <w:tc>
          <w:tcPr>
            <w:tcW w:w="4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636"/>
              <w:spacing w:after="0"/>
              <w:rPr>
                <w:sz w:val="20"/>
                <w:szCs w:val="20"/>
                <w:color w:val="auto"/>
              </w:rPr>
            </w:pPr>
            <w:r>
              <w:rPr>
                <w:rFonts w:ascii="Arial" w:cs="Arial" w:eastAsia="Arial" w:hAnsi="Arial"/>
                <w:sz w:val="14"/>
                <w:szCs w:val="14"/>
                <w:b w:val="1"/>
                <w:bCs w:val="1"/>
                <w:color w:val="auto"/>
              </w:rPr>
              <w:t>2021</w:t>
            </w:r>
          </w:p>
        </w:tc>
      </w:tr>
      <w:tr>
        <w:trPr>
          <w:trHeight w:val="37"/>
        </w:trPr>
        <w:tc>
          <w:tcPr>
            <w:tcW w:w="43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12"/>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1080" w:type="dxa"/>
            <w:vAlign w:val="bottom"/>
            <w:shd w:val="clear" w:color="auto" w:fill="CCEEFF"/>
          </w:tcPr>
          <w:p>
            <w:pPr>
              <w:jc w:val="right"/>
              <w:ind w:right="90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1060" w:type="dxa"/>
            <w:vAlign w:val="bottom"/>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2,730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w:t>
            </w:r>
          </w:p>
        </w:tc>
      </w:tr>
      <w:tr>
        <w:trPr>
          <w:trHeight w:val="218"/>
        </w:trPr>
        <w:tc>
          <w:tcPr>
            <w:tcW w:w="4340" w:type="dxa"/>
            <w:vAlign w:val="bottom"/>
          </w:tcPr>
          <w:p>
            <w:pPr>
              <w:ind w:left="20"/>
              <w:spacing w:after="0"/>
              <w:rPr>
                <w:sz w:val="20"/>
                <w:szCs w:val="20"/>
                <w:color w:val="auto"/>
              </w:rPr>
            </w:pPr>
            <w:r>
              <w:rPr>
                <w:rFonts w:ascii="Arial" w:cs="Arial" w:eastAsia="Arial" w:hAnsi="Arial"/>
                <w:sz w:val="17"/>
                <w:szCs w:val="17"/>
                <w:color w:val="auto"/>
              </w:rPr>
              <w:t>Variable lease costs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161</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167</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493</w:t>
            </w: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3"/>
        </w:trPr>
        <w:tc>
          <w:tcPr>
            <w:tcW w:w="4340" w:type="dxa"/>
            <w:vAlign w:val="bottom"/>
          </w:tcPr>
          <w:p>
            <w:pPr>
              <w:ind w:left="20"/>
              <w:spacing w:after="0"/>
              <w:rPr>
                <w:sz w:val="20"/>
                <w:szCs w:val="20"/>
                <w:color w:val="auto"/>
              </w:rPr>
            </w:pPr>
            <w:r>
              <w:rPr>
                <w:rFonts w:ascii="Arial" w:cs="Arial" w:eastAsia="Arial" w:hAnsi="Arial"/>
                <w:sz w:val="17"/>
                <w:szCs w:val="17"/>
                <w:color w:val="auto"/>
              </w:rPr>
              <w:t>Total lease costs</w:t>
            </w:r>
          </w:p>
        </w:tc>
        <w:tc>
          <w:tcPr>
            <w:tcW w:w="1080" w:type="dxa"/>
            <w:vAlign w:val="bottom"/>
            <w:tcBorders>
              <w:bottom w:val="single" w:sz="8" w:color="auto"/>
            </w:tcBorders>
          </w:tcPr>
          <w:p>
            <w:pPr>
              <w:jc w:val="right"/>
              <w:ind w:right="900"/>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ind w:right="1040"/>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w:t>
            </w:r>
          </w:p>
        </w:tc>
        <w:tc>
          <w:tcPr>
            <w:tcW w:w="1060" w:type="dxa"/>
            <w:vAlign w:val="bottom"/>
            <w:tcBorders>
              <w:bottom w:val="single" w:sz="8" w:color="auto"/>
            </w:tcBorders>
          </w:tcPr>
          <w:p>
            <w:pPr>
              <w:jc w:val="right"/>
              <w:ind w:right="86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3,380</w:t>
            </w: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1,889</w:t>
            </w:r>
          </w:p>
        </w:tc>
      </w:tr>
      <w:tr>
        <w:trPr>
          <w:trHeight w:val="20"/>
        </w:trPr>
        <w:tc>
          <w:tcPr>
            <w:tcW w:w="43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1"/>
        </w:trPr>
        <w:tc>
          <w:tcPr>
            <w:tcW w:w="8940" w:type="dxa"/>
            <w:vAlign w:val="bottom"/>
            <w:gridSpan w:val="7"/>
          </w:tcPr>
          <w:p>
            <w:pPr>
              <w:spacing w:after="0"/>
              <w:rPr>
                <w:sz w:val="20"/>
                <w:szCs w:val="20"/>
                <w:color w:val="auto"/>
              </w:rPr>
            </w:pPr>
            <w:r>
              <w:rPr>
                <w:rFonts w:ascii="Arial" w:cs="Arial" w:eastAsia="Arial" w:hAnsi="Arial"/>
                <w:sz w:val="17"/>
                <w:szCs w:val="17"/>
                <w:color w:val="auto"/>
                <w:w w:val="90"/>
              </w:rPr>
              <w:t>Variable lease costs are primarily comprised of common area maintenance and include costs associated with the temporary space.</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1"/>
        </w:trPr>
        <w:tc>
          <w:tcPr>
            <w:tcW w:w="9500" w:type="dxa"/>
            <w:vAlign w:val="bottom"/>
            <w:gridSpan w:val="9"/>
          </w:tcPr>
          <w:p>
            <w:pPr>
              <w:spacing w:after="0"/>
              <w:rPr>
                <w:sz w:val="20"/>
                <w:szCs w:val="20"/>
                <w:color w:val="auto"/>
              </w:rPr>
            </w:pPr>
            <w:r>
              <w:rPr>
                <w:rFonts w:ascii="Arial" w:cs="Arial" w:eastAsia="Arial" w:hAnsi="Arial"/>
                <w:sz w:val="17"/>
                <w:szCs w:val="17"/>
                <w:color w:val="auto"/>
                <w:w w:val="94"/>
              </w:rPr>
              <w:t>As of September 30, 2022, future minimum commitments under the Company’s non-cancelable facility operating lease are as follows: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1"/>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276"/>
              <w:spacing w:after="0"/>
              <w:rPr>
                <w:sz w:val="20"/>
                <w:szCs w:val="20"/>
                <w:color w:val="auto"/>
              </w:rPr>
            </w:pPr>
            <w:r>
              <w:rPr>
                <w:rFonts w:ascii="Arial" w:cs="Arial" w:eastAsia="Arial" w:hAnsi="Arial"/>
                <w:sz w:val="14"/>
                <w:szCs w:val="14"/>
                <w:b w:val="1"/>
                <w:bCs w:val="1"/>
                <w:color w:val="auto"/>
                <w:w w:val="87"/>
              </w:rPr>
              <w:t>(in thousands)</w:t>
            </w:r>
          </w:p>
        </w:tc>
      </w:tr>
      <w:tr>
        <w:trPr>
          <w:trHeight w:val="24"/>
        </w:trPr>
        <w:tc>
          <w:tcPr>
            <w:tcW w:w="4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2"/>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 (remaining three months)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w:t>
            </w:r>
          </w:p>
        </w:tc>
      </w:tr>
      <w:tr>
        <w:trPr>
          <w:trHeight w:val="218"/>
        </w:trPr>
        <w:tc>
          <w:tcPr>
            <w:tcW w:w="4340" w:type="dxa"/>
            <w:vAlign w:val="bottom"/>
          </w:tcPr>
          <w:p>
            <w:pPr>
              <w:ind w:left="20"/>
              <w:spacing w:after="0"/>
              <w:rPr>
                <w:sz w:val="20"/>
                <w:szCs w:val="20"/>
                <w:color w:val="auto"/>
              </w:rPr>
            </w:pPr>
            <w:r>
              <w:rPr>
                <w:rFonts w:ascii="Arial" w:cs="Arial" w:eastAsia="Arial" w:hAnsi="Arial"/>
                <w:sz w:val="17"/>
                <w:szCs w:val="17"/>
                <w:color w:val="auto"/>
              </w:rPr>
              <w:t>2023</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3,633</w:t>
            </w:r>
          </w:p>
        </w:tc>
      </w:tr>
      <w:tr>
        <w:trPr>
          <w:trHeight w:val="220"/>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3,738</w:t>
            </w:r>
          </w:p>
        </w:tc>
      </w:tr>
      <w:tr>
        <w:trPr>
          <w:trHeight w:val="218"/>
        </w:trPr>
        <w:tc>
          <w:tcPr>
            <w:tcW w:w="4340" w:type="dxa"/>
            <w:vAlign w:val="bottom"/>
          </w:tcPr>
          <w:p>
            <w:pPr>
              <w:ind w:left="20"/>
              <w:spacing w:after="0"/>
              <w:rPr>
                <w:sz w:val="20"/>
                <w:szCs w:val="20"/>
                <w:color w:val="auto"/>
              </w:rPr>
            </w:pPr>
            <w:r>
              <w:rPr>
                <w:rFonts w:ascii="Arial" w:cs="Arial" w:eastAsia="Arial" w:hAnsi="Arial"/>
                <w:sz w:val="17"/>
                <w:szCs w:val="17"/>
                <w:color w:val="auto"/>
              </w:rPr>
              <w:t>2025</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3,846</w:t>
            </w:r>
          </w:p>
        </w:tc>
      </w:tr>
      <w:tr>
        <w:trPr>
          <w:trHeight w:val="220"/>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3,957</w:t>
            </w:r>
          </w:p>
        </w:tc>
      </w:tr>
      <w:tr>
        <w:trPr>
          <w:trHeight w:val="218"/>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0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25,137</w:t>
            </w:r>
          </w:p>
        </w:tc>
      </w:tr>
      <w:tr>
        <w:trPr>
          <w:trHeight w:val="213"/>
        </w:trPr>
        <w:tc>
          <w:tcPr>
            <w:tcW w:w="4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undiscounted future minimum lease payments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40,980</w:t>
            </w:r>
          </w:p>
        </w:tc>
      </w:tr>
      <w:tr>
        <w:trPr>
          <w:trHeight w:val="218"/>
        </w:trPr>
        <w:tc>
          <w:tcPr>
            <w:tcW w:w="4340" w:type="dxa"/>
            <w:vAlign w:val="bottom"/>
          </w:tcPr>
          <w:p>
            <w:pPr>
              <w:ind w:left="20"/>
              <w:spacing w:after="0"/>
              <w:rPr>
                <w:sz w:val="20"/>
                <w:szCs w:val="20"/>
                <w:color w:val="auto"/>
              </w:rPr>
            </w:pPr>
            <w:r>
              <w:rPr>
                <w:rFonts w:ascii="Arial" w:cs="Arial" w:eastAsia="Arial" w:hAnsi="Arial"/>
                <w:sz w:val="17"/>
                <w:szCs w:val="17"/>
                <w:color w:val="auto"/>
                <w:w w:val="97"/>
              </w:rPr>
              <w:t>Present value adjustment for minimum lease commitments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(10,901)</w:t>
            </w: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Tenant improvement receivable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r>
      <w:tr>
        <w:trPr>
          <w:trHeight w:val="213"/>
        </w:trPr>
        <w:tc>
          <w:tcPr>
            <w:tcW w:w="4340" w:type="dxa"/>
            <w:vAlign w:val="bottom"/>
          </w:tcPr>
          <w:p>
            <w:pPr>
              <w:ind w:left="220"/>
              <w:spacing w:after="0"/>
              <w:rPr>
                <w:sz w:val="20"/>
                <w:szCs w:val="20"/>
                <w:color w:val="auto"/>
              </w:rPr>
            </w:pPr>
            <w:r>
              <w:rPr>
                <w:rFonts w:ascii="Arial" w:cs="Arial" w:eastAsia="Arial" w:hAnsi="Arial"/>
                <w:sz w:val="17"/>
                <w:szCs w:val="17"/>
                <w:color w:val="auto"/>
              </w:rPr>
              <w:t>Total operating lease liabilities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29,823</w:t>
            </w:r>
          </w:p>
        </w:tc>
      </w:tr>
      <w:tr>
        <w:trPr>
          <w:trHeight w:val="20"/>
        </w:trPr>
        <w:tc>
          <w:tcPr>
            <w:tcW w:w="4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Commitments and Obligations</w:t>
      </w:r>
    </w:p>
    <w:p>
      <w:pPr>
        <w:spacing w:after="0" w:line="165" w:lineRule="exact"/>
        <w:rPr>
          <w:sz w:val="20"/>
          <w:szCs w:val="20"/>
          <w:color w:val="auto"/>
        </w:rPr>
      </w:pPr>
    </w:p>
    <w:p>
      <w:pPr>
        <w:ind w:right="220"/>
        <w:spacing w:after="0" w:line="307" w:lineRule="auto"/>
        <w:rPr>
          <w:sz w:val="20"/>
          <w:szCs w:val="20"/>
          <w:color w:val="auto"/>
        </w:rPr>
      </w:pPr>
      <w:r>
        <w:rPr>
          <w:rFonts w:ascii="Arial" w:cs="Arial" w:eastAsia="Arial" w:hAnsi="Arial"/>
          <w:sz w:val="15"/>
          <w:szCs w:val="15"/>
          <w:color w:val="auto"/>
        </w:rPr>
        <w:t>The Company has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$3.6 million and $5.5 million as of September 30, 2022 and December 31, 2021,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 and Indemnifications</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September 30, 2022 and December 31, 2021, the Company does not have any material indemnification claims that were probable or reasonably possible and consequently has not recorded related liabilities.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time to time, the Company may become involved in legal proceedings arising in the ordinary course of business. The Company is not currently a party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PROGNOMIQ, INC.</w:t>
      </w:r>
    </w:p>
    <w:p>
      <w:pPr>
        <w:spacing w:after="0" w:line="171"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8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Company has concluded that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PrognomIQ constitutes a related party and, as of September 30, 2022 and December 31, 2021, the Company held $0.8 million and $1.3 million in related party receivables, respectively, on the condensed consolidated balance sheets representing amounts due from product sales and services and for general transition services and support provided. Revenue received from PrognomIQ is recorded as related party revenue on the condensed consolidated statements of operations and comprehensive loss and is comprised of the sale of instruments and consumables, and services performed.</w:t>
      </w:r>
    </w:p>
    <w:p>
      <w:pPr>
        <w:spacing w:after="0" w:line="106" w:lineRule="exact"/>
        <w:rPr>
          <w:sz w:val="20"/>
          <w:szCs w:val="20"/>
          <w:color w:val="auto"/>
        </w:rPr>
      </w:pPr>
    </w:p>
    <w:p>
      <w:pPr>
        <w:ind w:left="620" w:hanging="617"/>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COMMON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computation of basic and diluted net loss per share (in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(23,980)</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(70,441)</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(51,430)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Denominator:</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740" w:type="dxa"/>
            <w:vAlign w:val="bottom"/>
          </w:tcPr>
          <w:p>
            <w:pPr>
              <w:ind w:left="20"/>
              <w:spacing w:after="0" w:line="168" w:lineRule="exact"/>
              <w:rPr>
                <w:sz w:val="20"/>
                <w:szCs w:val="20"/>
                <w:color w:val="auto"/>
              </w:rPr>
            </w:pPr>
            <w:r>
              <w:rPr>
                <w:rFonts w:ascii="Arial" w:cs="Arial" w:eastAsia="Arial" w:hAnsi="Arial"/>
                <w:sz w:val="17"/>
                <w:szCs w:val="17"/>
                <w:color w:val="auto"/>
                <w:w w:val="94"/>
              </w:rPr>
              <w:t>Weighted-average common shares used in computing net loss per</w:t>
            </w:r>
          </w:p>
        </w:tc>
        <w:tc>
          <w:tcPr>
            <w:tcW w:w="360" w:type="dxa"/>
            <w:vAlign w:val="bottom"/>
          </w:tcPr>
          <w:p>
            <w:pPr>
              <w:spacing w:after="0"/>
              <w:rPr>
                <w:sz w:val="14"/>
                <w:szCs w:val="14"/>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7"/>
                <w:szCs w:val="17"/>
                <w:color w:val="auto"/>
              </w:rPr>
              <w:t>62,538,983</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61,133,518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7"/>
                <w:szCs w:val="17"/>
                <w:color w:val="auto"/>
              </w:rPr>
              <w:t>62,308,314</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60,625,601</w:t>
            </w:r>
          </w:p>
        </w:tc>
        <w:tc>
          <w:tcPr>
            <w:tcW w:w="0" w:type="dxa"/>
            <w:vAlign w:val="bottom"/>
          </w:tcPr>
          <w:p>
            <w:pPr>
              <w:spacing w:after="0"/>
              <w:rPr>
                <w:sz w:val="1"/>
                <w:szCs w:val="1"/>
                <w:color w:val="auto"/>
              </w:rPr>
            </w:pPr>
          </w:p>
        </w:tc>
      </w:tr>
      <w:tr>
        <w:trPr>
          <w:trHeight w:val="206"/>
        </w:trPr>
        <w:tc>
          <w:tcPr>
            <w:tcW w:w="4740" w:type="dxa"/>
            <w:vAlign w:val="bottom"/>
          </w:tcPr>
          <w:p>
            <w:pPr>
              <w:ind w:left="180"/>
              <w:spacing w:after="0"/>
              <w:rPr>
                <w:sz w:val="20"/>
                <w:szCs w:val="20"/>
                <w:color w:val="auto"/>
              </w:rPr>
            </w:pPr>
            <w:r>
              <w:rPr>
                <w:rFonts w:ascii="Arial" w:cs="Arial" w:eastAsia="Arial" w:hAnsi="Arial"/>
                <w:sz w:val="17"/>
                <w:szCs w:val="17"/>
                <w:color w:val="auto"/>
                <w:w w:val="99"/>
              </w:rPr>
              <w:t>share attributable to common stockholders, basic and 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74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loss per share attributable to common stockholders, basic and</w:t>
            </w:r>
          </w:p>
        </w:tc>
        <w:tc>
          <w:tcPr>
            <w:tcW w:w="360" w:type="dxa"/>
            <w:vAlign w:val="bottom"/>
            <w:vMerge w:val="restart"/>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1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0" w:type="dxa"/>
            <w:vAlign w:val="bottom"/>
          </w:tcPr>
          <w:p>
            <w:pPr>
              <w:spacing w:after="0"/>
              <w:rPr>
                <w:sz w:val="1"/>
                <w:szCs w:val="1"/>
                <w:color w:val="auto"/>
              </w:rPr>
            </w:pPr>
          </w:p>
        </w:tc>
      </w:tr>
      <w:tr>
        <w:trPr>
          <w:trHeight w:val="226"/>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20" w:type="dxa"/>
            <w:vAlign w:val="bottom"/>
          </w:tcPr>
          <w:p>
            <w:pPr>
              <w:spacing w:after="0"/>
              <w:rPr>
                <w:sz w:val="15"/>
                <w:szCs w:val="15"/>
                <w:color w:val="auto"/>
              </w:rPr>
            </w:pPr>
          </w:p>
        </w:tc>
        <w:tc>
          <w:tcPr>
            <w:tcW w:w="2180" w:type="dxa"/>
            <w:vAlign w:val="bottom"/>
            <w:gridSpan w:val="3"/>
          </w:tcPr>
          <w:p>
            <w:pPr>
              <w:ind w:left="120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Pr>
          <w:p>
            <w:pPr>
              <w:spacing w:after="0"/>
              <w:rPr>
                <w:sz w:val="15"/>
                <w:szCs w:val="15"/>
                <w:color w:val="auto"/>
              </w:rPr>
            </w:pPr>
          </w:p>
        </w:tc>
      </w:tr>
      <w:tr>
        <w:trPr>
          <w:trHeight w:val="24"/>
        </w:trPr>
        <w:tc>
          <w:tcPr>
            <w:tcW w:w="79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9"/>
        </w:trPr>
        <w:tc>
          <w:tcPr>
            <w:tcW w:w="79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2021</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 common stock options issued and outstanding</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10,671,718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9,898,069</w:t>
            </w:r>
          </w:p>
        </w:tc>
      </w:tr>
      <w:tr>
        <w:trPr>
          <w:trHeight w:val="218"/>
        </w:trPr>
        <w:tc>
          <w:tcPr>
            <w:tcW w:w="7920" w:type="dxa"/>
            <w:vAlign w:val="bottom"/>
          </w:tcPr>
          <w:p>
            <w:pPr>
              <w:ind w:left="20"/>
              <w:spacing w:after="0"/>
              <w:rPr>
                <w:sz w:val="20"/>
                <w:szCs w:val="20"/>
                <w:color w:val="auto"/>
              </w:rPr>
            </w:pPr>
            <w:r>
              <w:rPr>
                <w:rFonts w:ascii="Arial" w:cs="Arial" w:eastAsia="Arial" w:hAnsi="Arial"/>
                <w:sz w:val="17"/>
                <w:szCs w:val="17"/>
                <w:color w:val="auto"/>
              </w:rPr>
              <w:t>Restricted common stock subject to future vesting</w:t>
            </w:r>
          </w:p>
        </w:tc>
        <w:tc>
          <w:tcPr>
            <w:tcW w:w="1580" w:type="dxa"/>
            <w:vAlign w:val="bottom"/>
          </w:tcPr>
          <w:p>
            <w:pPr>
              <w:jc w:val="right"/>
              <w:spacing w:after="0"/>
              <w:rPr>
                <w:sz w:val="20"/>
                <w:szCs w:val="20"/>
                <w:color w:val="auto"/>
              </w:rPr>
            </w:pPr>
            <w:r>
              <w:rPr>
                <w:rFonts w:ascii="Arial" w:cs="Arial" w:eastAsia="Arial" w:hAnsi="Arial"/>
                <w:sz w:val="17"/>
                <w:szCs w:val="17"/>
                <w:color w:val="auto"/>
              </w:rPr>
              <w:t>92,691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305,564</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1,627,838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783,317</w:t>
            </w:r>
          </w:p>
        </w:tc>
      </w:tr>
      <w:tr>
        <w:trPr>
          <w:trHeight w:val="213"/>
        </w:trPr>
        <w:tc>
          <w:tcPr>
            <w:tcW w:w="7920" w:type="dxa"/>
            <w:vAlign w:val="bottom"/>
          </w:tcPr>
          <w:p>
            <w:pPr>
              <w:ind w:left="20"/>
              <w:spacing w:after="0"/>
              <w:rPr>
                <w:sz w:val="20"/>
                <w:szCs w:val="20"/>
                <w:color w:val="auto"/>
              </w:rPr>
            </w:pPr>
            <w:r>
              <w:rPr>
                <w:rFonts w:ascii="Arial" w:cs="Arial" w:eastAsia="Arial" w:hAnsi="Arial"/>
                <w:sz w:val="17"/>
                <w:szCs w:val="17"/>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12,392,247</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10,986,950</w:t>
            </w:r>
          </w:p>
        </w:tc>
      </w:tr>
      <w:tr>
        <w:trPr>
          <w:trHeight w:val="20"/>
        </w:trPr>
        <w:tc>
          <w:tcPr>
            <w:tcW w:w="79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related notes included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mission is to imagine and pioneer new ways to decode the secrets of the proteome to improve human health. Our initial product, the Proteograph Product Suite (Proteograph), leverages our proprietary engineered nanoparticle (NP) technology to provide unbiased, deep, rapid and large-scale access to the proteome. The Proteograph Product Suite is an integrated solution that is comprised of consumables, an automation instrument and software.</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and its dynamic nature requires large-scale, unbiased and deep interrogation of thousands of samples across time, which we believe is unavailable with the proteomic approaches available today. We believe that the Proteograph Product Suite has the potential to enable researchers to perform these proteomics studies at scale.</w:t>
      </w:r>
    </w:p>
    <w:p>
      <w:pPr>
        <w:spacing w:after="0" w:line="131"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 publicly-traded company, and providing general and administrative support for these activities.</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Our ability to generate product revenue sufficient to achieve profitability, if ever, will depend on the successful commercialization of the Proteograph Product Suite. We are commercializing the Proteograph Product Suite as an integrated solution comprised of consumables, our SP100 automation instrument and software. Our commercial strategy is focused on growing adoption by the research community of the Proteograph, expanding the installed base and increasing utilization to generate revenue from the purchase of the Proteograph consumables. We expect a highly efficient sales model because our workflow integrates with most existing proteomics laboratories’ workflows and also complements large-scale genomics research.</w:t>
      </w:r>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We are broadly commercializing the Proteograph Product Suite through a direct sales channel in the United States, and through both direct and distributor sales channels in regions outside the United States. Given our recent launch of broad release commercialization, we have built, and will continue to build, sales, marketing, support and product distribution capabilities. We will continue to build the necessary infrastructure for these activities in the United States, European Union, the United Kingdom, and other countries and regions, including Asia-Pacific, as we execute on our broad release commercialization strategy for the Proteograph.</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obtain some of the reagents and components used in the Proteograph workflow from third-party suppliers. While some of these reagents and components are sourced from a single supplier, these products are readily available from numerous suppliers. While we perform some filling and packaging of the Proteograph assay and the related consumables,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future, we may have our filling and packaging outsourced to a third-party. We conduct vendor and component qualification for components provided by third-party suppliers and quality control tests on our NPs.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have designed our SP100 automation instrument and have outsourced the manufacturing of our SP100 to Hamilton Company, a leading manufacturer of automated liquid handling workstations. We have entered into a non-exclusive agreement with Hamilton that covers the manufacturing of our SP100 automation instrument and its continued supply on a purchase order basis. The agreement has an initial term that runs three years following our commercial launch. Pricing for the supply of our SP100 automation instrument is on a fixed schedule during the initial term of the agreement, with tiered pricing dependent upon the number of units purchased in a twelve-month period.</w:t>
      </w:r>
    </w:p>
    <w:p>
      <w:pPr>
        <w:spacing w:after="0" w:line="131"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During the nine months ended September 30, 2022 and 2021, we incurred a net loss of $70.4 million and $51.4 million, respectively, and used $46.5 million and $34.0 million of cash in operations, respectively. As of September 30, 2022, we had an accumulated deficit of $197.0 million and cash and cash equivalents and investments of $440.9 million. We expect to continue to incur significant and increasing losses and do not expect positive cash flows from operations for the foreseeable future.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We expect our expenses to increase significantly in connection with our ongoing activities, as we:</w:t>
      </w:r>
    </w:p>
    <w:p>
      <w:pPr>
        <w:spacing w:after="0" w:line="165"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broadly commercialize the Proteograph Product Suite;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attract, hire and retain qualified personnel;</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to build our sales, marketing, service, support and distribution infrastructure as part of our broad commercialization efforts;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build-out and expand our in-house NP manufacturing capabilities;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to engage in research and development of other products and enhancements to the Proteograph Product Suite;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implement operational, financial and management information systems;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 maintain, expand, and protect our intellectual property portfolio;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build the infrastructure to operate and scale as a public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Pandemic</w:t>
      </w:r>
    </w:p>
    <w:p>
      <w:pPr>
        <w:spacing w:after="0" w:line="16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As a result of the COVID-19 pandemic, we could experience disruptions that could severely impact our business. For example, we have experienced longer lead times from Hamilton for orders of our SP100 automation instruments and may experience delays and longer lead times from our other suppliers of critical hardware, instrumentation and consumables used for product development, manufacturing and commercial operations. Pandemic precautions and preventative measures may also impact our commercialization plans due to restrictions on our customers’ ability to access laboratories, causing delays in the delivery and installation of the Proteograph products, training such customers on our products, and their ability to conduct research. We have experienced delays in our ability to access customers in certain countries with strict COVID-19 policies to provide installation and training services.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details, see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generate revenue from product sales, including sales of the Proteograph Product Suite, which consists of an instrument with embedded software essential to the instrument’s functionality and associated consumables as well as our platform evaluation agreements. In addition, we may at times generate revenue from performing services and the receipt of grant revenue for the reimbursement of research-related expenses. Our revenue is primarily generated domestically. We intend to focus our commercial efforts in the United States and expect to grow our international presence in Europe and Asia. A portion of our revenue is generated by sales to a related party and we anticipate a portion of our revenue to continue to be generated by sales to such related party. Our grant-funded activities are expected to decrease as a percentage of total revenue as we decrease grant-funded activities and continue to ramp up commercialization of the Proteograph Product Suite.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6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We utilize third-party manufacturers for production of our SP100 instrument and we manufacture our NPs and assemble our assay kits internally. Cost of revenue consists primarily of costs of the components of Proteograph Product Suite, including the SP100 instrument with embedded software essential to the instrument’s functionality, and consumables, and distribution-related expenses such as logistics and shipping costs. In addition, cost of revenue includes stock-based compensation and related employee benefits and allocated overhead.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6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Research and development, or R&amp;D, expenses include costs associated with performing services under research and development service contracts and research and development of our technology and product candidates. R&amp;D expenses consist primarily of employee compensation, including stock-based compensation, and related employee benefits, laboratory supplies used for in-house research, consulting costs and allocated overhead, including rent, depreciation, information technology and utilities.</w:t>
      </w:r>
    </w:p>
    <w:p>
      <w:pPr>
        <w:spacing w:after="0" w:line="126"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We plan to increase our investment in our R&amp;D efforts related to the Proteograph Product Suite, our product development pipeline and our proprietary engineered NP and other technologies. Therefore, we expect R&amp;D expenses will increase in absolute dollars in future periods as we incur expenses associated with hiring additional personnel, purchasing supplies and materials, and the allocation of facility expense associated with the build-out of our expansion facilities to support our R&amp;D efforts.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65"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Selling, general and administrative expenses consist primarily of employee compensation, including stock-based compensation, and related benefits for executive management, sales and marketing, service and support, finance, administration and human resources, legal, allocated overhead, professional service fees and other general overhead costs to support our operations.</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expect to incur additional selling, general and administrative expenses as we continue to invest in our personnel as we grow our commercial operations and with the additional costs incurred as a result of operating as a public company, including accounting, human resources, legal, insurance and investor relations costs. As a result, we expect selling, general and administrative expenses to increase in absolute dollars in future periods.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interest earned on cash and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Comparisons of the Three Months Ended September 30, 2022 and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00" w:type="dxa"/>
            <w:vAlign w:val="bottom"/>
          </w:tcPr>
          <w:p>
            <w:pPr>
              <w:spacing w:after="0"/>
              <w:rPr>
                <w:sz w:val="15"/>
                <w:szCs w:val="15"/>
                <w:color w:val="auto"/>
              </w:rPr>
            </w:pPr>
          </w:p>
        </w:tc>
        <w:tc>
          <w:tcPr>
            <w:tcW w:w="326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1720" w:type="dxa"/>
            <w:vAlign w:val="bottom"/>
            <w:gridSpan w:val="3"/>
          </w:tcPr>
          <w:p>
            <w:pPr>
              <w:ind w:left="10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5"/>
                <w:szCs w:val="15"/>
                <w:color w:val="auto"/>
              </w:rPr>
            </w:pPr>
          </w:p>
        </w:tc>
      </w:tr>
      <w:tr>
        <w:trPr>
          <w:trHeight w:val="24"/>
        </w:trPr>
        <w:tc>
          <w:tcPr>
            <w:tcW w:w="4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5"/>
        </w:trPr>
        <w:tc>
          <w:tcPr>
            <w:tcW w:w="49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jc w:val="right"/>
              <w:ind w:right="635"/>
              <w:spacing w:after="0"/>
              <w:rPr>
                <w:sz w:val="20"/>
                <w:szCs w:val="20"/>
                <w:color w:val="auto"/>
              </w:rPr>
            </w:pPr>
            <w:r>
              <w:rPr>
                <w:rFonts w:ascii="Arial" w:cs="Arial" w:eastAsia="Arial" w:hAnsi="Arial"/>
                <w:sz w:val="14"/>
                <w:szCs w:val="14"/>
                <w:b w:val="1"/>
                <w:bCs w:val="1"/>
                <w:color w:val="auto"/>
              </w:rPr>
              <w:t>%</w:t>
            </w:r>
          </w:p>
        </w:tc>
      </w:tr>
      <w:tr>
        <w:trPr>
          <w:trHeight w:val="37"/>
        </w:trPr>
        <w:tc>
          <w:tcPr>
            <w:tcW w:w="49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gridSpan w:val="6"/>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5"/>
        </w:trPr>
        <w:tc>
          <w:tcPr>
            <w:tcW w:w="4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80" w:type="dxa"/>
            <w:vAlign w:val="bottom"/>
            <w:gridSpan w:val="6"/>
          </w:tcPr>
          <w:p>
            <w:pPr>
              <w:ind w:left="58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5"/>
                <w:szCs w:val="15"/>
                <w:color w:val="auto"/>
              </w:rPr>
            </w:pPr>
          </w:p>
        </w:tc>
      </w:tr>
      <w:tr>
        <w:trPr>
          <w:trHeight w:val="37"/>
        </w:trPr>
        <w:tc>
          <w:tcPr>
            <w:tcW w:w="4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9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57"/>
        </w:trPr>
        <w:tc>
          <w:tcPr>
            <w:tcW w:w="4900" w:type="dxa"/>
            <w:vAlign w:val="bottom"/>
          </w:tcPr>
          <w:p>
            <w:pPr>
              <w:ind w:left="220"/>
              <w:spacing w:after="0"/>
              <w:rPr>
                <w:sz w:val="20"/>
                <w:szCs w:val="20"/>
                <w:color w:val="auto"/>
              </w:rPr>
            </w:pPr>
            <w:r>
              <w:rPr>
                <w:rFonts w:ascii="Arial" w:cs="Arial" w:eastAsia="Arial" w:hAnsi="Arial"/>
                <w:sz w:val="17"/>
                <w:szCs w:val="17"/>
                <w:color w:val="auto"/>
              </w:rPr>
              <w:t>Product</w:t>
            </w:r>
          </w:p>
        </w:tc>
        <w:tc>
          <w:tcPr>
            <w:tcW w:w="900" w:type="dxa"/>
            <w:vAlign w:val="bottom"/>
          </w:tcPr>
          <w:p>
            <w:pPr>
              <w:jc w:val="right"/>
              <w:ind w:right="723"/>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2,571</w:t>
            </w:r>
          </w:p>
        </w:tc>
        <w:tc>
          <w:tcPr>
            <w:tcW w:w="100" w:type="dxa"/>
            <w:vAlign w:val="bottom"/>
          </w:tcPr>
          <w:p>
            <w:pPr>
              <w:spacing w:after="0"/>
              <w:rPr>
                <w:sz w:val="22"/>
                <w:szCs w:val="22"/>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858</w:t>
            </w:r>
          </w:p>
        </w:tc>
        <w:tc>
          <w:tcPr>
            <w:tcW w:w="100" w:type="dxa"/>
            <w:vAlign w:val="bottom"/>
          </w:tcPr>
          <w:p>
            <w:pPr>
              <w:spacing w:after="0"/>
              <w:rPr>
                <w:sz w:val="22"/>
                <w:szCs w:val="22"/>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1,713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200 %</w:t>
            </w:r>
          </w:p>
        </w:tc>
      </w:tr>
      <w:tr>
        <w:trPr>
          <w:trHeight w:val="259"/>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9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57"/>
        </w:trPr>
        <w:tc>
          <w:tcPr>
            <w:tcW w:w="4900" w:type="dxa"/>
            <w:vAlign w:val="bottom"/>
          </w:tcPr>
          <w:p>
            <w:pPr>
              <w:ind w:left="220"/>
              <w:spacing w:after="0"/>
              <w:rPr>
                <w:sz w:val="20"/>
                <w:szCs w:val="20"/>
                <w:color w:val="auto"/>
              </w:rPr>
            </w:pPr>
            <w:r>
              <w:rPr>
                <w:rFonts w:ascii="Arial" w:cs="Arial" w:eastAsia="Arial" w:hAnsi="Arial"/>
                <w:sz w:val="17"/>
                <w:szCs w:val="17"/>
                <w:color w:val="auto"/>
              </w:rPr>
              <w:t>Related party</w:t>
            </w:r>
          </w:p>
        </w:tc>
        <w:tc>
          <w:tcPr>
            <w:tcW w:w="9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67 %</w:t>
            </w:r>
          </w:p>
        </w:tc>
      </w:tr>
      <w:tr>
        <w:trPr>
          <w:trHeight w:val="258"/>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Grant and other</w:t>
            </w:r>
          </w:p>
        </w:tc>
        <w:tc>
          <w:tcPr>
            <w:tcW w:w="9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24"/>
        </w:trPr>
        <w:tc>
          <w:tcPr>
            <w:tcW w:w="490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9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3,955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2,155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1,800</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84 %</w:t>
            </w:r>
          </w:p>
        </w:tc>
      </w:tr>
      <w:tr>
        <w:trPr>
          <w:trHeight w:val="27"/>
        </w:trPr>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9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57"/>
        </w:trPr>
        <w:tc>
          <w:tcPr>
            <w:tcW w:w="4900" w:type="dxa"/>
            <w:vAlign w:val="bottom"/>
          </w:tcPr>
          <w:p>
            <w:pPr>
              <w:ind w:left="220"/>
              <w:spacing w:after="0"/>
              <w:rPr>
                <w:sz w:val="20"/>
                <w:szCs w:val="20"/>
                <w:color w:val="auto"/>
              </w:rPr>
            </w:pPr>
            <w:r>
              <w:rPr>
                <w:rFonts w:ascii="Arial" w:cs="Arial" w:eastAsia="Arial" w:hAnsi="Arial"/>
                <w:sz w:val="17"/>
                <w:szCs w:val="17"/>
                <w:color w:val="auto"/>
              </w:rPr>
              <w:t>Product</w:t>
            </w:r>
          </w:p>
        </w:tc>
        <w:tc>
          <w:tcPr>
            <w:tcW w:w="9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797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139 %</w:t>
            </w:r>
          </w:p>
        </w:tc>
      </w:tr>
      <w:tr>
        <w:trPr>
          <w:trHeight w:val="259"/>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9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57"/>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Related party</w:t>
            </w:r>
          </w:p>
        </w:tc>
        <w:tc>
          <w:tcPr>
            <w:tcW w:w="9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67 %</w:t>
            </w:r>
          </w:p>
        </w:tc>
      </w:tr>
      <w:tr>
        <w:trPr>
          <w:trHeight w:val="251"/>
        </w:trPr>
        <w:tc>
          <w:tcPr>
            <w:tcW w:w="4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cost of revenue</w:t>
            </w:r>
          </w:p>
        </w:tc>
        <w:tc>
          <w:tcPr>
            <w:tcW w:w="9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104 %</w:t>
            </w:r>
          </w:p>
        </w:tc>
      </w:tr>
      <w:tr>
        <w:trPr>
          <w:trHeight w:val="224"/>
        </w:trPr>
        <w:tc>
          <w:tcPr>
            <w:tcW w:w="49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66 %</w:t>
            </w:r>
          </w:p>
        </w:tc>
      </w:tr>
      <w:tr>
        <w:trPr>
          <w:trHeight w:val="27"/>
        </w:trPr>
        <w:tc>
          <w:tcPr>
            <w:tcW w:w="4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9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11,564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49 %</w:t>
            </w:r>
          </w:p>
        </w:tc>
      </w:tr>
      <w:tr>
        <w:trPr>
          <w:trHeight w:val="27"/>
        </w:trPr>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8"/>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Selling, general and administrative</w:t>
            </w:r>
          </w:p>
        </w:tc>
        <w:tc>
          <w:tcPr>
            <w:tcW w:w="9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3,592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30 %</w:t>
            </w:r>
          </w:p>
        </w:tc>
      </w:tr>
      <w:tr>
        <w:trPr>
          <w:trHeight w:val="223"/>
        </w:trPr>
        <w:tc>
          <w:tcPr>
            <w:tcW w:w="4900" w:type="dxa"/>
            <w:vAlign w:val="bottom"/>
          </w:tcPr>
          <w:p>
            <w:pPr>
              <w:ind w:left="440"/>
              <w:spacing w:after="0"/>
              <w:rPr>
                <w:sz w:val="20"/>
                <w:szCs w:val="20"/>
                <w:color w:val="auto"/>
              </w:rPr>
            </w:pPr>
            <w:r>
              <w:rPr>
                <w:rFonts w:ascii="Arial" w:cs="Arial" w:eastAsia="Arial" w:hAnsi="Arial"/>
                <w:sz w:val="17"/>
                <w:szCs w:val="17"/>
                <w:color w:val="auto"/>
              </w:rPr>
              <w:t>Total operating expenses</w:t>
            </w:r>
          </w:p>
        </w:tc>
        <w:tc>
          <w:tcPr>
            <w:tcW w:w="9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27,011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19,600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7,411</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38 %</w:t>
            </w:r>
          </w:p>
        </w:tc>
      </w:tr>
      <w:tr>
        <w:trPr>
          <w:trHeight w:val="27"/>
        </w:trPr>
        <w:tc>
          <w:tcPr>
            <w:tcW w:w="4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9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(25,066)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(6,635)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36 %</w:t>
            </w:r>
          </w:p>
        </w:tc>
      </w:tr>
      <w:tr>
        <w:trPr>
          <w:trHeight w:val="230"/>
        </w:trPr>
        <w:tc>
          <w:tcPr>
            <w:tcW w:w="490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9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2693 %</w:t>
            </w:r>
          </w:p>
        </w:tc>
      </w:tr>
      <w:tr>
        <w:trPr>
          <w:trHeight w:val="230"/>
        </w:trPr>
        <w:tc>
          <w:tcPr>
            <w:tcW w:w="4900" w:type="dxa"/>
            <w:vAlign w:val="bottom"/>
          </w:tcPr>
          <w:p>
            <w:pPr>
              <w:ind w:left="220"/>
              <w:spacing w:after="0"/>
              <w:rPr>
                <w:sz w:val="20"/>
                <w:szCs w:val="20"/>
                <w:color w:val="auto"/>
              </w:rPr>
            </w:pPr>
            <w:r>
              <w:rPr>
                <w:rFonts w:ascii="Arial" w:cs="Arial" w:eastAsia="Arial" w:hAnsi="Arial"/>
                <w:sz w:val="17"/>
                <w:szCs w:val="17"/>
                <w:color w:val="auto"/>
              </w:rPr>
              <w:t>Other expense</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4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1"/>
        </w:trPr>
        <w:tc>
          <w:tcPr>
            <w:tcW w:w="4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other income</w:t>
            </w: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2261 %</w:t>
            </w:r>
          </w:p>
        </w:tc>
      </w:tr>
      <w:tr>
        <w:trPr>
          <w:trHeight w:val="250"/>
        </w:trPr>
        <w:tc>
          <w:tcPr>
            <w:tcW w:w="4900" w:type="dxa"/>
            <w:vAlign w:val="bottom"/>
          </w:tcPr>
          <w:p>
            <w:pPr>
              <w:ind w:left="20"/>
              <w:spacing w:after="0"/>
              <w:rPr>
                <w:sz w:val="20"/>
                <w:szCs w:val="20"/>
                <w:color w:val="auto"/>
              </w:rPr>
            </w:pPr>
            <w:r>
              <w:rPr>
                <w:rFonts w:ascii="Arial" w:cs="Arial" w:eastAsia="Arial" w:hAnsi="Arial"/>
                <w:sz w:val="17"/>
                <w:szCs w:val="17"/>
                <w:color w:val="auto"/>
              </w:rPr>
              <w:t>Net loss</w:t>
            </w:r>
          </w:p>
        </w:tc>
        <w:tc>
          <w:tcPr>
            <w:tcW w:w="90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(23,980)</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(18,385)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(5,595)</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30 %</w:t>
            </w:r>
          </w:p>
        </w:tc>
      </w:tr>
      <w:tr>
        <w:trPr>
          <w:trHeight w:val="20"/>
        </w:trPr>
        <w:tc>
          <w:tcPr>
            <w:tcW w:w="4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right="9980" w:firstLine="3"/>
        <w:spacing w:after="0" w:line="522" w:lineRule="auto"/>
        <w:tabs>
          <w:tab w:leader="none" w:pos="129"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78"/>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5"/>
                <w:szCs w:val="15"/>
                <w:color w:val="auto"/>
              </w:rPr>
            </w:pPr>
          </w:p>
        </w:tc>
      </w:tr>
      <w:tr>
        <w:trPr>
          <w:trHeight w:val="24"/>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9"/>
        </w:trPr>
        <w:tc>
          <w:tcPr>
            <w:tcW w:w="4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w:t>
            </w:r>
          </w:p>
        </w:tc>
      </w:tr>
      <w:tr>
        <w:trPr>
          <w:trHeight w:val="184"/>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40" w:type="dxa"/>
            <w:vAlign w:val="bottom"/>
            <w:gridSpan w:val="3"/>
          </w:tcPr>
          <w:p>
            <w:pPr>
              <w:jc w:val="right"/>
              <w:ind w:right="303"/>
              <w:spacing w:after="0"/>
              <w:rPr>
                <w:sz w:val="20"/>
                <w:szCs w:val="20"/>
                <w:color w:val="auto"/>
              </w:rPr>
            </w:pPr>
            <w:r>
              <w:rPr>
                <w:rFonts w:ascii="Arial" w:cs="Arial" w:eastAsia="Arial" w:hAnsi="Arial"/>
                <w:sz w:val="14"/>
                <w:szCs w:val="14"/>
                <w:i w:val="1"/>
                <w:iCs w:val="1"/>
                <w:color w:val="auto"/>
              </w:rPr>
              <w:t>(dollars in thousands)</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3,955</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2,155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w w:val="93"/>
              </w:rPr>
              <w:t>1,800</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84 %</w:t>
            </w:r>
          </w:p>
        </w:tc>
      </w:tr>
    </w:tbl>
    <w:p>
      <w:pPr>
        <w:spacing w:after="0" w:line="220" w:lineRule="exact"/>
        <w:rPr>
          <w:sz w:val="20"/>
          <w:szCs w:val="20"/>
          <w:color w:val="auto"/>
        </w:rPr>
      </w:pPr>
    </w:p>
    <w:p>
      <w:pPr>
        <w:jc w:val="both"/>
        <w:ind w:right="140"/>
        <w:spacing w:after="0" w:line="307" w:lineRule="auto"/>
        <w:rPr>
          <w:sz w:val="20"/>
          <w:szCs w:val="20"/>
          <w:color w:val="auto"/>
        </w:rPr>
      </w:pPr>
      <w:r>
        <w:rPr>
          <w:rFonts w:ascii="Arial" w:cs="Arial" w:eastAsia="Arial" w:hAnsi="Arial"/>
          <w:sz w:val="15"/>
          <w:szCs w:val="15"/>
          <w:color w:val="auto"/>
        </w:rPr>
        <w:t>Revenue increased by $1.8 million, or 84%, from $2.2 million during the three months ended September 30, 2021 to $4.0 million during the three months ended September 30, 2022, due to sales of product related to the Proteograph Product Suite. Revenue recognized primarily consisted of sales of the Proteograph SP100 instrument, consumable kits and platform evaluations, of which $1.3 million was attributed to related party. Revenue related to our grant-funded activities related to our Small Business Innovation Research (SBIR) grant from the National Institutes of Health Grant (NIH) decreased between the two periods by $10,000.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5"/>
                <w:szCs w:val="15"/>
                <w:color w:val="auto"/>
              </w:rPr>
            </w:pPr>
          </w:p>
        </w:tc>
      </w:tr>
      <w:tr>
        <w:trPr>
          <w:trHeight w:val="24"/>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9"/>
        </w:trPr>
        <w:tc>
          <w:tcPr>
            <w:tcW w:w="4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w:t>
            </w:r>
          </w:p>
        </w:tc>
      </w:tr>
      <w:tr>
        <w:trPr>
          <w:trHeight w:val="184"/>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40" w:type="dxa"/>
            <w:vAlign w:val="bottom"/>
            <w:gridSpan w:val="3"/>
          </w:tcPr>
          <w:p>
            <w:pPr>
              <w:jc w:val="right"/>
              <w:ind w:right="303"/>
              <w:spacing w:after="0"/>
              <w:rPr>
                <w:sz w:val="20"/>
                <w:szCs w:val="20"/>
                <w:color w:val="auto"/>
              </w:rPr>
            </w:pPr>
            <w:r>
              <w:rPr>
                <w:rFonts w:ascii="Arial" w:cs="Arial" w:eastAsia="Arial" w:hAnsi="Arial"/>
                <w:sz w:val="14"/>
                <w:szCs w:val="14"/>
                <w:i w:val="1"/>
                <w:iCs w:val="1"/>
                <w:color w:val="auto"/>
              </w:rPr>
              <w:t>(dollars in thousands)</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2,010</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986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w w:val="93"/>
              </w:rPr>
              <w:t>1,024</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104 %</w:t>
            </w:r>
          </w:p>
        </w:tc>
      </w:tr>
    </w:tbl>
    <w:p>
      <w:pPr>
        <w:spacing w:after="0" w:line="23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Cost of revenue increased by $1.0 million, or 104%, from $1.0 million during the three months ended September 30, 2021 to $2.0 million during the three months ended September 30, 2022, primarily due to sales of the Proteograph Product Suite. Cost of revenue related to the Proteograph Product Suite consists of costs of the SP100 instrument, consumable kits and other related costs, including labor and overhead.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tcPr>
          <w:p>
            <w:pPr>
              <w:spacing w:after="0"/>
              <w:rPr>
                <w:sz w:val="16"/>
                <w:szCs w:val="16"/>
                <w:color w:val="auto"/>
              </w:rPr>
            </w:pPr>
          </w:p>
        </w:tc>
        <w:tc>
          <w:tcPr>
            <w:tcW w:w="106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6"/>
                <w:szCs w:val="16"/>
                <w:color w:val="auto"/>
              </w:rPr>
            </w:pPr>
          </w:p>
        </w:tc>
      </w:tr>
      <w:tr>
        <w:trPr>
          <w:trHeight w:val="24"/>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8"/>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46"/>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140" w:type="dxa"/>
            <w:vAlign w:val="bottom"/>
          </w:tcPr>
          <w:p>
            <w:pPr>
              <w:jc w:val="right"/>
              <w:ind w:right="54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060" w:type="dxa"/>
            <w:vAlign w:val="bottom"/>
          </w:tcPr>
          <w:p>
            <w:pPr>
              <w:spacing w:after="0"/>
              <w:rPr>
                <w:sz w:val="16"/>
                <w:szCs w:val="16"/>
                <w:color w:val="auto"/>
              </w:rPr>
            </w:pPr>
          </w:p>
        </w:tc>
        <w:tc>
          <w:tcPr>
            <w:tcW w:w="1140" w:type="dxa"/>
            <w:vAlign w:val="bottom"/>
          </w:tcPr>
          <w:p>
            <w:pPr>
              <w:jc w:val="right"/>
              <w:ind w:right="663"/>
              <w:spacing w:after="0"/>
              <w:rPr>
                <w:sz w:val="20"/>
                <w:szCs w:val="20"/>
                <w:color w:val="auto"/>
              </w:rPr>
            </w:pPr>
            <w:r>
              <w:rPr>
                <w:rFonts w:ascii="Arial" w:cs="Arial" w:eastAsia="Arial" w:hAnsi="Arial"/>
                <w:sz w:val="14"/>
                <w:szCs w:val="14"/>
                <w:b w:val="1"/>
                <w:bCs w:val="1"/>
                <w:color w:val="auto"/>
              </w:rPr>
              <w:t>%</w:t>
            </w:r>
          </w:p>
        </w:tc>
      </w:tr>
      <w:tr>
        <w:trPr>
          <w:trHeight w:val="24"/>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7"/>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40" w:type="dxa"/>
            <w:vAlign w:val="bottom"/>
            <w:gridSpan w:val="3"/>
          </w:tcPr>
          <w:p>
            <w:pPr>
              <w:jc w:val="right"/>
              <w:ind w:right="303"/>
              <w:spacing w:after="0"/>
              <w:rPr>
                <w:sz w:val="20"/>
                <w:szCs w:val="20"/>
                <w:color w:val="auto"/>
              </w:rPr>
            </w:pPr>
            <w:r>
              <w:rPr>
                <w:rFonts w:ascii="Arial" w:cs="Arial" w:eastAsia="Arial" w:hAnsi="Arial"/>
                <w:sz w:val="14"/>
                <w:szCs w:val="14"/>
                <w:i w:val="1"/>
                <w:iCs w:val="1"/>
                <w:color w:val="auto"/>
              </w:rPr>
              <w:t>(dollars in thousands)</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11,564</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7,745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w w:val="93"/>
              </w:rPr>
              <w:t>3,819</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49 %</w:t>
            </w:r>
          </w:p>
        </w:tc>
      </w:tr>
    </w:tbl>
    <w:p>
      <w:pPr>
        <w:spacing w:after="0" w:line="22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R&amp;D expenses increased by $3.8 million, or 49%, from $7.7 million during the three months ended September 30, 2021 to $11.6 million during the three months ended September 30, 2022. The increase was primarily due to an increase in product development efforts related to the Proteograph Product Suite, including $2.7 million in employee compensation costs and other related expenses, including stock-based compensation, due to growth in research and development personnel and a $0.8 million increase in allocated overhead related to the allocation of facility expense associated with the build-out of our expansion facilities to support our R&amp;D efforts. Other increases are attributable to costs related to general business expenses of $0.1 million and a $0.2 million increase in depreciation of laboratory equipment.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tcPr>
          <w:p>
            <w:pPr>
              <w:spacing w:after="0"/>
              <w:rPr>
                <w:sz w:val="16"/>
                <w:szCs w:val="16"/>
                <w:color w:val="auto"/>
              </w:rPr>
            </w:pPr>
          </w:p>
        </w:tc>
        <w:tc>
          <w:tcPr>
            <w:tcW w:w="106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6"/>
                <w:szCs w:val="16"/>
                <w:color w:val="auto"/>
              </w:rPr>
            </w:pPr>
          </w:p>
        </w:tc>
      </w:tr>
      <w:tr>
        <w:trPr>
          <w:trHeight w:val="24"/>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8"/>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46"/>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140" w:type="dxa"/>
            <w:vAlign w:val="bottom"/>
          </w:tcPr>
          <w:p>
            <w:pPr>
              <w:jc w:val="right"/>
              <w:ind w:right="54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060" w:type="dxa"/>
            <w:vAlign w:val="bottom"/>
          </w:tcPr>
          <w:p>
            <w:pPr>
              <w:spacing w:after="0"/>
              <w:rPr>
                <w:sz w:val="16"/>
                <w:szCs w:val="16"/>
                <w:color w:val="auto"/>
              </w:rPr>
            </w:pPr>
          </w:p>
        </w:tc>
        <w:tc>
          <w:tcPr>
            <w:tcW w:w="1140" w:type="dxa"/>
            <w:vAlign w:val="bottom"/>
          </w:tcPr>
          <w:p>
            <w:pPr>
              <w:jc w:val="right"/>
              <w:ind w:right="663"/>
              <w:spacing w:after="0"/>
              <w:rPr>
                <w:sz w:val="20"/>
                <w:szCs w:val="20"/>
                <w:color w:val="auto"/>
              </w:rPr>
            </w:pPr>
            <w:r>
              <w:rPr>
                <w:rFonts w:ascii="Arial" w:cs="Arial" w:eastAsia="Arial" w:hAnsi="Arial"/>
                <w:sz w:val="14"/>
                <w:szCs w:val="14"/>
                <w:b w:val="1"/>
                <w:bCs w:val="1"/>
                <w:color w:val="auto"/>
              </w:rPr>
              <w:t>%</w:t>
            </w:r>
          </w:p>
        </w:tc>
      </w:tr>
      <w:tr>
        <w:trPr>
          <w:trHeight w:val="24"/>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7"/>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40" w:type="dxa"/>
            <w:vAlign w:val="bottom"/>
            <w:gridSpan w:val="3"/>
          </w:tcPr>
          <w:p>
            <w:pPr>
              <w:jc w:val="right"/>
              <w:ind w:right="303"/>
              <w:spacing w:after="0"/>
              <w:rPr>
                <w:sz w:val="20"/>
                <w:szCs w:val="20"/>
                <w:color w:val="auto"/>
              </w:rPr>
            </w:pPr>
            <w:r>
              <w:rPr>
                <w:rFonts w:ascii="Arial" w:cs="Arial" w:eastAsia="Arial" w:hAnsi="Arial"/>
                <w:sz w:val="14"/>
                <w:szCs w:val="14"/>
                <w:i w:val="1"/>
                <w:iCs w:val="1"/>
                <w:color w:val="auto"/>
              </w:rPr>
              <w:t>(dollars in thousands)</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15,447</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11,855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w w:val="93"/>
              </w:rPr>
              <w:t>3,592</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30 %</w:t>
            </w:r>
          </w:p>
        </w:tc>
      </w:tr>
    </w:tbl>
    <w:p>
      <w:pPr>
        <w:spacing w:after="0" w:line="233"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Selling, general and administrative expenses increased by $3.6 million, or 30%, from $11.9 million during the three months ended September 30, 2021 to $15.4 million during the three months ended September 30, 2022, primarily due to a $1.2 million increase in employee compensation and other related expenses, and a $1.1 million stock-based compensation increase. Other increases are attributable to costs related to being a publicly traded company, including a $0.8 million increase in professional service and consulting fees and a $0.5 million increase in expenses due to our facility expansion.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Other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tcPr>
          <w:p>
            <w:pPr>
              <w:spacing w:after="0"/>
              <w:rPr>
                <w:sz w:val="16"/>
                <w:szCs w:val="16"/>
                <w:color w:val="auto"/>
              </w:rPr>
            </w:pPr>
          </w:p>
        </w:tc>
        <w:tc>
          <w:tcPr>
            <w:tcW w:w="106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6"/>
                <w:szCs w:val="16"/>
                <w:color w:val="auto"/>
              </w:rPr>
            </w:pPr>
          </w:p>
        </w:tc>
      </w:tr>
      <w:tr>
        <w:trPr>
          <w:trHeight w:val="24"/>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8"/>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46"/>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140" w:type="dxa"/>
            <w:vAlign w:val="bottom"/>
          </w:tcPr>
          <w:p>
            <w:pPr>
              <w:jc w:val="right"/>
              <w:ind w:right="54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060" w:type="dxa"/>
            <w:vAlign w:val="bottom"/>
          </w:tcPr>
          <w:p>
            <w:pPr>
              <w:spacing w:after="0"/>
              <w:rPr>
                <w:sz w:val="16"/>
                <w:szCs w:val="16"/>
                <w:color w:val="auto"/>
              </w:rPr>
            </w:pPr>
          </w:p>
        </w:tc>
        <w:tc>
          <w:tcPr>
            <w:tcW w:w="1140" w:type="dxa"/>
            <w:vAlign w:val="bottom"/>
          </w:tcPr>
          <w:p>
            <w:pPr>
              <w:jc w:val="right"/>
              <w:ind w:right="663"/>
              <w:spacing w:after="0"/>
              <w:rPr>
                <w:sz w:val="20"/>
                <w:szCs w:val="20"/>
                <w:color w:val="auto"/>
              </w:rPr>
            </w:pPr>
            <w:r>
              <w:rPr>
                <w:rFonts w:ascii="Arial" w:cs="Arial" w:eastAsia="Arial" w:hAnsi="Arial"/>
                <w:sz w:val="14"/>
                <w:szCs w:val="14"/>
                <w:b w:val="1"/>
                <w:bCs w:val="1"/>
                <w:color w:val="auto"/>
              </w:rPr>
              <w:t>%</w:t>
            </w:r>
          </w:p>
        </w:tc>
      </w:tr>
      <w:tr>
        <w:trPr>
          <w:trHeight w:val="24"/>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7"/>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40" w:type="dxa"/>
            <w:vAlign w:val="bottom"/>
            <w:gridSpan w:val="3"/>
          </w:tcPr>
          <w:p>
            <w:pPr>
              <w:jc w:val="right"/>
              <w:ind w:right="303"/>
              <w:spacing w:after="0"/>
              <w:rPr>
                <w:sz w:val="20"/>
                <w:szCs w:val="20"/>
                <w:color w:val="auto"/>
              </w:rPr>
            </w:pPr>
            <w:r>
              <w:rPr>
                <w:rFonts w:ascii="Arial" w:cs="Arial" w:eastAsia="Arial" w:hAnsi="Arial"/>
                <w:sz w:val="14"/>
                <w:szCs w:val="14"/>
                <w:i w:val="1"/>
                <w:iCs w:val="1"/>
                <w:color w:val="auto"/>
              </w:rPr>
              <w:t>(dollars in thousands)</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income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1,086</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w w:val="93"/>
              </w:rPr>
              <w:t>1,040</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2261 %</w:t>
            </w:r>
          </w:p>
        </w:tc>
      </w:tr>
    </w:tbl>
    <w:p>
      <w:pPr>
        <w:spacing w:after="0" w:line="23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Total other income increased by $1.0 million, or 2261%, from $46,000 during the three months ended September 30, 2021 to $1.1 million during the three months ended September 30, 2022. The increase was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higher rates of interest earned on cash invested in money market funds, U.S. Treasury, commercial paper and corporate securities during the three months ended September 30, 2022.</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Comparisons of the Nine Months Ended September 30, 2022 and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5"/>
                <w:szCs w:val="15"/>
                <w:color w:val="auto"/>
              </w:rPr>
            </w:pPr>
          </w:p>
        </w:tc>
        <w:tc>
          <w:tcPr>
            <w:tcW w:w="17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5"/>
                <w:szCs w:val="15"/>
                <w:color w:val="auto"/>
              </w:rPr>
            </w:pPr>
          </w:p>
        </w:tc>
      </w:tr>
      <w:tr>
        <w:trPr>
          <w:trHeight w:val="24"/>
        </w:trPr>
        <w:tc>
          <w:tcPr>
            <w:tcW w:w="4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jc w:val="right"/>
              <w:ind w:right="655"/>
              <w:spacing w:after="0"/>
              <w:rPr>
                <w:sz w:val="20"/>
                <w:szCs w:val="20"/>
                <w:color w:val="auto"/>
              </w:rPr>
            </w:pPr>
            <w:r>
              <w:rPr>
                <w:rFonts w:ascii="Arial" w:cs="Arial" w:eastAsia="Arial" w:hAnsi="Arial"/>
                <w:sz w:val="14"/>
                <w:szCs w:val="14"/>
                <w:b w:val="1"/>
                <w:bCs w:val="1"/>
                <w:color w:val="auto"/>
              </w:rPr>
              <w:t>%</w:t>
            </w:r>
          </w:p>
        </w:tc>
      </w:tr>
      <w:tr>
        <w:trPr>
          <w:trHeight w:val="37"/>
        </w:trPr>
        <w:tc>
          <w:tcPr>
            <w:tcW w:w="48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gridSpan w:val="6"/>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5"/>
        </w:trPr>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00" w:type="dxa"/>
            <w:vAlign w:val="bottom"/>
            <w:gridSpan w:val="6"/>
          </w:tcPr>
          <w:p>
            <w:pPr>
              <w:ind w:left="640"/>
              <w:spacing w:after="0"/>
              <w:rPr>
                <w:sz w:val="20"/>
                <w:szCs w:val="20"/>
                <w:color w:val="auto"/>
              </w:rPr>
            </w:pPr>
            <w:r>
              <w:rPr>
                <w:rFonts w:ascii="Arial" w:cs="Arial" w:eastAsia="Arial" w:hAnsi="Arial"/>
                <w:sz w:val="14"/>
                <w:szCs w:val="14"/>
                <w:i w:val="1"/>
                <w:iCs w:val="1"/>
                <w:color w:val="auto"/>
              </w:rPr>
              <w:t>(dollars in thousands)</w:t>
            </w:r>
          </w:p>
        </w:tc>
        <w:tc>
          <w:tcPr>
            <w:tcW w:w="1140" w:type="dxa"/>
            <w:vAlign w:val="bottom"/>
          </w:tcPr>
          <w:p>
            <w:pPr>
              <w:spacing w:after="0"/>
              <w:rPr>
                <w:sz w:val="15"/>
                <w:szCs w:val="15"/>
                <w:color w:val="auto"/>
              </w:rPr>
            </w:pPr>
          </w:p>
        </w:tc>
      </w:tr>
      <w:tr>
        <w:trPr>
          <w:trHeight w:val="37"/>
        </w:trPr>
        <w:tc>
          <w:tcPr>
            <w:tcW w:w="4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57"/>
        </w:trPr>
        <w:tc>
          <w:tcPr>
            <w:tcW w:w="4860" w:type="dxa"/>
            <w:vAlign w:val="bottom"/>
          </w:tcPr>
          <w:p>
            <w:pPr>
              <w:ind w:left="220"/>
              <w:spacing w:after="0"/>
              <w:rPr>
                <w:sz w:val="20"/>
                <w:szCs w:val="20"/>
                <w:color w:val="auto"/>
              </w:rPr>
            </w:pPr>
            <w:r>
              <w:rPr>
                <w:rFonts w:ascii="Arial" w:cs="Arial" w:eastAsia="Arial" w:hAnsi="Arial"/>
                <w:sz w:val="17"/>
                <w:szCs w:val="17"/>
                <w:color w:val="auto"/>
              </w:rPr>
              <w:t>Product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7,126</w:t>
            </w:r>
          </w:p>
        </w:tc>
        <w:tc>
          <w:tcPr>
            <w:tcW w:w="100" w:type="dxa"/>
            <w:vAlign w:val="bottom"/>
          </w:tcPr>
          <w:p>
            <w:pPr>
              <w:spacing w:after="0"/>
              <w:rPr>
                <w:sz w:val="22"/>
                <w:szCs w:val="22"/>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1,695</w:t>
            </w:r>
          </w:p>
        </w:tc>
        <w:tc>
          <w:tcPr>
            <w:tcW w:w="80" w:type="dxa"/>
            <w:vAlign w:val="bottom"/>
          </w:tcPr>
          <w:p>
            <w:pPr>
              <w:spacing w:after="0"/>
              <w:rPr>
                <w:sz w:val="22"/>
                <w:szCs w:val="22"/>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5,431</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320 %</w:t>
            </w:r>
          </w:p>
        </w:tc>
      </w:tr>
      <w:tr>
        <w:trPr>
          <w:trHeight w:val="259"/>
        </w:trPr>
        <w:tc>
          <w:tcPr>
            <w:tcW w:w="4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57"/>
        </w:trPr>
        <w:tc>
          <w:tcPr>
            <w:tcW w:w="4860" w:type="dxa"/>
            <w:vAlign w:val="bottom"/>
          </w:tcPr>
          <w:p>
            <w:pPr>
              <w:ind w:left="220"/>
              <w:spacing w:after="0"/>
              <w:rPr>
                <w:sz w:val="20"/>
                <w:szCs w:val="20"/>
                <w:color w:val="auto"/>
              </w:rPr>
            </w:pPr>
            <w:r>
              <w:rPr>
                <w:rFonts w:ascii="Arial" w:cs="Arial" w:eastAsia="Arial" w:hAnsi="Arial"/>
                <w:sz w:val="17"/>
                <w:szCs w:val="17"/>
                <w:color w:val="auto"/>
              </w:rPr>
              <w:t>Related party</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1,167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2,327</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199 %</w:t>
            </w:r>
          </w:p>
        </w:tc>
      </w:tr>
      <w:tr>
        <w:trPr>
          <w:trHeight w:val="258"/>
        </w:trPr>
        <w:tc>
          <w:tcPr>
            <w:tcW w:w="4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Grant and other</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24"/>
        </w:trPr>
        <w:tc>
          <w:tcPr>
            <w:tcW w:w="486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10,888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7,337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207 %</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57"/>
        </w:trPr>
        <w:tc>
          <w:tcPr>
            <w:tcW w:w="4860" w:type="dxa"/>
            <w:vAlign w:val="bottom"/>
          </w:tcPr>
          <w:p>
            <w:pPr>
              <w:ind w:left="220"/>
              <w:spacing w:after="0"/>
              <w:rPr>
                <w:sz w:val="20"/>
                <w:szCs w:val="20"/>
                <w:color w:val="auto"/>
              </w:rPr>
            </w:pPr>
            <w:r>
              <w:rPr>
                <w:rFonts w:ascii="Arial" w:cs="Arial" w:eastAsia="Arial" w:hAnsi="Arial"/>
                <w:sz w:val="17"/>
                <w:szCs w:val="17"/>
                <w:color w:val="auto"/>
              </w:rPr>
              <w:t>Product</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4,674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1,078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3,596</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334 %</w:t>
            </w:r>
          </w:p>
        </w:tc>
      </w:tr>
      <w:tr>
        <w:trPr>
          <w:trHeight w:val="259"/>
        </w:trPr>
        <w:tc>
          <w:tcPr>
            <w:tcW w:w="4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r>
      <w:tr>
        <w:trPr>
          <w:trHeight w:val="257"/>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Related party</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914</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202 %</w:t>
            </w:r>
          </w:p>
        </w:tc>
      </w:tr>
      <w:tr>
        <w:trPr>
          <w:trHeight w:val="251"/>
        </w:trPr>
        <w:tc>
          <w:tcPr>
            <w:tcW w:w="48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cost of revenue</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1,572</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4,518</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287 %</w:t>
            </w:r>
          </w:p>
        </w:tc>
      </w:tr>
      <w:tr>
        <w:trPr>
          <w:trHeight w:val="224"/>
        </w:trPr>
        <w:tc>
          <w:tcPr>
            <w:tcW w:w="486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4,798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2,819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142 %</w:t>
            </w: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33,167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20,906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12,261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59 %</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8"/>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43,917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32,672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11,245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34 %</w:t>
            </w:r>
          </w:p>
        </w:tc>
      </w:tr>
      <w:tr>
        <w:trPr>
          <w:trHeight w:val="223"/>
        </w:trPr>
        <w:tc>
          <w:tcPr>
            <w:tcW w:w="4860" w:type="dxa"/>
            <w:vAlign w:val="bottom"/>
          </w:tcPr>
          <w:p>
            <w:pPr>
              <w:ind w:left="44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77,084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53,578</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23,506</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44 %</w:t>
            </w: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(72,286)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(51,599)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(20,687)</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40 %</w:t>
            </w:r>
          </w:p>
        </w:tc>
      </w:tr>
      <w:tr>
        <w:trPr>
          <w:trHeight w:val="230"/>
        </w:trPr>
        <w:tc>
          <w:tcPr>
            <w:tcW w:w="48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1146 %</w:t>
            </w:r>
          </w:p>
        </w:tc>
      </w:tr>
      <w:tr>
        <w:trPr>
          <w:trHeight w:val="230"/>
        </w:trPr>
        <w:tc>
          <w:tcPr>
            <w:tcW w:w="4860" w:type="dxa"/>
            <w:vAlign w:val="bottom"/>
          </w:tcPr>
          <w:p>
            <w:pPr>
              <w:ind w:left="220"/>
              <w:spacing w:after="0"/>
              <w:rPr>
                <w:sz w:val="20"/>
                <w:szCs w:val="20"/>
                <w:color w:val="auto"/>
              </w:rPr>
            </w:pPr>
            <w:r>
              <w:rPr>
                <w:rFonts w:ascii="Arial" w:cs="Arial" w:eastAsia="Arial" w:hAnsi="Arial"/>
                <w:sz w:val="17"/>
                <w:szCs w:val="17"/>
                <w:color w:val="auto"/>
              </w:rPr>
              <w:t>Other expense</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1"/>
        </w:trPr>
        <w:tc>
          <w:tcPr>
            <w:tcW w:w="4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other income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1,676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992 %</w:t>
            </w:r>
          </w:p>
        </w:tc>
      </w:tr>
      <w:tr>
        <w:trPr>
          <w:trHeight w:val="250"/>
        </w:trPr>
        <w:tc>
          <w:tcPr>
            <w:tcW w:w="4860" w:type="dxa"/>
            <w:vAlign w:val="bottom"/>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(70,441)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(51,430)</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(19,011)</w:t>
            </w:r>
          </w:p>
        </w:tc>
        <w:tc>
          <w:tcPr>
            <w:tcW w:w="80" w:type="dxa"/>
            <w:vAlign w:val="bottom"/>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37 %</w:t>
            </w: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right="9980" w:firstLine="3"/>
        <w:spacing w:after="0" w:line="522" w:lineRule="auto"/>
        <w:tabs>
          <w:tab w:leader="none" w:pos="129"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78"/>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5"/>
                <w:szCs w:val="15"/>
                <w:color w:val="auto"/>
              </w:rPr>
            </w:pPr>
          </w:p>
        </w:tc>
      </w:tr>
      <w:tr>
        <w:trPr>
          <w:trHeight w:val="24"/>
        </w:trPr>
        <w:tc>
          <w:tcPr>
            <w:tcW w:w="4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9"/>
        </w:trPr>
        <w:tc>
          <w:tcPr>
            <w:tcW w:w="44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w:t>
            </w:r>
          </w:p>
        </w:tc>
      </w:tr>
      <w:tr>
        <w:trPr>
          <w:trHeight w:val="184"/>
        </w:trPr>
        <w:tc>
          <w:tcPr>
            <w:tcW w:w="4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0" w:type="dxa"/>
            <w:vAlign w:val="bottom"/>
            <w:gridSpan w:val="3"/>
          </w:tcPr>
          <w:p>
            <w:pPr>
              <w:jc w:val="right"/>
              <w:ind w:right="303"/>
              <w:spacing w:after="0"/>
              <w:rPr>
                <w:sz w:val="20"/>
                <w:szCs w:val="20"/>
                <w:color w:val="auto"/>
              </w:rPr>
            </w:pPr>
            <w:r>
              <w:rPr>
                <w:rFonts w:ascii="Arial" w:cs="Arial" w:eastAsia="Arial" w:hAnsi="Arial"/>
                <w:sz w:val="14"/>
                <w:szCs w:val="14"/>
                <w:i w:val="1"/>
                <w:iCs w:val="1"/>
                <w:color w:val="auto"/>
                <w:w w:val="89"/>
              </w:rPr>
              <w:t>(dollars in thousands)</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920" w:type="dxa"/>
            <w:vAlign w:val="bottom"/>
            <w:shd w:val="clear" w:color="auto" w:fill="CCEEFF"/>
          </w:tcPr>
          <w:p>
            <w:pPr>
              <w:jc w:val="right"/>
              <w:ind w:right="746"/>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10,888</w:t>
            </w:r>
          </w:p>
        </w:tc>
        <w:tc>
          <w:tcPr>
            <w:tcW w:w="1080" w:type="dxa"/>
            <w:vAlign w:val="bottom"/>
            <w:shd w:val="clear" w:color="auto" w:fill="CCEEFF"/>
          </w:tcPr>
          <w:p>
            <w:pPr>
              <w:jc w:val="right"/>
              <w:ind w:right="82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w w:val="93"/>
              </w:rPr>
              <w:t>3,551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w w:val="93"/>
              </w:rPr>
              <w:t>7,337</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207 %</w:t>
            </w:r>
          </w:p>
        </w:tc>
      </w:tr>
    </w:tbl>
    <w:p>
      <w:pPr>
        <w:spacing w:after="0" w:line="220" w:lineRule="exact"/>
        <w:rPr>
          <w:sz w:val="20"/>
          <w:szCs w:val="20"/>
          <w:color w:val="auto"/>
        </w:rPr>
      </w:pPr>
    </w:p>
    <w:p>
      <w:pPr>
        <w:jc w:val="both"/>
        <w:ind w:right="120"/>
        <w:spacing w:after="0" w:line="262" w:lineRule="auto"/>
        <w:rPr>
          <w:sz w:val="20"/>
          <w:szCs w:val="20"/>
          <w:color w:val="auto"/>
        </w:rPr>
      </w:pPr>
      <w:r>
        <w:rPr>
          <w:rFonts w:ascii="Arial" w:cs="Arial" w:eastAsia="Arial" w:hAnsi="Arial"/>
          <w:sz w:val="17"/>
          <w:szCs w:val="17"/>
          <w:color w:val="auto"/>
        </w:rPr>
        <w:t>Revenue increased by $7.3 million, or 207%, from $3.6 million during the nine months ended September 30, 2021 to $10.9 million during the nine months ended September 30, 2022, due to sales of products related to the Proteograph Product Suite. Revenue recognized primarily consisted of sales of the Proteograph SP100 instrument, consumable kits and platform evaluations, of which $3.5 million was attributed to related party. Revenue related to our grant-funded activities related to our SBIR grant from the NIH decreased between the two periods by $0.1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187960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5"/>
                <w:szCs w:val="15"/>
                <w:color w:val="auto"/>
              </w:rPr>
            </w:pPr>
          </w:p>
        </w:tc>
      </w:tr>
      <w:tr>
        <w:trPr>
          <w:trHeight w:val="24"/>
        </w:trPr>
        <w:tc>
          <w:tcPr>
            <w:tcW w:w="44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9"/>
        </w:trPr>
        <w:tc>
          <w:tcPr>
            <w:tcW w:w="4420" w:type="dxa"/>
            <w:vAlign w:val="bottom"/>
          </w:tcPr>
          <w:p>
            <w:pPr>
              <w:spacing w:after="0"/>
              <w:rPr>
                <w:sz w:val="15"/>
                <w:szCs w:val="15"/>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w:t>
            </w:r>
          </w:p>
        </w:tc>
      </w:tr>
      <w:tr>
        <w:trPr>
          <w:trHeight w:val="184"/>
        </w:trPr>
        <w:tc>
          <w:tcPr>
            <w:tcW w:w="4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0" w:type="dxa"/>
            <w:vAlign w:val="bottom"/>
            <w:gridSpan w:val="3"/>
          </w:tcPr>
          <w:p>
            <w:pPr>
              <w:jc w:val="right"/>
              <w:ind w:right="303"/>
              <w:spacing w:after="0"/>
              <w:rPr>
                <w:sz w:val="20"/>
                <w:szCs w:val="20"/>
                <w:color w:val="auto"/>
              </w:rPr>
            </w:pPr>
            <w:r>
              <w:rPr>
                <w:rFonts w:ascii="Arial" w:cs="Arial" w:eastAsia="Arial" w:hAnsi="Arial"/>
                <w:sz w:val="14"/>
                <w:szCs w:val="14"/>
                <w:i w:val="1"/>
                <w:iCs w:val="1"/>
                <w:color w:val="auto"/>
                <w:w w:val="89"/>
              </w:rPr>
              <w:t>(dollars in thousands)</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960" w:type="dxa"/>
            <w:vAlign w:val="bottom"/>
            <w:shd w:val="clear" w:color="auto" w:fill="CCEEFF"/>
          </w:tcPr>
          <w:p>
            <w:pPr>
              <w:jc w:val="right"/>
              <w:ind w:right="78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6,090</w:t>
            </w:r>
          </w:p>
        </w:tc>
        <w:tc>
          <w:tcPr>
            <w:tcW w:w="1080" w:type="dxa"/>
            <w:vAlign w:val="bottom"/>
            <w:shd w:val="clear" w:color="auto" w:fill="CCEEFF"/>
          </w:tcPr>
          <w:p>
            <w:pPr>
              <w:jc w:val="right"/>
              <w:ind w:right="82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w w:val="93"/>
              </w:rPr>
              <w:t>1,572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w w:val="93"/>
              </w:rPr>
              <w:t>4,518</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287 %</w:t>
            </w:r>
          </w:p>
        </w:tc>
      </w:tr>
    </w:tbl>
    <w:p>
      <w:pPr>
        <w:spacing w:after="0" w:line="233"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Cost of revenue increased by $4.5 million, or 287%, from $1.6 million during the nine months ended September 30, 2021 to $6.1 million during the nine months ended September 30, 2022, primarily due to sales of the Proteograph Product Suite. Cost of revenue related to the Proteograph Product Suite consists of costs of the SP100 instrument, consumable kits and other related costs, including labor and overhead.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780" w:type="dxa"/>
            <w:vAlign w:val="bottom"/>
          </w:tcPr>
          <w:p>
            <w:pPr>
              <w:jc w:val="right"/>
              <w:ind w:right="166"/>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6"/>
                <w:szCs w:val="16"/>
                <w:color w:val="auto"/>
              </w:rPr>
            </w:pPr>
          </w:p>
        </w:tc>
      </w:tr>
      <w:tr>
        <w:trPr>
          <w:trHeight w:val="24"/>
        </w:trPr>
        <w:tc>
          <w:tcPr>
            <w:tcW w:w="4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8"/>
        </w:trPr>
        <w:tc>
          <w:tcPr>
            <w:tcW w:w="4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46"/>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140" w:type="dxa"/>
            <w:vAlign w:val="bottom"/>
          </w:tcPr>
          <w:p>
            <w:pPr>
              <w:jc w:val="right"/>
              <w:ind w:right="54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jc w:val="right"/>
              <w:ind w:right="1006"/>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jc w:val="right"/>
              <w:ind w:right="663"/>
              <w:spacing w:after="0"/>
              <w:rPr>
                <w:sz w:val="20"/>
                <w:szCs w:val="20"/>
                <w:color w:val="auto"/>
              </w:rPr>
            </w:pPr>
            <w:r>
              <w:rPr>
                <w:rFonts w:ascii="Arial" w:cs="Arial" w:eastAsia="Arial" w:hAnsi="Arial"/>
                <w:sz w:val="14"/>
                <w:szCs w:val="14"/>
                <w:b w:val="1"/>
                <w:bCs w:val="1"/>
                <w:color w:val="auto"/>
              </w:rPr>
              <w:t>%</w:t>
            </w:r>
          </w:p>
        </w:tc>
      </w:tr>
      <w:tr>
        <w:trPr>
          <w:trHeight w:val="24"/>
        </w:trPr>
        <w:tc>
          <w:tcPr>
            <w:tcW w:w="4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7"/>
        </w:trPr>
        <w:tc>
          <w:tcPr>
            <w:tcW w:w="4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gridSpan w:val="4"/>
          </w:tcPr>
          <w:p>
            <w:pPr>
              <w:jc w:val="right"/>
              <w:ind w:right="1366"/>
              <w:spacing w:after="0"/>
              <w:rPr>
                <w:sz w:val="20"/>
                <w:szCs w:val="20"/>
                <w:color w:val="auto"/>
              </w:rPr>
            </w:pPr>
            <w:r>
              <w:rPr>
                <w:rFonts w:ascii="Arial" w:cs="Arial" w:eastAsia="Arial" w:hAnsi="Arial"/>
                <w:sz w:val="14"/>
                <w:szCs w:val="14"/>
                <w:i w:val="1"/>
                <w:iCs w:val="1"/>
                <w:color w:val="auto"/>
              </w:rPr>
              <w:t>(dollars in thousands)</w:t>
            </w:r>
          </w:p>
        </w:tc>
        <w:tc>
          <w:tcPr>
            <w:tcW w:w="1140" w:type="dxa"/>
            <w:vAlign w:val="bottom"/>
          </w:tcPr>
          <w:p>
            <w:pPr>
              <w:spacing w:after="0"/>
              <w:rPr>
                <w:sz w:val="15"/>
                <w:szCs w:val="15"/>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33,167</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20,906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ind w:right="566"/>
              <w:spacing w:after="0"/>
              <w:rPr>
                <w:sz w:val="20"/>
                <w:szCs w:val="20"/>
                <w:color w:val="auto"/>
              </w:rPr>
            </w:pPr>
            <w:r>
              <w:rPr>
                <w:rFonts w:ascii="Arial" w:cs="Arial" w:eastAsia="Arial" w:hAnsi="Arial"/>
                <w:sz w:val="17"/>
                <w:szCs w:val="17"/>
                <w:color w:val="auto"/>
              </w:rPr>
              <w:t>12,261</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59 %</w:t>
            </w:r>
          </w:p>
        </w:tc>
      </w:tr>
    </w:tbl>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R&amp;D expenses increased by $12.3 million, or 59%, from $20.9 million during the nine months ended September 30, 2021 to $33.2 million during the nine months ended September 30, 2022. The increase was primarily due to an increase in product development efforts related to the Proteograph Product Suite, including $7.9 million in employee compensation costs and other related expenses, including stock-based compensation, due to growth in research and development personnel, a $2.8 million increase in allocated overhead related to allocation of facility expense associated with the build-out of our expansion facilities to support our R&amp;D efforts and a $0.7 million increase in depreciation of laboratory equipment. Other increases are attributable to costs related to general business expenses of $0.7 million and $0.2 million of laboratory expenses, which include laboratory supplies and equipment.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780" w:type="dxa"/>
            <w:vAlign w:val="bottom"/>
          </w:tcPr>
          <w:p>
            <w:pPr>
              <w:jc w:val="right"/>
              <w:ind w:right="166"/>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6"/>
                <w:szCs w:val="16"/>
                <w:color w:val="auto"/>
              </w:rPr>
            </w:pPr>
          </w:p>
        </w:tc>
      </w:tr>
      <w:tr>
        <w:trPr>
          <w:trHeight w:val="24"/>
        </w:trPr>
        <w:tc>
          <w:tcPr>
            <w:tcW w:w="4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8"/>
        </w:trPr>
        <w:tc>
          <w:tcPr>
            <w:tcW w:w="4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46"/>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140" w:type="dxa"/>
            <w:vAlign w:val="bottom"/>
          </w:tcPr>
          <w:p>
            <w:pPr>
              <w:jc w:val="right"/>
              <w:ind w:right="54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jc w:val="right"/>
              <w:ind w:right="1006"/>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jc w:val="right"/>
              <w:ind w:right="663"/>
              <w:spacing w:after="0"/>
              <w:rPr>
                <w:sz w:val="20"/>
                <w:szCs w:val="20"/>
                <w:color w:val="auto"/>
              </w:rPr>
            </w:pPr>
            <w:r>
              <w:rPr>
                <w:rFonts w:ascii="Arial" w:cs="Arial" w:eastAsia="Arial" w:hAnsi="Arial"/>
                <w:sz w:val="14"/>
                <w:szCs w:val="14"/>
                <w:b w:val="1"/>
                <w:bCs w:val="1"/>
                <w:color w:val="auto"/>
              </w:rPr>
              <w:t>%</w:t>
            </w:r>
          </w:p>
        </w:tc>
      </w:tr>
      <w:tr>
        <w:trPr>
          <w:trHeight w:val="24"/>
        </w:trPr>
        <w:tc>
          <w:tcPr>
            <w:tcW w:w="4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7"/>
        </w:trPr>
        <w:tc>
          <w:tcPr>
            <w:tcW w:w="4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gridSpan w:val="4"/>
          </w:tcPr>
          <w:p>
            <w:pPr>
              <w:jc w:val="right"/>
              <w:ind w:right="1366"/>
              <w:spacing w:after="0"/>
              <w:rPr>
                <w:sz w:val="20"/>
                <w:szCs w:val="20"/>
                <w:color w:val="auto"/>
              </w:rPr>
            </w:pPr>
            <w:r>
              <w:rPr>
                <w:rFonts w:ascii="Arial" w:cs="Arial" w:eastAsia="Arial" w:hAnsi="Arial"/>
                <w:sz w:val="14"/>
                <w:szCs w:val="14"/>
                <w:i w:val="1"/>
                <w:iCs w:val="1"/>
                <w:color w:val="auto"/>
              </w:rPr>
              <w:t>(dollars in thousands)</w:t>
            </w:r>
          </w:p>
        </w:tc>
        <w:tc>
          <w:tcPr>
            <w:tcW w:w="1140" w:type="dxa"/>
            <w:vAlign w:val="bottom"/>
          </w:tcPr>
          <w:p>
            <w:pPr>
              <w:spacing w:after="0"/>
              <w:rPr>
                <w:sz w:val="15"/>
                <w:szCs w:val="15"/>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43,917</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32,672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ind w:right="566"/>
              <w:spacing w:after="0"/>
              <w:rPr>
                <w:sz w:val="20"/>
                <w:szCs w:val="20"/>
                <w:color w:val="auto"/>
              </w:rPr>
            </w:pPr>
            <w:r>
              <w:rPr>
                <w:rFonts w:ascii="Arial" w:cs="Arial" w:eastAsia="Arial" w:hAnsi="Arial"/>
                <w:sz w:val="17"/>
                <w:szCs w:val="17"/>
                <w:color w:val="auto"/>
              </w:rPr>
              <w:t>11,245</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r>
    </w:tbl>
    <w:p>
      <w:pPr>
        <w:spacing w:after="0" w:line="23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Selling, general and administrative expenses increased by $11.2 million, or 34%, from $32.7 million during the nine months ended September 30, 2021 to $43.9 million during the nine months ended September 30, 2022, primarily due to a $3.5 million increase in employee compensation and other related expenses, a $3.2 million increase in stock-based compensation and increased costs related to being a publicly traded company, including a $7.8 million increase in professional services and consulting fees. This was offset by a decrease in allocated overhead of $3.3 million related to the allocation of facility expense associated with the build-out of our expansion facilities to support our R&amp;D efforts.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20" w:type="dxa"/>
            <w:vAlign w:val="bottom"/>
          </w:tcPr>
          <w:p>
            <w:pPr>
              <w:spacing w:after="0"/>
              <w:rPr>
                <w:sz w:val="16"/>
                <w:szCs w:val="16"/>
                <w:color w:val="auto"/>
              </w:rPr>
            </w:pPr>
          </w:p>
        </w:tc>
        <w:tc>
          <w:tcPr>
            <w:tcW w:w="25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6"/>
                <w:szCs w:val="16"/>
                <w:color w:val="auto"/>
              </w:rPr>
            </w:pPr>
          </w:p>
        </w:tc>
      </w:tr>
      <w:tr>
        <w:trPr>
          <w:trHeight w:val="24"/>
        </w:trPr>
        <w:tc>
          <w:tcPr>
            <w:tcW w:w="44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8"/>
        </w:trPr>
        <w:tc>
          <w:tcPr>
            <w:tcW w:w="4420" w:type="dxa"/>
            <w:vAlign w:val="bottom"/>
          </w:tcPr>
          <w:p>
            <w:pPr>
              <w:spacing w:after="0"/>
              <w:rPr>
                <w:sz w:val="16"/>
                <w:szCs w:val="16"/>
                <w:color w:val="auto"/>
              </w:rPr>
            </w:pPr>
          </w:p>
        </w:tc>
        <w:tc>
          <w:tcPr>
            <w:tcW w:w="960" w:type="dxa"/>
            <w:vAlign w:val="bottom"/>
          </w:tcPr>
          <w:p>
            <w:pPr>
              <w:jc w:val="right"/>
              <w:ind w:right="6"/>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80" w:type="dxa"/>
            <w:vAlign w:val="bottom"/>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060" w:type="dxa"/>
            <w:vAlign w:val="bottom"/>
          </w:tcPr>
          <w:p>
            <w:pPr>
              <w:spacing w:after="0"/>
              <w:rPr>
                <w:sz w:val="16"/>
                <w:szCs w:val="16"/>
                <w:color w:val="auto"/>
              </w:rPr>
            </w:pPr>
          </w:p>
        </w:tc>
        <w:tc>
          <w:tcPr>
            <w:tcW w:w="1140" w:type="dxa"/>
            <w:vAlign w:val="bottom"/>
          </w:tcPr>
          <w:p>
            <w:pPr>
              <w:jc w:val="right"/>
              <w:ind w:right="663"/>
              <w:spacing w:after="0"/>
              <w:rPr>
                <w:sz w:val="20"/>
                <w:szCs w:val="20"/>
                <w:color w:val="auto"/>
              </w:rPr>
            </w:pPr>
            <w:r>
              <w:rPr>
                <w:rFonts w:ascii="Arial" w:cs="Arial" w:eastAsia="Arial" w:hAnsi="Arial"/>
                <w:sz w:val="14"/>
                <w:szCs w:val="14"/>
                <w:b w:val="1"/>
                <w:bCs w:val="1"/>
                <w:color w:val="auto"/>
              </w:rPr>
              <w:t>%</w:t>
            </w:r>
          </w:p>
        </w:tc>
      </w:tr>
      <w:tr>
        <w:trPr>
          <w:trHeight w:val="24"/>
        </w:trPr>
        <w:tc>
          <w:tcPr>
            <w:tcW w:w="44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7"/>
        </w:trPr>
        <w:tc>
          <w:tcPr>
            <w:tcW w:w="4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0" w:type="dxa"/>
            <w:vAlign w:val="bottom"/>
            <w:gridSpan w:val="3"/>
          </w:tcPr>
          <w:p>
            <w:pPr>
              <w:jc w:val="right"/>
              <w:ind w:right="303"/>
              <w:spacing w:after="0"/>
              <w:rPr>
                <w:sz w:val="20"/>
                <w:szCs w:val="20"/>
                <w:color w:val="auto"/>
              </w:rPr>
            </w:pPr>
            <w:r>
              <w:rPr>
                <w:rFonts w:ascii="Arial" w:cs="Arial" w:eastAsia="Arial" w:hAnsi="Arial"/>
                <w:sz w:val="14"/>
                <w:szCs w:val="14"/>
                <w:i w:val="1"/>
                <w:iCs w:val="1"/>
                <w:color w:val="auto"/>
                <w:w w:val="89"/>
              </w:rPr>
              <w:t>(dollars in thousands)</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income</w:t>
            </w:r>
          </w:p>
        </w:tc>
        <w:tc>
          <w:tcPr>
            <w:tcW w:w="960" w:type="dxa"/>
            <w:vAlign w:val="bottom"/>
            <w:shd w:val="clear" w:color="auto" w:fill="CCEEFF"/>
          </w:tcPr>
          <w:p>
            <w:pPr>
              <w:jc w:val="right"/>
              <w:ind w:right="78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1,845</w:t>
            </w:r>
          </w:p>
        </w:tc>
        <w:tc>
          <w:tcPr>
            <w:tcW w:w="1080" w:type="dxa"/>
            <w:vAlign w:val="bottom"/>
            <w:shd w:val="clear" w:color="auto" w:fill="CCEEFF"/>
          </w:tcPr>
          <w:p>
            <w:pPr>
              <w:jc w:val="right"/>
              <w:ind w:right="82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169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w w:val="93"/>
              </w:rPr>
              <w:t>1,676</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992 %</w:t>
            </w:r>
          </w:p>
        </w:tc>
      </w:tr>
    </w:tbl>
    <w:p>
      <w:pPr>
        <w:spacing w:after="0" w:line="23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Total other income increased by $1.7 million, from $0.1 million during the nine months ended September 30, 2021 to $1.8 million during the nine months ended September 30, 2022. The increase was due to higher rates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9" w:name="page30"/>
    <w:bookmarkEnd w:id="29"/>
    <w:p>
      <w:pPr>
        <w:spacing w:after="0" w:line="8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interest earned on cash invested in money market funds, U.S. Treasury, commercial paper and corporate securities during the nine months ended September 30, 2022.</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Since the date of our incorporation, we have not generated significant revenue from product sales and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w:t>
      </w:r>
    </w:p>
    <w:p>
      <w:pPr>
        <w:spacing w:after="0" w:line="124"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We enter into agreements as a part of normal course of business with various vendors, which are generally cancellable without material penalty upon written notice. Payments associated with these agreements are not included in this discussion of contractual obligations.</w:t>
      </w:r>
    </w:p>
    <w:p>
      <w:pPr>
        <w:spacing w:after="0" w:line="113"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September 2032, and increase the annual base rent for the expanded premises. Upon occupancy of the expansion facility, which occurred in the first quarter of 2022, the annual base rent will be $0.9 million in the first twelve months of the lease term (subject to an abatement period of nine months), and increases on an annual basis to $1.2 million in the final twelve months of the lease term. The amendment also provides for tenant incentives in the amount of $2.4 million.</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April 2021, we entered into a lease amendment for this facility to further expand the office and laboratory space for an approximate term of eleven years. Payments associated with this operating lease agreement will result in additional operating lease obligations not included in the above paragraph of approximately $293,000 per month plus operating expenses.</w:t>
      </w:r>
    </w:p>
    <w:p>
      <w:pPr>
        <w:spacing w:after="0" w:line="1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have certain purchase commitments related to our inventory management with certain manufacturing suppliers wherein we are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$3.6 million as of September 30, 2022.</w:t>
      </w:r>
    </w:p>
    <w:p>
      <w:pPr>
        <w:spacing w:after="0" w:line="12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impacts of the COVID-19 pandemic, the timing and extent of additional capital expenditures to invest in existing and new facilities, the expansion of sales and marketing and international activities and the extent and magnitude of our ongoing research and development programs.</w:t>
      </w:r>
    </w:p>
    <w:p>
      <w:pPr>
        <w:spacing w:after="0" w:line="13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believe that our existing cash and cash equivalents and investments will be sufficient to meet our anticipated cash requirements for more than 12 months from the date of this Quarterly Report on Form 10-Q. If our available cash and cash equivalents and investments and anticipated cash flows from operations are insufficient to satisfy our liquidity requirements, we may consider raising additional capital to expand our business, to pursue strategic investments, to take advantage of financing opportunities or for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0" w:name="page31"/>
    <w:bookmarkEnd w:id="30"/>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6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7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79"/>
        </w:trPr>
        <w:tc>
          <w:tcPr>
            <w:tcW w:w="78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r>
      <w:tr>
        <w:trPr>
          <w:trHeight w:val="184"/>
        </w:trPr>
        <w:tc>
          <w:tcPr>
            <w:tcW w:w="7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jc w:val="right"/>
              <w:ind w:right="54"/>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(33,978)</w:t>
            </w:r>
          </w:p>
        </w:tc>
        <w:tc>
          <w:tcPr>
            <w:tcW w:w="80" w:type="dxa"/>
            <w:vAlign w:val="bottom"/>
            <w:shd w:val="clear" w:color="auto" w:fill="CCEEFF"/>
          </w:tcPr>
          <w:p>
            <w:pPr>
              <w:spacing w:after="0"/>
              <w:rPr>
                <w:sz w:val="19"/>
                <w:szCs w:val="19"/>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(120,007)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(83,389)</w:t>
            </w:r>
          </w:p>
        </w:tc>
        <w:tc>
          <w:tcPr>
            <w:tcW w:w="80" w:type="dxa"/>
            <w:vAlign w:val="bottom"/>
          </w:tcPr>
          <w:p>
            <w:pPr>
              <w:spacing w:after="0"/>
              <w:rPr>
                <w:sz w:val="18"/>
                <w:szCs w:val="18"/>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115,365</w:t>
            </w:r>
          </w:p>
        </w:tc>
        <w:tc>
          <w:tcPr>
            <w:tcW w:w="80" w:type="dxa"/>
            <w:vAlign w:val="bottom"/>
            <w:shd w:val="clear" w:color="auto" w:fill="CCEEFF"/>
          </w:tcPr>
          <w:p>
            <w:pPr>
              <w:spacing w:after="0"/>
              <w:rPr>
                <w:sz w:val="19"/>
                <w:szCs w:val="19"/>
                <w:color w:val="auto"/>
              </w:rPr>
            </w:pPr>
          </w:p>
        </w:tc>
      </w:tr>
      <w:tr>
        <w:trPr>
          <w:trHeight w:val="213"/>
        </w:trPr>
        <w:tc>
          <w:tcPr>
            <w:tcW w:w="7880" w:type="dxa"/>
            <w:vAlign w:val="bottom"/>
          </w:tcPr>
          <w:p>
            <w:pPr>
              <w:ind w:left="20"/>
              <w:spacing w:after="0"/>
              <w:rPr>
                <w:sz w:val="20"/>
                <w:szCs w:val="20"/>
                <w:color w:val="auto"/>
              </w:rPr>
            </w:pPr>
            <w:r>
              <w:rPr>
                <w:rFonts w:ascii="Arial" w:cs="Arial" w:eastAsia="Arial" w:hAnsi="Arial"/>
                <w:sz w:val="17"/>
                <w:szCs w:val="17"/>
                <w:color w:val="auto"/>
              </w:rPr>
              <w:t>Net decrease in cash, cash equivalents and restricted cash</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(164,744)</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(2,002)</w:t>
            </w:r>
          </w:p>
        </w:tc>
        <w:tc>
          <w:tcPr>
            <w:tcW w:w="8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During the nine months ended September 30, 2022, cash used in operating activities was $46.5 million, which was attributable to a net loss of ($70.4) million and a net change in our net operating assets and liabilities of ($6.5) million, partially offset by non-cash charges of $30.4 million. Non-cash charges primarily consisted of $25.5 million in stock-based compensation, $2.8 million of depreciation and amortization, $0.3 million of net amortization of premium on available-for-sales securities, $0.3 million of loss on disposal of property and equipment, and $1.5 million of non-cash operating lease expense. The change in our net operating assets and liabilities was primarily due to an increase in inventory levels of $2.4 million for anticipated revenue growth, an increase in accounts receivable of $2.0 million from greater revenue, an increase in prepaid expenses and other current assets of $0.7 million, an increase in other receivables of $0.6 million, a decrease in accounts payable of ($0.4) million and a decrease of ($0.2) million in accrued expenses related to employee compensation. The decrease is partially offset by an increase in other current liabilities of $0.2 million.</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During the nine months ended September 30, 2021, cash used in operating activities was $34.0 million. which was attributable to a net loss of ($51.4) million and a net change in our net operating assets and liabilities of ($5.1) million, partially offset by non-cash charges of $22.6 million. Non-cash charges primarily consisted of $19.3 million in stock-based compensation, $1.7 million of depreciation and amortization, $0.8 million of net amortization of premiums on available-for-sales securities and $0.8 million of non-cash operating lease expense. The change in our net operating assets and liabilities was primarily due to an increases in inventory levels of $2.0 million, an increase in prepaid expenses and other current assets, including insurance of $2.0 million related to being a publicly company and a decrease of $0.1 million in deferred revenue, partially offset by an increase in accrued expenses of $1.2 million and an increase in accounts payable of $0.3 million.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nine months ended September 30, 2022, cash used in investing activities was $120.0 million, which related to purchases of available-for-sale securities, net of proceeds from maturities of ($114.9) million, offset by ($5.3) million in payments primarily for laboratory equipment.</w:t>
      </w:r>
    </w:p>
    <w:p>
      <w:pPr>
        <w:spacing w:after="0" w:line="11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nine months ended September 30, 2021, cash used in investing activities was $83.4 million, which related to purchases of available-for-sale securities, net of proceeds from maturities of ($77.8) million and ($5.6) million in payments primarily for laboratory equipment.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65" w:lineRule="exact"/>
        <w:rPr>
          <w:sz w:val="20"/>
          <w:szCs w:val="20"/>
          <w:color w:val="auto"/>
        </w:rPr>
      </w:pPr>
    </w:p>
    <w:p>
      <w:pPr>
        <w:ind w:right="80"/>
        <w:spacing w:after="0" w:line="349" w:lineRule="auto"/>
        <w:rPr>
          <w:sz w:val="20"/>
          <w:szCs w:val="20"/>
          <w:color w:val="auto"/>
        </w:rPr>
      </w:pPr>
      <w:r>
        <w:rPr>
          <w:rFonts w:ascii="Arial" w:cs="Arial" w:eastAsia="Arial" w:hAnsi="Arial"/>
          <w:sz w:val="15"/>
          <w:szCs w:val="15"/>
          <w:color w:val="auto"/>
        </w:rPr>
        <w:t>During the nine months ended September 30, 2022, cash provided by financing activities was $1.8 million. This was attributable to net proceeds from the exercise of stock options of $1.4 million and $0.4 million of proceeds from the issuance of common stock in connection with the employee stock purchase plan.</w:t>
      </w:r>
    </w:p>
    <w:p>
      <w:pPr>
        <w:spacing w:after="0" w:line="66"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During the nine months ended September 30, 2021, cash provided by financing activities was $115.4 million. This was attributable to net proceeds of $103.0 million from the issuance of common stock upon our follow-on offering, net of issuance costs of ($7.6) million and $11.4 million in short-swing profits from a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Significant Judgments and Use of Estimates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18"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There have been no significant changes in our critical accounting policies and estimates as compared to the critical accounting policies and estimates disclosed in the section titled “Management’s Discussion and Analysis of Financial Condition and Operations” included in our Annual Report on Form 10-K for the fiscal year ended December 31, 2021.</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6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We have exposure to interest rate risk that relates to our cash and cash equivalents and investments held in money market funds, U.S. Treasury securities, commercial paper and corporate securities. The goals of our investment policy are liquidity and capital preservation. We believe that we do not have any material exposure to changes in the fair value of these assets as a result of changes in interest rates due to the short-term nature of our cash and cash equivalents and investments.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September 30, 2022,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0" w:lineRule="exact"/>
        <w:rPr>
          <w:sz w:val="20"/>
          <w:szCs w:val="20"/>
          <w:color w:val="auto"/>
        </w:rPr>
      </w:pPr>
    </w:p>
    <w:p>
      <w:pPr>
        <w:ind w:right="1700"/>
        <w:spacing w:after="0" w:line="443" w:lineRule="auto"/>
        <w:rPr>
          <w:sz w:val="20"/>
          <w:szCs w:val="20"/>
          <w:color w:val="auto"/>
        </w:rPr>
      </w:pPr>
      <w:r>
        <w:rPr>
          <w:rFonts w:ascii="Arial" w:cs="Arial" w:eastAsia="Arial" w:hAnsi="Arial"/>
          <w:sz w:val="17"/>
          <w:szCs w:val="17"/>
          <w:color w:val="auto"/>
        </w:rPr>
        <w:t xml:space="preserve">communicated to our management, including our CEO and CFO, as appropriate, to allow timely decisions regarding required disclosures. </w:t>
      </w:r>
      <w:r>
        <w:rPr>
          <w:rFonts w:ascii="Arial" w:cs="Arial" w:eastAsia="Arial" w:hAnsi="Arial"/>
          <w:sz w:val="17"/>
          <w:szCs w:val="17"/>
          <w:b w:val="1"/>
          <w:bCs w:val="1"/>
          <w:color w:val="auto"/>
        </w:rPr>
        <w:t>Inherent Limitations on Effectiveness of Controls</w:t>
      </w:r>
    </w:p>
    <w:p>
      <w:pPr>
        <w:spacing w:after="0" w:line="293"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under the Exchange Act) during the quarter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3" w:name="page34"/>
    <w:bookmarkEnd w:id="33"/>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7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1" w:lineRule="exact"/>
        <w:rPr>
          <w:sz w:val="20"/>
          <w:szCs w:val="20"/>
          <w:color w:val="auto"/>
        </w:rPr>
      </w:pPr>
    </w:p>
    <w:p>
      <w:pPr>
        <w:spacing w:after="0" w:line="299" w:lineRule="auto"/>
        <w:rPr>
          <w:sz w:val="20"/>
          <w:szCs w:val="20"/>
          <w:color w:val="auto"/>
        </w:rPr>
      </w:pPr>
      <w:r>
        <w:rPr>
          <w:rFonts w:ascii="Arial" w:cs="Arial" w:eastAsia="Arial" w:hAnsi="Arial"/>
          <w:sz w:val="15"/>
          <w:szCs w:val="15"/>
          <w:i w:val="1"/>
          <w:iCs w:val="1"/>
          <w:color w:val="auto"/>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Risk Factor</w:t>
      </w:r>
    </w:p>
    <w:p>
      <w:pPr>
        <w:spacing w:after="0" w:line="17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b w:val="1"/>
          <w:bCs w:val="1"/>
          <w:i w:val="1"/>
          <w:iCs w:val="1"/>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13" w:lineRule="exact"/>
        <w:rPr>
          <w:sz w:val="20"/>
          <w:szCs w:val="20"/>
          <w:color w:val="auto"/>
        </w:rPr>
      </w:pPr>
    </w:p>
    <w:p>
      <w:pPr>
        <w:ind w:left="620" w:right="36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a limited operating history, which may make it difficult to evaluate the prospects for our future viability and predict our future performance;</w:t>
      </w:r>
    </w:p>
    <w:p>
      <w:pPr>
        <w:spacing w:after="0" w:line="176" w:lineRule="exact"/>
        <w:rPr>
          <w:rFonts w:ascii="Arial" w:cs="Arial" w:eastAsia="Arial" w:hAnsi="Arial"/>
          <w:sz w:val="16"/>
          <w:szCs w:val="16"/>
          <w:color w:val="auto"/>
        </w:rPr>
      </w:pPr>
    </w:p>
    <w:p>
      <w:pPr>
        <w:ind w:left="620" w:right="16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2" w:lineRule="exact"/>
        <w:rPr>
          <w:rFonts w:ascii="Arial" w:cs="Arial" w:eastAsia="Arial" w:hAnsi="Arial"/>
          <w:sz w:val="17"/>
          <w:szCs w:val="17"/>
          <w:color w:val="auto"/>
        </w:rPr>
      </w:pPr>
    </w:p>
    <w:p>
      <w:pPr>
        <w:ind w:left="620" w:right="10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112" w:lineRule="exact"/>
        <w:rPr>
          <w:rFonts w:ascii="Arial" w:cs="Arial" w:eastAsia="Arial" w:hAnsi="Arial"/>
          <w:sz w:val="17"/>
          <w:szCs w:val="17"/>
          <w:color w:val="auto"/>
        </w:rPr>
      </w:pPr>
    </w:p>
    <w:p>
      <w:pPr>
        <w:ind w:left="620" w:right="4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only recently commenced the broad commercial release of the Proteograph Product Suite, and we may not be able to successfully implement this release as planned;</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commercial release success depends on broad scientific and market acceptance of the Proteograph, which we may fail to achieve;</w:t>
      </w:r>
    </w:p>
    <w:p>
      <w:pPr>
        <w:spacing w:after="0" w:line="165" w:lineRule="exact"/>
        <w:rPr>
          <w:rFonts w:ascii="Arial" w:cs="Arial" w:eastAsia="Arial" w:hAnsi="Arial"/>
          <w:sz w:val="17"/>
          <w:szCs w:val="17"/>
          <w:color w:val="auto"/>
        </w:rPr>
      </w:pPr>
    </w:p>
    <w:p>
      <w:pPr>
        <w:ind w:left="620" w:right="2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even if the Proteograph Product Suite is broadly commercialized and achieves broad scientific and market acceptance, if we fail to improve it or introduce compelling new products, our revenues and our prospects could be harmed;</w:t>
      </w:r>
    </w:p>
    <w:p>
      <w:pPr>
        <w:spacing w:after="0" w:line="112" w:lineRule="exact"/>
        <w:rPr>
          <w:rFonts w:ascii="Arial" w:cs="Arial" w:eastAsia="Arial" w:hAnsi="Arial"/>
          <w:sz w:val="17"/>
          <w:szCs w:val="17"/>
          <w:color w:val="auto"/>
        </w:rPr>
      </w:pPr>
    </w:p>
    <w:p>
      <w:pPr>
        <w:ind w:left="620" w:right="20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COVID-19 pandemic and efforts to reduce its spread have adversely impacted, and are expected to continue to materially and adversely impact, our business and operations;</w:t>
      </w:r>
    </w:p>
    <w:p>
      <w:pPr>
        <w:spacing w:after="0" w:line="112" w:lineRule="exact"/>
        <w:rPr>
          <w:rFonts w:ascii="Arial" w:cs="Arial" w:eastAsia="Arial" w:hAnsi="Arial"/>
          <w:sz w:val="17"/>
          <w:szCs w:val="17"/>
          <w:color w:val="auto"/>
        </w:rPr>
      </w:pPr>
    </w:p>
    <w:p>
      <w:pPr>
        <w:ind w:left="620" w:right="54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intellectual property protection for our products and technology, or if the scope of the intellectual property protection obtained is not sufficiently broad,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0" w:lineRule="exact"/>
        <w:rPr>
          <w:sz w:val="20"/>
          <w:szCs w:val="20"/>
          <w:color w:val="auto"/>
        </w:rPr>
      </w:pPr>
    </w:p>
    <w:p>
      <w:pPr>
        <w:ind w:left="620" w:right="280"/>
        <w:spacing w:after="0" w:line="279" w:lineRule="auto"/>
        <w:rPr>
          <w:sz w:val="20"/>
          <w:szCs w:val="20"/>
          <w:color w:val="auto"/>
        </w:rPr>
      </w:pPr>
      <w:r>
        <w:rPr>
          <w:rFonts w:ascii="Arial" w:cs="Arial" w:eastAsia="Arial" w:hAnsi="Arial"/>
          <w:sz w:val="17"/>
          <w:szCs w:val="17"/>
          <w:color w:val="auto"/>
        </w:rPr>
        <w:t>competitors could develop and commercialize products similar or identical to ours, and our ability to successfully commercialize our products may be impaired;</w:t>
      </w:r>
    </w:p>
    <w:p>
      <w:pPr>
        <w:spacing w:after="0" w:line="113" w:lineRule="exact"/>
        <w:rPr>
          <w:sz w:val="20"/>
          <w:szCs w:val="20"/>
          <w:color w:val="auto"/>
        </w:rPr>
      </w:pPr>
    </w:p>
    <w:p>
      <w:pPr>
        <w:ind w:left="620" w:right="680" w:hanging="307"/>
        <w:spacing w:after="0" w:line="27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are unable to identify and recruit qualified employees, and retain or maintain our employee base, it may adversely impact our business and operations; and</w:t>
      </w:r>
    </w:p>
    <w:p>
      <w:pPr>
        <w:spacing w:after="0" w:line="112" w:lineRule="exact"/>
        <w:rPr>
          <w:rFonts w:ascii="Arial" w:cs="Arial" w:eastAsia="Arial" w:hAnsi="Arial"/>
          <w:sz w:val="17"/>
          <w:szCs w:val="17"/>
          <w:color w:val="auto"/>
        </w:rPr>
      </w:pPr>
    </w:p>
    <w:p>
      <w:pPr>
        <w:ind w:left="620" w:right="100" w:hanging="307"/>
        <w:spacing w:after="0" w:line="266"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71" w:lineRule="exact"/>
        <w:rPr>
          <w:sz w:val="20"/>
          <w:szCs w:val="20"/>
          <w:color w:val="auto"/>
        </w:rPr>
      </w:pPr>
    </w:p>
    <w:p>
      <w:pPr>
        <w:ind w:right="720"/>
        <w:spacing w:after="0" w:line="279" w:lineRule="auto"/>
        <w:rPr>
          <w:sz w:val="20"/>
          <w:szCs w:val="20"/>
          <w:color w:val="auto"/>
        </w:rPr>
      </w:pPr>
      <w:r>
        <w:rPr>
          <w:rFonts w:ascii="Arial" w:cs="Arial" w:eastAsia="Arial" w:hAnsi="Arial"/>
          <w:sz w:val="17"/>
          <w:szCs w:val="17"/>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We are an early-stage life sciences technology company, and we have incurred significant losses since we were formed in 2017, and expect to continue to incur losses in the future. We incurred net losses of $24.0 million and $18.4 million during the three months ended September 30, 2022 and 2021, respectively. We incurred net losses of $70.4 million and $51.4 million during the nine months ended September 30, 2022 and 2021, respectively. As of September 30, 2022, we had an accumulated deficit of $197.0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including sales and marketing, manufacturing and operations costs, and research and development efforts for products. These efforts may prove more costly than we currently anticipate. While we have generated product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188"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We have only recently broadly commercialized the Proteograph Product Suite. Our operations to date have been primarily focused on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broad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32" w:lineRule="exact"/>
        <w:rPr>
          <w:sz w:val="20"/>
          <w:szCs w:val="20"/>
          <w:color w:val="auto"/>
        </w:rPr>
      </w:pPr>
    </w:p>
    <w:p>
      <w:pPr>
        <w:ind w:right="140"/>
        <w:spacing w:after="0" w:line="299" w:lineRule="auto"/>
        <w:rPr>
          <w:sz w:val="20"/>
          <w:szCs w:val="20"/>
          <w:color w:val="auto"/>
        </w:rPr>
      </w:pPr>
      <w:r>
        <w:rPr>
          <w:rFonts w:ascii="Arial" w:cs="Arial" w:eastAsia="Arial" w:hAnsi="Arial"/>
          <w:sz w:val="15"/>
          <w:szCs w:val="15"/>
          <w:color w:val="auto"/>
        </w:rPr>
        <w:t>In addition, as a business with a limited operating history, we may encounter unforeseen expenses, difficulties, complications, delays and other known and unknown obstacles. As we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8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13" w:lineRule="exact"/>
        <w:rPr>
          <w:sz w:val="20"/>
          <w:szCs w:val="20"/>
          <w:color w:val="auto"/>
        </w:rPr>
      </w:pPr>
    </w:p>
    <w:p>
      <w:pPr>
        <w:ind w:left="620" w:hanging="307"/>
        <w:spacing w:after="0"/>
        <w:tabs>
          <w:tab w:leader="none" w:pos="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our ability to successfully commercialize the Proteograph Product Suite on our anticipated timeline;</w:t>
      </w:r>
    </w:p>
    <w:p>
      <w:pPr>
        <w:spacing w:after="0" w:line="165" w:lineRule="exact"/>
        <w:rPr>
          <w:rFonts w:ascii="Arial" w:cs="Arial" w:eastAsia="Arial" w:hAnsi="Arial"/>
          <w:sz w:val="17"/>
          <w:szCs w:val="17"/>
          <w:color w:val="auto"/>
        </w:rPr>
      </w:pPr>
    </w:p>
    <w:p>
      <w:pPr>
        <w:jc w:val="both"/>
        <w:ind w:left="620" w:right="200" w:hanging="307"/>
        <w:spacing w:after="0" w:line="266" w:lineRule="auto"/>
        <w:tabs>
          <w:tab w:leader="none" w:pos="616"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spacing w:after="0" w:line="123" w:lineRule="exact"/>
        <w:rPr>
          <w:rFonts w:ascii="Arial" w:cs="Arial" w:eastAsia="Arial" w:hAnsi="Arial"/>
          <w:sz w:val="17"/>
          <w:szCs w:val="17"/>
          <w:color w:val="auto"/>
        </w:rPr>
      </w:pPr>
    </w:p>
    <w:p>
      <w:pPr>
        <w:ind w:left="620" w:right="100" w:hanging="307"/>
        <w:spacing w:after="0" w:line="279" w:lineRule="auto"/>
        <w:tabs>
          <w:tab w:leader="none" w:pos="616"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level of demand for any products we are able to commercialize, particularly the Proteograph Product Suite, which may vary significantly from period to period;</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our ability to drive adoption of the Proteograph in our target markets and our ability to expand into any future target markets;</w:t>
      </w:r>
    </w:p>
    <w:p>
      <w:pPr>
        <w:spacing w:after="0" w:line="165" w:lineRule="exact"/>
        <w:rPr>
          <w:rFonts w:ascii="Arial" w:cs="Arial" w:eastAsia="Arial" w:hAnsi="Arial"/>
          <w:sz w:val="17"/>
          <w:szCs w:val="17"/>
          <w:color w:val="auto"/>
        </w:rPr>
      </w:pPr>
    </w:p>
    <w:p>
      <w:pPr>
        <w:ind w:left="300" w:hanging="297"/>
        <w:spacing w:after="0"/>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relationship with third-party distributorships, and their ability to promote and sell our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prices at which we will be able to sell the Proteograph Product Suite;</w:t>
      </w:r>
    </w:p>
    <w:p>
      <w:pPr>
        <w:spacing w:after="0" w:line="165" w:lineRule="exact"/>
        <w:rPr>
          <w:rFonts w:ascii="Arial" w:cs="Arial" w:eastAsia="Arial" w:hAnsi="Arial"/>
          <w:sz w:val="17"/>
          <w:szCs w:val="17"/>
          <w:color w:val="auto"/>
        </w:rPr>
      </w:pPr>
    </w:p>
    <w:p>
      <w:pPr>
        <w:ind w:left="620" w:right="480" w:hanging="307"/>
        <w:spacing w:after="0" w:line="279" w:lineRule="auto"/>
        <w:tabs>
          <w:tab w:leader="none" w:pos="616"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volume and mix of our sales between the Proteograph Product Suite and associated consumables, or changes in the manufacturing or sales costs related to our products;</w:t>
      </w:r>
    </w:p>
    <w:p>
      <w:pPr>
        <w:spacing w:after="0" w:line="112" w:lineRule="exact"/>
        <w:rPr>
          <w:rFonts w:ascii="Arial" w:cs="Arial" w:eastAsia="Arial" w:hAnsi="Arial"/>
          <w:sz w:val="17"/>
          <w:szCs w:val="17"/>
          <w:color w:val="auto"/>
        </w:rPr>
      </w:pPr>
    </w:p>
    <w:p>
      <w:pPr>
        <w:ind w:left="620" w:right="420" w:hanging="307"/>
        <w:spacing w:after="0" w:line="279" w:lineRule="auto"/>
        <w:tabs>
          <w:tab w:leader="none" w:pos="616"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length of time of the sales cycle for purchases of the Proteograph, including lead time needed to procure SP100 automation instruments from our third-party contract manufacturer;</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timing and amount of expenditures that we may incur to develop, commercialize or acquire additional products and technologies or for other purposes, such as the expansion of our facilities;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changes in governmental funding of life sciences research and development or changes that impact budgets and budget cycles;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seasonal spending patterns of our customers;</w:t>
      </w:r>
    </w:p>
    <w:p>
      <w:pPr>
        <w:spacing w:after="0" w:line="165" w:lineRule="exact"/>
        <w:rPr>
          <w:rFonts w:ascii="Arial" w:cs="Arial" w:eastAsia="Arial" w:hAnsi="Arial"/>
          <w:sz w:val="17"/>
          <w:szCs w:val="17"/>
          <w:color w:val="auto"/>
        </w:rPr>
      </w:pPr>
    </w:p>
    <w:p>
      <w:pPr>
        <w:ind w:left="300" w:hanging="297"/>
        <w:spacing w:after="0"/>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of when we recognize any revenues;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outcome of any future litigation or governmental investigations involving us, our industry or both;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higher than anticipated service, replacement and warranty costs;</w:t>
      </w:r>
    </w:p>
    <w:p>
      <w:pPr>
        <w:spacing w:after="0" w:line="165" w:lineRule="exact"/>
        <w:rPr>
          <w:rFonts w:ascii="Arial" w:cs="Arial" w:eastAsia="Arial" w:hAnsi="Arial"/>
          <w:sz w:val="17"/>
          <w:szCs w:val="17"/>
          <w:color w:val="auto"/>
        </w:rPr>
      </w:pPr>
    </w:p>
    <w:p>
      <w:pPr>
        <w:ind w:left="620" w:right="380" w:hanging="307"/>
        <w:spacing w:after="0" w:line="279" w:lineRule="auto"/>
        <w:tabs>
          <w:tab w:leader="none" w:pos="616"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impact of the COVID-19 or any other pandemic on the economy, investment in life sciences and research industries, our business operations, and resources and operations of our customers, suppliers and supply chain, and distributors; and</w:t>
      </w:r>
    </w:p>
    <w:p>
      <w:pPr>
        <w:spacing w:after="0" w:line="112" w:lineRule="exact"/>
        <w:rPr>
          <w:rFonts w:ascii="Arial" w:cs="Arial" w:eastAsia="Arial" w:hAnsi="Arial"/>
          <w:sz w:val="17"/>
          <w:szCs w:val="17"/>
          <w:color w:val="auto"/>
        </w:rPr>
      </w:pPr>
    </w:p>
    <w:p>
      <w:pPr>
        <w:ind w:left="620" w:right="420" w:hanging="307"/>
        <w:spacing w:after="0" w:line="279" w:lineRule="auto"/>
        <w:tabs>
          <w:tab w:leader="none" w:pos="616" w:val="left"/>
        </w:tabs>
        <w:numPr>
          <w:ilvl w:val="1"/>
          <w:numId w:val="16"/>
        </w:numPr>
        <w:rPr>
          <w:rFonts w:ascii="Arial" w:cs="Arial" w:eastAsia="Arial" w:hAnsi="Arial"/>
          <w:sz w:val="17"/>
          <w:szCs w:val="17"/>
          <w:color w:val="auto"/>
        </w:rPr>
      </w:pPr>
      <w:r>
        <w:rPr>
          <w:rFonts w:ascii="Arial" w:cs="Arial" w:eastAsia="Arial" w:hAnsi="Arial"/>
          <w:sz w:val="17"/>
          <w:szCs w:val="17"/>
          <w:color w:val="auto"/>
        </w:rPr>
        <w:t>general industry, economic and market conditions such as inflation and other factors, including factors unrelated to our operating performance or the operating performance of our competitors.</w:t>
      </w:r>
    </w:p>
    <w:p>
      <w:pPr>
        <w:spacing w:after="0" w:line="113" w:lineRule="exact"/>
        <w:rPr>
          <w:sz w:val="20"/>
          <w:szCs w:val="20"/>
          <w:color w:val="auto"/>
        </w:rPr>
      </w:pPr>
    </w:p>
    <w:p>
      <w:pPr>
        <w:jc w:val="both"/>
        <w:ind w:right="400"/>
        <w:spacing w:after="0" w:line="266" w:lineRule="auto"/>
        <w:rPr>
          <w:sz w:val="20"/>
          <w:szCs w:val="20"/>
          <w:color w:val="auto"/>
        </w:rPr>
      </w:pPr>
      <w:r>
        <w:rPr>
          <w:rFonts w:ascii="Arial" w:cs="Arial" w:eastAsia="Arial" w:hAnsi="Arial"/>
          <w:sz w:val="17"/>
          <w:szCs w:val="17"/>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This variability and unpredictability could also result in our failing to meet expectations of industry or financial analysts, or investors, for any period. If we are unable to commercialize products or generate revenue, or if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0" w:lineRule="exact"/>
        <w:rPr>
          <w:sz w:val="20"/>
          <w:szCs w:val="20"/>
          <w:color w:val="auto"/>
        </w:rPr>
      </w:pPr>
    </w:p>
    <w:p>
      <w:pPr>
        <w:ind w:right="840"/>
        <w:spacing w:after="0" w:line="279" w:lineRule="auto"/>
        <w:rPr>
          <w:sz w:val="20"/>
          <w:szCs w:val="20"/>
          <w:color w:val="auto"/>
        </w:rPr>
      </w:pPr>
      <w:r>
        <w:rPr>
          <w:rFonts w:ascii="Arial" w:cs="Arial" w:eastAsia="Arial" w:hAnsi="Arial"/>
          <w:sz w:val="17"/>
          <w:szCs w:val="17"/>
          <w:color w:val="auto"/>
        </w:rPr>
        <w:t>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113"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b w:val="1"/>
          <w:bCs w:val="1"/>
          <w:i w:val="1"/>
          <w:iCs w:val="1"/>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2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only recently commenced the broad release phase of our commercialization plan, and we may not be able to continue this release as planned.</w:t>
      </w:r>
    </w:p>
    <w:p>
      <w:pPr>
        <w:spacing w:after="0" w:line="188"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We have only recently initiated the broad commercial release phase for the Proteograph Product Suite, and we may not be able to successfully execute on this phase as planned due to:</w:t>
      </w:r>
    </w:p>
    <w:p>
      <w:pPr>
        <w:spacing w:after="0" w:line="113" w:lineRule="exact"/>
        <w:rPr>
          <w:sz w:val="20"/>
          <w:szCs w:val="20"/>
          <w:color w:val="auto"/>
        </w:rPr>
      </w:pPr>
    </w:p>
    <w:p>
      <w:pPr>
        <w:ind w:left="620" w:right="120" w:hanging="307"/>
        <w:spacing w:after="0" w:line="279"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inability to establish the capabilities and value proposition of the Proteograph Product Suite with key opinion leaders and other customers in a timely fashion;</w:t>
      </w:r>
    </w:p>
    <w:p>
      <w:pPr>
        <w:spacing w:after="0" w:line="112" w:lineRule="exact"/>
        <w:rPr>
          <w:rFonts w:ascii="Arial" w:cs="Arial" w:eastAsia="Arial" w:hAnsi="Arial"/>
          <w:sz w:val="17"/>
          <w:szCs w:val="17"/>
          <w:color w:val="auto"/>
        </w:rPr>
      </w:pPr>
    </w:p>
    <w:p>
      <w:pPr>
        <w:ind w:left="620" w:right="320" w:hanging="307"/>
        <w:spacing w:after="0" w:line="266"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or longer-than expected lead times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0" w:lineRule="exact"/>
        <w:rPr>
          <w:sz w:val="20"/>
          <w:szCs w:val="20"/>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changing industry or market conditions, customer requirements or competitor offerings during broad commercialization;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continuing the build-out of our sales, customer support and marketing organization as needed for broad commercialization;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ramping up manufacturing, either internally or through our suppliers, to meet the expected demand for broad commercialization; and</w:t>
      </w:r>
    </w:p>
    <w:p>
      <w:pPr>
        <w:spacing w:after="0" w:line="176" w:lineRule="exact"/>
        <w:rPr>
          <w:rFonts w:ascii="Arial" w:cs="Arial" w:eastAsia="Arial" w:hAnsi="Arial"/>
          <w:sz w:val="16"/>
          <w:szCs w:val="16"/>
          <w:color w:val="auto"/>
        </w:rPr>
      </w:pPr>
    </w:p>
    <w:p>
      <w:pPr>
        <w:ind w:left="620" w:right="80" w:hanging="307"/>
        <w:spacing w:after="0" w:line="279"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the COVID-19 or any other pandemic on the economy and research industries, our business operations, and resources and the operations of our customers, suppliers and supply chain, and distributors.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To the extent our broad commercial release phase is unsuccessful, our financial results will be adversely impacted.</w:t>
      </w:r>
    </w:p>
    <w:p>
      <w:pPr>
        <w:spacing w:after="0" w:line="165"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b w:val="1"/>
          <w:bCs w:val="1"/>
          <w:i w:val="1"/>
          <w:iCs w:val="1"/>
          <w:color w:val="auto"/>
        </w:rPr>
        <w:t>Even if we are able to execute on our broad commercial release phase as planned, our success depends on broad scientific and market acceptance of the Proteograph Product Suite, which we may fail to achieve.</w:t>
      </w:r>
    </w:p>
    <w:p>
      <w:pPr>
        <w:spacing w:after="0" w:line="11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w:t>
      </w:r>
    </w:p>
    <w:p>
      <w:pPr>
        <w:spacing w:after="0" w:line="12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Other factors in achieving commercial market acceptance, include:</w:t>
      </w:r>
    </w:p>
    <w:p>
      <w:pPr>
        <w:spacing w:after="0" w:line="165" w:lineRule="exact"/>
        <w:rPr>
          <w:sz w:val="20"/>
          <w:szCs w:val="20"/>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market and increase awareness of the capabilities of the Proteograph Product Suite;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the Proteograph Product Suite to perform intended use applications broadly in the hands of customers;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customers’ willingness to adopt new products and workflows;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Proteograph’s ease of use and whether it reliably provides advantages over other alternative technologies;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rate of adoption of the Proteograph Product Suite by academic institutions, laboratories, biopharmaceutical companies and others;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prices we charge for the Proteograph Product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80" w:lineRule="exact"/>
        <w:rPr>
          <w:sz w:val="20"/>
          <w:szCs w:val="20"/>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develop new products and workflows and solutions for customers;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competitors develop and commercialize products that perform similar functions as the Proteograph;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our investments in product innovation and commercial growth.</w:t>
      </w:r>
    </w:p>
    <w:p>
      <w:pPr>
        <w:spacing w:after="0" w:line="165"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sales and marketing capabilities, we may not be successful in commercializing the Proteograph Product Suite.</w:t>
      </w:r>
    </w:p>
    <w:p>
      <w:pPr>
        <w:spacing w:after="0" w:line="177"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broad commercial release of the Proteograph Product Suite. To perform sales, marketing, distribution, and customer service and support successfully, we will face a number of risks, including:</w:t>
      </w:r>
    </w:p>
    <w:p>
      <w:pPr>
        <w:spacing w:after="0" w:line="97" w:lineRule="exact"/>
        <w:rPr>
          <w:sz w:val="20"/>
          <w:szCs w:val="20"/>
          <w:color w:val="auto"/>
        </w:rPr>
      </w:pPr>
    </w:p>
    <w:p>
      <w:pPr>
        <w:ind w:left="620" w:right="660" w:hanging="307"/>
        <w:spacing w:after="0" w:line="279"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attract, retain and manage the sales, marketing and customer service and support force necessary to commercialize and gain market acceptance for our technology;</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time and cost of establishing a specialized sales, marketing and customer service and support force;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spacing w:after="0" w:line="11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Even if the Proteograph Product Suite is broadly commercialized and achieves broad scientific and market acceptance, if we fail to improve it or introduce compelling new products, our revenues and our prospects could be harmed.</w:t>
      </w:r>
    </w:p>
    <w:p>
      <w:pPr>
        <w:spacing w:after="0" w:line="113"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spacing w:after="0" w:line="103"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8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the Proteograph Product Suite to meet customer requirements, compete with alternative products, or otherwise gain and maintain market acceptance, our business, results of operations and financial condition could be harmed.</w:t>
      </w:r>
    </w:p>
    <w:p>
      <w:pPr>
        <w:spacing w:after="0" w:line="126"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b w:val="1"/>
          <w:bCs w:val="1"/>
          <w:i w:val="1"/>
          <w:iCs w:val="1"/>
          <w:color w:val="auto"/>
        </w:rPr>
        <w:t>The COVID-19 pandemic and efforts to reduce its spread have adversely impacted, and are expected to continue to materially and adversely impact, our business and operations.</w:t>
      </w:r>
    </w:p>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SP100 automation instrument and NPs. For instance, “stay-at-home” orders in California, and specifically San Mateo County where our headquarters is located, that require businesses to implement certain social distancing protocols and other written health and safety plans and measures and which could affect productivity and morale, could be reinstated. We have continued to operate within the rules applicable to our business; however, the imposition of new or extended governmental mandates could further impact our ability to operate effectively and conduct ongoing research and development or other activities. For onsite work in our Redwood City and San Diego offices, we continue to require proof of vaccination and adherence to our protocols, which may change from time to time. The COVID-19 pandemic and a skilled labor shortage in general have also had an effect on our ability to attract, recruit and interview candidates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and our commercial plans may be delayed, and we may incur further costs in bringing our business and operations into compliance with changing or new laws, regulations, and policies.</w:t>
      </w:r>
    </w:p>
    <w:p>
      <w:pPr>
        <w:spacing w:after="0" w:line="123"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In the near term, we expect that substantially all of our revenue will be derived from sales of the Proteograph Product Suite, including our instruments and associated consumables, to academic, research and commercial customers. We have moved into broad commercial release and, as a result, in the near term, our ability to drive the adoption of the Proteograph solution will depend on our ability to visit customer sites, the ability of our customers to access laboratories, and the ability to install and train on the Proteograph Product Suite and conduct research in light of the COVID-19 pandemic. For example, due to the pandemic, we have encountered delays permitting the travel of our U.S.based employees to China. We also may encounter delays in other countries. Additionally, since we have moved into broad commercial release,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has become increasingly important to the adoption of the Proteograph. All of these considerations are impacted by factors beyond our control, such as:</w:t>
      </w:r>
    </w:p>
    <w:p>
      <w:pPr>
        <w:spacing w:after="0" w:line="109" w:lineRule="exact"/>
        <w:rPr>
          <w:sz w:val="20"/>
          <w:szCs w:val="20"/>
          <w:color w:val="auto"/>
        </w:rPr>
      </w:pPr>
    </w:p>
    <w:p>
      <w:pPr>
        <w:jc w:val="both"/>
        <w:ind w:left="620" w:right="460" w:hanging="307"/>
        <w:spacing w:after="0" w:line="290" w:lineRule="auto"/>
        <w:tabs>
          <w:tab w:leader="none" w:pos="616"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06" w:lineRule="exact"/>
        <w:rPr>
          <w:rFonts w:ascii="Arial" w:cs="Arial" w:eastAsia="Arial" w:hAnsi="Arial"/>
          <w:sz w:val="16"/>
          <w:szCs w:val="16"/>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decreases in government funding of research and development; and</w:t>
      </w:r>
    </w:p>
    <w:p>
      <w:pPr>
        <w:spacing w:after="0" w:line="165" w:lineRule="exact"/>
        <w:rPr>
          <w:rFonts w:ascii="Arial" w:cs="Arial" w:eastAsia="Arial" w:hAnsi="Arial"/>
          <w:sz w:val="17"/>
          <w:szCs w:val="17"/>
          <w:color w:val="auto"/>
        </w:rPr>
      </w:pPr>
    </w:p>
    <w:p>
      <w:pPr>
        <w:ind w:left="620" w:right="20" w:hanging="307"/>
        <w:spacing w:after="0" w:line="266"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Additionally, our suppliers have also been impacted by the COVID-19 pandemic and may be impacted by other pandemics. For example, our SP100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w:t>
      </w:r>
    </w:p>
    <w:p>
      <w:pPr>
        <w:spacing w:after="0" w:line="131"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0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3"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or rising interest rates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sustain or successfully manage our anticipated growth, our business and prospects will be harmed.</w:t>
      </w:r>
    </w:p>
    <w:p>
      <w:pPr>
        <w:spacing w:after="0" w:line="165"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Our anticipated growth will place significant strains on our management, operational and manufacturing systems and processes, sales and marketing team, financial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are unable to recruit, train and retain our personnel, we may not achieve our goals.</w:t>
      </w:r>
    </w:p>
    <w:p>
      <w:pPr>
        <w:spacing w:after="0" w:line="11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Our future success depends upon our ability to recruit, train, retain and motivate key personnel. Our senior management team, including Omid Farokhzad, one of our founders and our Chief Executive Officer and President, David Horn, our Chief Financial Officer, and Scott Thomas, our Chief Commercial Officer are critical to our vision, strategic direction, product development and commercialization efforts.</w:t>
      </w:r>
    </w:p>
    <w:p>
      <w:pPr>
        <w:spacing w:after="0" w:line="124" w:lineRule="exact"/>
        <w:rPr>
          <w:sz w:val="20"/>
          <w:szCs w:val="20"/>
          <w:color w:val="auto"/>
        </w:rPr>
      </w:pPr>
    </w:p>
    <w:p>
      <w:pPr>
        <w:ind w:right="260"/>
        <w:spacing w:after="0" w:line="307" w:lineRule="auto"/>
        <w:rPr>
          <w:sz w:val="20"/>
          <w:szCs w:val="20"/>
          <w:color w:val="auto"/>
        </w:rPr>
      </w:pPr>
      <w:r>
        <w:rPr>
          <w:rFonts w:ascii="Arial" w:cs="Arial" w:eastAsia="Arial" w:hAnsi="Arial"/>
          <w:sz w:val="15"/>
          <w:szCs w:val="15"/>
          <w:color w:val="auto"/>
        </w:rPr>
        <w:t>Omead Ostadan, our former President and one of our key personnel, took a leave of absence on November 20, 2021, for personal reasons lasting approximately three months. Mr. Ostadan returned on a part-time basis as the Company’s President on February 28, 2022. On August 25, 2022, Mr. Ostadan resigned from his position as President of the company and the company’s Board of Directors for personal reasons each effective September 30, 2022. Following Mr. Ostadan’s departure, Mr. Farokhzad is now the CEO and President, and Mr. Thomas now has full responsibility for the Company’s commercialization efforts.</w:t>
      </w:r>
    </w:p>
    <w:p>
      <w:pPr>
        <w:spacing w:after="0" w:line="9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departure of one or more of our executive officers, senior management team members, or other key employees could be disruptive to our business until we are able to hire qualified successors. We do not maintain “key man” life insurance on our senior management team.</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spacing w:after="0" w:line="125" w:lineRule="exact"/>
        <w:rPr>
          <w:sz w:val="20"/>
          <w:szCs w:val="20"/>
          <w:color w:val="auto"/>
        </w:rPr>
      </w:pPr>
    </w:p>
    <w:p>
      <w:pPr>
        <w:jc w:val="both"/>
        <w:ind w:right="40"/>
        <w:spacing w:after="0" w:line="318" w:lineRule="auto"/>
        <w:rPr>
          <w:sz w:val="20"/>
          <w:szCs w:val="20"/>
          <w:color w:val="auto"/>
        </w:rPr>
      </w:pPr>
      <w:r>
        <w:rPr>
          <w:rFonts w:ascii="Arial" w:cs="Arial" w:eastAsia="Arial" w:hAnsi="Arial"/>
          <w:sz w:val="15"/>
          <w:szCs w:val="15"/>
          <w:color w:val="auto"/>
        </w:rPr>
        <w:t>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We expect to be dependent upon revenue generated from the sale of the Proteograph Product Suite from the time it is commercialized through the foreseeable future.</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While we have recently moved into broad commercialization, if we are able to successfully broadly commercialize the Proteograph, we expect that we will generate substantially all of our revenue from the sale of the Proteograph Product Suite and associated consumables. There can be no assurance that we will be able to successfully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In our development and commercialization plans for the Proteograph Product Suite, we may forego other opportunities that may provide greater revenue or be more profitable. If our research and product development efforts do not result in commercially viable products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have been concentrated in a small number of customers.</w:t>
      </w:r>
    </w:p>
    <w:p>
      <w:pPr>
        <w:spacing w:after="0" w:line="16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 xml:space="preserve">During the initial stages of our broad release phase of our commercialization plan, our revenues have been concentrated in a relatively small number of customers, including a related party, PrognomIQ, Inc. For the three months ended September 30, 2022, PrognomIQ, Inc. accounted for 33% of our revenue. If one or more customers, including PrognomIQ, Inc., terminate all or any portion of their agreements, delay installations or fail to order the anticipated amount of consumables or services, there could be a material adverse effect on our business, financial condition and results of operations. See Note 5 </w:t>
      </w:r>
      <w:r>
        <w:rPr>
          <w:rFonts w:ascii="Arial" w:cs="Arial" w:eastAsia="Arial" w:hAnsi="Arial"/>
          <w:sz w:val="17"/>
          <w:szCs w:val="17"/>
          <w:i w:val="1"/>
          <w:iCs w:val="1"/>
          <w:color w:val="auto"/>
        </w:rPr>
        <w:t>- Revenue and Deferred Revenue</w:t>
      </w:r>
      <w:r>
        <w:rPr>
          <w:rFonts w:ascii="Arial" w:cs="Arial" w:eastAsia="Arial" w:hAnsi="Arial"/>
          <w:sz w:val="17"/>
          <w:szCs w:val="17"/>
          <w:color w:val="auto"/>
        </w:rPr>
        <w:t xml:space="preserve"> and Note 9 - </w:t>
      </w:r>
      <w:r>
        <w:rPr>
          <w:rFonts w:ascii="Arial" w:cs="Arial" w:eastAsia="Arial" w:hAnsi="Arial"/>
          <w:sz w:val="17"/>
          <w:szCs w:val="17"/>
          <w:i w:val="1"/>
          <w:iCs w:val="1"/>
          <w:color w:val="auto"/>
        </w:rPr>
        <w:t>PrognomIQ, Inc.</w:t>
      </w:r>
      <w:r>
        <w:rPr>
          <w:rFonts w:ascii="Arial" w:cs="Arial" w:eastAsia="Arial" w:hAnsi="Arial"/>
          <w:sz w:val="17"/>
          <w:szCs w:val="17"/>
          <w:color w:val="auto"/>
        </w:rPr>
        <w:t xml:space="preserve"> to our notes to financial statements included in Part I, Item 1, herein for further information regarding our relationship with PrognomIQ, Inc.</w:t>
      </w:r>
    </w:p>
    <w:p>
      <w:pPr>
        <w:spacing w:after="0" w:line="13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b w:val="1"/>
          <w:bCs w:val="1"/>
          <w:i w:val="1"/>
          <w:iCs w:val="1"/>
          <w:color w:val="auto"/>
        </w:rPr>
        <w:t>Our business will depend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2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We expect that substantially all of our sales revenue in the near term will be generated from sales to commercial companies, academic institutions and other research institutions. Certain of these customers’ funding will be, in turn, provided by various state, federal and international government agencies. As a result, the demand for the Proteograph Product Suite will depend upon the research and development budgets of these customers, which are impacted by factors beyond our control, such as:</w:t>
      </w:r>
    </w:p>
    <w:p>
      <w:pPr>
        <w:spacing w:after="0" w:line="126"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decreases in government funding of research and development;</w:t>
      </w:r>
    </w:p>
    <w:p>
      <w:pPr>
        <w:spacing w:after="0" w:line="16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12" w:lineRule="exact"/>
        <w:rPr>
          <w:rFonts w:ascii="Arial" w:cs="Arial" w:eastAsia="Arial" w:hAnsi="Arial"/>
          <w:sz w:val="17"/>
          <w:szCs w:val="17"/>
          <w:color w:val="auto"/>
        </w:rPr>
      </w:pPr>
    </w:p>
    <w:p>
      <w:pPr>
        <w:ind w:left="620" w:right="100" w:hanging="307"/>
        <w:spacing w:after="0" w:line="279"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strategy and funding by commercial companies in their efforts around therapeutic and diagnostic product development and their adoption and use of the Proteograph Product Suite;</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macroeconomic conditions;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opinions in the scientific community, including researchers’ opinions of the utility of the Proteograph solution;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citation of the Proteograph Product Suite in published research;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changes in the regulatory environment;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competitor product offerings or pricing;</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market-driven pressures to consolidate operations and reduce costs; and</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market acceptance of relatively new technologies, such as the Proteograph Product Suite.</w:t>
      </w:r>
    </w:p>
    <w:p>
      <w:pPr>
        <w:spacing w:after="0" w:line="165"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In addition, various state, federal and international agencies that provide grants and other funding may be subject to stringent budgetary constraints that could result in spending reductions, reduced grant making,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80"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2020,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22"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b w:val="1"/>
          <w:bCs w:val="1"/>
          <w:i w:val="1"/>
          <w:iCs w:val="1"/>
          <w:color w:val="auto"/>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For example, due to the COVID-19 pandemic and increased demand for Hamilton’s products, we have seen the lead time for our instruments increase significantly. Further, if Hamilton is unable to obtain critical components used in the Proteograph solution or supply our instruments on the timelines we require, our business and commercialization efforts would be harmed.</w:t>
      </w:r>
    </w:p>
    <w:p>
      <w:pPr>
        <w:spacing w:after="0" w:line="133"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In the event it becomes necessary to utilize one or more different contract manufacturers for automated liquid handling workstations, products, or product components associated with the Proteograph Product Suite, we would experience additional costs, delays and difficulties in doing so as a result of identifying and entering into new agreements with new suppliers or manufacturers as well as preparing such new suppliers or manufacturers to meet the logistical requirements associated with supplying and manufacturing the Proteograph Product Suite, and our business would suffer.</w:t>
      </w:r>
    </w:p>
    <w:p>
      <w:pPr>
        <w:spacing w:after="0" w:line="112"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In addition, certain of the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Our suppliers have also been impacted by the COVID-19 pandemic, and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 If any of these events occur, our business, results of operations, financial condition and prospects could be harmed.</w:t>
      </w:r>
    </w:p>
    <w:p>
      <w:pPr>
        <w:spacing w:after="0" w:line="118"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b w:val="1"/>
          <w:bCs w:val="1"/>
          <w:i w:val="1"/>
          <w:iCs w:val="1"/>
          <w:color w:val="auto"/>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spacing w:after="0" w:line="12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Proteograph Product Suite is an integrated solution with many different components that work together. As such, a quality defect in a single component can compromise the performance of the entire solution.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80" w:lineRule="exact"/>
        <w:rPr>
          <w:sz w:val="20"/>
          <w:szCs w:val="20"/>
          <w:color w:val="auto"/>
        </w:rPr>
      </w:pPr>
    </w:p>
    <w:p>
      <w:pPr>
        <w:ind w:right="380"/>
        <w:spacing w:after="0" w:line="307" w:lineRule="auto"/>
        <w:rPr>
          <w:sz w:val="20"/>
          <w:szCs w:val="20"/>
          <w:color w:val="auto"/>
        </w:rPr>
      </w:pPr>
      <w:r>
        <w:rPr>
          <w:rFonts w:ascii="Arial" w:cs="Arial" w:eastAsia="Arial" w:hAnsi="Arial"/>
          <w:sz w:val="15"/>
          <w:szCs w:val="15"/>
          <w:color w:val="auto"/>
        </w:rPr>
        <w:t>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97"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of certain hazardous substances or chemicals, including in commercial products, or the collection, reuse, and recycling of waste from products we manufacture, our business will be adversely impacted.</w:t>
      </w:r>
    </w:p>
    <w:p>
      <w:pPr>
        <w:spacing w:after="0" w:line="103"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spacing w:after="0" w:line="122"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9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1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Our products could have defects or errors, which may give rise to claims against us, adversely affect market adoption of the Proteograph Product Suite, and adversely affect our business, financial condition, and results of operations.</w:t>
      </w:r>
    </w:p>
    <w:p>
      <w:pPr>
        <w:spacing w:after="0" w:line="11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Proteograph Product Suite utilizes novel and complex technology, including hardware, consumables and software, and may develop or contain defects or errors.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0"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If the Proteograph Product Suite contains defects, we may experience:</w:t>
      </w:r>
    </w:p>
    <w:p>
      <w:pPr>
        <w:spacing w:after="0" w:line="165"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failure to achieve market acceptance for the Proteograph or expansion of the Proteograph Product Suite sales;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 of customer orders and delay in order fulfillment;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damage to our brand reputation;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warranty and customer service and support costs due to product repair or replacement;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product recalls or replacements;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inability to attract new customers;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diversion of resources from our manufacturing and research and development departments to our service department;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spacing w:after="0" w:line="11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b w:val="1"/>
          <w:bCs w:val="1"/>
          <w:i w:val="1"/>
          <w:iCs w:val="1"/>
          <w:color w:val="auto"/>
        </w:rPr>
        <w:t>If we do not successfully deploy and implement enhancements of the Instrument Control Software and Proteograph Analysis Suite, our commercialization efforts and, therefore, business and results of operations could suffer.</w:t>
      </w:r>
    </w:p>
    <w:p>
      <w:pPr>
        <w:spacing w:after="0" w:line="113"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The success of the Proteograph Product Suite depends, in part, on our ability to design and deploy our Instrument Control Software and Proteograph Analysis Suite (together with any enhancements, the “Software”)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have and will continue to spend significant amounts of effort continuing to develop the Software to meet our customers’ and potential customers’ evolving needs. There is no assurance that the development or deployment of the Software will be compelling to our customers or function correctly. In addition, we may experience delays in our release dates of the Software, and there can be no assurance that the Software will be released according to schedule. If our Software development and deployment plan, which may include participation from third party vendors and licensors, does not accurately anticipate customer demands, or if we fail to develop the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b w:val="1"/>
          <w:bCs w:val="1"/>
          <w:i w:val="1"/>
          <w:iCs w:val="1"/>
          <w:color w:val="auto"/>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Engaging in international business inherently involves a number of difficulties and risks, including:</w:t>
      </w:r>
    </w:p>
    <w:p>
      <w:pPr>
        <w:spacing w:after="0" w:line="165" w:lineRule="exact"/>
        <w:rPr>
          <w:sz w:val="20"/>
          <w:szCs w:val="20"/>
          <w:color w:val="auto"/>
        </w:rPr>
      </w:pPr>
    </w:p>
    <w:p>
      <w:pPr>
        <w:ind w:left="620" w:hanging="307"/>
        <w:spacing w:after="0" w:line="283" w:lineRule="auto"/>
        <w:tabs>
          <w:tab w:leader="none" w:pos="6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spacing w:after="0" w:line="111" w:lineRule="exact"/>
        <w:rPr>
          <w:rFonts w:ascii="Arial" w:cs="Arial" w:eastAsia="Arial" w:hAnsi="Arial"/>
          <w:sz w:val="16"/>
          <w:szCs w:val="16"/>
          <w:color w:val="auto"/>
        </w:rPr>
      </w:pPr>
    </w:p>
    <w:p>
      <w:pPr>
        <w:ind w:left="620" w:right="260" w:hanging="307"/>
        <w:spacing w:after="0" w:line="279"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required compliance with U.S. laws such as the Foreign Corrupt Practices Act, and other U.S. federal laws and regulations established by the office of Foreign Asset Control;</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export requirements and import or trade restrictions, including, without limitation, trade retaliation laws;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laws and business practices favoring local companies;</w:t>
      </w:r>
    </w:p>
    <w:p>
      <w:pPr>
        <w:spacing w:after="0" w:line="165" w:lineRule="exact"/>
        <w:rPr>
          <w:rFonts w:ascii="Arial" w:cs="Arial" w:eastAsia="Arial" w:hAnsi="Arial"/>
          <w:sz w:val="17"/>
          <w:szCs w:val="17"/>
          <w:color w:val="auto"/>
        </w:rPr>
      </w:pPr>
    </w:p>
    <w:p>
      <w:pPr>
        <w:ind w:left="620" w:right="500" w:hanging="307"/>
        <w:spacing w:after="0" w:line="279"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foreign currency exchange, longer payment cycles and difficulties in enforcing agreements and collecting receivables through certain foreign legal systems;</w:t>
      </w:r>
    </w:p>
    <w:p>
      <w:pPr>
        <w:spacing w:after="0" w:line="112" w:lineRule="exact"/>
        <w:rPr>
          <w:rFonts w:ascii="Arial" w:cs="Arial" w:eastAsia="Arial" w:hAnsi="Arial"/>
          <w:sz w:val="17"/>
          <w:szCs w:val="17"/>
          <w:color w:val="auto"/>
        </w:rPr>
      </w:pPr>
    </w:p>
    <w:p>
      <w:pPr>
        <w:ind w:left="620" w:right="40" w:hanging="307"/>
        <w:spacing w:after="0" w:line="290" w:lineRule="auto"/>
        <w:tabs>
          <w:tab w:leader="none" w:pos="6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spacing w:after="0" w:line="106" w:lineRule="exact"/>
        <w:rPr>
          <w:rFonts w:ascii="Arial" w:cs="Arial" w:eastAsia="Arial" w:hAnsi="Arial"/>
          <w:sz w:val="16"/>
          <w:szCs w:val="16"/>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potentially adverse tax consequences, tariffs, customs charges, bureaucratic requirements, and other trade barriers;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difficulties and costs of staffing and managing foreign operations;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difficulties protecting, maintaining, enforcing or procuring intellectual property rights.</w:t>
      </w:r>
    </w:p>
    <w:p>
      <w:pPr>
        <w:spacing w:after="0" w:line="165" w:lineRule="exact"/>
        <w:rPr>
          <w:sz w:val="20"/>
          <w:szCs w:val="20"/>
          <w:color w:val="auto"/>
        </w:rPr>
      </w:pPr>
    </w:p>
    <w:p>
      <w:pPr>
        <w:ind w:right="180"/>
        <w:spacing w:after="0" w:line="299" w:lineRule="auto"/>
        <w:rPr>
          <w:sz w:val="20"/>
          <w:szCs w:val="20"/>
          <w:color w:val="auto"/>
        </w:rPr>
      </w:pPr>
      <w:r>
        <w:rPr>
          <w:rFonts w:ascii="Arial" w:cs="Arial" w:eastAsia="Arial" w:hAnsi="Arial"/>
          <w:sz w:val="15"/>
          <w:szCs w:val="15"/>
          <w:color w:val="auto"/>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spacing w:after="0" w:line="103"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If one or more of these risks occurs, it could require us to dedicate significant resources to remedy such occurrence, and if we are unsuccessful in finding a solution, our financial results will suffer.</w:t>
      </w:r>
    </w:p>
    <w:p>
      <w:pPr>
        <w:spacing w:after="0" w:line="11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b w:val="1"/>
          <w:bCs w:val="1"/>
          <w:i w:val="1"/>
          <w:iCs w:val="1"/>
          <w:color w:val="auto"/>
        </w:rPr>
        <w:t>A portion of our international sales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spacing w:after="0" w:line="107"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Our current commercial model includes direct sales in the United States and elsewhere, and we are building relationships with third party distributors in various countries, including China, to enable us to enter additional markets more efficiently. If we are unable to enter or maintain such distribution arrangements on acceptable terms, or at all, we may not be able to successfully commercialize our products in certain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8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12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77"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Bruker Corporation, Danaher, DiaSorin, and Thermo Fisher Scientific. We also compete with a number of companies that have developed, or are developing, proteomic products and solutions, such as Nautilus Biotechnology, Olink Proteomics, Quanterix, Quantum-Si and SomaLogic.</w:t>
      </w:r>
    </w:p>
    <w:p>
      <w:pPr>
        <w:spacing w:after="0" w:line="11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Some of our current competitors are large publicly-traded companies, or are divisions of large publicly-traded companies, and may enjoy a number of competitive advantages over us, including:</w:t>
      </w:r>
    </w:p>
    <w:p>
      <w:pPr>
        <w:spacing w:after="0" w:line="113" w:lineRule="exact"/>
        <w:rPr>
          <w:sz w:val="20"/>
          <w:szCs w:val="20"/>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greater name and brand recognition;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greater financial and human resources;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broader product lines;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larger sales forces and more established distributor networks;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substantial intellectual property portfolios;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larger and more established customer bases and relationships;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better established, larger scale and lower cost manufacturing capabilities.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31" w:lineRule="exact"/>
        <w:rPr>
          <w:sz w:val="20"/>
          <w:szCs w:val="20"/>
          <w:color w:val="auto"/>
        </w:rPr>
      </w:pPr>
    </w:p>
    <w:p>
      <w:pPr>
        <w:ind w:right="680"/>
        <w:spacing w:after="0" w:line="279" w:lineRule="auto"/>
        <w:rPr>
          <w:sz w:val="20"/>
          <w:szCs w:val="20"/>
          <w:color w:val="auto"/>
        </w:rPr>
      </w:pPr>
      <w:r>
        <w:rPr>
          <w:rFonts w:ascii="Arial" w:cs="Arial" w:eastAsia="Arial" w:hAnsi="Arial"/>
          <w:sz w:val="17"/>
          <w:szCs w:val="17"/>
          <w:color w:val="auto"/>
        </w:rPr>
        <w:t>We cannot assure investors that our products will compete favorably or that we will be successful in the face of increasing competition from products and technologies introduced by our existing or future competitors,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2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i w:val="1"/>
          <w:iCs w:val="1"/>
          <w:color w:val="auto"/>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Based on our current plans, we believe that our current cash, cash equivalents and investments will be sufficient to meet our anticipated cash flow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spacing w:after="0" w:line="13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will consider raising additional capital in the future to expand our business, to pursue strategic investments, to take advantage of financing opportunities or for other reasons, including:</w:t>
      </w:r>
    </w:p>
    <w:p>
      <w:pPr>
        <w:spacing w:after="0" w:line="113"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increasing our sales and marketing and other commercialization efforts to drive market adoption of the Proteograph Product Suite;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funding development and marketing efforts of the Proteograph Product Suite or any other future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expanding our technologies into additional markets;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acquiring, licensing or investing in technologies and other intellectual property rights;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acquiring or investing in complementary businesses or assets;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financing capital expenditures and general and administrative expenses.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Our present and future funding requirements will depend on many factors, including:</w:t>
      </w:r>
    </w:p>
    <w:p>
      <w:pPr>
        <w:spacing w:after="0" w:line="165" w:lineRule="exact"/>
        <w:rPr>
          <w:sz w:val="20"/>
          <w:szCs w:val="20"/>
          <w:color w:val="auto"/>
        </w:rPr>
      </w:pPr>
    </w:p>
    <w:p>
      <w:pPr>
        <w:ind w:left="620" w:hanging="307"/>
        <w:spacing w:after="0" w:line="279"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rate of progress in commercializing the Proteograph Product Suite and new products, and the cost of the sales and marketing activities associated with establishing adoption of our products;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rate of progress in, and cost of research and development activities associated with, products in research and development;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0"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may in the future seek to acquire or invest in businesses, applications or technologies that we believe could complement or expand the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1"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benefits of PrognomIQ as a separate healthcare company in the area of disease testing.</w:t>
      </w:r>
    </w:p>
    <w:p>
      <w:pPr>
        <w:spacing w:after="0" w:line="165"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In August 2020, we transferred certain assets to PrognomIQ, as a separate healthcare company to help enable the growth of ecosystems around new applications that leverage the Proteograph solution for unbiased, deep and large-scale proteomic information. As of September 30, 2022, we held approximately 15% of the outstanding capital stock of PrognomIQ. We may not realize the potential benefits of forming PrognomIQ for a variety of reasons, including:</w:t>
      </w:r>
    </w:p>
    <w:p>
      <w:pPr>
        <w:spacing w:after="0" w:line="88" w:lineRule="exact"/>
        <w:rPr>
          <w:sz w:val="20"/>
          <w:szCs w:val="20"/>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PrognomIQ may be unable to successfully develop viable testing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PrognomIQ’s business may not help demonstrate the value of the Proteograph;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inability to reach agreement with PrognomIQ on future commercial arrangements;</w:t>
      </w:r>
    </w:p>
    <w:p>
      <w:pPr>
        <w:spacing w:after="0" w:line="165" w:lineRule="exact"/>
        <w:rPr>
          <w:rFonts w:ascii="Arial" w:cs="Arial" w:eastAsia="Arial" w:hAnsi="Arial"/>
          <w:sz w:val="17"/>
          <w:szCs w:val="17"/>
          <w:color w:val="auto"/>
        </w:rPr>
      </w:pPr>
    </w:p>
    <w:p>
      <w:pPr>
        <w:ind w:left="620" w:right="460" w:hanging="307"/>
        <w:spacing w:after="0" w:line="279"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although PrognomIQ accounted for 33% of our revenue during the three months ended September 30, 2022, it may not continue to be a meaningful customer of ours;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PrognomIQ may need to raise additional funding in the future and be unable to do so; and</w:t>
      </w:r>
    </w:p>
    <w:p>
      <w:pPr>
        <w:spacing w:after="0" w:line="165" w:lineRule="exact"/>
        <w:rPr>
          <w:rFonts w:ascii="Arial" w:cs="Arial" w:eastAsia="Arial" w:hAnsi="Arial"/>
          <w:sz w:val="17"/>
          <w:szCs w:val="17"/>
          <w:color w:val="auto"/>
        </w:rPr>
      </w:pPr>
    </w:p>
    <w:p>
      <w:pPr>
        <w:ind w:left="620" w:right="140" w:hanging="307"/>
        <w:spacing w:after="0" w:line="279"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formation of PrognomIQ and our continuing equity position in PrognomIQ may add complexities to our business from a finance, tax and accounting perspective.</w:t>
      </w:r>
    </w:p>
    <w:p>
      <w:pPr>
        <w:spacing w:after="0" w:line="11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Financial Reporting</w:t>
      </w:r>
    </w:p>
    <w:p>
      <w:pPr>
        <w:spacing w:after="0" w:line="171"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spacing w:after="0" w:line="124" w:lineRule="exact"/>
        <w:rPr>
          <w:sz w:val="20"/>
          <w:szCs w:val="20"/>
          <w:color w:val="auto"/>
        </w:rPr>
      </w:pPr>
    </w:p>
    <w:p>
      <w:pPr>
        <w:jc w:val="both"/>
        <w:ind w:right="80"/>
        <w:spacing w:after="0" w:line="259" w:lineRule="auto"/>
        <w:rPr>
          <w:sz w:val="20"/>
          <w:szCs w:val="20"/>
          <w:color w:val="auto"/>
        </w:rPr>
      </w:pPr>
      <w:r>
        <w:rPr>
          <w:rFonts w:ascii="Arial" w:cs="Arial" w:eastAsia="Arial" w:hAnsi="Arial"/>
          <w:sz w:val="17"/>
          <w:szCs w:val="17"/>
          <w:color w:val="auto"/>
        </w:rPr>
        <w:t>As a public company with SEC reporting obligations, we are required to document and test our internal control procedures to satisfy the requirements of Section 404(b) of the Sarbanes-Oxley Act (SOX), which requires annual assessments by management of the effectiveness of our internal control over financial reporting. Effective December 31, 2021, we no longer qualify as an emerging growth company and the reduced compliance requirements to emerging growth companies no longer apply to us. We must implement and maintain substantial internal control systems and procedures to satisfy the reporting requirements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8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Class A common stock listing on Nasdaq to be suspended or terminated, which could have a negative effect on the trading price of our common stock.</w:t>
      </w:r>
    </w:p>
    <w:p>
      <w:pPr>
        <w:spacing w:after="0" w:line="118" w:lineRule="exact"/>
        <w:rPr>
          <w:sz w:val="20"/>
          <w:szCs w:val="20"/>
          <w:color w:val="auto"/>
        </w:rPr>
      </w:pPr>
    </w:p>
    <w:p>
      <w:pPr>
        <w:ind w:right="20"/>
        <w:spacing w:after="0" w:line="349" w:lineRule="auto"/>
        <w:rPr>
          <w:sz w:val="20"/>
          <w:szCs w:val="20"/>
          <w:color w:val="auto"/>
        </w:rPr>
      </w:pPr>
      <w:r>
        <w:rPr>
          <w:rFonts w:ascii="Arial" w:cs="Arial" w:eastAsia="Arial" w:hAnsi="Arial"/>
          <w:sz w:val="14"/>
          <w:szCs w:val="14"/>
          <w:b w:val="1"/>
          <w:bCs w:val="1"/>
          <w:i w:val="1"/>
          <w:iCs w:val="1"/>
          <w:color w:val="auto"/>
        </w:rPr>
        <w:t>We previously identified material weaknesses in our internal control over financial reporting, and if we fail to maintain an effective system of internal controls, or otherwise fail to comply with the Sarbanes-Oxley Act of 2002 now that we are a large accelerated filer, we may not be able to accurately and timely report our financial results, which may adversely affect our business and investor confidence in us and, as a result, the value of our Class A common stock.</w:t>
      </w:r>
    </w:p>
    <w:p>
      <w:pPr>
        <w:spacing w:after="0" w:line="7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As previously disclosed in our Annual Report on Form 10-K for the year ended December 31, 2020, we and our independent registered public accounting firm identified the following material weaknesses in our internal control over financial reporting:</w:t>
      </w:r>
    </w:p>
    <w:p>
      <w:pPr>
        <w:spacing w:after="0" w:line="113" w:lineRule="exact"/>
        <w:rPr>
          <w:sz w:val="20"/>
          <w:szCs w:val="20"/>
          <w:color w:val="auto"/>
        </w:rPr>
      </w:pPr>
    </w:p>
    <w:p>
      <w:pPr>
        <w:ind w:left="620" w:hanging="307"/>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there is insufficient accounting personnel to enable segregation of duties relating to the general ledger, disbursement, and certain accounting functions;</w:t>
      </w:r>
    </w:p>
    <w:p>
      <w:pPr>
        <w:spacing w:after="0" w:line="188" w:lineRule="exact"/>
        <w:rPr>
          <w:rFonts w:ascii="Arial" w:cs="Arial" w:eastAsia="Arial" w:hAnsi="Arial"/>
          <w:sz w:val="15"/>
          <w:szCs w:val="15"/>
          <w:color w:val="auto"/>
        </w:rPr>
      </w:pPr>
    </w:p>
    <w:p>
      <w:pPr>
        <w:ind w:left="620" w:right="500" w:hanging="307"/>
        <w:spacing w:after="0" w:line="312" w:lineRule="auto"/>
        <w:tabs>
          <w:tab w:leader="none" w:pos="61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88" w:lineRule="exact"/>
        <w:rPr>
          <w:rFonts w:ascii="Arial" w:cs="Arial" w:eastAsia="Arial" w:hAnsi="Arial"/>
          <w:sz w:val="16"/>
          <w:szCs w:val="16"/>
          <w:color w:val="auto"/>
        </w:rPr>
      </w:pPr>
    </w:p>
    <w:p>
      <w:pPr>
        <w:ind w:left="620" w:right="620" w:hanging="307"/>
        <w:spacing w:after="0" w:line="279"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completed remediation measures related to the material weaknesses and concluded that our internal control over financial reporting was effective as of December 31, 2021.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3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8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For example, in connection with the implementation of the new revenue accounting standard for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Regulatory Compliance</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products are currently labeled and promoted, and are, and in the near-future will be, sold as research use only (RUO) products, primarily to academic and research institutions and research companies, and are not currently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31"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80" w:lineRule="exact"/>
        <w:rPr>
          <w:sz w:val="20"/>
          <w:szCs w:val="20"/>
          <w:color w:val="auto"/>
        </w:rPr>
      </w:pPr>
    </w:p>
    <w:p>
      <w:pPr>
        <w:ind w:right="320"/>
        <w:spacing w:after="0" w:line="318" w:lineRule="auto"/>
        <w:rPr>
          <w:sz w:val="20"/>
          <w:szCs w:val="20"/>
          <w:color w:val="auto"/>
        </w:rPr>
      </w:pPr>
      <w:r>
        <w:rPr>
          <w:rFonts w:ascii="Arial" w:cs="Arial" w:eastAsia="Arial" w:hAnsi="Arial"/>
          <w:sz w:val="15"/>
          <w:szCs w:val="15"/>
          <w:color w:val="auto"/>
        </w:rPr>
        <w:t>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88"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15"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0" w:lineRule="exact"/>
        <w:rPr>
          <w:sz w:val="20"/>
          <w:szCs w:val="20"/>
          <w:color w:val="auto"/>
        </w:rPr>
      </w:pPr>
    </w:p>
    <w:p>
      <w:pPr>
        <w:spacing w:after="0" w:line="30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9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22"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3"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 August 2020, the Department of Health and Human Services, or HHS, announced rescission of guidances and other informal issuances of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In November 2021, HHS under the Biden administration issued a statement that withdrew the August 2020 policy announcement, stating that HHS does not have a policy on LDTs that is separate from FDA's longstanding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7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b w:val="1"/>
          <w:bCs w:val="1"/>
          <w:i w:val="1"/>
          <w:iCs w:val="1"/>
          <w:color w:val="auto"/>
        </w:rPr>
        <w:t>If we are unable to obtain,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spacing w:after="0" w:line="11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spacing w:after="0" w:line="126"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25"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and derivation proceedings. The America Invents Act and its implementation could increase the uncertainties and costs surrounding the prosecution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patent applications and future patent applications, and the enforcement or defense of our issued patents, all of which could have a material adverse effect on our business, financial condition, results of operations and prospects.</w:t>
      </w:r>
    </w:p>
    <w:p>
      <w:pPr>
        <w:spacing w:after="0" w:line="12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65" w:lineRule="exact"/>
        <w:rPr>
          <w:sz w:val="20"/>
          <w:szCs w:val="20"/>
          <w:color w:val="auto"/>
        </w:rPr>
      </w:pPr>
    </w:p>
    <w:p>
      <w:pPr>
        <w:ind w:right="40"/>
        <w:spacing w:after="0" w:line="349" w:lineRule="auto"/>
        <w:rPr>
          <w:sz w:val="20"/>
          <w:szCs w:val="20"/>
          <w:color w:val="auto"/>
        </w:rPr>
      </w:pPr>
      <w:r>
        <w:rPr>
          <w:rFonts w:ascii="Arial" w:cs="Arial" w:eastAsia="Arial" w:hAnsi="Arial"/>
          <w:sz w:val="15"/>
          <w:szCs w:val="15"/>
          <w:color w:val="auto"/>
        </w:rPr>
        <w:t>Filing, prosecuting and defending patents on our technology and products, including the Proteograph Product Suite, in all countries throughout the world would be prohibitively expensive, and our intellectual property rights in some countries outside the United States can be less extensive than those in the United States.</w:t>
      </w:r>
    </w:p>
    <w:p>
      <w:pPr>
        <w:spacing w:after="0" w:line="66"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0"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timely manner, and if we are unable to do so it could have a material adverse effect on our business, financial condition, results of operation and prospects in various geographies.</w:t>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Competitors and other third parties may also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Issued patents covering our products could be found invalid or unenforceable if challenged.</w:t>
      </w:r>
    </w:p>
    <w:p>
      <w:pPr>
        <w:spacing w:after="0" w:line="165"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revocation, nullification, derivation,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5"/>
          <w:szCs w:val="15"/>
          <w:i w:val="1"/>
          <w:iCs w:val="1"/>
          <w:color w:val="auto"/>
        </w:rPr>
        <w:t>ex parte</w:t>
      </w:r>
      <w:r>
        <w:rPr>
          <w:rFonts w:ascii="Arial" w:cs="Arial" w:eastAsia="Arial" w:hAnsi="Arial"/>
          <w:sz w:val="15"/>
          <w:szCs w:val="15"/>
          <w:color w:val="auto"/>
        </w:rPr>
        <w:t xml:space="preserve">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derivation and equivalent proceedings in non-U.S. jurisdictions, such as opposition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proceedings. Such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22"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the value of our technology could be materially adversely affected and our business could be harmed.</w:t>
      </w:r>
    </w:p>
    <w:p>
      <w:pPr>
        <w:spacing w:after="0" w:line="113"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We may rely heavily on trade secrets and confidentiality agreements to protect our unpatented know-how, technology and other proprietary and confidential information, including parts of the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spacing w:after="0" w:line="9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spacing w:after="0" w:line="13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outcome would be unpredictable. In addition, courts outside the United States may be less willing to protect trade secrets.</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of our patents and other intellectual property.</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2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solution,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21" w:lineRule="exact"/>
        <w:rPr>
          <w:sz w:val="20"/>
          <w:szCs w:val="20"/>
          <w:color w:val="auto"/>
        </w:rPr>
      </w:pPr>
    </w:p>
    <w:p>
      <w:pPr>
        <w:ind w:right="620"/>
        <w:spacing w:after="0" w:line="279" w:lineRule="auto"/>
        <w:rPr>
          <w:sz w:val="20"/>
          <w:szCs w:val="20"/>
          <w:color w:val="auto"/>
        </w:rPr>
      </w:pPr>
      <w:r>
        <w:rPr>
          <w:rFonts w:ascii="Arial" w:cs="Arial" w:eastAsia="Arial" w:hAnsi="Arial"/>
          <w:sz w:val="17"/>
          <w:szCs w:val="17"/>
          <w:b w:val="1"/>
          <w:bCs w:val="1"/>
          <w:i w:val="1"/>
          <w:iCs w:val="1"/>
          <w:color w:val="auto"/>
        </w:rPr>
        <w:t>We may not be able to protect and enforce our trademarks and trade names, or build name recognition in our markets of interest thereby harming our competitive position.</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trademarks, brought by owners of trademarks that incorporate variations of our registered or unregistered trademarks or trade names. Further, we may in the future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3" w:lineRule="exact"/>
        <w:rPr>
          <w:sz w:val="20"/>
          <w:szCs w:val="20"/>
          <w:color w:val="auto"/>
        </w:rPr>
      </w:pPr>
    </w:p>
    <w:p>
      <w:pPr>
        <w:ind w:right="640"/>
        <w:spacing w:after="0" w:line="279" w:lineRule="auto"/>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products and technologies, including the Proteograph Product Suite for an adequate amount of time.</w:t>
      </w:r>
    </w:p>
    <w:p>
      <w:pPr>
        <w:spacing w:after="0" w:line="113"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09" w:lineRule="exact"/>
        <w:rPr>
          <w:sz w:val="20"/>
          <w:szCs w:val="20"/>
          <w:color w:val="auto"/>
        </w:rPr>
      </w:pPr>
    </w:p>
    <w:p>
      <w:pPr>
        <w:jc w:val="both"/>
        <w:ind w:right="260"/>
        <w:spacing w:after="0" w:line="266" w:lineRule="auto"/>
        <w:rPr>
          <w:sz w:val="20"/>
          <w:szCs w:val="20"/>
          <w:color w:val="auto"/>
        </w:rPr>
      </w:pPr>
      <w:r>
        <w:rPr>
          <w:rFonts w:ascii="Arial" w:cs="Arial" w:eastAsia="Arial" w:hAnsi="Arial"/>
          <w:sz w:val="17"/>
          <w:szCs w:val="17"/>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07"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2026, without taking into account any possible patent term adjustments or extensions. We are also aware of pending patent applications in Europe and in the United States owned by a third party that are directed to a method of identifying biomarkers in biofluids using nanoparticles and, if issued, is projected to expire in 2037, without taking into account any possible patent term adjustments or extensions. Such patent and patent applications could be construed to cover certain aspects of our products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technologies and we may be required to redesign such products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2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Arial" w:cs="Arial" w:eastAsia="Arial" w:hAnsi="Arial"/>
          <w:sz w:val="16"/>
          <w:szCs w:val="16"/>
          <w:i w:val="1"/>
          <w:iCs w:val="1"/>
          <w:color w:val="auto"/>
        </w:rPr>
        <w:t xml:space="preserve">ex-parte </w:t>
      </w:r>
      <w:r>
        <w:rPr>
          <w:rFonts w:ascii="Arial" w:cs="Arial" w:eastAsia="Arial" w:hAnsi="Arial"/>
          <w:sz w:val="16"/>
          <w:szCs w:val="16"/>
          <w:color w:val="auto"/>
        </w:rPr>
        <w:t>reexamination,</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post-grant review proceeding, opposition or other comparable proceeding. However, there can be no assurance that any</w:t>
      </w:r>
      <w:r>
        <w:rPr>
          <w:rFonts w:ascii="Arial" w:cs="Arial" w:eastAsia="Arial" w:hAnsi="Arial"/>
          <w:sz w:val="16"/>
          <w:szCs w:val="16"/>
          <w:i w:val="1"/>
          <w:iCs w:val="1"/>
          <w:color w:val="auto"/>
        </w:rPr>
        <w:t xml:space="preserve"> </w:t>
      </w:r>
      <w:r>
        <w:rPr>
          <w:rFonts w:ascii="Arial" w:cs="Arial" w:eastAsia="Arial" w:hAnsi="Arial"/>
          <w:sz w:val="16"/>
          <w:szCs w:val="16"/>
          <w:color w:val="auto"/>
        </w:rPr>
        <w:t>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spacing w:after="0" w:line="118"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30"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80"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spacing w:after="0" w:line="125"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8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have employed and expect to employ individuals, and engaged consultants and expect to engage consultants, who were previously employed, or consulted, at universities or other companies,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2" w:name="page63"/>
    <w:bookmarkEnd w:id="62"/>
    <w:p>
      <w:pPr>
        <w:spacing w:after="0" w:line="8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18"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2" w:lineRule="exact"/>
        <w:rPr>
          <w:sz w:val="20"/>
          <w:szCs w:val="20"/>
          <w:color w:val="auto"/>
        </w:rPr>
      </w:pPr>
    </w:p>
    <w:p>
      <w:pPr>
        <w:ind w:right="60"/>
        <w:spacing w:after="0" w:line="349" w:lineRule="auto"/>
        <w:rPr>
          <w:sz w:val="20"/>
          <w:szCs w:val="20"/>
          <w:color w:val="auto"/>
        </w:rPr>
      </w:pPr>
      <w:r>
        <w:rPr>
          <w:rFonts w:ascii="Arial" w:cs="Arial" w:eastAsia="Arial" w:hAnsi="Arial"/>
          <w:sz w:val="15"/>
          <w:szCs w:val="15"/>
          <w:b w:val="1"/>
          <w:bCs w:val="1"/>
          <w:i w:val="1"/>
          <w:iCs w:val="1"/>
          <w:color w:val="auto"/>
        </w:rPr>
        <w:t>We currently rely on a license from a third party, and in the future may rely on additional licenses from other third parties, in relation to our technologies and products, including the Proteograph Product Suite and if we lose any of these licenses, then we may be subjected to future litigation.</w:t>
      </w:r>
    </w:p>
    <w:p>
      <w:pPr>
        <w:spacing w:after="0" w:line="66"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to the extent any additional intellectual property developed by BWH that are not included in such licensed patent families are necessary or useful for the Proteograph Product Suite or any other product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8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b w:val="1"/>
          <w:bCs w:val="1"/>
          <w:i w:val="1"/>
          <w:iCs w:val="1"/>
          <w:color w:val="auto"/>
        </w:rPr>
        <w:t>If we fail to comply with our obligations under any license, collaboration or other agreements, we may be required to pay damages and could lose intellectual property rights necessary for developing and protecting our technologies and products, including the Proteograph Product Suite, or we could lose certain rights to grant sublicenses.</w:t>
      </w:r>
    </w:p>
    <w:p>
      <w:pPr>
        <w:spacing w:after="0" w:line="12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Moreover, disputes may also arise between us and our licensor regarding intellectual property subject to a license agreement, including:</w:t>
      </w:r>
    </w:p>
    <w:p>
      <w:pPr>
        <w:spacing w:after="0" w:line="165" w:lineRule="exact"/>
        <w:rPr>
          <w:sz w:val="20"/>
          <w:szCs w:val="20"/>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financial or other obligations under the license agreement;</w:t>
      </w:r>
    </w:p>
    <w:p>
      <w:pPr>
        <w:spacing w:after="0" w:line="165" w:lineRule="exact"/>
        <w:rPr>
          <w:rFonts w:ascii="Arial" w:cs="Arial" w:eastAsia="Arial" w:hAnsi="Arial"/>
          <w:sz w:val="17"/>
          <w:szCs w:val="17"/>
          <w:color w:val="auto"/>
        </w:rPr>
      </w:pPr>
    </w:p>
    <w:p>
      <w:pPr>
        <w:ind w:left="620" w:right="640" w:hanging="307"/>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whether, and the extent to which, our products, technology and processes infringe on intellectual property of the licensor that is not subject to the licensing agreement;</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65"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32"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80"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including the Proteograph Product Suite,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65"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We may identify third-party technology that we may need to license or acquire in order to develop or commercialize our products or technologies, including the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01"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spacing w:after="0" w:line="104" w:lineRule="exact"/>
        <w:rPr>
          <w:sz w:val="20"/>
          <w:szCs w:val="20"/>
          <w:color w:val="auto"/>
        </w:rPr>
      </w:pPr>
    </w:p>
    <w:p>
      <w:pPr>
        <w:ind w:right="320"/>
        <w:spacing w:after="0" w:line="391" w:lineRule="auto"/>
        <w:rPr>
          <w:sz w:val="20"/>
          <w:szCs w:val="20"/>
          <w:color w:val="auto"/>
        </w:rPr>
      </w:pPr>
      <w:r>
        <w:rPr>
          <w:rFonts w:ascii="Arial" w:cs="Arial" w:eastAsia="Arial" w:hAnsi="Arial"/>
          <w:sz w:val="14"/>
          <w:szCs w:val="14"/>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4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0"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Our products contain third-party open source software components and failure to comply with the terms of the underlying open source software licenses could restrict our ability to sell our products and service our customers, or require disclosure of our proprietary software.</w:t>
      </w:r>
    </w:p>
    <w:p>
      <w:pPr>
        <w:spacing w:after="0" w:line="89"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1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materially adversely affect our business, financial condition, results of operations and prospects.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165" w:lineRule="exact"/>
        <w:rPr>
          <w:sz w:val="20"/>
          <w:szCs w:val="20"/>
          <w:color w:val="auto"/>
        </w:rPr>
      </w:pPr>
    </w:p>
    <w:p>
      <w:pPr>
        <w:ind w:right="700"/>
        <w:spacing w:after="0" w:line="279"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3" w:lineRule="exact"/>
        <w:rPr>
          <w:sz w:val="20"/>
          <w:szCs w:val="20"/>
          <w:color w:val="auto"/>
        </w:rPr>
      </w:pPr>
    </w:p>
    <w:p>
      <w:pPr>
        <w:ind w:left="620" w:right="200" w:hanging="307"/>
        <w:spacing w:after="0" w:line="279"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12" w:lineRule="exact"/>
        <w:rPr>
          <w:rFonts w:ascii="Arial" w:cs="Arial" w:eastAsia="Arial" w:hAnsi="Arial"/>
          <w:sz w:val="17"/>
          <w:szCs w:val="17"/>
          <w:color w:val="auto"/>
        </w:rPr>
      </w:pPr>
    </w:p>
    <w:p>
      <w:pPr>
        <w:ind w:left="620" w:right="160" w:hanging="307"/>
        <w:spacing w:after="0" w:line="279"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make the inventions covered by the issued patent or pending patent application that we license or may own in the future;</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file patent applications covering certain of our or their inventions;</w:t>
      </w:r>
    </w:p>
    <w:p>
      <w:pPr>
        <w:spacing w:after="0" w:line="165" w:lineRule="exact"/>
        <w:rPr>
          <w:rFonts w:ascii="Arial" w:cs="Arial" w:eastAsia="Arial" w:hAnsi="Arial"/>
          <w:sz w:val="17"/>
          <w:szCs w:val="17"/>
          <w:color w:val="auto"/>
        </w:rPr>
      </w:pPr>
    </w:p>
    <w:p>
      <w:pPr>
        <w:ind w:left="620" w:right="580" w:hanging="307"/>
        <w:spacing w:after="0" w:line="279"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misappropriating or otherwise violating our owned or licensed intellectual property rights;</w:t>
      </w:r>
    </w:p>
    <w:p>
      <w:pPr>
        <w:spacing w:after="0" w:line="112" w:lineRule="exact"/>
        <w:rPr>
          <w:rFonts w:ascii="Arial" w:cs="Arial" w:eastAsia="Arial" w:hAnsi="Arial"/>
          <w:sz w:val="17"/>
          <w:szCs w:val="17"/>
          <w:color w:val="auto"/>
        </w:rPr>
      </w:pPr>
    </w:p>
    <w:p>
      <w:pPr>
        <w:ind w:left="620" w:right="20" w:hanging="307"/>
        <w:spacing w:after="0" w:line="279"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and our licensed pending patent applications, or those that we may own or license in the future, will not lead to issued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6" w:name="page67"/>
    <w:bookmarkEnd w:id="66"/>
    <w:p>
      <w:pPr>
        <w:spacing w:after="0" w:line="80" w:lineRule="exact"/>
        <w:rPr>
          <w:sz w:val="20"/>
          <w:szCs w:val="20"/>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6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and our licensor(s), may not develop additional proprietary technologies that are patentable;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patents of others may harm our business; and</w:t>
      </w:r>
    </w:p>
    <w:p>
      <w:pPr>
        <w:spacing w:after="0" w:line="165" w:lineRule="exact"/>
        <w:rPr>
          <w:rFonts w:ascii="Arial" w:cs="Arial" w:eastAsia="Arial" w:hAnsi="Arial"/>
          <w:sz w:val="17"/>
          <w:szCs w:val="17"/>
          <w:color w:val="auto"/>
        </w:rPr>
      </w:pPr>
    </w:p>
    <w:p>
      <w:pPr>
        <w:ind w:left="620" w:right="34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choose not to file a patent for certain trade secrets or know-how, and a third party may subsequently file a patent covering such intellectual property.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Should any of these events occur, they could materially adversely affect our business, financial condition, results of operations and prospects.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Class A common stock may not be sustained.</w:t>
      </w:r>
    </w:p>
    <w:p>
      <w:pPr>
        <w:spacing w:after="0" w:line="165" w:lineRule="exact"/>
        <w:rPr>
          <w:sz w:val="20"/>
          <w:szCs w:val="20"/>
          <w:color w:val="auto"/>
        </w:rPr>
      </w:pPr>
    </w:p>
    <w:p>
      <w:pPr>
        <w:jc w:val="both"/>
        <w:ind w:right="180"/>
        <w:spacing w:after="0" w:line="283" w:lineRule="auto"/>
        <w:rPr>
          <w:sz w:val="20"/>
          <w:szCs w:val="20"/>
          <w:color w:val="auto"/>
        </w:rPr>
      </w:pPr>
      <w:r>
        <w:rPr>
          <w:rFonts w:ascii="Arial" w:cs="Arial" w:eastAsia="Arial" w:hAnsi="Arial"/>
          <w:sz w:val="16"/>
          <w:szCs w:val="16"/>
          <w:color w:val="auto"/>
        </w:rPr>
        <w:t>Although our Class A common stock is traded on the Nasdaq Global Select Market under the symbol “SEER,” there is a limited trading history and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Class A common stock has been and may continue to be volatile.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Some of the factors that may cause the market price of our Class A common stock to fluctuate include, but are not limited to:</w:t>
      </w:r>
    </w:p>
    <w:p>
      <w:pPr>
        <w:spacing w:after="0" w:line="165" w:lineRule="exact"/>
        <w:rPr>
          <w:sz w:val="20"/>
          <w:szCs w:val="20"/>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degree to which our launch and commercialization of our products meets the expectations of securities analysts and investors;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fluctuations in our operating results, including fluctuations in our quarterly and annual results;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revenue being less than anticipated or operating expenses being more than anticipated;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failure or discontinuation of any of our product development and research programs;</w:t>
      </w:r>
    </w:p>
    <w:p>
      <w:pPr>
        <w:spacing w:after="0" w:line="16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the structure or funding of research at academic and research laboratories and institutions, including changes that would affect their ability to purchase our instruments or consumables;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success of existing or new competitive businesses or technologies;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about new research programs or products of our competitors;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litigation and governmental investigations involving us, our industry or both;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67" w:name="page68"/>
    <w:bookmarkEnd w:id="67"/>
    <w:p>
      <w:pPr>
        <w:spacing w:after="0" w:line="80" w:lineRule="exact"/>
        <w:rPr>
          <w:sz w:val="20"/>
          <w:szCs w:val="20"/>
          <w:color w:val="auto"/>
        </w:rPr>
      </w:pPr>
    </w:p>
    <w:p>
      <w:pPr>
        <w:ind w:left="620" w:right="20" w:hanging="307"/>
        <w:spacing w:after="0" w:line="27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volatility and variations in market conditions in the life sciences technology sector generally, or the proteomics or genomics sectors specifically, including volatility in the stock prices of publicly held companies in our industry;</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investor perceptions of us or our industry;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level of expenses related to any of our research and development programs or products;</w:t>
      </w:r>
    </w:p>
    <w:p>
      <w:pPr>
        <w:spacing w:after="0" w:line="165" w:lineRule="exact"/>
        <w:rPr>
          <w:rFonts w:ascii="Arial" w:cs="Arial" w:eastAsia="Arial" w:hAnsi="Arial"/>
          <w:sz w:val="17"/>
          <w:szCs w:val="17"/>
          <w:color w:val="auto"/>
        </w:rPr>
      </w:pPr>
    </w:p>
    <w:p>
      <w:pPr>
        <w:ind w:left="620" w:right="20" w:hanging="307"/>
        <w:spacing w:after="0" w:line="266"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3"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whether our financial results meet the expectations of securities analysts or investors;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announcement or expectation of additional financing efforts;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sales of our Class A common stock by us or sales of our Class A common stock or Class B common stock by our insiders or other stockholders;</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COVID-19 pandemic, natural disasters or major catastrophic events.</w:t>
      </w:r>
    </w:p>
    <w:p>
      <w:pPr>
        <w:spacing w:after="0" w:line="165"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0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13"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Our Class A common stock, which is our publicly-traded class of stock, has one vote per share, and our Class B common stock has ten votes per share, except as otherwise required by law. Our Class B common stock is held by our founders and early investors. As of November 4, 2022, the holders of our Class B common stock hold in the aggregate 40.8% of the voting power of our capital stock.</w:t>
      </w:r>
    </w:p>
    <w:p>
      <w:pPr>
        <w:spacing w:after="0" w:line="12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8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3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131"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b w:val="1"/>
          <w:bCs w:val="1"/>
          <w:i w:val="1"/>
          <w:iCs w:val="1"/>
          <w:color w:val="auto"/>
        </w:rPr>
        <w:t>Sales of a substantial number of shares of our Class A common stock by our existing stockholders could cause the price of our Class A common stock to decline.</w:t>
      </w:r>
    </w:p>
    <w:p>
      <w:pPr>
        <w:spacing w:after="0" w:line="11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following the expiration of the market standoff and lock-up agreements or the early release of these agreements or the perception in the market that the holders of a large number of shares of Class A common stock intend to sell shares and could reduce the market price of our Class A common stock.</w:t>
      </w:r>
    </w:p>
    <w:p>
      <w:pPr>
        <w:spacing w:after="0" w:line="124"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have not paid dividends in the past and do not expect to pay dividends in the future, and, as a result, any return on investment may be limited to the value of our stock.</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32" w:lineRule="exact"/>
        <w:rPr>
          <w:sz w:val="20"/>
          <w:szCs w:val="20"/>
          <w:color w:val="auto"/>
        </w:rPr>
      </w:pPr>
    </w:p>
    <w:p>
      <w:pPr>
        <w:jc w:val="both"/>
        <w:ind w:right="120"/>
        <w:spacing w:after="0" w:line="262"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17" w:lineRule="exact"/>
        <w:rPr>
          <w:sz w:val="20"/>
          <w:szCs w:val="20"/>
          <w:color w:val="auto"/>
        </w:rPr>
      </w:pPr>
    </w:p>
    <w:p>
      <w:pPr>
        <w:ind w:right="160"/>
        <w:spacing w:after="0" w:line="307" w:lineRule="auto"/>
        <w:rPr>
          <w:sz w:val="20"/>
          <w:szCs w:val="20"/>
          <w:color w:val="auto"/>
        </w:rPr>
      </w:pPr>
      <w:r>
        <w:rPr>
          <w:rFonts w:ascii="Arial" w:cs="Arial" w:eastAsia="Arial" w:hAnsi="Arial"/>
          <w:sz w:val="15"/>
          <w:szCs w:val="15"/>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97"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09" w:lineRule="exact"/>
        <w:rPr>
          <w:sz w:val="20"/>
          <w:szCs w:val="20"/>
          <w:color w:val="auto"/>
        </w:rPr>
      </w:pPr>
    </w:p>
    <w:p>
      <w:pPr>
        <w:ind w:right="120"/>
        <w:spacing w:after="0" w:line="349"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6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12" w:lineRule="exact"/>
        <w:rPr>
          <w:sz w:val="20"/>
          <w:szCs w:val="20"/>
          <w:color w:val="auto"/>
        </w:rPr>
      </w:pPr>
    </w:p>
    <w:p>
      <w:pPr>
        <w:ind w:left="620" w:right="34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112" w:lineRule="exact"/>
        <w:rPr>
          <w:rFonts w:ascii="Arial" w:cs="Arial" w:eastAsia="Arial" w:hAnsi="Arial"/>
          <w:sz w:val="17"/>
          <w:szCs w:val="17"/>
          <w:color w:val="auto"/>
        </w:rPr>
      </w:pPr>
    </w:p>
    <w:p>
      <w:pPr>
        <w:ind w:left="620" w:right="160" w:hanging="307"/>
        <w:spacing w:after="0" w:line="266"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3" w:lineRule="exact"/>
        <w:rPr>
          <w:rFonts w:ascii="Arial" w:cs="Arial" w:eastAsia="Arial" w:hAnsi="Arial"/>
          <w:sz w:val="17"/>
          <w:szCs w:val="17"/>
          <w:color w:val="auto"/>
        </w:rPr>
      </w:pPr>
    </w:p>
    <w:p>
      <w:pPr>
        <w:ind w:left="620" w:right="20" w:hanging="307"/>
        <w:spacing w:after="0" w:line="312" w:lineRule="auto"/>
        <w:tabs>
          <w:tab w:leader="none" w:pos="616"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board of directors is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88" w:lineRule="exact"/>
        <w:rPr>
          <w:rFonts w:ascii="Arial" w:cs="Arial" w:eastAsia="Arial" w:hAnsi="Arial"/>
          <w:sz w:val="16"/>
          <w:szCs w:val="16"/>
          <w:color w:val="auto"/>
        </w:rPr>
      </w:pPr>
    </w:p>
    <w:p>
      <w:pPr>
        <w:ind w:left="620" w:right="12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certain amendments to our amended and restated certificate of incorporation require the approval of stockholders holding two-thirds of the voting power of our then outstanding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80" w:lineRule="exact"/>
        <w:rPr>
          <w:sz w:val="20"/>
          <w:szCs w:val="20"/>
          <w:color w:val="auto"/>
        </w:rPr>
      </w:pPr>
    </w:p>
    <w:p>
      <w:pPr>
        <w:ind w:left="620" w:right="80" w:hanging="307"/>
        <w:spacing w:after="0" w:line="27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stockholder-proposed amendment to our amended and restated bylaws require the approval of stockholders holding two-thirds of the voting power of our then outstanding capital stock;</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stockholders may only be able to take action at a meeting of stockholders and may not be able to take action by written consent for any matter;</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stockholders are be able to act by written consent only if the action is first recommended or approved by the board of directors;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vacancies on our board of directors may be filled only by our board of directors and not by stockholders;</w:t>
      </w:r>
    </w:p>
    <w:p>
      <w:pPr>
        <w:spacing w:after="0" w:line="165" w:lineRule="exact"/>
        <w:rPr>
          <w:rFonts w:ascii="Arial" w:cs="Arial" w:eastAsia="Arial" w:hAnsi="Arial"/>
          <w:sz w:val="17"/>
          <w:szCs w:val="17"/>
          <w:color w:val="auto"/>
        </w:rPr>
      </w:pPr>
    </w:p>
    <w:p>
      <w:pPr>
        <w:ind w:left="620" w:right="800" w:hanging="307"/>
        <w:spacing w:after="0" w:line="27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only the chair of the board of directors, chief executive officer or a majority of the board of directors are authorized to call a special meeting of stockholders;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certain litigation against us can only be brought in Delaware;</w:t>
      </w:r>
    </w:p>
    <w:p>
      <w:pPr>
        <w:spacing w:after="0" w:line="165" w:lineRule="exact"/>
        <w:rPr>
          <w:rFonts w:ascii="Arial" w:cs="Arial" w:eastAsia="Arial" w:hAnsi="Arial"/>
          <w:sz w:val="17"/>
          <w:szCs w:val="17"/>
          <w:color w:val="auto"/>
        </w:rPr>
      </w:pPr>
    </w:p>
    <w:p>
      <w:pPr>
        <w:ind w:left="620" w:right="480" w:hanging="307"/>
        <w:spacing w:after="0" w:line="27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our capital stock; and</w:t>
      </w:r>
    </w:p>
    <w:p>
      <w:pPr>
        <w:spacing w:after="0" w:line="112" w:lineRule="exact"/>
        <w:rPr>
          <w:rFonts w:ascii="Arial" w:cs="Arial" w:eastAsia="Arial" w:hAnsi="Arial"/>
          <w:sz w:val="17"/>
          <w:szCs w:val="17"/>
          <w:color w:val="auto"/>
        </w:rPr>
      </w:pPr>
    </w:p>
    <w:p>
      <w:pPr>
        <w:ind w:left="620" w:right="640" w:hanging="307"/>
        <w:spacing w:after="0" w:line="27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11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As of December 31, 2021 we had U.S. federal and state net operating loss carryforwards (NOLs) of $94.0 million and $84.5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continue to incur significant increased costs and management resources as a result of operating as a public company.</w:t>
      </w:r>
    </w:p>
    <w:p>
      <w:pPr>
        <w:spacing w:after="0" w:line="16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As a public company, we continue to incur significant legal, accounting, compliance and other expenses that we did not incur as a private company. Our management and other personnel need to devote a substantial amount of time and incur significant expense in connection with compliance initiatives. As a public company, we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bear all of the internal and external costs of preparing and distributing periodic public reports in compliance with our obligations under the securities laws.</w:t>
      </w:r>
    </w:p>
    <w:p>
      <w:pPr>
        <w:spacing w:after="0" w:line="17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SOX, and the related rules and regulations implemented by the SEC and the Nasdaq Stock Market, LLC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Environmental, social, and governance (ESG) matters are subject to increasing scrutiny and evolving expectations from customers, regulators, investors and other stakeholders and may expose us to reputational, cost and other risks.</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spacing w:after="0" w:line="113"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Our Redwood City, California, facilities house our corporate, research and development, NP manufacturing and quality assurance teams. Our instruments are manufactured at our third-party manufacturer’s facilities in Nevada, and our consumables are manufactured at various locations in the United States and internationally.</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Our facilities in Redwood City and those of our third-party manufacturers are vulnerable to natural disasters, public health crises, including the impact of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could result in the loss of some or all of such NPs, and we may not be able to replace them without disruption to our customers or at all.</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17"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b w:val="1"/>
          <w:bCs w:val="1"/>
          <w:i w:val="1"/>
          <w:iCs w:val="1"/>
          <w:color w:val="auto"/>
        </w:rPr>
        <w:t>If we, or our vendors, partners or customers, experience a significant disruption in our information technology systems or breaches of data security, our business could be adversely affected.</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spacing w:after="0" w:line="10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If our security measures, or those of our vendors, partners and customers,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spacing w:after="0" w:line="118"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Moreover, due to the inherent features and technical limitations of information technology systems and infrastructure, our products and services may be impacted by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breach could compromise our customers’ networks and the information stored there could be accessed, publicly disclosed, lost, or stolen.</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The CPRA will restrict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takes effect on January 1, 2023, on June 8, 2021, Colorado enacted the Colorado Privacy Act, or CPA, which takes effect on July 1, 2023, and on March 24, 2022, Utah enacted the Utah Consumer Privacy Act, or UCPA, which takes effect on December 31, 2023. The CPA, CDPA and UCPA share similarities with and difference from the CCPA,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318"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10"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could also impair our efforts to maintain and expand our future customer base, and thereby decrease our revenue.</w:t>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5"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2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28"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None during the three months ended September 30, 2022.</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Exhibit Number</w:t>
            </w:r>
          </w:p>
        </w:tc>
        <w:tc>
          <w:tcPr>
            <w:tcW w:w="20" w:type="dxa"/>
            <w:vAlign w:val="bottom"/>
          </w:tcPr>
          <w:p>
            <w:pPr>
              <w:spacing w:after="0"/>
              <w:rPr>
                <w:sz w:val="15"/>
                <w:szCs w:val="15"/>
                <w:color w:val="auto"/>
              </w:rPr>
            </w:pPr>
          </w:p>
        </w:tc>
        <w:tc>
          <w:tcPr>
            <w:tcW w:w="4000" w:type="dxa"/>
            <w:vAlign w:val="bottom"/>
            <w:gridSpan w:val="16"/>
          </w:tcPr>
          <w:p>
            <w:pPr>
              <w:ind w:left="1660"/>
              <w:spacing w:after="0"/>
              <w:rPr>
                <w:sz w:val="20"/>
                <w:szCs w:val="20"/>
                <w:color w:val="auto"/>
              </w:rPr>
            </w:pPr>
            <w:r>
              <w:rPr>
                <w:rFonts w:ascii="Arial" w:cs="Arial" w:eastAsia="Arial" w:hAnsi="Arial"/>
                <w:sz w:val="14"/>
                <w:szCs w:val="14"/>
                <w:b w:val="1"/>
                <w:bCs w:val="1"/>
                <w:color w:val="auto"/>
              </w:rPr>
              <w:t>Description</w:t>
            </w:r>
          </w:p>
        </w:tc>
      </w:tr>
      <w:tr>
        <w:trPr>
          <w:trHeight w:val="37"/>
        </w:trPr>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73"/>
        </w:trPr>
        <w:tc>
          <w:tcPr>
            <w:tcW w:w="1120" w:type="dxa"/>
            <w:vAlign w:val="bottom"/>
          </w:tcPr>
          <w:p>
            <w:pPr>
              <w:jc w:val="center"/>
              <w:spacing w:after="0" w:line="174" w:lineRule="exact"/>
              <w:rPr>
                <w:sz w:val="20"/>
                <w:szCs w:val="20"/>
                <w:color w:val="auto"/>
              </w:rPr>
            </w:pPr>
            <w:r>
              <w:rPr>
                <w:rFonts w:ascii="Arial" w:cs="Arial" w:eastAsia="Arial" w:hAnsi="Arial"/>
                <w:sz w:val="16"/>
                <w:szCs w:val="16"/>
                <w:color w:val="auto"/>
                <w:w w:val="93"/>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tcBorders>
              <w:bottom w:val="single" w:sz="8" w:color="0000FF"/>
            </w:tcBorders>
            <w:gridSpan w:val="9"/>
          </w:tcPr>
          <w:p>
            <w:pPr>
              <w:spacing w:after="0" w:line="174" w:lineRule="exact"/>
              <w:rPr>
                <w:rFonts w:ascii="Arial" w:cs="Arial" w:eastAsia="Arial" w:hAnsi="Arial"/>
                <w:sz w:val="16"/>
                <w:szCs w:val="16"/>
                <w:color w:val="0000FF"/>
                <w:w w:val="90"/>
              </w:rPr>
            </w:pPr>
            <w:hyperlink r:id="rId90">
              <w:r>
                <w:rPr>
                  <w:rFonts w:ascii="Arial" w:cs="Arial" w:eastAsia="Arial" w:hAnsi="Arial"/>
                  <w:sz w:val="16"/>
                  <w:szCs w:val="16"/>
                  <w:color w:val="0000FF"/>
                  <w:w w:val="90"/>
                </w:rPr>
                <w:t>Consultant Agreement between the Company and Omead</w:t>
              </w:r>
            </w:hyperlink>
          </w:p>
        </w:tc>
        <w:tc>
          <w:tcPr>
            <w:tcW w:w="240" w:type="dxa"/>
            <w:vAlign w:val="bottom"/>
            <w:gridSpan w:val="7"/>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Borders>
              <w:bottom w:val="single" w:sz="8" w:color="0000FF"/>
            </w:tcBorders>
            <w:gridSpan w:val="2"/>
          </w:tcPr>
          <w:p>
            <w:pPr>
              <w:spacing w:after="0" w:line="174" w:lineRule="exact"/>
              <w:rPr>
                <w:rFonts w:ascii="Arial" w:cs="Arial" w:eastAsia="Arial" w:hAnsi="Arial"/>
                <w:sz w:val="16"/>
                <w:szCs w:val="16"/>
                <w:color w:val="0000FF"/>
                <w:w w:val="90"/>
              </w:rPr>
            </w:pPr>
            <w:hyperlink r:id="rId90">
              <w:r>
                <w:rPr>
                  <w:rFonts w:ascii="Arial" w:cs="Arial" w:eastAsia="Arial" w:hAnsi="Arial"/>
                  <w:sz w:val="16"/>
                  <w:szCs w:val="16"/>
                  <w:color w:val="0000FF"/>
                  <w:w w:val="90"/>
                </w:rPr>
                <w:t>Ostadan dated August 25, 2022.</w:t>
              </w:r>
            </w:hyperlink>
          </w:p>
        </w:tc>
        <w:tc>
          <w:tcPr>
            <w:tcW w:w="1900" w:type="dxa"/>
            <w:vAlign w:val="bottom"/>
            <w:gridSpan w:val="14"/>
          </w:tcPr>
          <w:p>
            <w:pPr>
              <w:spacing w:after="0"/>
              <w:rPr>
                <w:sz w:val="15"/>
                <w:szCs w:val="15"/>
                <w:color w:val="auto"/>
              </w:rPr>
            </w:pPr>
          </w:p>
        </w:tc>
      </w:tr>
      <w:tr>
        <w:trPr>
          <w:trHeight w:val="431"/>
        </w:trPr>
        <w:tc>
          <w:tcPr>
            <w:tcW w:w="1120" w:type="dxa"/>
            <w:vAlign w:val="bottom"/>
          </w:tcPr>
          <w:p>
            <w:pPr>
              <w:jc w:val="center"/>
              <w:spacing w:after="0"/>
              <w:rPr>
                <w:sz w:val="20"/>
                <w:szCs w:val="20"/>
                <w:color w:val="auto"/>
              </w:rPr>
            </w:pPr>
            <w:r>
              <w:rPr>
                <w:rFonts w:ascii="Arial" w:cs="Arial" w:eastAsia="Arial" w:hAnsi="Arial"/>
                <w:sz w:val="16"/>
                <w:szCs w:val="16"/>
                <w:color w:val="auto"/>
                <w:w w:val="89"/>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4"/>
              </w:rPr>
              <w:t>Certification of Principal Executive Officer Pursuant to</w:t>
            </w:r>
          </w:p>
        </w:tc>
        <w:tc>
          <w:tcPr>
            <w:tcW w:w="380" w:type="dxa"/>
            <w:vAlign w:val="bottom"/>
            <w:gridSpan w:val="8"/>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bottom w:val="single" w:sz="8" w:color="0000FF"/>
            </w:tcBorders>
            <w:gridSpan w:val="7"/>
          </w:tcPr>
          <w:p>
            <w:pPr>
              <w:spacing w:after="0" w:line="174" w:lineRule="exact"/>
              <w:rPr>
                <w:sz w:val="20"/>
                <w:szCs w:val="20"/>
                <w:color w:val="auto"/>
              </w:rPr>
            </w:pPr>
            <w:r>
              <w:rPr>
                <w:rFonts w:ascii="Arial" w:cs="Arial" w:eastAsia="Arial" w:hAnsi="Arial"/>
                <w:sz w:val="16"/>
                <w:szCs w:val="16"/>
                <w:color w:val="0000FF"/>
                <w:w w:val="91"/>
              </w:rPr>
              <w:t>Rules 13a-14(a) and 15d-14(a) under the Securities</w:t>
            </w:r>
          </w:p>
        </w:tc>
        <w:tc>
          <w:tcPr>
            <w:tcW w:w="640" w:type="dxa"/>
            <w:vAlign w:val="bottom"/>
            <w:gridSpan w:val="9"/>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bottom w:val="single" w:sz="8" w:color="0000FF"/>
            </w:tcBorders>
            <w:gridSpan w:val="12"/>
          </w:tcPr>
          <w:p>
            <w:pPr>
              <w:spacing w:after="0" w:line="174" w:lineRule="exact"/>
              <w:rPr>
                <w:sz w:val="20"/>
                <w:szCs w:val="20"/>
                <w:color w:val="auto"/>
              </w:rPr>
            </w:pPr>
            <w:r>
              <w:rPr>
                <w:rFonts w:ascii="Arial" w:cs="Arial" w:eastAsia="Arial" w:hAnsi="Arial"/>
                <w:sz w:val="16"/>
                <w:szCs w:val="16"/>
                <w:color w:val="0000FF"/>
                <w:w w:val="91"/>
              </w:rPr>
              <w:t>Exchange Act of 1934, as Adopted Pursuant to Section 302</w:t>
            </w:r>
          </w:p>
        </w:tc>
        <w:tc>
          <w:tcPr>
            <w:tcW w:w="120" w:type="dxa"/>
            <w:vAlign w:val="bottom"/>
            <w:gridSpan w:val="4"/>
          </w:tcPr>
          <w:p>
            <w:pPr>
              <w:spacing w:after="0"/>
              <w:rPr>
                <w:sz w:val="15"/>
                <w:szCs w:val="15"/>
                <w:color w:val="auto"/>
              </w:rPr>
            </w:pPr>
          </w:p>
        </w:tc>
      </w:tr>
      <w:tr>
        <w:trPr>
          <w:trHeight w:val="186"/>
        </w:trPr>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2"/>
              </w:rPr>
              <w:t>of the Sarbanes-Oxley Act of 2002.</w:t>
            </w:r>
          </w:p>
        </w:tc>
        <w:tc>
          <w:tcPr>
            <w:tcW w:w="1680" w:type="dxa"/>
            <w:vAlign w:val="bottom"/>
            <w:gridSpan w:val="11"/>
          </w:tcPr>
          <w:p>
            <w:pPr>
              <w:spacing w:after="0"/>
              <w:rPr>
                <w:sz w:val="16"/>
                <w:szCs w:val="16"/>
                <w:color w:val="auto"/>
              </w:rPr>
            </w:pPr>
          </w:p>
        </w:tc>
      </w:tr>
      <w:tr>
        <w:trPr>
          <w:trHeight w:val="431"/>
        </w:trPr>
        <w:tc>
          <w:tcPr>
            <w:tcW w:w="112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4"/>
              </w:rPr>
              <w:t>Certification of Principal Financial Officer Pursuant to Rules</w:t>
            </w:r>
          </w:p>
        </w:tc>
        <w:tc>
          <w:tcPr>
            <w:tcW w:w="20" w:type="dxa"/>
            <w:vAlign w:val="bottom"/>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bottom w:val="single" w:sz="8" w:color="0000FF"/>
            </w:tcBorders>
            <w:gridSpan w:val="13"/>
          </w:tcPr>
          <w:p>
            <w:pPr>
              <w:spacing w:after="0" w:line="174" w:lineRule="exact"/>
              <w:rPr>
                <w:sz w:val="20"/>
                <w:szCs w:val="20"/>
                <w:color w:val="auto"/>
              </w:rPr>
            </w:pPr>
            <w:r>
              <w:rPr>
                <w:rFonts w:ascii="Arial" w:cs="Arial" w:eastAsia="Arial" w:hAnsi="Arial"/>
                <w:sz w:val="16"/>
                <w:szCs w:val="16"/>
                <w:color w:val="0000FF"/>
                <w:w w:val="91"/>
              </w:rPr>
              <w:t>13a-14(a) and 15d-14(a) under the Securities Exchange Act</w:t>
            </w:r>
          </w:p>
        </w:tc>
        <w:tc>
          <w:tcPr>
            <w:tcW w:w="100" w:type="dxa"/>
            <w:vAlign w:val="bottom"/>
            <w:gridSpan w:val="3"/>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bottom w:val="single" w:sz="8" w:color="0000FF"/>
            </w:tcBorders>
            <w:gridSpan w:val="6"/>
          </w:tcPr>
          <w:p>
            <w:pPr>
              <w:spacing w:after="0" w:line="174" w:lineRule="exact"/>
              <w:rPr>
                <w:sz w:val="20"/>
                <w:szCs w:val="20"/>
                <w:color w:val="auto"/>
              </w:rPr>
            </w:pPr>
            <w:r>
              <w:rPr>
                <w:rFonts w:ascii="Arial" w:cs="Arial" w:eastAsia="Arial" w:hAnsi="Arial"/>
                <w:sz w:val="16"/>
                <w:szCs w:val="16"/>
                <w:color w:val="0000FF"/>
                <w:w w:val="91"/>
              </w:rPr>
              <w:t>of 1934, as Adopted Pursuant to Section 302 of the</w:t>
            </w:r>
          </w:p>
        </w:tc>
        <w:tc>
          <w:tcPr>
            <w:tcW w:w="660" w:type="dxa"/>
            <w:vAlign w:val="bottom"/>
            <w:gridSpan w:val="10"/>
          </w:tcPr>
          <w:p>
            <w:pPr>
              <w:spacing w:after="0"/>
              <w:rPr>
                <w:sz w:val="15"/>
                <w:szCs w:val="15"/>
                <w:color w:val="auto"/>
              </w:rPr>
            </w:pPr>
          </w:p>
        </w:tc>
      </w:tr>
      <w:tr>
        <w:trPr>
          <w:trHeight w:val="186"/>
        </w:trPr>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0" w:type="dxa"/>
            <w:vAlign w:val="bottom"/>
            <w:gridSpan w:val="16"/>
          </w:tcPr>
          <w:p>
            <w:pPr>
              <w:spacing w:after="0"/>
              <w:rPr>
                <w:sz w:val="20"/>
                <w:szCs w:val="20"/>
                <w:color w:val="auto"/>
              </w:rPr>
            </w:pPr>
            <w:r>
              <w:rPr>
                <w:rFonts w:ascii="Arial" w:cs="Arial" w:eastAsia="Arial" w:hAnsi="Arial"/>
                <w:sz w:val="16"/>
                <w:szCs w:val="16"/>
                <w:color w:val="0000FF"/>
              </w:rPr>
              <w:t>Sarbanes-Oxley Act of 2002.</w:t>
            </w: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31"/>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32.1†</w:t>
            </w:r>
          </w:p>
        </w:tc>
        <w:tc>
          <w:tcPr>
            <w:tcW w:w="20" w:type="dxa"/>
            <w:vAlign w:val="bottom"/>
          </w:tcPr>
          <w:p>
            <w:pPr>
              <w:spacing w:after="0"/>
              <w:rPr>
                <w:sz w:val="24"/>
                <w:szCs w:val="24"/>
                <w:color w:val="auto"/>
              </w:rPr>
            </w:pPr>
          </w:p>
        </w:tc>
        <w:tc>
          <w:tcPr>
            <w:tcW w:w="382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4"/>
              </w:rPr>
              <w:t>Certification of Principal Executive Officer Pursuant to 18</w:t>
            </w:r>
          </w:p>
        </w:tc>
        <w:tc>
          <w:tcPr>
            <w:tcW w:w="180" w:type="dxa"/>
            <w:vAlign w:val="bottom"/>
            <w:gridSpan w:val="5"/>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gridSpan w:val="16"/>
          </w:tcPr>
          <w:p>
            <w:pPr>
              <w:spacing w:after="0" w:line="174" w:lineRule="exact"/>
              <w:rPr>
                <w:sz w:val="20"/>
                <w:szCs w:val="20"/>
                <w:color w:val="auto"/>
              </w:rPr>
            </w:pPr>
            <w:r>
              <w:rPr>
                <w:rFonts w:ascii="Arial" w:cs="Arial" w:eastAsia="Arial" w:hAnsi="Arial"/>
                <w:sz w:val="16"/>
                <w:szCs w:val="16"/>
                <w:color w:val="0000FF"/>
                <w:w w:val="93"/>
              </w:rPr>
              <w:t>U.S.C. Section 1350, as Adopted Pursuant to Section 906 of</w:t>
            </w: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tcBorders>
              <w:top w:val="single" w:sz="8" w:color="0000FF"/>
              <w:bottom w:val="single" w:sz="8" w:color="0000FF"/>
            </w:tcBorders>
            <w:gridSpan w:val="4"/>
          </w:tcPr>
          <w:p>
            <w:pPr>
              <w:spacing w:after="0" w:line="174" w:lineRule="exact"/>
              <w:rPr>
                <w:sz w:val="20"/>
                <w:szCs w:val="20"/>
                <w:color w:val="auto"/>
              </w:rPr>
            </w:pPr>
            <w:r>
              <w:rPr>
                <w:rFonts w:ascii="Arial" w:cs="Arial" w:eastAsia="Arial" w:hAnsi="Arial"/>
                <w:sz w:val="16"/>
                <w:szCs w:val="16"/>
                <w:color w:val="0000FF"/>
                <w:w w:val="92"/>
              </w:rPr>
              <w:t>the Sarbanes-Oxley Act of 2002.</w:t>
            </w:r>
          </w:p>
        </w:tc>
        <w:tc>
          <w:tcPr>
            <w:tcW w:w="1760" w:type="dxa"/>
            <w:vAlign w:val="bottom"/>
            <w:tcBorders>
              <w:top w:val="single" w:sz="8" w:color="0000FF"/>
            </w:tcBorders>
            <w:gridSpan w:val="10"/>
          </w:tcPr>
          <w:p>
            <w:pPr>
              <w:spacing w:after="0"/>
              <w:rPr>
                <w:sz w:val="15"/>
                <w:szCs w:val="15"/>
                <w:color w:val="auto"/>
              </w:rPr>
            </w:pPr>
          </w:p>
        </w:tc>
        <w:tc>
          <w:tcPr>
            <w:tcW w:w="80" w:type="dxa"/>
            <w:vAlign w:val="bottom"/>
            <w:gridSpan w:val="2"/>
          </w:tcPr>
          <w:p>
            <w:pPr>
              <w:spacing w:after="0"/>
              <w:rPr>
                <w:sz w:val="15"/>
                <w:szCs w:val="15"/>
                <w:color w:val="auto"/>
              </w:rPr>
            </w:pPr>
          </w:p>
        </w:tc>
      </w:tr>
      <w:tr>
        <w:trPr>
          <w:trHeight w:val="444"/>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32.2†</w:t>
            </w:r>
          </w:p>
        </w:tc>
        <w:tc>
          <w:tcPr>
            <w:tcW w:w="20" w:type="dxa"/>
            <w:vAlign w:val="bottom"/>
          </w:tcPr>
          <w:p>
            <w:pPr>
              <w:spacing w:after="0"/>
              <w:rPr>
                <w:sz w:val="24"/>
                <w:szCs w:val="24"/>
                <w:color w:val="auto"/>
              </w:rPr>
            </w:pPr>
          </w:p>
        </w:tc>
        <w:tc>
          <w:tcPr>
            <w:tcW w:w="378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4"/>
              </w:rPr>
              <w:t>Certification of Principal Financial Officer Pursuant to 18</w:t>
            </w:r>
          </w:p>
        </w:tc>
        <w:tc>
          <w:tcPr>
            <w:tcW w:w="220" w:type="dxa"/>
            <w:vAlign w:val="bottom"/>
            <w:gridSpan w:val="6"/>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gridSpan w:val="16"/>
          </w:tcPr>
          <w:p>
            <w:pPr>
              <w:spacing w:after="0" w:line="174" w:lineRule="exact"/>
              <w:rPr>
                <w:sz w:val="20"/>
                <w:szCs w:val="20"/>
                <w:color w:val="auto"/>
              </w:rPr>
            </w:pPr>
            <w:r>
              <w:rPr>
                <w:rFonts w:ascii="Arial" w:cs="Arial" w:eastAsia="Arial" w:hAnsi="Arial"/>
                <w:sz w:val="16"/>
                <w:szCs w:val="16"/>
                <w:color w:val="0000FF"/>
                <w:w w:val="93"/>
              </w:rPr>
              <w:t>U.S.C. Section 1350, as Adopted Pursuant to Section 906 of</w:t>
            </w: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top w:val="single" w:sz="8" w:color="0000FF"/>
            </w:tcBorders>
            <w:gridSpan w:val="14"/>
          </w:tcPr>
          <w:p>
            <w:pPr>
              <w:spacing w:after="0" w:line="174" w:lineRule="exact"/>
              <w:rPr>
                <w:sz w:val="20"/>
                <w:szCs w:val="20"/>
                <w:color w:val="auto"/>
              </w:rPr>
            </w:pPr>
            <w:r>
              <w:rPr>
                <w:rFonts w:ascii="Arial" w:cs="Arial" w:eastAsia="Arial" w:hAnsi="Arial"/>
                <w:sz w:val="16"/>
                <w:szCs w:val="16"/>
                <w:color w:val="0000FF"/>
              </w:rPr>
              <w:t>the Sarbanes-Oxley Act of 2002.</w:t>
            </w:r>
          </w:p>
        </w:tc>
        <w:tc>
          <w:tcPr>
            <w:tcW w:w="80" w:type="dxa"/>
            <w:vAlign w:val="bottom"/>
            <w:gridSpan w:val="2"/>
          </w:tcPr>
          <w:p>
            <w:pPr>
              <w:spacing w:after="0"/>
              <w:rPr>
                <w:sz w:val="15"/>
                <w:szCs w:val="15"/>
                <w:color w:val="auto"/>
              </w:rPr>
            </w:pPr>
          </w:p>
        </w:tc>
      </w:tr>
      <w:tr>
        <w:trPr>
          <w:trHeight w:val="479"/>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101.INS</w:t>
            </w:r>
          </w:p>
        </w:tc>
        <w:tc>
          <w:tcPr>
            <w:tcW w:w="20" w:type="dxa"/>
            <w:vAlign w:val="bottom"/>
          </w:tcPr>
          <w:p>
            <w:pPr>
              <w:spacing w:after="0"/>
              <w:rPr>
                <w:sz w:val="24"/>
                <w:szCs w:val="24"/>
                <w:color w:val="auto"/>
              </w:rPr>
            </w:pPr>
          </w:p>
        </w:tc>
        <w:tc>
          <w:tcPr>
            <w:tcW w:w="214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auto"/>
              </w:rPr>
              <w:t>XBRL Instance Document</w:t>
            </w:r>
          </w:p>
        </w:tc>
        <w:tc>
          <w:tcPr>
            <w:tcW w:w="1860" w:type="dxa"/>
            <w:vAlign w:val="bottom"/>
            <w:gridSpan w:val="13"/>
          </w:tcPr>
          <w:p>
            <w:pPr>
              <w:spacing w:after="0"/>
              <w:rPr>
                <w:sz w:val="24"/>
                <w:szCs w:val="24"/>
                <w:color w:val="auto"/>
              </w:rPr>
            </w:pPr>
          </w:p>
        </w:tc>
      </w:tr>
      <w:tr>
        <w:trPr>
          <w:trHeight w:val="297"/>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101.SCH</w:t>
            </w:r>
          </w:p>
        </w:tc>
        <w:tc>
          <w:tcPr>
            <w:tcW w:w="20" w:type="dxa"/>
            <w:vAlign w:val="bottom"/>
          </w:tcPr>
          <w:p>
            <w:pPr>
              <w:spacing w:after="0"/>
              <w:rPr>
                <w:sz w:val="24"/>
                <w:szCs w:val="24"/>
                <w:color w:val="auto"/>
              </w:rPr>
            </w:pPr>
          </w:p>
        </w:tc>
        <w:tc>
          <w:tcPr>
            <w:tcW w:w="4000" w:type="dxa"/>
            <w:vAlign w:val="bottom"/>
            <w:gridSpan w:val="16"/>
          </w:tcPr>
          <w:p>
            <w:pPr>
              <w:spacing w:after="0"/>
              <w:rPr>
                <w:sz w:val="20"/>
                <w:szCs w:val="20"/>
                <w:color w:val="auto"/>
              </w:rPr>
            </w:pPr>
            <w:r>
              <w:rPr>
                <w:rFonts w:ascii="Arial" w:cs="Arial" w:eastAsia="Arial" w:hAnsi="Arial"/>
                <w:sz w:val="16"/>
                <w:szCs w:val="16"/>
                <w:color w:val="auto"/>
              </w:rPr>
              <w:t>XBRL Taxonomy Extension Schema Document</w:t>
            </w:r>
          </w:p>
        </w:tc>
      </w:tr>
      <w:tr>
        <w:trPr>
          <w:trHeight w:val="282"/>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101.CAL</w:t>
            </w:r>
          </w:p>
        </w:tc>
        <w:tc>
          <w:tcPr>
            <w:tcW w:w="20" w:type="dxa"/>
            <w:vAlign w:val="bottom"/>
          </w:tcPr>
          <w:p>
            <w:pPr>
              <w:spacing w:after="0"/>
              <w:rPr>
                <w:sz w:val="24"/>
                <w:szCs w:val="24"/>
                <w:color w:val="auto"/>
              </w:rPr>
            </w:pPr>
          </w:p>
        </w:tc>
        <w:tc>
          <w:tcPr>
            <w:tcW w:w="4000" w:type="dxa"/>
            <w:vAlign w:val="bottom"/>
            <w:gridSpan w:val="16"/>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07"/>
        </w:trPr>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16"/>
          </w:tcPr>
          <w:p>
            <w:pPr>
              <w:spacing w:after="0"/>
              <w:rPr>
                <w:sz w:val="20"/>
                <w:szCs w:val="20"/>
                <w:color w:val="auto"/>
              </w:rPr>
            </w:pPr>
            <w:r>
              <w:rPr>
                <w:rFonts w:ascii="Arial" w:cs="Arial" w:eastAsia="Arial" w:hAnsi="Arial"/>
                <w:sz w:val="16"/>
                <w:szCs w:val="16"/>
                <w:color w:val="auto"/>
              </w:rPr>
              <w:t>Document</w:t>
            </w:r>
          </w:p>
        </w:tc>
      </w:tr>
      <w:tr>
        <w:trPr>
          <w:trHeight w:val="297"/>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101.DEF</w:t>
            </w:r>
          </w:p>
        </w:tc>
        <w:tc>
          <w:tcPr>
            <w:tcW w:w="20" w:type="dxa"/>
            <w:vAlign w:val="bottom"/>
          </w:tcPr>
          <w:p>
            <w:pPr>
              <w:spacing w:after="0"/>
              <w:rPr>
                <w:sz w:val="24"/>
                <w:szCs w:val="24"/>
                <w:color w:val="auto"/>
              </w:rPr>
            </w:pPr>
          </w:p>
        </w:tc>
        <w:tc>
          <w:tcPr>
            <w:tcW w:w="4000" w:type="dxa"/>
            <w:vAlign w:val="bottom"/>
            <w:gridSpan w:val="16"/>
          </w:tcPr>
          <w:p>
            <w:pPr>
              <w:spacing w:after="0"/>
              <w:rPr>
                <w:sz w:val="20"/>
                <w:szCs w:val="20"/>
                <w:color w:val="auto"/>
              </w:rPr>
            </w:pPr>
            <w:r>
              <w:rPr>
                <w:rFonts w:ascii="Arial" w:cs="Arial" w:eastAsia="Arial" w:hAnsi="Arial"/>
                <w:sz w:val="16"/>
                <w:szCs w:val="16"/>
                <w:color w:val="auto"/>
                <w:w w:val="96"/>
              </w:rPr>
              <w:t>XBRL Taxonomy Extension Definition Linkbase Document</w:t>
            </w:r>
          </w:p>
        </w:tc>
      </w:tr>
      <w:tr>
        <w:trPr>
          <w:trHeight w:val="297"/>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101.LAB</w:t>
            </w:r>
          </w:p>
        </w:tc>
        <w:tc>
          <w:tcPr>
            <w:tcW w:w="20" w:type="dxa"/>
            <w:vAlign w:val="bottom"/>
          </w:tcPr>
          <w:p>
            <w:pPr>
              <w:spacing w:after="0"/>
              <w:rPr>
                <w:sz w:val="24"/>
                <w:szCs w:val="24"/>
                <w:color w:val="auto"/>
              </w:rPr>
            </w:pPr>
          </w:p>
        </w:tc>
        <w:tc>
          <w:tcPr>
            <w:tcW w:w="4000" w:type="dxa"/>
            <w:vAlign w:val="bottom"/>
            <w:gridSpan w:val="16"/>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82"/>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101.PRE</w:t>
            </w:r>
          </w:p>
        </w:tc>
        <w:tc>
          <w:tcPr>
            <w:tcW w:w="20" w:type="dxa"/>
            <w:vAlign w:val="bottom"/>
          </w:tcPr>
          <w:p>
            <w:pPr>
              <w:spacing w:after="0"/>
              <w:rPr>
                <w:sz w:val="24"/>
                <w:szCs w:val="24"/>
                <w:color w:val="auto"/>
              </w:rPr>
            </w:pPr>
          </w:p>
        </w:tc>
        <w:tc>
          <w:tcPr>
            <w:tcW w:w="4000" w:type="dxa"/>
            <w:vAlign w:val="bottom"/>
            <w:gridSpan w:val="16"/>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07"/>
        </w:trPr>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16"/>
          </w:tcPr>
          <w:p>
            <w:pPr>
              <w:spacing w:after="0"/>
              <w:rPr>
                <w:sz w:val="20"/>
                <w:szCs w:val="20"/>
                <w:color w:val="auto"/>
              </w:rPr>
            </w:pPr>
            <w:r>
              <w:rPr>
                <w:rFonts w:ascii="Arial" w:cs="Arial" w:eastAsia="Arial" w:hAnsi="Arial"/>
                <w:sz w:val="16"/>
                <w:szCs w:val="16"/>
                <w:color w:val="auto"/>
              </w:rPr>
              <w:t>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tabs>
          <w:tab w:leader="none" w:pos="1620" w:val="left"/>
          <w:tab w:leader="none" w:pos="3000" w:val="left"/>
          <w:tab w:leader="none" w:pos="422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1"/>
          <w:szCs w:val="11"/>
          <w:b w:val="1"/>
          <w:bCs w:val="1"/>
          <w:color w:val="auto"/>
        </w:rPr>
        <w:t>Filing Date</w:t>
      </w:r>
    </w:p>
    <w:p>
      <w:pPr>
        <w:spacing w:after="0" w:line="243" w:lineRule="exact"/>
        <w:rPr>
          <w:sz w:val="20"/>
          <w:szCs w:val="20"/>
          <w:color w:val="auto"/>
        </w:rPr>
      </w:pPr>
    </w:p>
    <w:p>
      <w:pPr>
        <w:ind w:left="40"/>
        <w:spacing w:after="0"/>
        <w:tabs>
          <w:tab w:leader="none" w:pos="1500" w:val="left"/>
          <w:tab w:leader="none" w:pos="3060" w:val="left"/>
          <w:tab w:leader="none" w:pos="420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001-39747</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5"/>
          <w:szCs w:val="15"/>
          <w:color w:val="auto"/>
        </w:rPr>
        <w:t>8/26/2022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pacing w:after="0" w:line="2656" w:lineRule="exact"/>
        <w:rPr>
          <w:sz w:val="20"/>
          <w:szCs w:val="20"/>
          <w:color w:val="auto"/>
        </w:rPr>
      </w:pPr>
    </w:p>
    <w:p>
      <w:pPr>
        <w:sectPr>
          <w:pgSz w:w="11900" w:h="16838" w:orient="portrait"/>
          <w:cols w:equalWidth="0" w:num="2">
            <w:col w:w="5220" w:space="640"/>
            <w:col w:w="5360"/>
          </w:cols>
          <w:pgMar w:left="320" w:top="1440" w:right="35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__________</w:t>
      </w:r>
    </w:p>
    <w:p>
      <w:pPr>
        <w:spacing w:after="0" w:line="22" w:lineRule="exact"/>
        <w:rPr>
          <w:sz w:val="20"/>
          <w:szCs w:val="20"/>
          <w:color w:val="auto"/>
        </w:rPr>
      </w:pPr>
    </w:p>
    <w:p>
      <w:pPr>
        <w:ind w:left="140" w:hanging="137"/>
        <w:spacing w:after="0"/>
        <w:tabs>
          <w:tab w:leader="none" w:pos="140" w:val="left"/>
        </w:tabs>
        <w:numPr>
          <w:ilvl w:val="0"/>
          <w:numId w:val="38"/>
        </w:numPr>
        <w:rPr>
          <w:rFonts w:ascii="Arial" w:cs="Arial" w:eastAsia="Arial" w:hAnsi="Arial"/>
          <w:sz w:val="17"/>
          <w:szCs w:val="17"/>
          <w:color w:val="auto"/>
        </w:rPr>
      </w:pPr>
      <w:r>
        <w:rPr>
          <w:rFonts w:ascii="Arial" w:cs="Arial" w:eastAsia="Arial" w:hAnsi="Arial"/>
          <w:sz w:val="14"/>
          <w:szCs w:val="14"/>
          <w:color w:val="auto"/>
        </w:rPr>
        <w:t>Indicates management contract or compensatory plan.</w:t>
      </w:r>
    </w:p>
    <w:p>
      <w:pPr>
        <w:spacing w:after="0" w:line="5" w:lineRule="exact"/>
        <w:rPr>
          <w:sz w:val="20"/>
          <w:szCs w:val="20"/>
          <w:color w:val="auto"/>
        </w:rPr>
      </w:pPr>
    </w:p>
    <w:p>
      <w:pPr>
        <w:ind w:left="320" w:hanging="317"/>
        <w:spacing w:after="0"/>
        <w:tabs>
          <w:tab w:leader="none" w:pos="113"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77" w:name="page78"/>
    <w:bookmarkEnd w:id="77"/>
    <w:p>
      <w:pPr>
        <w:spacing w:after="0" w:line="7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SIGNATURES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SEER, INC.</w:t>
      </w:r>
    </w:p>
    <w:p>
      <w:pPr>
        <w:spacing w:after="0" w:line="326" w:lineRule="exact"/>
        <w:rPr>
          <w:sz w:val="20"/>
          <w:szCs w:val="20"/>
          <w:color w:val="auto"/>
        </w:rPr>
      </w:pPr>
    </w:p>
    <w:p>
      <w:pPr>
        <w:ind w:left="20"/>
        <w:spacing w:after="0"/>
        <w:tabs>
          <w:tab w:leader="none" w:pos="5840" w:val="left"/>
          <w:tab w:leader="none" w:pos="6440" w:val="left"/>
        </w:tabs>
        <w:rPr>
          <w:sz w:val="20"/>
          <w:szCs w:val="20"/>
          <w:color w:val="auto"/>
        </w:rPr>
      </w:pPr>
      <w:r>
        <w:rPr>
          <w:rFonts w:ascii="Arial" w:cs="Arial" w:eastAsia="Arial" w:hAnsi="Arial"/>
          <w:sz w:val="17"/>
          <w:szCs w:val="17"/>
          <w:color w:val="auto"/>
        </w:rPr>
        <w:t>Date: November 8,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31115</wp:posOffset>
            </wp:positionV>
            <wp:extent cx="30537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5"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Omid Farokhzad, M.D.</w:t>
      </w:r>
    </w:p>
    <w:p>
      <w:pPr>
        <w:spacing w:after="0" w:line="6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Chief Executive Officer, President and</w:t>
      </w:r>
    </w:p>
    <w:p>
      <w:pPr>
        <w:spacing w:after="0" w:line="2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Chair of the Board of Directors</w:t>
      </w:r>
    </w:p>
    <w:p>
      <w:pPr>
        <w:spacing w:after="0" w:line="5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5840" w:val="left"/>
          <w:tab w:leader="none" w:pos="6440" w:val="left"/>
        </w:tabs>
        <w:rPr>
          <w:sz w:val="20"/>
          <w:szCs w:val="20"/>
          <w:color w:val="auto"/>
        </w:rPr>
      </w:pPr>
      <w:r>
        <w:rPr>
          <w:rFonts w:ascii="Arial" w:cs="Arial" w:eastAsia="Arial" w:hAnsi="Arial"/>
          <w:sz w:val="17"/>
          <w:szCs w:val="17"/>
          <w:color w:val="auto"/>
        </w:rPr>
        <w:t>Date: November 8,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31115</wp:posOffset>
            </wp:positionV>
            <wp:extent cx="30537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5"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David R. Horn</w:t>
      </w:r>
    </w:p>
    <w:p>
      <w:pPr>
        <w:spacing w:after="0" w:line="6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Chief Financial Officer</w:t>
      </w:r>
    </w:p>
    <w:p>
      <w:pPr>
        <w:spacing w:after="0" w:line="6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 and Accounting Officer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700"/>
          </w:cols>
          <w:pgMar w:left="320" w:top="1440" w:right="87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Ex. 31.1</w:t>
      </w:r>
    </w:p>
    <w:p>
      <w:pPr>
        <w:spacing w:after="0" w:line="200" w:lineRule="exact"/>
        <w:rPr>
          <w:sz w:val="20"/>
          <w:szCs w:val="20"/>
          <w:color w:val="auto"/>
        </w:rPr>
      </w:pPr>
    </w:p>
    <w:p>
      <w:pPr>
        <w:spacing w:after="0" w:line="378" w:lineRule="exact"/>
        <w:rPr>
          <w:sz w:val="20"/>
          <w:szCs w:val="20"/>
          <w:color w:val="auto"/>
        </w:rPr>
      </w:pPr>
    </w:p>
    <w:p>
      <w:pPr>
        <w:jc w:val="center"/>
        <w:ind w:left="360" w:right="280"/>
        <w:spacing w:after="0" w:line="287"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ADOPTED PURSUANT TO SECTION 302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 Omid Farokhzad, certify that:</w:t>
      </w:r>
    </w:p>
    <w:p>
      <w:pPr>
        <w:spacing w:after="0" w:line="243" w:lineRule="exact"/>
        <w:rPr>
          <w:sz w:val="20"/>
          <w:szCs w:val="20"/>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Seer, Inc.;</w:t>
      </w:r>
    </w:p>
    <w:p>
      <w:pPr>
        <w:spacing w:after="0" w:line="242" w:lineRule="exact"/>
        <w:rPr>
          <w:rFonts w:ascii="Arial" w:cs="Arial" w:eastAsia="Arial" w:hAnsi="Arial"/>
          <w:sz w:val="17"/>
          <w:szCs w:val="17"/>
          <w:color w:val="auto"/>
        </w:rPr>
      </w:pPr>
    </w:p>
    <w:p>
      <w:pPr>
        <w:ind w:left="620" w:right="100" w:hanging="307"/>
        <w:spacing w:after="0" w:line="349" w:lineRule="auto"/>
        <w:tabs>
          <w:tab w:leader="none" w:pos="6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40" w:hanging="307"/>
        <w:spacing w:after="0" w:line="312" w:lineRule="auto"/>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40" w:hanging="307"/>
        <w:spacing w:after="0" w:line="266"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940" w:right="40" w:hanging="318"/>
        <w:spacing w:after="0" w:line="266" w:lineRule="auto"/>
        <w:tabs>
          <w:tab w:leader="none" w:pos="937"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940" w:right="20" w:hanging="318"/>
        <w:spacing w:after="0" w:line="266" w:lineRule="auto"/>
        <w:tabs>
          <w:tab w:leader="none" w:pos="934"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940" w:right="80" w:hanging="318"/>
        <w:spacing w:after="0" w:line="312" w:lineRule="auto"/>
        <w:tabs>
          <w:tab w:leader="none" w:pos="937"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940" w:right="100" w:hanging="318"/>
        <w:spacing w:after="0" w:line="266" w:lineRule="auto"/>
        <w:tabs>
          <w:tab w:leader="none" w:pos="934"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480" w:hanging="307"/>
        <w:spacing w:after="0" w:line="312" w:lineRule="auto"/>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940" w:hanging="318"/>
        <w:spacing w:after="0" w:line="279" w:lineRule="auto"/>
        <w:tabs>
          <w:tab w:leader="none" w:pos="937"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940" w:right="40" w:hanging="318"/>
        <w:spacing w:after="0" w:line="279" w:lineRule="auto"/>
        <w:tabs>
          <w:tab w:leader="none" w:pos="934"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00"/>
          </w:cols>
          <w:pgMar w:left="320" w:top="585" w:right="37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Ex. 31.1</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pacing w:after="0" w:line="22"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 /s/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-15875</wp:posOffset>
            </wp:positionV>
            <wp:extent cx="14878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87805"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7"/>
          <w:szCs w:val="17"/>
          <w:color w:val="auto"/>
        </w:rPr>
        <w:t>Omid Farokhzad</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Chief Executive Officer, President and Chair of the Board of Directors</w:t>
      </w:r>
    </w:p>
    <w:p>
      <w:pPr>
        <w:spacing w:after="0" w:line="34"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0139"/>
          </w:cols>
          <w:pgMar w:left="320" w:top="585" w:right="1440"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Ex. 31.2</w:t>
      </w:r>
    </w:p>
    <w:p>
      <w:pPr>
        <w:spacing w:after="0" w:line="200" w:lineRule="exact"/>
        <w:rPr>
          <w:sz w:val="20"/>
          <w:szCs w:val="20"/>
          <w:color w:val="auto"/>
        </w:rPr>
      </w:pPr>
    </w:p>
    <w:p>
      <w:pPr>
        <w:spacing w:after="0" w:line="378" w:lineRule="exact"/>
        <w:rPr>
          <w:sz w:val="20"/>
          <w:szCs w:val="20"/>
          <w:color w:val="auto"/>
        </w:rPr>
      </w:pPr>
    </w:p>
    <w:p>
      <w:pPr>
        <w:jc w:val="center"/>
        <w:ind w:left="360" w:right="280"/>
        <w:spacing w:after="0" w:line="287"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ADOPTED PURSUANT TO SECTION 302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 David Horn, certify that:</w:t>
      </w:r>
    </w:p>
    <w:p>
      <w:pPr>
        <w:spacing w:after="0" w:line="243" w:lineRule="exact"/>
        <w:rPr>
          <w:sz w:val="20"/>
          <w:szCs w:val="20"/>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Seer, Inc.;</w:t>
      </w:r>
    </w:p>
    <w:p>
      <w:pPr>
        <w:spacing w:after="0" w:line="242" w:lineRule="exact"/>
        <w:rPr>
          <w:rFonts w:ascii="Arial" w:cs="Arial" w:eastAsia="Arial" w:hAnsi="Arial"/>
          <w:sz w:val="17"/>
          <w:szCs w:val="17"/>
          <w:color w:val="auto"/>
        </w:rPr>
      </w:pPr>
    </w:p>
    <w:p>
      <w:pPr>
        <w:ind w:left="620" w:right="100" w:hanging="307"/>
        <w:spacing w:after="0" w:line="349" w:lineRule="auto"/>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40" w:hanging="307"/>
        <w:spacing w:after="0" w:line="312" w:lineRule="auto"/>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40" w:hanging="307"/>
        <w:spacing w:after="0" w:line="266"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940" w:right="40" w:hanging="318"/>
        <w:spacing w:after="0" w:line="266" w:lineRule="auto"/>
        <w:tabs>
          <w:tab w:leader="none" w:pos="937"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940" w:right="20" w:hanging="318"/>
        <w:spacing w:after="0" w:line="266" w:lineRule="auto"/>
        <w:tabs>
          <w:tab w:leader="none" w:pos="934"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940" w:right="80" w:hanging="318"/>
        <w:spacing w:after="0" w:line="312" w:lineRule="auto"/>
        <w:tabs>
          <w:tab w:leader="none" w:pos="93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940" w:right="100" w:hanging="318"/>
        <w:spacing w:after="0" w:line="266" w:lineRule="auto"/>
        <w:tabs>
          <w:tab w:leader="none" w:pos="934"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480" w:hanging="307"/>
        <w:spacing w:after="0" w:line="276" w:lineRule="auto"/>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40" w:hanging="318"/>
        <w:spacing w:after="0" w:line="266" w:lineRule="auto"/>
        <w:tabs>
          <w:tab w:leader="none" w:pos="937"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940" w:right="40" w:hanging="318"/>
        <w:spacing w:after="0" w:line="279" w:lineRule="auto"/>
        <w:tabs>
          <w:tab w:leader="none" w:pos="934"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00"/>
          </w:cols>
          <w:pgMar w:left="320" w:top="585" w:right="37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Ex. 31.2</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pacing w:after="0" w:line="22"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-15875</wp:posOffset>
            </wp:positionV>
            <wp:extent cx="12700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7"/>
          <w:szCs w:val="17"/>
          <w:color w:val="auto"/>
        </w:rPr>
        <w:t>David Horn</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Chief Financial Officer</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0139"/>
          </w:cols>
          <w:pgMar w:left="320" w:top="585" w:right="1440"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Ex.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CERTIFICATION OF PRINCIPAL EXECUTIVE OFFICER PURSUANT TO 18 U.S.C. SECTION 1350, AS ADOPTED PURSUANT TO SECTION 906 OF THE SARBANES-OXLEY ACT OF 2002</w:t>
      </w:r>
    </w:p>
    <w:p>
      <w:pPr>
        <w:spacing w:after="0" w:line="183"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In connection with the Quarterly Report of Seer, Inc. (the “Company”) on Form 10-Q for the period ended September 30, 2022 as filed with the Securities and Exchange Commission on the date hereof (the “Report”), I, Omid Farokhzad, hereby certify, pursuant to 18 U.S.C. § 1350, as adopted pursuant to § 906 of the Sarbanes-Oxley Act of 2002, that:</w:t>
      </w:r>
    </w:p>
    <w:p>
      <w:pPr>
        <w:spacing w:after="0" w:line="201" w:lineRule="exact"/>
        <w:rPr>
          <w:sz w:val="20"/>
          <w:szCs w:val="20"/>
          <w:color w:val="auto"/>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pacing w:after="0" w:line="22"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 /s/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-15875</wp:posOffset>
            </wp:positionV>
            <wp:extent cx="14878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87805"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7"/>
          <w:szCs w:val="17"/>
          <w:color w:val="auto"/>
        </w:rPr>
        <w:t>Omid Farokhzad</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Chief Executive Officer, President and Chair of the Board of Directors</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000"/>
          </w:cols>
          <w:pgMar w:left="320" w:top="353" w:right="57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Ex.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CERTIFICATION OF PRINCIPAL FINANCIAL OFFICER PURSUANT TO 18 U.S.C. SECTION 1350, AS ADOPTED PURSUANT TO SECTION 906 OF THE SARBANES-OXLEY ACT OF 2002</w:t>
      </w:r>
    </w:p>
    <w:p>
      <w:pPr>
        <w:spacing w:after="0" w:line="18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connection with the Quarterly Report of Seer, Inc. (the “Company”) on Form 10-Q for the period ended September 30, 2022 as filed with the Securities and Exchange Commission on the date hereof (the “Report”), I, David Horn, hereby certify, pursuant to 18 U.S.C. § 1350, as adopted pursuant to § 906 of the Sarbanes-Oxley Act of 2002, that:</w:t>
      </w:r>
    </w:p>
    <w:p>
      <w:pPr>
        <w:spacing w:after="0" w:line="201" w:lineRule="exact"/>
        <w:rPr>
          <w:sz w:val="20"/>
          <w:szCs w:val="20"/>
          <w:color w:val="auto"/>
        </w:rPr>
      </w:pPr>
    </w:p>
    <w:p>
      <w:pPr>
        <w:ind w:left="620" w:hanging="307"/>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pacing w:after="0" w:line="22"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-15875</wp:posOffset>
            </wp:positionV>
            <wp:extent cx="12700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7"/>
          <w:szCs w:val="17"/>
          <w:color w:val="auto"/>
        </w:rPr>
        <w:t>David Horn</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Chief Financial Officer</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(Principal Financial Officer and Accounting Officer)</w:t>
      </w:r>
    </w:p>
    <w:sectPr>
      <w:pgSz w:w="11900" w:h="16838" w:orient="portrait"/>
      <w:cols w:equalWidth="0" w:num="1">
        <w:col w:w="10960"/>
      </w:cols>
      <w:pgMar w:left="320" w:top="353"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abstractNum>
  <w:abstractNum w:abstractNumId="3">
    <w:nsid w:val="6763845E"/>
    <w:multiLevelType w:val="hybridMultilevel"/>
    <w:lvl w:ilvl="0">
      <w:lvlJc w:val="left"/>
      <w:lvlText w:val="%1."/>
      <w:numFmt w:val="decimal"/>
      <w:start w:val="3"/>
    </w:lvl>
  </w:abstractNum>
  <w:abstractNum w:abstractNumId="4">
    <w:nsid w:val="75A2A8D4"/>
    <w:multiLevelType w:val="hybridMultilevel"/>
    <w:lvl w:ilvl="0">
      <w:lvlJc w:val="left"/>
      <w:lvlText w:val="%1."/>
      <w:numFmt w:val="decimal"/>
      <w:start w:val="5"/>
    </w:lvl>
  </w:abstractNum>
  <w:abstractNum w:abstractNumId="5">
    <w:nsid w:val="8EDBDAB"/>
    <w:multiLevelType w:val="hybridMultilevel"/>
    <w:lvl w:ilvl="0">
      <w:lvlJc w:val="left"/>
      <w:lvlText w:val="%1."/>
      <w:numFmt w:val="decimal"/>
      <w:start w:val="6"/>
    </w:lvl>
  </w:abstractNum>
  <w:abstractNum w:abstractNumId="6">
    <w:nsid w:val="79838CB2"/>
    <w:multiLevelType w:val="hybridMultilevel"/>
    <w:lvl w:ilvl="0">
      <w:lvlJc w:val="left"/>
      <w:lvlText w:val="%1."/>
      <w:numFmt w:val="decimal"/>
      <w:start w:val="7"/>
    </w:lvl>
  </w:abstractNum>
  <w:abstractNum w:abstractNumId="7">
    <w:nsid w:val="4353D0CD"/>
    <w:multiLevelType w:val="hybridMultilevel"/>
    <w:lvl w:ilvl="0">
      <w:lvlJc w:val="left"/>
      <w:lvlText w:val="%1."/>
      <w:numFmt w:val="decimal"/>
      <w:start w:val="8"/>
    </w:lvl>
  </w:abstractNum>
  <w:abstractNum w:abstractNumId="8">
    <w:nsid w:val="B03E0C6"/>
    <w:multiLevelType w:val="hybridMultilevel"/>
    <w:lvl w:ilvl="0">
      <w:lvlJc w:val="left"/>
      <w:lvlText w:val="%1."/>
      <w:numFmt w:val="decimal"/>
      <w:start w:val="9"/>
    </w:lvl>
  </w:abstractNum>
  <w:abstractNum w:abstractNumId="9">
    <w:nsid w:val="189A769B"/>
    <w:multiLevelType w:val="hybridMultilevel"/>
    <w:lvl w:ilvl="0">
      <w:lvlJc w:val="left"/>
      <w:lvlText w:val="%1."/>
      <w:numFmt w:val="decimal"/>
      <w:start w:val="10"/>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lvl w:ilvl="1">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0" Type="http://schemas.openxmlformats.org/officeDocument/2006/relationships/hyperlink" Target="https://www.sec.gov/Archives/edgar/data/1726445/000162828022023754/consultan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2022-11-08T16:22:14Z</dcterms:created>
  <dcterms:modified xsi:type="dcterms:W3CDTF">2022-11-08T16:22:14Z</dcterms:modified>
</cp:coreProperties>
</file>