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773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77342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98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MCGUIRE TERRANCE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987"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07/07/2025</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20,500</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jc w:val="right"/>
              <w:ind w:right="94"/>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1"/>
              <w:spacing w:after="0"/>
              <w:rPr>
                <w:sz w:val="20"/>
                <w:szCs w:val="20"/>
                <w:color w:val="auto"/>
              </w:rPr>
            </w:pPr>
            <w:r>
              <w:rPr>
                <w:rFonts w:ascii="Times New Roman" w:cs="Times New Roman" w:eastAsia="Times New Roman" w:hAnsi="Times New Roman"/>
                <w:sz w:val="17"/>
                <w:szCs w:val="17"/>
                <w:color w:val="0000FF"/>
                <w:w w:val="97"/>
              </w:rPr>
              <w:t>112,066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7"/>
              </w:rPr>
              <w:t>210,982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78,947</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5"/>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30,500</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2.18</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07/07/2025</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56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30,500</w:t>
            </w: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07/07/2035</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30,500</w:t>
            </w:r>
          </w:p>
        </w:tc>
        <w:tc>
          <w:tcPr>
            <w:tcW w:w="6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July 7, 2026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Strong Bridge, LLC for which the Reporting Person serves as an operating manager.</w:t>
      </w:r>
    </w:p>
    <w:p>
      <w:pPr>
        <w:spacing w:after="0" w:line="43" w:lineRule="exact"/>
        <w:rPr>
          <w:rFonts w:ascii="Times New Roman" w:cs="Times New Roman" w:eastAsia="Times New Roman" w:hAnsi="Times New Roman"/>
          <w:sz w:val="13"/>
          <w:szCs w:val="13"/>
          <w:color w:val="008000"/>
        </w:rPr>
      </w:pPr>
    </w:p>
    <w:p>
      <w:pPr>
        <w:ind w:left="40" w:right="20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held of record by Polaris Founders Capital Fund I, L.P. ("PFCF I"). Polaris Founders Capital Management Co. I, L.L.C. ("PFCM"), is the general partner of PFCF I. The Reporting Person and Jonathan A. Flint ("Flint") are the managing members of PFCM. Each of the Reporting Person and Flint in their respective capacities with respect to PFCM may be deemed to have shared voting and dispositive power with respect to the shares held by PFCF I. Each of PFCM, Flint, and the Reporting Person disclaims beneficial ownership of securities held by PFCF I, and this report shall not be deemed an admission that the Reporting Person, Flint, or PFCM is the beneficial owner of these securities for purposes of Section 16 or for any other purpose, except to the extent of their respective pecuniary interests therein.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July 7, 2026 or (ii) the day prior to the date of the Issuer's next annual meeting of stockholders.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07/09/2025</w:t>
            </w:r>
          </w:p>
        </w:tc>
        <w:tc>
          <w:tcPr>
            <w:tcW w:w="0" w:type="dxa"/>
            <w:vAlign w:val="bottom"/>
          </w:tcPr>
          <w:p>
            <w:pPr>
              <w:spacing w:after="0"/>
              <w:rPr>
                <w:sz w:val="1"/>
                <w:szCs w:val="1"/>
                <w:color w:val="auto"/>
              </w:rPr>
            </w:pPr>
          </w:p>
        </w:tc>
      </w:tr>
      <w:tr>
        <w:trPr>
          <w:trHeight w:val="88"/>
        </w:trPr>
        <w:tc>
          <w:tcPr>
            <w:tcW w:w="18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2025-07-09T15:17:23Z</dcterms:created>
  <dcterms:modified xsi:type="dcterms:W3CDTF">2025-07-09T15:17:23Z</dcterms:modified>
</cp:coreProperties>
</file>