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80"/>
        <w:jc w:val="left"/>
        <w:rPr/>
      </w:pPr>
      <w:bookmarkStart w:id="0" w:name="ck0001726445-20240630.htm"/>
      <w:bookmarkStart w:id="1" w:name="ksck000172644520240630"/>
      <w:bookmarkEnd w:id="0"/>
      <w:bookmarkEnd w:id="1"/>
      <w:r>
        <w:rPr/>
        <w:t> </w:t>
      </w:r>
    </w:p>
    <w:p>
      <w:pPr>
        <w:pStyle w:val="TextBody"/>
        <w:bidi w:val="0"/>
        <w:jc w:val="center"/>
        <w:rPr>
          <w:rFonts w:ascii="Times New Roman" w:hAnsi="Times New Roman"/>
          <w:b/>
          <w:color w:val="000000"/>
          <w:sz w:val="26"/>
        </w:rPr>
      </w:pPr>
      <w:r>
        <w:rPr>
          <w:rFonts w:ascii="Times New Roman" w:hAnsi="Times New Roman"/>
          <w:b/>
          <w:color w:val="000000"/>
          <w:sz w:val="26"/>
        </w:rPr>
        <w:t>UNITED STATES</w:t>
      </w:r>
    </w:p>
    <w:p>
      <w:pPr>
        <w:pStyle w:val="TextBody"/>
        <w:bidi w:val="0"/>
        <w:jc w:val="center"/>
        <w:rPr>
          <w:rFonts w:ascii="Times New Roman" w:hAnsi="Times New Roman"/>
          <w:b/>
          <w:color w:val="000000"/>
          <w:sz w:val="26"/>
        </w:rPr>
      </w:pPr>
      <w:r>
        <w:rPr>
          <w:rFonts w:ascii="Times New Roman" w:hAnsi="Times New Roman"/>
          <w:b/>
          <w:color w:val="000000"/>
          <w:sz w:val="2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spacing w:before="0" w:after="180"/>
        <w:jc w:val="center"/>
        <w:rPr>
          <w:rFonts w:ascii="Times New Roman" w:hAnsi="Times New Roman"/>
          <w:b/>
          <w:color w:val="000000"/>
          <w:sz w:val="30"/>
        </w:rPr>
      </w:pPr>
      <w:r>
        <w:rPr>
          <w:rFonts w:ascii="Times New Roman" w:hAnsi="Times New Roman"/>
          <w:b/>
          <w:color w:val="000000"/>
          <w:sz w:val="30"/>
        </w:rPr>
        <w:t>FORM 10-Q</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(Mark one)</w:t>
      </w:r>
    </w:p>
    <w:p>
      <w:pPr>
        <w:pStyle w:val="TextBody"/>
        <w:bidi w:val="0"/>
        <w:spacing w:before="60" w:after="283"/>
        <w:jc w:val="left"/>
        <w:rPr>
          <w:rFonts w:ascii="Times New Roman" w:hAnsi="Times New Roman"/>
          <w:b/>
          <w:color w:val="000000"/>
          <w:sz w:val="18"/>
        </w:rPr>
      </w:pPr>
      <w:r>
        <w:rPr>
          <w:rFonts w:ascii="Times New Roman" w:hAnsi="Times New Roman"/>
          <w:b/>
          <w:color w:val="000000"/>
          <w:sz w:val="18"/>
        </w:rPr>
        <w:t>[X] QUARTERLY REPORT PURSUANT TO SECTION 13 OR 15(d) OF THE SECURITIES EXCHANGE ACT OF 1934</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For the quarterly period ended June 30, 2024</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or</w:t>
      </w:r>
    </w:p>
    <w:p>
      <w:pPr>
        <w:pStyle w:val="TextBody"/>
        <w:bidi w:val="0"/>
        <w:spacing w:before="60" w:after="283"/>
        <w:jc w:val="left"/>
        <w:rPr>
          <w:rFonts w:ascii="Times New Roman" w:hAnsi="Times New Roman"/>
          <w:sz w:val="20"/>
        </w:rPr>
      </w:pPr>
      <w:r>
        <w:rPr>
          <w:rFonts w:ascii="Times New Roman" w:hAnsi="Times New Roman"/>
          <w:b/>
          <w:color w:val="000000"/>
          <w:sz w:val="18"/>
        </w:rPr>
        <w:t>[ ]</w:t>
      </w:r>
      <w:r>
        <w:rPr>
          <w:rFonts w:ascii="Times New Roman" w:hAnsi="Times New Roman"/>
          <w:color w:val="000000"/>
          <w:sz w:val="20"/>
        </w:rPr>
        <w:t xml:space="preserve"> </w:t>
      </w:r>
      <w:r>
        <w:rPr>
          <w:rFonts w:ascii="Times New Roman" w:hAnsi="Times New Roman"/>
          <w:b/>
          <w:color w:val="000000"/>
          <w:sz w:val="18"/>
        </w:rPr>
        <w:t>TRANSITION REPORT PURSUANT TO SECTION 13 OR 15(d) OF THE SECURITIES EXCHANGE ACT OF 1934</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For the transition period from _______________ to _______________</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Commission file number 001-39747</w:t>
      </w:r>
    </w:p>
    <w:p>
      <w:pPr>
        <w:pStyle w:val="TextBody"/>
        <w:pBdr>
          <w:bottom w:val="single" w:sz="6"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SEER,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7783" w:type="dxa"/>
        <w:jc w:val="left"/>
        <w:tblInd w:w="0" w:type="dxa"/>
        <w:tblLayout w:type="fixed"/>
        <w:tblCellMar>
          <w:top w:w="28" w:type="dxa"/>
          <w:left w:w="28" w:type="dxa"/>
          <w:bottom w:w="28" w:type="dxa"/>
          <w:right w:w="28" w:type="dxa"/>
        </w:tblCellMar>
      </w:tblPr>
      <w:tblGrid>
        <w:gridCol w:w="4561"/>
        <w:gridCol w:w="146"/>
        <w:gridCol w:w="307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456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vAlign w:val="center"/>
          </w:tcPr>
          <w:p>
            <w:pPr>
              <w:pStyle w:val="TableContents"/>
              <w:bidi w:val="0"/>
              <w:spacing w:before="0" w:after="283"/>
              <w:jc w:val="left"/>
              <w:rPr/>
            </w:pPr>
            <w:r>
              <w:rPr/>
              <w:t> </w:t>
            </w:r>
          </w:p>
        </w:tc>
        <w:tc>
          <w:tcPr>
            <w:tcW w:w="307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82-1153150</w:t>
            </w:r>
          </w:p>
        </w:tc>
      </w:tr>
      <w:tr>
        <w:trPr/>
        <w:tc>
          <w:tcPr>
            <w:tcW w:w="4561" w:type="dxa"/>
            <w:tcBorders/>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vAlign w:val="center"/>
          </w:tcPr>
          <w:p>
            <w:pPr>
              <w:pStyle w:val="TableContents"/>
              <w:bidi w:val="0"/>
              <w:spacing w:before="60" w:after="283"/>
              <w:jc w:val="left"/>
              <w:rPr/>
            </w:pPr>
            <w:r>
              <w:rPr/>
              <w:t> </w:t>
            </w:r>
          </w:p>
        </w:tc>
        <w:tc>
          <w:tcPr>
            <w:tcW w:w="3076" w:type="dxa"/>
            <w:tcBorders/>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(I.R.S. Employer Identification Number)</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3800 Bridge Parkway, Suite 102</w:t>
      </w:r>
    </w:p>
    <w:p>
      <w:pPr>
        <w:pStyle w:val="TextBody"/>
        <w:bidi w:val="0"/>
        <w:jc w:val="center"/>
        <w:rPr>
          <w:rFonts w:ascii="Times New Roman" w:hAnsi="Times New Roman"/>
          <w:sz w:val="20"/>
        </w:rPr>
      </w:pPr>
      <w:r>
        <w:rPr>
          <w:rFonts w:ascii="Times New Roman" w:hAnsi="Times New Roman"/>
          <w:b/>
          <w:color w:val="000000"/>
          <w:sz w:val="16"/>
        </w:rPr>
        <w:t>Redwood City, California</w:t>
      </w:r>
      <w:r>
        <w:rPr>
          <w:rFonts w:ascii="Times New Roman" w:hAnsi="Times New Roman"/>
          <w:color w:val="000000"/>
          <w:sz w:val="20"/>
        </w:rPr>
        <w:t xml:space="preserve"> </w:t>
      </w:r>
      <w:r>
        <w:rPr>
          <w:rFonts w:ascii="Times New Roman" w:hAnsi="Times New Roman"/>
          <w:b/>
          <w:color w:val="000000"/>
          <w:sz w:val="16"/>
        </w:rPr>
        <w:t>94065</w:t>
      </w:r>
    </w:p>
    <w:p>
      <w:pPr>
        <w:pStyle w:val="TextBody"/>
        <w:bidi w:val="0"/>
        <w:jc w:val="center"/>
        <w:rPr>
          <w:rFonts w:ascii="Times New Roman" w:hAnsi="Times New Roman"/>
          <w:b/>
          <w:color w:val="000000"/>
          <w:sz w:val="16"/>
        </w:rPr>
      </w:pPr>
      <w:r>
        <w:rPr>
          <w:rFonts w:ascii="Times New Roman" w:hAnsi="Times New Roman"/>
          <w:b/>
          <w:color w:val="000000"/>
          <w:sz w:val="16"/>
        </w:rPr>
        <w:t>650-453-0000</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(Address, including zip code and telephone number, including area code, of Registrant’s principal executive offices)</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i/>
          <w:color w:val="000000"/>
          <w:sz w:val="16"/>
        </w:rPr>
      </w:pPr>
      <w:r>
        <w:rPr>
          <w:rFonts w:ascii="Times New Roman" w:hAnsi="Times New Roman"/>
          <w:i/>
          <w:color w:val="000000"/>
          <w:sz w:val="16"/>
        </w:rPr>
        <w:t>Copies to:</w:t>
      </w:r>
    </w:p>
    <w:p>
      <w:pPr>
        <w:pStyle w:val="TextBody"/>
        <w:bidi w:val="0"/>
        <w:jc w:val="center"/>
        <w:rPr/>
      </w:pPr>
      <w:r>
        <w:rPr/>
        <w:t> </w:t>
      </w:r>
    </w:p>
    <w:tbl>
      <w:tblPr>
        <w:tblW w:w="7375" w:type="dxa"/>
        <w:jc w:val="left"/>
        <w:tblInd w:w="0" w:type="dxa"/>
        <w:tblLayout w:type="fixed"/>
        <w:tblCellMar>
          <w:top w:w="28" w:type="dxa"/>
          <w:left w:w="28" w:type="dxa"/>
          <w:bottom w:w="28" w:type="dxa"/>
          <w:right w:w="28" w:type="dxa"/>
        </w:tblCellMar>
      </w:tblPr>
      <w:tblGrid>
        <w:gridCol w:w="2656"/>
        <w:gridCol w:w="146"/>
        <w:gridCol w:w="1456"/>
        <w:gridCol w:w="146"/>
        <w:gridCol w:w="297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vAlign w:val="center"/>
          </w:tcPr>
          <w:p>
            <w:pPr>
              <w:pStyle w:val="TableContents"/>
              <w:bidi w:val="0"/>
              <w:spacing w:before="0" w:after="283"/>
              <w:jc w:val="left"/>
              <w:rPr/>
            </w:pPr>
            <w:r>
              <w:rPr/>
              <w:t> </w:t>
            </w:r>
          </w:p>
        </w:tc>
        <w:tc>
          <w:tcPr>
            <w:tcW w:w="1456" w:type="dxa"/>
            <w:tcBorders/>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vAlign w:val="center"/>
          </w:tcPr>
          <w:p>
            <w:pPr>
              <w:pStyle w:val="TableContents"/>
              <w:bidi w:val="0"/>
              <w:spacing w:before="0" w:after="283"/>
              <w:jc w:val="left"/>
              <w:rPr/>
            </w:pPr>
            <w:r>
              <w:rPr/>
              <w:t> </w:t>
            </w:r>
          </w:p>
        </w:tc>
        <w:tc>
          <w:tcPr>
            <w:tcW w:w="2971" w:type="dxa"/>
            <w:tcBorders/>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Name of Exchange on which registered</w:t>
            </w:r>
          </w:p>
        </w:tc>
      </w:tr>
      <w:tr>
        <w:trPr/>
        <w:tc>
          <w:tcPr>
            <w:tcW w:w="265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$0.00001</w:t>
            </w:r>
          </w:p>
        </w:tc>
        <w:tc>
          <w:tcPr>
            <w:tcW w:w="14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SEER</w:t>
            </w:r>
          </w:p>
        </w:tc>
        <w:tc>
          <w:tcPr>
            <w:tcW w:w="146" w:type="dxa"/>
            <w:tcBorders/>
            <w:vAlign w:val="center"/>
          </w:tcPr>
          <w:p>
            <w:pPr>
              <w:pStyle w:val="TableContents"/>
              <w:bidi w:val="0"/>
              <w:spacing w:before="0" w:after="283"/>
              <w:jc w:val="left"/>
              <w:rPr/>
            </w:pPr>
            <w:r>
              <w:rPr/>
              <w:t> </w:t>
            </w:r>
          </w:p>
        </w:tc>
        <w:tc>
          <w:tcPr>
            <w:tcW w:w="2971"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Global Select Market</w:t>
            </w:r>
          </w:p>
        </w:tc>
      </w:tr>
    </w:tbl>
    <w:p>
      <w:pPr>
        <w:pStyle w:val="TextBody"/>
        <w:bidi w:val="0"/>
        <w:spacing w:before="6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As of August 6, 2024, the registrant had 57,384,174</w:t>
      </w:r>
      <w:r>
        <w:rPr>
          <w:rFonts w:ascii="Times New Roman" w:hAnsi="Times New Roman"/>
          <w:color w:val="000000"/>
          <w:sz w:val="20"/>
        </w:rPr>
        <w:t xml:space="preserve"> </w:t>
      </w:r>
      <w:r>
        <w:rPr>
          <w:rFonts w:ascii="Times New Roman" w:hAnsi="Times New Roman"/>
          <w:color w:val="000000"/>
          <w:sz w:val="16"/>
        </w:rPr>
        <w:t>shares of Class A common stock, $0.00001 par value per share, and 4,044,969</w:t>
      </w:r>
      <w:r>
        <w:rPr>
          <w:rFonts w:ascii="Times New Roman" w:hAnsi="Times New Roman"/>
          <w:color w:val="000000"/>
          <w:sz w:val="20"/>
        </w:rPr>
        <w:t xml:space="preserve"> </w:t>
      </w:r>
      <w:r>
        <w:rPr>
          <w:rFonts w:ascii="Times New Roman" w:hAnsi="Times New Roman"/>
          <w:color w:val="000000"/>
          <w:sz w:val="16"/>
        </w:rPr>
        <w:t>of Class B common stock, $0.00001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2" w:name="toc_page"/>
      <w:bookmarkEnd w:id="2"/>
      <w:r>
        <w:rPr>
          <w:rFonts w:ascii="Times New Roman" w:hAnsi="Times New Roman"/>
          <w:b/>
          <w:color w:val="000000"/>
          <w:sz w:val="20"/>
        </w:rPr>
        <w:t>TABLE OF</w:t>
      </w:r>
      <w:r>
        <w:rPr>
          <w:rFonts w:ascii="Times New Roman" w:hAnsi="Times New Roman"/>
          <w:color w:val="000000"/>
          <w:sz w:val="20"/>
        </w:rPr>
        <w:t xml:space="preserve"> </w:t>
      </w:r>
      <w:r>
        <w:rPr>
          <w:rFonts w:ascii="Times New Roman" w:hAnsi="Times New Roman"/>
          <w:b/>
          <w:color w:val="000000"/>
          <w:sz w:val="20"/>
        </w:rPr>
        <w:t>CONTENTS</w:t>
      </w:r>
    </w:p>
    <w:p>
      <w:pPr>
        <w:pStyle w:val="TextBody"/>
        <w:bidi w:val="0"/>
        <w:jc w:val="left"/>
        <w:rPr/>
      </w:pPr>
      <w:r>
        <w:rPr/>
        <w:t> </w:t>
      </w:r>
    </w:p>
    <w:p>
      <w:pPr>
        <w:pStyle w:val="TextBody"/>
        <w:bidi w:val="0"/>
        <w:jc w:val="left"/>
        <w:rPr/>
      </w:pPr>
      <w:r>
        <w:rPr/>
        <w:t> </w:t>
      </w:r>
    </w:p>
    <w:tbl>
      <w:tblPr>
        <w:tblW w:w="8553" w:type="dxa"/>
        <w:jc w:val="left"/>
        <w:tblInd w:w="0" w:type="dxa"/>
        <w:tblLayout w:type="fixed"/>
        <w:tblCellMar>
          <w:top w:w="28" w:type="dxa"/>
          <w:left w:w="28" w:type="dxa"/>
          <w:bottom w:w="28" w:type="dxa"/>
          <w:right w:w="28" w:type="dxa"/>
        </w:tblCellMar>
      </w:tblPr>
      <w:tblGrid>
        <w:gridCol w:w="826"/>
        <w:gridCol w:w="7366"/>
        <w:gridCol w:w="361"/>
      </w:tblGrid>
      <w:tr>
        <w:trPr/>
        <w:tc>
          <w:tcPr>
            <w:tcW w:w="82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color w:val="0000FF"/>
                  <w:sz w:val="20"/>
                  <w:u w:val="single"/>
                </w:rPr>
                <w:t>PART I.</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color w:val="0000FF"/>
                  <w:sz w:val="20"/>
                  <w:u w:val="single"/>
                </w:rPr>
                <w:t>FINANCIAL INFORMATION</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1</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1</w:t>
            </w:r>
          </w:p>
        </w:tc>
      </w:tr>
      <w:tr>
        <w:trPr/>
        <w:tc>
          <w:tcPr>
            <w:tcW w:w="826" w:type="dxa"/>
            <w:tcBorders/>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1</w:t>
            </w:r>
          </w:p>
        </w:tc>
      </w:tr>
      <w:tr>
        <w:trPr/>
        <w:tc>
          <w:tcPr>
            <w:tcW w:w="826" w:type="dxa"/>
            <w:tcBorders/>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 and Comprehensive Loss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2</w:t>
            </w:r>
          </w:p>
        </w:tc>
      </w:tr>
      <w:tr>
        <w:trPr/>
        <w:tc>
          <w:tcPr>
            <w:tcW w:w="826" w:type="dxa"/>
            <w:tcBorders/>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statementsstockholdersequity">
              <w:r>
                <w:rPr>
                  <w:rStyle w:val="InternetLink"/>
                  <w:rFonts w:ascii="Times New Roman" w:hAnsi="Times New Roman"/>
                  <w:color w:val="0000FF"/>
                  <w:sz w:val="20"/>
                  <w:u w:val="single"/>
                </w:rPr>
                <w:t>Condensed Consolidated Statements of Changes in Stockholders’ Equity</w:t>
              </w:r>
            </w:hyperlink>
            <w:r>
              <w:rPr>
                <w:rFonts w:ascii="Times New Roman" w:hAnsi="Times New Roman"/>
                <w:color w:val="0000FF"/>
                <w:sz w:val="20"/>
              </w:rPr>
              <w:t xml:space="preserve"> </w:t>
            </w:r>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3</w:t>
            </w:r>
          </w:p>
        </w:tc>
      </w:tr>
      <w:tr>
        <w:trPr/>
        <w:tc>
          <w:tcPr>
            <w:tcW w:w="826" w:type="dxa"/>
            <w:tcBorders/>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Condensed Consolidated Statements of Cash Flows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5</w:t>
            </w:r>
          </w:p>
        </w:tc>
      </w:tr>
      <w:tr>
        <w:trPr/>
        <w:tc>
          <w:tcPr>
            <w:tcW w:w="826" w:type="dxa"/>
            <w:tcBorders/>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Unaudited Condensed Consolidated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6</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Item 2.</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22</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Item 3.</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32</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Item 4.</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33</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PART II.</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34</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_secu">
              <w:r>
                <w:rPr>
                  <w:rStyle w:val="InternetLink"/>
                  <w:rFonts w:ascii="Times New Roman" w:hAnsi="Times New Roman"/>
                  <w:color w:val="0000FF"/>
                  <w:sz w:val="20"/>
                  <w:u w:val="single"/>
                </w:rPr>
                <w:t>Item 2.</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_secu">
              <w:r>
                <w:rPr>
                  <w:rStyle w:val="InternetLink"/>
                  <w:rFonts w:ascii="Times New Roman" w:hAnsi="Times New Roman"/>
                  <w:color w:val="0000FF"/>
                  <w:sz w:val="20"/>
                  <w:u w:val="single"/>
                </w:rPr>
                <w:t>Unregistered Sales of Equity Securities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90</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90</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90</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Item 5.</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90</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91</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All statements other than statements of historical facts contained in this Quarterly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estimates of our addressable market, market growth, key performance indicators, capital requirements and our needs for additional financing;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expectations regarding our financial performance, including among others, revenue, cost of revenue, gross profit, operating expenses, loss from operations and net losses;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successfully implement our commercialization strategy and attract customers, including our plans for international expansion;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implementation of our business model, strategic plans and expected pricing for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expectations regarding the rate and degree of market acceptance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the Proteograph Product Suite on the field of proteomics and the size and growth of the addressable proteomics market;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competitive companies and technologies and our industry;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manage and grow our business;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develop and commercialize new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establish and maintain intellectual property protection for our products or avoid or defend claims of infringement;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performance of third-party manufacturers and suppliers;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potential effects of government regulation;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hire and retain key personnel and to manage our future growth effectively;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volatility of the trading price of our Class A common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benefits of the PrognomiQ, Inc. transaction;</w:t>
      </w:r>
    </w:p>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local, regional, and national and international economic conditions and events;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macroeconomic factors, such as pandemics, inflation, supply chain interruptions and foreign hostilities, on our business;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expectations about market trends.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Quarterly Report, whether as a result of any new information, future events or otherwise.</w:t>
      </w:r>
    </w:p>
    <w:p>
      <w:pPr>
        <w:pStyle w:val="TextBody"/>
        <w:bidi w:val="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center"/>
        <w:rPr>
          <w:rFonts w:ascii="Times New Roman" w:hAnsi="Times New Roman"/>
          <w:sz w:val="20"/>
        </w:rPr>
      </w:pPr>
      <w:bookmarkStart w:id="3" w:name="part_1_financial_information"/>
      <w:bookmarkEnd w:id="3"/>
      <w:r>
        <w:rPr>
          <w:rFonts w:ascii="Times New Roman" w:hAnsi="Times New Roman"/>
          <w:b/>
          <w:color w:val="000000"/>
          <w:sz w:val="20"/>
        </w:rPr>
        <w:t>PART I</w:t>
      </w:r>
      <w:r>
        <w:rPr>
          <w:rFonts w:ascii="Times New Roman" w:hAnsi="Times New Roman"/>
          <w:color w:val="000000"/>
          <w:sz w:val="20"/>
        </w:rPr>
        <w:t>—</w:t>
      </w:r>
      <w:r>
        <w:rPr>
          <w:rFonts w:ascii="Times New Roman" w:hAnsi="Times New Roman"/>
          <w:b/>
          <w:color w:val="000000"/>
          <w:sz w:val="20"/>
        </w:rPr>
        <w:t>FINANCIAL INFORMATION</w:t>
      </w:r>
    </w:p>
    <w:p>
      <w:pPr>
        <w:pStyle w:val="TextBody"/>
        <w:bidi w:val="0"/>
        <w:spacing w:before="0" w:after="180"/>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sz w:val="20"/>
        </w:rPr>
      </w:pPr>
      <w:bookmarkStart w:id="5" w:name="consolidated_balance_sheets"/>
      <w:bookmarkEnd w:id="5"/>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left"/>
        <w:rPr/>
      </w:pPr>
      <w:r>
        <w:rPr/>
        <w:t> </w:t>
      </w:r>
    </w:p>
    <w:tbl>
      <w:tblPr>
        <w:tblW w:w="9537" w:type="dxa"/>
        <w:jc w:val="left"/>
        <w:tblInd w:w="0" w:type="dxa"/>
        <w:tblLayout w:type="fixed"/>
        <w:tblCellMar>
          <w:top w:w="28" w:type="dxa"/>
          <w:left w:w="28" w:type="dxa"/>
          <w:bottom w:w="28" w:type="dxa"/>
          <w:right w:w="28" w:type="dxa"/>
        </w:tblCellMar>
      </w:tblPr>
      <w:tblGrid>
        <w:gridCol w:w="6321"/>
        <w:gridCol w:w="146"/>
        <w:gridCol w:w="211"/>
        <w:gridCol w:w="841"/>
        <w:gridCol w:w="166"/>
        <w:gridCol w:w="146"/>
        <w:gridCol w:w="219"/>
        <w:gridCol w:w="876"/>
        <w:gridCol w:w="611"/>
      </w:tblGrid>
      <w:tr>
        <w:trPr/>
        <w:tc>
          <w:tcPr>
            <w:tcW w:w="6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center"/>
              <w:rPr/>
            </w:pPr>
            <w:r>
              <w:rPr/>
              <w:t> </w:t>
            </w:r>
          </w:p>
        </w:tc>
        <w:tc>
          <w:tcPr>
            <w:tcW w:w="611" w:type="dxa"/>
            <w:tcBorders/>
            <w:shd w:fill="CFF0FC" w:val="clear"/>
            <w:vAlign w:val="center"/>
          </w:tcPr>
          <w:p>
            <w:pPr>
              <w:pStyle w:val="TableContents"/>
              <w:bidi w:val="0"/>
              <w:spacing w:before="0" w:after="283"/>
              <w:jc w:val="center"/>
              <w:rPr/>
            </w:pPr>
            <w:r>
              <w:rPr/>
              <w:t> </w:t>
            </w:r>
          </w:p>
        </w:tc>
      </w:tr>
      <w:tr>
        <w:trPr/>
        <w:tc>
          <w:tcPr>
            <w:tcW w:w="6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ind w:left="0" w:right="0" w:firstLine="200"/>
              <w:jc w:val="center"/>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283,725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 receivables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330,513</w:t>
            </w:r>
          </w:p>
        </w:tc>
        <w:tc>
          <w:tcPr>
            <w:tcW w:w="611" w:type="dxa"/>
            <w:tcBorders/>
            <w:shd w:fill="FFFFFF" w:val="clear"/>
            <w:vAlign w:val="center"/>
          </w:tcPr>
          <w:p>
            <w:pPr>
              <w:pStyle w:val="TableContents"/>
              <w:bidi w:val="0"/>
              <w:spacing w:before="0" w:after="283"/>
              <w:jc w:val="left"/>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56,858</w:t>
            </w:r>
          </w:p>
        </w:tc>
        <w:tc>
          <w:tcPr>
            <w:tcW w:w="611" w:type="dxa"/>
            <w:tcBorders/>
            <w:shd w:fill="CFF0FC" w:val="clear"/>
            <w:vAlign w:val="center"/>
          </w:tcPr>
          <w:p>
            <w:pPr>
              <w:pStyle w:val="TableContents"/>
              <w:bidi w:val="0"/>
              <w:spacing w:before="0" w:after="283"/>
              <w:jc w:val="left"/>
              <w:rPr/>
            </w:pPr>
            <w:r>
              <w:rPr/>
              <w:t> </w:t>
            </w:r>
          </w:p>
        </w:tc>
      </w:tr>
      <w:tr>
        <w:trPr/>
        <w:tc>
          <w:tcPr>
            <w:tcW w:w="6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25,177</w:t>
            </w:r>
          </w:p>
        </w:tc>
        <w:tc>
          <w:tcPr>
            <w:tcW w:w="611" w:type="dxa"/>
            <w:tcBorders/>
            <w:shd w:fill="FFFFFF" w:val="clear"/>
            <w:vAlign w:val="center"/>
          </w:tcPr>
          <w:p>
            <w:pPr>
              <w:pStyle w:val="TableContents"/>
              <w:bidi w:val="0"/>
              <w:spacing w:before="0" w:after="283"/>
              <w:jc w:val="left"/>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22,193</w:t>
            </w:r>
          </w:p>
        </w:tc>
        <w:tc>
          <w:tcPr>
            <w:tcW w:w="611" w:type="dxa"/>
            <w:tcBorders/>
            <w:shd w:fill="CFF0FC" w:val="clear"/>
            <w:vAlign w:val="center"/>
          </w:tcPr>
          <w:p>
            <w:pPr>
              <w:pStyle w:val="TableContents"/>
              <w:bidi w:val="0"/>
              <w:spacing w:before="0" w:after="283"/>
              <w:jc w:val="left"/>
              <w:rPr/>
            </w:pPr>
            <w:r>
              <w:rPr/>
              <w:t> </w:t>
            </w:r>
          </w:p>
        </w:tc>
      </w:tr>
      <w:tr>
        <w:trPr/>
        <w:tc>
          <w:tcPr>
            <w:tcW w:w="6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611" w:type="dxa"/>
            <w:tcBorders/>
            <w:shd w:fill="FFFFFF" w:val="clear"/>
            <w:vAlign w:val="center"/>
          </w:tcPr>
          <w:p>
            <w:pPr>
              <w:pStyle w:val="TableContents"/>
              <w:bidi w:val="0"/>
              <w:spacing w:before="0" w:after="283"/>
              <w:jc w:val="left"/>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436,269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13,222</w:t>
            </w:r>
          </w:p>
        </w:tc>
        <w:tc>
          <w:tcPr>
            <w:tcW w:w="611" w:type="dxa"/>
            <w:tcBorders/>
            <w:shd w:fill="FFFFFF" w:val="clear"/>
            <w:vAlign w:val="center"/>
          </w:tcPr>
          <w:p>
            <w:pPr>
              <w:pStyle w:val="TableContents"/>
              <w:bidi w:val="0"/>
              <w:spacing w:before="0" w:after="283"/>
              <w:jc w:val="left"/>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25,964</w:t>
            </w:r>
          </w:p>
        </w:tc>
        <w:tc>
          <w:tcPr>
            <w:tcW w:w="611" w:type="dxa"/>
            <w:tcBorders/>
            <w:shd w:fill="CFF0FC" w:val="clear"/>
            <w:vAlign w:val="center"/>
          </w:tcPr>
          <w:p>
            <w:pPr>
              <w:pStyle w:val="TableContents"/>
              <w:bidi w:val="0"/>
              <w:spacing w:before="0" w:after="283"/>
              <w:jc w:val="left"/>
              <w:rPr/>
            </w:pPr>
            <w:r>
              <w:rPr/>
              <w:t> </w:t>
            </w:r>
          </w:p>
        </w:tc>
      </w:tr>
      <w:tr>
        <w:trPr/>
        <w:tc>
          <w:tcPr>
            <w:tcW w:w="6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$0.00001 par value; 5,000,000 shares authorized as of</w:t>
              <w:br/>
              <w:t xml:space="preserve">    June 30, 2024 and December 31, 2023; zero shares issued and </w:t>
              <w:br/>
              <w:t>    outstanding as of June 30, 2024 and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A common stock, $0.00001 par value; 94,000,000 shares authorized</w:t>
              <w:br/>
              <w:t xml:space="preserve">    as of June 30, 2024 and December 31, 2023; 59,180,625 and </w:t>
              <w:br/>
              <w:t xml:space="preserve">    60,253,707 shares issued and outstanding as of June 30, 2024 and </w:t>
              <w:br/>
              <w:t>   December 31, 2023,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B common stock, $0.00001 par value; 6,000,000 shares authorized</w:t>
              <w:br/>
              <w:t>   as of June 30, 2024 and December 31, 2023; 4,044,969 shares</w:t>
              <w:br/>
              <w:t>   issued and outstanding as of June 30, 2024 and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714,626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702,868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(305,773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396,904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436,269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b/>
          <w:color w:val="000000"/>
          <w:sz w:val="20"/>
        </w:rPr>
      </w:pPr>
      <w:bookmarkStart w:id="6" w:name="consolidated_statements_of_operations"/>
      <w:bookmarkEnd w:id="6"/>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70"/>
        <w:gridCol w:w="211"/>
        <w:gridCol w:w="1036"/>
        <w:gridCol w:w="166"/>
        <w:gridCol w:w="146"/>
        <w:gridCol w:w="211"/>
        <w:gridCol w:w="1036"/>
        <w:gridCol w:w="166"/>
        <w:gridCol w:w="146"/>
        <w:gridCol w:w="211"/>
        <w:gridCol w:w="1036"/>
        <w:gridCol w:w="166"/>
        <w:gridCol w:w="146"/>
        <w:gridCol w:w="211"/>
        <w:gridCol w:w="1036"/>
        <w:gridCol w:w="611"/>
      </w:tblGrid>
      <w:tr>
        <w:trPr/>
        <w:tc>
          <w:tcPr>
            <w:tcW w:w="3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670"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0"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2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2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center"/>
              <w:rPr/>
            </w:pPr>
            <w:r>
              <w:rPr/>
              <w:t> </w:t>
            </w:r>
          </w:p>
        </w:tc>
        <w:tc>
          <w:tcPr>
            <w:tcW w:w="611" w:type="dxa"/>
            <w:tcBorders/>
            <w:shd w:fill="CFF0FC" w:val="clear"/>
            <w:vAlign w:val="center"/>
          </w:tcPr>
          <w:p>
            <w:pPr>
              <w:pStyle w:val="TableContents"/>
              <w:bidi w:val="0"/>
              <w:spacing w:before="0" w:after="283"/>
              <w:ind w:left="0" w:right="0" w:firstLine="200"/>
              <w:jc w:val="center"/>
              <w:rPr/>
            </w:pPr>
            <w:r>
              <w:rPr/>
              <w:t> </w:t>
            </w:r>
          </w:p>
        </w:tc>
      </w:tr>
      <w:tr>
        <w:trPr/>
        <w:tc>
          <w:tcPr>
            <w:tcW w:w="36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67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6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67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 and 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8,061</w:t>
            </w:r>
          </w:p>
        </w:tc>
        <w:tc>
          <w:tcPr>
            <w:tcW w:w="611" w:type="dxa"/>
            <w:tcBorders/>
            <w:shd w:fill="FFFFFF" w:val="clear"/>
            <w:vAlign w:val="center"/>
          </w:tcPr>
          <w:p>
            <w:pPr>
              <w:pStyle w:val="TableContents"/>
              <w:bidi w:val="0"/>
              <w:spacing w:before="0" w:after="283"/>
              <w:jc w:val="left"/>
              <w:rPr/>
            </w:pPr>
            <w:r>
              <w:rPr/>
              <w:t> </w:t>
            </w:r>
          </w:p>
        </w:tc>
      </w:tr>
      <w:tr>
        <w:trPr/>
        <w:tc>
          <w:tcPr>
            <w:tcW w:w="36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6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67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6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67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 and 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367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6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59,735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(55,386</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6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67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(47,390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367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loss on available-for-sale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(47,671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64,576,399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63,762,625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64,581,228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63,654,348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sz w:val="20"/>
        </w:rPr>
      </w:pPr>
      <w:bookmarkStart w:id="7" w:name="consolidatedstatementsstockholdersequity"/>
      <w:bookmarkEnd w:id="7"/>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Changes in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amounts)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25"/>
        <w:gridCol w:w="146"/>
        <w:gridCol w:w="146"/>
        <w:gridCol w:w="916"/>
        <w:gridCol w:w="166"/>
        <w:gridCol w:w="146"/>
        <w:gridCol w:w="206"/>
        <w:gridCol w:w="365"/>
        <w:gridCol w:w="146"/>
        <w:gridCol w:w="146"/>
        <w:gridCol w:w="215"/>
        <w:gridCol w:w="760"/>
        <w:gridCol w:w="166"/>
        <w:gridCol w:w="146"/>
        <w:gridCol w:w="196"/>
        <w:gridCol w:w="751"/>
        <w:gridCol w:w="166"/>
        <w:gridCol w:w="146"/>
        <w:gridCol w:w="414"/>
        <w:gridCol w:w="924"/>
        <w:gridCol w:w="166"/>
        <w:gridCol w:w="146"/>
        <w:gridCol w:w="196"/>
        <w:gridCol w:w="691"/>
        <w:gridCol w:w="414"/>
      </w:tblGrid>
      <w:tr>
        <w:trPr/>
        <w:tc>
          <w:tcPr>
            <w:tcW w:w="2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32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and Class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8"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414" w:type="dxa"/>
            <w:tcBorders/>
            <w:shd w:fill="FFFFFF" w:val="clear"/>
            <w:vAlign w:val="center"/>
          </w:tcPr>
          <w:p>
            <w:pPr>
              <w:pStyle w:val="TableContents"/>
              <w:bidi w:val="0"/>
              <w:spacing w:before="0" w:after="283"/>
              <w:jc w:val="center"/>
              <w:rPr/>
            </w:pPr>
            <w:r>
              <w:rPr/>
              <w:t> </w:t>
            </w:r>
          </w:p>
        </w:tc>
      </w:tr>
      <w:tr>
        <w:trPr/>
        <w:tc>
          <w:tcPr>
            <w:tcW w:w="232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64,298,676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702,868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(305,773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396,904</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32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 xml:space="preserve">Issuance of Class A common stock from </w:t>
              <w:br/>
              <w:t>   release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638,004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32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Vesting of early exercised stock options and restricted</w:t>
              <w:br/>
              <w:t>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6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32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7,655</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32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6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414"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2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(20,679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2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64,936,680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710,527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(326,452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383,555</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32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 xml:space="preserve">Issuance of Class A common stock from </w:t>
              <w:br/>
              <w:t>   release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200,944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32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Class A common stock in connection with</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6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32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 xml:space="preserve">Repurchases of Class A common stock under share repurchase </w:t>
              <w:br/>
              <w:t>    program</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(2,029,429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(3,747</w:t>
            </w:r>
          </w:p>
        </w:tc>
        <w:tc>
          <w:tcPr>
            <w:tcW w:w="414"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2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6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7,699</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32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414"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2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(22,850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2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63,225,594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714,626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364,699</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amounts)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58"/>
        <w:gridCol w:w="146"/>
        <w:gridCol w:w="146"/>
        <w:gridCol w:w="916"/>
        <w:gridCol w:w="146"/>
        <w:gridCol w:w="146"/>
        <w:gridCol w:w="206"/>
        <w:gridCol w:w="365"/>
        <w:gridCol w:w="146"/>
        <w:gridCol w:w="146"/>
        <w:gridCol w:w="215"/>
        <w:gridCol w:w="761"/>
        <w:gridCol w:w="146"/>
        <w:gridCol w:w="146"/>
        <w:gridCol w:w="196"/>
        <w:gridCol w:w="751"/>
        <w:gridCol w:w="166"/>
        <w:gridCol w:w="146"/>
        <w:gridCol w:w="342"/>
        <w:gridCol w:w="1002"/>
        <w:gridCol w:w="166"/>
        <w:gridCol w:w="146"/>
        <w:gridCol w:w="196"/>
        <w:gridCol w:w="691"/>
        <w:gridCol w:w="414"/>
      </w:tblGrid>
      <w:tr>
        <w:trPr/>
        <w:tc>
          <w:tcPr>
            <w:tcW w:w="2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35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and Class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4"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414" w:type="dxa"/>
            <w:tcBorders/>
            <w:shd w:fill="FFFFFF" w:val="clear"/>
            <w:vAlign w:val="center"/>
          </w:tcPr>
          <w:p>
            <w:pPr>
              <w:pStyle w:val="TableContents"/>
              <w:bidi w:val="0"/>
              <w:spacing w:before="0" w:after="283"/>
              <w:jc w:val="center"/>
              <w:rPr/>
            </w:pPr>
            <w:r>
              <w:rPr/>
              <w:t> </w:t>
            </w:r>
          </w:p>
        </w:tc>
      </w:tr>
      <w:tr>
        <w:trPr/>
        <w:tc>
          <w:tcPr>
            <w:tcW w:w="235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63,411,046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(219,496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446,993</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35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Class A common stock from exercise of options and</w:t>
              <w:br/>
              <w:t>   release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35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Vesting of early exercised stock options and restricted</w:t>
              <w:br/>
              <w:t>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35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8,724</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35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comprehensive gain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35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(23,959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5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63,739,319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676,536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(243,455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432,989</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35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Class A common stock from exercise of options and</w:t>
              <w:br/>
              <w:t>   release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35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Class A common stock in connection with</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35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 xml:space="preserve">Vesting of early exercised stock options and restricted </w:t>
              <w:br/>
              <w:t>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35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9,752</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35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w:t>
            </w:r>
          </w:p>
        </w:tc>
        <w:tc>
          <w:tcPr>
            <w:tcW w:w="414"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5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(23,431</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5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63,929,598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686,537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(266,886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418,120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b/>
          <w:color w:val="000000"/>
          <w:sz w:val="20"/>
        </w:rPr>
      </w:pPr>
      <w:bookmarkStart w:id="8" w:name="consolidated_statements_of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left"/>
        <w:rPr/>
      </w:pPr>
      <w:r>
        <w:rPr/>
        <w:t> </w:t>
      </w:r>
    </w:p>
    <w:tbl>
      <w:tblPr>
        <w:tblW w:w="10184" w:type="dxa"/>
        <w:jc w:val="left"/>
        <w:tblInd w:w="0" w:type="dxa"/>
        <w:tblLayout w:type="fixed"/>
        <w:tblCellMar>
          <w:top w:w="28" w:type="dxa"/>
          <w:left w:w="28" w:type="dxa"/>
          <w:bottom w:w="28" w:type="dxa"/>
          <w:right w:w="28" w:type="dxa"/>
        </w:tblCellMar>
      </w:tblPr>
      <w:tblGrid>
        <w:gridCol w:w="7021"/>
        <w:gridCol w:w="146"/>
        <w:gridCol w:w="196"/>
        <w:gridCol w:w="751"/>
        <w:gridCol w:w="166"/>
        <w:gridCol w:w="146"/>
        <w:gridCol w:w="196"/>
        <w:gridCol w:w="751"/>
        <w:gridCol w:w="811"/>
      </w:tblGrid>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0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70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(43,529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(47,390</w:t>
            </w:r>
          </w:p>
        </w:tc>
        <w:tc>
          <w:tcPr>
            <w:tcW w:w="8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70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18,476</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70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2,553</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70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Loss on disposal of property and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70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amortization (accretion) of premium (discount) on available-for-sale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(5,391</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Provision for inventory excess and obsolescence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70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Non-cash operating lease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70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400"/>
              <w:jc w:val="right"/>
              <w:rPr/>
            </w:pPr>
            <w:r>
              <w:rPr/>
              <w:t> </w:t>
            </w:r>
          </w:p>
        </w:tc>
      </w:tr>
      <w:tr>
        <w:trPr/>
        <w:tc>
          <w:tcPr>
            <w:tcW w:w="70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70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(1,654</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Inventory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(2,147</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70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Accrued liabilities and other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(34,464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7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w:t>
            </w:r>
          </w:p>
        </w:tc>
        <w:tc>
          <w:tcPr>
            <w:tcW w:w="8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available-for-sale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(168,524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(269,870</w:t>
            </w:r>
          </w:p>
        </w:tc>
        <w:tc>
          <w:tcPr>
            <w:tcW w:w="8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sale of available-for-sale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2,990</w:t>
            </w:r>
          </w:p>
        </w:tc>
        <w:tc>
          <w:tcPr>
            <w:tcW w:w="811" w:type="dxa"/>
            <w:tcBorders/>
            <w:shd w:fill="CFF0FC" w:val="clear"/>
            <w:vAlign w:val="center"/>
          </w:tcPr>
          <w:p>
            <w:pPr>
              <w:pStyle w:val="TableContents"/>
              <w:bidi w:val="0"/>
              <w:spacing w:before="0" w:after="283"/>
              <w:jc w:val="left"/>
              <w:rPr/>
            </w:pPr>
            <w:r>
              <w:rPr/>
              <w:t> </w:t>
            </w:r>
          </w:p>
        </w:tc>
      </w:tr>
      <w:tr>
        <w:trPr/>
        <w:tc>
          <w:tcPr>
            <w:tcW w:w="70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maturities of available-for-sale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305,567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2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cash provided by investing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37,418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7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Class A common stock options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811" w:type="dxa"/>
            <w:tcBorders/>
            <w:shd w:fill="CFF0FC" w:val="clear"/>
            <w:vAlign w:val="center"/>
          </w:tcPr>
          <w:p>
            <w:pPr>
              <w:pStyle w:val="TableContents"/>
              <w:bidi w:val="0"/>
              <w:spacing w:before="0" w:after="283"/>
              <w:jc w:val="left"/>
              <w:rPr/>
            </w:pPr>
            <w:r>
              <w:rPr/>
              <w:t> </w:t>
            </w:r>
          </w:p>
        </w:tc>
      </w:tr>
      <w:tr>
        <w:trPr/>
        <w:tc>
          <w:tcPr>
            <w:tcW w:w="70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Class A common stock under share repurchase program</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jc w:val="left"/>
              <w:rPr/>
            </w:pPr>
            <w:r>
              <w:rPr/>
              <w:t> </w:t>
            </w:r>
          </w:p>
        </w:tc>
      </w:tr>
      <w:tr>
        <w:trPr/>
        <w:tc>
          <w:tcPr>
            <w:tcW w:w="7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Class A common stock in connection with employee stock purchase plan</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2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cash (used in) provided by financing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3,196</w:t>
            </w:r>
          </w:p>
        </w:tc>
        <w:tc>
          <w:tcPr>
            <w:tcW w:w="811" w:type="dxa"/>
            <w:tcBorders/>
            <w:shd w:fill="CFF0FC" w:val="clear"/>
            <w:vAlign w:val="center"/>
          </w:tcPr>
          <w:p>
            <w:pPr>
              <w:pStyle w:val="TableContents"/>
              <w:bidi w:val="0"/>
              <w:spacing w:before="0" w:after="283"/>
              <w:jc w:val="left"/>
              <w:rPr/>
            </w:pPr>
            <w:r>
              <w:rPr/>
              <w:t> </w:t>
            </w:r>
          </w:p>
        </w:tc>
      </w:tr>
      <w:tr>
        <w:trPr/>
        <w:tc>
          <w:tcPr>
            <w:tcW w:w="70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53,732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56,928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70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7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Capitalized stock-based compensation related to internal-use software development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purchases included in 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Inventory transferred to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transferred to inventory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bookmarkStart w:id="9" w:name="notes_to_consolidated_financial_statemen"/>
      <w:bookmarkEnd w:id="9"/>
      <w:r>
        <w:rPr>
          <w:rFonts w:ascii="Times New Roman" w:hAnsi="Times New Roman"/>
          <w:b/>
          <w:color w:val="000000"/>
          <w:sz w:val="20"/>
        </w:rPr>
        <w:t>Notes to Unaudited Condensed Consolidated Financial</w:t>
      </w:r>
      <w:r>
        <w:rPr>
          <w:rFonts w:ascii="Times New Roman" w:hAnsi="Times New Roman"/>
          <w:color w:val="000000"/>
          <w:sz w:val="20"/>
        </w:rPr>
        <w:t xml:space="preserve"> </w:t>
      </w:r>
      <w:r>
        <w:rPr>
          <w:rFonts w:ascii="Times New Roman" w:hAnsi="Times New Roman"/>
          <w:b/>
          <w:color w:val="000000"/>
          <w:sz w:val="20"/>
        </w:rPr>
        <w:t>Statements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ORGANIZATION AND DESCRIPTION OF THE BUSINESS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Seer, Inc. (the Company) was incorporated in Delaware on March 16, 2017, and is headquartered in Redwood City, California. The Company is a life sciences company focused on capturing deep molecular insights from the proteome to enable novel insights and breakthroughs in the understanding of biology and disease.</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of June 30, 2024, the Company has incurred significant losses and has had negative cash flows from operations. As of June 30, 2024, the Company had cash and cash equivalents and short-term investments of $283.5 million and an accumulated deficit of $349.3 million. Management expects to continue to incur significant expenses for the foreseeable future and to incur operating losses in the near term while the Company makes investments to support its anticipated growth. The Company believes that its cash and cash equivalents and investments as of June 30, 2024 provide sufficient capital resources to continue its operations for at least twelve months from the issuance date of the accompanying unaudited condensed consolidated financial statements.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SUMMARY OF SIGNIFICANT ACCOUNTING POLICIES AND BASIS OF PRESENTATION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unaudited condensed consolidated financial statements have been prepared in accordance with accounting principles generally accepted in the United States of America (U.S. GAAP). The unaudited condensed consolidated financial statements include the accounts of Seer, Inc. and its wholly-owned subsidiaries. All intercompany transactions and balances have been eliminated.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unaudited condensed consolidated financial statements should be read in conjunction with the audited consolidated financial statements and notes included in our Annual Report on Form 10-K for the year ended December 31, 2023, filed with the Securities and Exchange Commission on March 4, 2024.</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preparation of unaudited condensed consolidated financial statements in conformity with U.S. GAAP requires management to make estimates and assumptions that affect the reported amounts of assets, liabilities, and the disclosure of contingent assets and liabilities at the date of the unaudited condensed consolidated financial statements and the reported amounts of expenses during the reporting period. On an ongoing basis, the Company evaluates its estimates and assumptions, including, but not limited to, those related to the determination of stand-alone selling price for revenue recognition, stock-based compensation, allowance for credit losses, inventory valuation, operating lease right-of-use assets and liabilities, useful lives and valuation of property and equipment, income tax uncertainties, and tax valuation allowances.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Financial instruments that potentially subject the Company to significant concentrations of credit risk consist primarily of cash, cash equivalents, and investments.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account balances exceed the amount insured by the Federal Deposit Insurance Corporation.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 the three and six months ended June 30, 2024, the Company recognized revenue from a related party that represented 19% and 25%, respectively, of the Company’s total revenue. For the three and six months ended June 30, 2023, the Company recognized revenue from this same related party that represented 34% and 33%, respectively, of the Company's total revenue.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 the three and six months ended June 30, 2024, 55% and 34%, respectively, of the Company's total revenue was generated outside of the United States, from countries in Asia and Europe. For the three and six months ended June 30, 2023, 17% and 20%, respectively, of the Company's total revenue was generated outside of the United States, from countries in Asia and Europe.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June 30, 2024, there were three customers which represented 17%, 16% and 13% of the Company's total accounts receivable balance, including related party receivables. As of December 31, 2023, there were two customers which represented 14% and 10% of the Company's total accounts receivable balance, including related party receivables.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three months or less at the date of purchase to be cash equivalents. As of June 30, 2024 and December 31, 2023, all amounts recorded as cash and cash equivalents consist of cash, money market funds, corporate debt securities and U.S. Treasury securities and are stated at fair value.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Restricted cash as of June 30, 2024 and December 31, 2023 represents cash held by a financial institution as security for a letter of credit issued to the lessor for one of the Company’s operating leases and is classified as noncurrent.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to the total amount presented in the unaudited condensed consolidated statements of cash flows (in thousands):</w:t>
      </w:r>
    </w:p>
    <w:p>
      <w:pPr>
        <w:pStyle w:val="TextBody"/>
        <w:bidi w:val="0"/>
        <w:jc w:val="left"/>
        <w:rPr/>
      </w:pPr>
      <w:r>
        <w:rPr/>
        <w:t> </w:t>
      </w:r>
    </w:p>
    <w:tbl>
      <w:tblPr>
        <w:tblW w:w="6351" w:type="dxa"/>
        <w:jc w:val="left"/>
        <w:tblInd w:w="0" w:type="dxa"/>
        <w:tblLayout w:type="fixed"/>
        <w:tblCellMar>
          <w:top w:w="28" w:type="dxa"/>
          <w:left w:w="28" w:type="dxa"/>
          <w:bottom w:w="28" w:type="dxa"/>
          <w:right w:w="28" w:type="dxa"/>
        </w:tblCellMar>
      </w:tblPr>
      <w:tblGrid>
        <w:gridCol w:w="3946"/>
        <w:gridCol w:w="146"/>
        <w:gridCol w:w="211"/>
        <w:gridCol w:w="677"/>
        <w:gridCol w:w="146"/>
        <w:gridCol w:w="146"/>
        <w:gridCol w:w="211"/>
        <w:gridCol w:w="677"/>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56,404</w:t>
            </w:r>
          </w:p>
        </w:tc>
        <w:tc>
          <w:tcPr>
            <w:tcW w:w="191" w:type="dxa"/>
            <w:tcBorders/>
            <w:shd w:fill="CFF0FC" w:val="clear"/>
            <w:vAlign w:val="center"/>
          </w:tcPr>
          <w:p>
            <w:pPr>
              <w:pStyle w:val="TableContents"/>
              <w:bidi w:val="0"/>
              <w:spacing w:before="0" w:after="283"/>
              <w:jc w:val="left"/>
              <w:rPr/>
            </w:pPr>
            <w:r>
              <w:rPr/>
              <w:t> </w:t>
            </w:r>
          </w:p>
        </w:tc>
      </w:tr>
      <w:tr>
        <w:trPr/>
        <w:tc>
          <w:tcPr>
            <w:tcW w:w="3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has designated all investments, which includes U.S. Treasury securities, U.S. Non-Treasury securities, commercial paper, and corporate debt securities as available-for-sale, and therefore, such investments are reported at fair value, with unrealized gains and losses excluded from earnings and reported as a component of other comprehensive loss. The cost of available-for-sale securities is adjusted for the amortization of premiums and accretion of discounts to expected maturity. Such amortization and accretion are included in other income (expense) on the unaudited condensed consolidated statements of operations and comprehensive loss. Realized gains and losses and interest income on available-for-sale securities are also included in other income (expense). The cost of securities sold is based on the specific identification method. The Company determines the appropriate classification of its investments in debt securities at the time of purchase and reevaluates such designation at each balance sheet date. As of June 30, 2024, the Company classifies its available-for-sale securities as short-term investments or long-term investments based on the remaining contractual maturity of the securities.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All of the Company’s investments are subject to a periodic impairment review. The Company recognizes an impairment charge when a decline in the fair value of its investments below the cost basis is judged to be other than temporary. Factors considered in determining whether a loss is temporary include the length of time and extent to which an investment’s fair value has been less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Any unrealized losses on available-for-sale debt securities that are attributed to credit risk are recorded to the unaudited condensed consolidated statements of operations and comprehensive loss through an allowance for credit losses.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Accounts Receivable, Net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Accounts receivable consist of amounts due from customers for the sales of products and services, net of any allowance for credit losses. The Company’s expected loss allowance methodology for receivables is developed using its historical collection experience, current and future economic market conditions and a review of the current aging status and financial condition of its customers. Balances are written off when they are ultimately determined to be uncollectible. The Company recorded a $4,000 allowance for credit losses related to accounts receivable as of each of June 30, 2024 and December 31, 2023.</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determines if an arrangement is or contains a lease at contract inception and classifies each lease as operating, sales-type or finance lease.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its incremental borrowing rate in determining the present value of lease payments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Lease expense for an operating lease is recognized on a straight-line basis over the lease term.</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elected to not separate non-lease components from the associated lease components and to not recognize ROU assets and lease liabilities for leases with a term of twelve months or less. Variable lease payments are primarily related to common area maintenance and are recognized as lease costs when incurred.</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generates revenue primarily from sales of products and services. The Company’s product, the Proteograph Product Suite, consists of an instrument with embedded software essential to the instrument's functionality and consumables. The service revenue primarily consists of revenue received from the generation and analysis of proteomic data on behalf of customers.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recognizes revenue when control of the products and services is transferred to its customers in an amount that reflects the consideration it expects to be entitled to receive from its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distinct within the context of the contract. The Company considers a performance obligation satisfied once it has transferred control of a good or service to the customer, meaning the customer has the ability to direct the use and obtain substantially all the economic benefits from the good or service.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Revenue from product sales is recognized when control of the product is transferred, which is generally upon shipment to the customer. In instances where right of payment or transfer of title is contingent upon the customer’s acceptance of the product, revenue is deferred until all acceptance criteria have been met. Revenue from services is recognized once the report is delivered to a customer, which is when the customer obtains the benefit of the service.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Revenue is recorded net of discounts and sales taxes collected on behalf of governmental authorities. Customers are invoiced generally upon shipment, or upon delivery of services, and payment is typically due within 30 or 60 days. Cash received from customers in advance of product shipment or providing services is recorded as a contract liability. The Company’s contracts with its customers generally do not include rights of return.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At times, the Company may enter into arrangements with payment terms which exceed one year from the transfer of control of the product or service. In such cases, the Company assesses whether the arrangement contains a significant financing component. If a significant financing component exists, the transaction price is adjusted for the financing portion of the arrangement, which is recorded as interest income over the payment term using the effective interest method. The Company does not assess whether a significant financing component exists when, at contract inception, the period between the transfer of control to a customer and final payment is one year or less.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elected the practical expedient to account for shipping and handling activities that occur after the customer has obtained control as a fulfillment activity and not a separate performance obligation. The Company expenses incremental costs of obtaining a contract as and when incurred if the expected amortization period is one year or less or the amount is immaterial. The Company excludes from the transaction price all taxes assessed by a governmental authority on revenue-producing transactions that are collected by the Company from a customer.</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regularly enters into contracts that include various combinations of products and services, which are generally distinct and accounted for as separate performance obligations. The transaction price is allocated to each performance obligation in proportion to its standalone selling price. The Company determines the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Grant and Other Revenue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A portion of the Company’s revenue relates to lease arrangements. Standalone lease arrangements are outside the scope of Accounting Standards Codification (ASC) 606, </w:t>
      </w:r>
      <w:r>
        <w:rPr>
          <w:rFonts w:ascii="Times New Roman" w:hAnsi="Times New Roman"/>
          <w:i/>
          <w:color w:val="000000"/>
          <w:sz w:val="20"/>
        </w:rPr>
        <w:t>Revenue From Contracts With Customers</w:t>
      </w:r>
      <w:r>
        <w:rPr>
          <w:rFonts w:ascii="Times New Roman" w:hAnsi="Times New Roman"/>
          <w:color w:val="000000"/>
          <w:sz w:val="20"/>
        </w:rPr>
        <w:t xml:space="preserve">, and are therefore accounted for in accordance with ASC 842, </w:t>
      </w:r>
      <w:r>
        <w:rPr>
          <w:rFonts w:ascii="Times New Roman" w:hAnsi="Times New Roman"/>
          <w:i/>
          <w:color w:val="000000"/>
          <w:sz w:val="20"/>
        </w:rPr>
        <w:t>Leases</w:t>
      </w:r>
      <w:r>
        <w:rPr>
          <w:rFonts w:ascii="Times New Roman" w:hAnsi="Times New Roman"/>
          <w:color w:val="000000"/>
          <w:sz w:val="20"/>
        </w:rPr>
        <w:t>. The total consideration in a lease arrangement is allocated between lease and non-lease components on their relative stand-alone selling prices. The stand-alone selling price is based on the price the Company would separately sell that promised good or service to a customer. If a stand-alone price is not available for a component, it is estimated using the best information available.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determining whether a transaction should be classified as a sales-type or operating lease, the Company considered the following criteria at lease commencement: (1) whether title of the instrument transfers automatically or for a nominal fee by the end of the lease term, (2) whether the present value of the minimum lease payments equals or exceeds substantially all of the fair value of the leased instrument, (3) whether the lease term is for the major part of the remaining economic life of the leased instrument, (4) whether the lease grants the lessee an option to purchase the leased instrument that the lessee is reasonably certain to exercise, and (5) whether the underlying instrument is of such a specialized nature that it is expected to have no alternative use to the Company at the end of the lease term. If any of these criteria were met, the lease was classified as a sales-type lease. If none of these criteria are met, the lease was classified as an operating lease.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Shipping revenue is recognized when control of the product is transferred to the customer. The related shipping and handling costs are included in the cost of revenue.</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Repurchases of Class A Common Stock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May 3, 2024, the Company’s Board of Directors approved a share repurchase program (the Share Repurchase Program) under which the Company is authorized to purchase (in the aggregate) up to $25.0 million of its issued and outstanding Class A common stock. Under the Share Repurchase Program, shares may be repurchased from time to time in open market transactions at prevailing market prices (including through Rule 10b5-1 plans), privately negotiated transactions, a combination thereof, or through other transactions. The actual timing, number, manner, and value of shares repurchased under the Share Repurchase Program will depend on the market price of its common stock, trading volume, general market conditions and other corporate and economic considerations. The Share Repurchase Program does not obligate the Company to repurchase any specific number of shares and may be modified, suspended or terminated at any time.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records the share repurchase at cost based on the settlement date of the transaction. The shares repurchased are retired immediately and included in the category of authorized but unissued shares. The par value of the shares retired is charged against Class A common stock and the remaining purchase price is charged to additional paid-in capital. The total cost of the broker commissions is charged directly to additional paid-in capital.</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U.S. recently enacted the Inflation Reduction Act of 2022, which, among other changes, implements a 1% excise tax on certain stock buybacks, which would generally apply to net repurchases of stock by U.S. corporations. The Company is currently evaluating the impact of the new excise tax and does not anticipate it will have a material impact on the unaudited condensed consolidated financial statements for the three and six months ended June 30, 2024.</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Recently Issued Accounting Pronouncements Not Yet Adopted</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In November 2023, the Financial Accounting Standards Board (FASB) issued Accounting Standards Update </w:t>
      </w:r>
      <w:r>
        <w:rPr>
          <w:rFonts w:ascii="Times New Roman" w:hAnsi="Times New Roman"/>
          <w:color w:val="000000"/>
          <w:sz w:val="18"/>
        </w:rPr>
        <w:t>(</w:t>
      </w:r>
      <w:r>
        <w:rPr>
          <w:rFonts w:ascii="Times New Roman" w:hAnsi="Times New Roman"/>
          <w:color w:val="000000"/>
          <w:sz w:val="20"/>
        </w:rPr>
        <w:t xml:space="preserve">ASU)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which is intended to provide enhancements to segment disclosures, even for entities with only one reportable segment. In particular, the standard will require disclosures of significant segment expenses regularly provided to the chief operating decision maker and included within each reported measure of segment profit and loss. The standard will also require disclosure of all other segment items by reportable segment and a description of its composition. Finally, the standard will require disclosure of the title and position of the chief operating decision maker and an explanation of how the chief operating decision maker uses the reported measure(s) of segment profit or loss in assessing segment performance and deciding how to allocate resources. The standard is effective for annual periods beginning after December 15, 2023 and interim periods within annual periods beginning after December 15, 2024. Early adoption is permitted. The Company is in the process of evaluating the impact of this new guidance on its disclosures.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This ASU is effective for fiscal years beginning after December 15, 2024. The Company is in the process of evaluating the impact of this new guidance on its disclosures.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FAIR VALUE MEASUREMENTS AND FAIR VALUE OF FINANCIAL INSTRUMENTS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tables set forth the fair value of the Company’s financial assets that were measured at fair value on a recurring basis by level within the fair value hierarchy (in thousands).</w:t>
      </w:r>
    </w:p>
    <w:p>
      <w:pPr>
        <w:pStyle w:val="TextBody"/>
        <w:bidi w:val="0"/>
        <w:jc w:val="left"/>
        <w:rPr/>
      </w:pPr>
      <w:r>
        <w:rPr/>
        <w:t> </w:t>
      </w:r>
    </w:p>
    <w:tbl>
      <w:tblPr>
        <w:tblW w:w="8195" w:type="dxa"/>
        <w:jc w:val="left"/>
        <w:tblInd w:w="0" w:type="dxa"/>
        <w:tblLayout w:type="fixed"/>
        <w:tblCellMar>
          <w:top w:w="28" w:type="dxa"/>
          <w:left w:w="28" w:type="dxa"/>
          <w:bottom w:w="28" w:type="dxa"/>
          <w:right w:w="28" w:type="dxa"/>
        </w:tblCellMar>
      </w:tblPr>
      <w:tblGrid>
        <w:gridCol w:w="3081"/>
        <w:gridCol w:w="146"/>
        <w:gridCol w:w="211"/>
        <w:gridCol w:w="676"/>
        <w:gridCol w:w="146"/>
        <w:gridCol w:w="146"/>
        <w:gridCol w:w="211"/>
        <w:gridCol w:w="781"/>
        <w:gridCol w:w="146"/>
        <w:gridCol w:w="146"/>
        <w:gridCol w:w="239"/>
        <w:gridCol w:w="391"/>
        <w:gridCol w:w="146"/>
        <w:gridCol w:w="146"/>
        <w:gridCol w:w="211"/>
        <w:gridCol w:w="781"/>
        <w:gridCol w:w="5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3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31,064</w:t>
            </w:r>
          </w:p>
        </w:tc>
        <w:tc>
          <w:tcPr>
            <w:tcW w:w="591" w:type="dxa"/>
            <w:tcBorders/>
            <w:shd w:fill="FFFFFF" w:val="clear"/>
            <w:vAlign w:val="center"/>
          </w:tcPr>
          <w:p>
            <w:pPr>
              <w:pStyle w:val="TableContents"/>
              <w:bidi w:val="0"/>
              <w:spacing w:before="0" w:after="283"/>
              <w:jc w:val="left"/>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155,073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Non-Treasury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312,694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343,758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95" w:type="dxa"/>
        <w:jc w:val="left"/>
        <w:tblInd w:w="0" w:type="dxa"/>
        <w:tblLayout w:type="fixed"/>
        <w:tblCellMar>
          <w:top w:w="28" w:type="dxa"/>
          <w:left w:w="28" w:type="dxa"/>
          <w:bottom w:w="28" w:type="dxa"/>
          <w:right w:w="28" w:type="dxa"/>
        </w:tblCellMar>
      </w:tblPr>
      <w:tblGrid>
        <w:gridCol w:w="3081"/>
        <w:gridCol w:w="146"/>
        <w:gridCol w:w="211"/>
        <w:gridCol w:w="676"/>
        <w:gridCol w:w="146"/>
        <w:gridCol w:w="146"/>
        <w:gridCol w:w="211"/>
        <w:gridCol w:w="781"/>
        <w:gridCol w:w="146"/>
        <w:gridCol w:w="146"/>
        <w:gridCol w:w="239"/>
        <w:gridCol w:w="391"/>
        <w:gridCol w:w="146"/>
        <w:gridCol w:w="146"/>
        <w:gridCol w:w="211"/>
        <w:gridCol w:w="781"/>
        <w:gridCol w:w="5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3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29,181</w:t>
            </w:r>
          </w:p>
        </w:tc>
        <w:tc>
          <w:tcPr>
            <w:tcW w:w="591" w:type="dxa"/>
            <w:tcBorders/>
            <w:shd w:fill="FFFFFF" w:val="clear"/>
            <w:vAlign w:val="center"/>
          </w:tcPr>
          <w:p>
            <w:pPr>
              <w:pStyle w:val="TableContents"/>
              <w:bidi w:val="0"/>
              <w:spacing w:before="0" w:after="283"/>
              <w:jc w:val="left"/>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225,180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Non-Treasury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369,764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U.S. Non-Treasury securities (government agency debt), commercial paper, and corporate debt securities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carrying amount of the Company’s accounts receivable, other receivables, prepaid expenses and other current assets, accounts payable and accrued expenses approximate fair value due to their short maturities.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is a summary of the Company’s cash equivalents and investments and the gross unrealized holding gains and losses (in thousands):</w:t>
      </w:r>
    </w:p>
    <w:p>
      <w:pPr>
        <w:pStyle w:val="TextBody"/>
        <w:bidi w:val="0"/>
        <w:jc w:val="left"/>
        <w:rPr/>
      </w:pPr>
      <w:r>
        <w:rPr/>
        <w:t> </w:t>
      </w:r>
    </w:p>
    <w:tbl>
      <w:tblPr>
        <w:tblW w:w="9986" w:type="dxa"/>
        <w:jc w:val="left"/>
        <w:tblInd w:w="0" w:type="dxa"/>
        <w:tblLayout w:type="fixed"/>
        <w:tblCellMar>
          <w:top w:w="28" w:type="dxa"/>
          <w:left w:w="28" w:type="dxa"/>
          <w:bottom w:w="28" w:type="dxa"/>
          <w:right w:w="28" w:type="dxa"/>
        </w:tblCellMar>
      </w:tblPr>
      <w:tblGrid>
        <w:gridCol w:w="3081"/>
        <w:gridCol w:w="146"/>
        <w:gridCol w:w="351"/>
        <w:gridCol w:w="1299"/>
        <w:gridCol w:w="146"/>
        <w:gridCol w:w="146"/>
        <w:gridCol w:w="510"/>
        <w:gridCol w:w="840"/>
        <w:gridCol w:w="146"/>
        <w:gridCol w:w="146"/>
        <w:gridCol w:w="420"/>
        <w:gridCol w:w="960"/>
        <w:gridCol w:w="166"/>
        <w:gridCol w:w="146"/>
        <w:gridCol w:w="211"/>
        <w:gridCol w:w="781"/>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6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right"/>
              <w:rPr/>
            </w:pPr>
            <w:r>
              <w:rPr/>
              <w:t> </w:t>
            </w:r>
          </w:p>
        </w:tc>
      </w:tr>
      <w:tr>
        <w:trPr/>
        <w:tc>
          <w:tcPr>
            <w:tcW w:w="3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00"/>
              <w:jc w:val="righ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31,064</w:t>
            </w:r>
          </w:p>
        </w:tc>
        <w:tc>
          <w:tcPr>
            <w:tcW w:w="491" w:type="dxa"/>
            <w:tcBorders/>
            <w:shd w:fill="FFFFFF" w:val="clear"/>
            <w:vAlign w:val="center"/>
          </w:tcPr>
          <w:p>
            <w:pPr>
              <w:pStyle w:val="TableContents"/>
              <w:bidi w:val="0"/>
              <w:spacing w:before="0" w:after="283"/>
              <w:jc w:val="left"/>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CFF0FC" w:val="clear"/>
            <w:vAlign w:val="center"/>
          </w:tcPr>
          <w:p>
            <w:pPr>
              <w:pStyle w:val="TableContents"/>
              <w:bidi w:val="0"/>
              <w:spacing w:before="0" w:after="283"/>
              <w:jc w:val="left"/>
              <w:rPr/>
            </w:pPr>
            <w:r>
              <w:rPr/>
              <w:t> </w:t>
            </w:r>
          </w:p>
        </w:tc>
        <w:tc>
          <w:tcPr>
            <w:tcW w:w="16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00"/>
              <w:jc w:val="righ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155,073</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Non-Treasury securities</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12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29,547</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120,978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312,694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343,758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986" w:type="dxa"/>
        <w:jc w:val="left"/>
        <w:tblInd w:w="0" w:type="dxa"/>
        <w:tblLayout w:type="fixed"/>
        <w:tblCellMar>
          <w:top w:w="28" w:type="dxa"/>
          <w:left w:w="28" w:type="dxa"/>
          <w:bottom w:w="28" w:type="dxa"/>
          <w:right w:w="28" w:type="dxa"/>
        </w:tblCellMar>
      </w:tblPr>
      <w:tblGrid>
        <w:gridCol w:w="3081"/>
        <w:gridCol w:w="146"/>
        <w:gridCol w:w="351"/>
        <w:gridCol w:w="1299"/>
        <w:gridCol w:w="146"/>
        <w:gridCol w:w="146"/>
        <w:gridCol w:w="449"/>
        <w:gridCol w:w="901"/>
        <w:gridCol w:w="146"/>
        <w:gridCol w:w="146"/>
        <w:gridCol w:w="420"/>
        <w:gridCol w:w="960"/>
        <w:gridCol w:w="166"/>
        <w:gridCol w:w="146"/>
        <w:gridCol w:w="211"/>
        <w:gridCol w:w="781"/>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6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right"/>
              <w:rPr/>
            </w:pPr>
            <w:r>
              <w:rPr/>
              <w:t> </w:t>
            </w:r>
          </w:p>
        </w:tc>
      </w:tr>
      <w:tr>
        <w:trPr/>
        <w:tc>
          <w:tcPr>
            <w:tcW w:w="3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00"/>
              <w:jc w:val="righ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22,646</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29,181</w:t>
            </w:r>
          </w:p>
        </w:tc>
        <w:tc>
          <w:tcPr>
            <w:tcW w:w="491" w:type="dxa"/>
            <w:tcBorders/>
            <w:shd w:fill="FFFFFF" w:val="clear"/>
            <w:vAlign w:val="center"/>
          </w:tcPr>
          <w:p>
            <w:pPr>
              <w:pStyle w:val="TableContents"/>
              <w:bidi w:val="0"/>
              <w:spacing w:before="0" w:after="283"/>
              <w:jc w:val="left"/>
              <w:rPr/>
            </w:pPr>
            <w:r>
              <w:rPr/>
              <w:t> </w:t>
            </w:r>
          </w:p>
        </w:tc>
      </w:tr>
      <w:tr>
        <w:trPr/>
        <w:tc>
          <w:tcPr>
            <w:tcW w:w="3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CFF0FC" w:val="clear"/>
            <w:vAlign w:val="center"/>
          </w:tcPr>
          <w:p>
            <w:pPr>
              <w:pStyle w:val="TableContents"/>
              <w:bidi w:val="0"/>
              <w:spacing w:before="0" w:after="283"/>
              <w:jc w:val="left"/>
              <w:rPr/>
            </w:pPr>
            <w:r>
              <w:rPr/>
              <w:t> </w:t>
            </w:r>
          </w:p>
        </w:tc>
        <w:tc>
          <w:tcPr>
            <w:tcW w:w="165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225,180</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Non-Treasury securities</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12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18,186</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340,583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vAlign w:val="center"/>
          </w:tcPr>
          <w:p>
            <w:pPr>
              <w:pStyle w:val="TableContents"/>
              <w:bidi w:val="0"/>
              <w:spacing w:before="0" w:after="283"/>
              <w:jc w:val="righ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369,764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2024 and December 31, 2023, unrealized losses on available-for-sale investments are not attributable to credit risk and are considered to be temporary. As of June 30, 2024, approximately $51.7 million of the Company's investments have been in a continuous unrealized loss position for twelve months or longer.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June 30, 2024, $61.2 million of available-for-sale investments had remaining maturities between one and two years. The remainder of the available-for-sale investments have a remaining maturity of one year or less. As of June 30, 2024 and December 31, 2023, the Company recorded $2.0 million and $1.3 million, respectively, of accrued interest related to its available-for-sale investments and is presented as other receivables on the condensed consolidated balance sheets.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OTHER FINANCIAL STATEMENT INFORMATION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Inventory consists of the following (in thousands):</w:t>
      </w:r>
    </w:p>
    <w:p>
      <w:pPr>
        <w:pStyle w:val="TextBody"/>
        <w:bidi w:val="0"/>
        <w:jc w:val="left"/>
        <w:rPr/>
      </w:pPr>
      <w:r>
        <w:rPr/>
        <w:t> </w:t>
      </w:r>
    </w:p>
    <w:tbl>
      <w:tblPr>
        <w:tblW w:w="4037" w:type="dxa"/>
        <w:jc w:val="left"/>
        <w:tblInd w:w="0" w:type="dxa"/>
        <w:tblLayout w:type="fixed"/>
        <w:tblCellMar>
          <w:top w:w="28" w:type="dxa"/>
          <w:left w:w="28" w:type="dxa"/>
          <w:bottom w:w="28" w:type="dxa"/>
          <w:right w:w="28" w:type="dxa"/>
        </w:tblCellMar>
      </w:tblPr>
      <w:tblGrid>
        <w:gridCol w:w="1531"/>
        <w:gridCol w:w="146"/>
        <w:gridCol w:w="211"/>
        <w:gridCol w:w="571"/>
        <w:gridCol w:w="146"/>
        <w:gridCol w:w="146"/>
        <w:gridCol w:w="294"/>
        <w:gridCol w:w="801"/>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Work-in-progress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Property and equipment, net consists of the following (in thousands):</w:t>
      </w:r>
    </w:p>
    <w:p>
      <w:pPr>
        <w:pStyle w:val="TextBody"/>
        <w:bidi w:val="0"/>
        <w:jc w:val="left"/>
        <w:rPr/>
      </w:pPr>
      <w:r>
        <w:rPr/>
        <w:t> </w:t>
      </w:r>
    </w:p>
    <w:tbl>
      <w:tblPr>
        <w:tblW w:w="6822" w:type="dxa"/>
        <w:jc w:val="left"/>
        <w:tblInd w:w="0" w:type="dxa"/>
        <w:tblLayout w:type="fixed"/>
        <w:tblCellMar>
          <w:top w:w="28" w:type="dxa"/>
          <w:left w:w="28" w:type="dxa"/>
          <w:bottom w:w="28" w:type="dxa"/>
          <w:right w:w="28" w:type="dxa"/>
        </w:tblCellMar>
      </w:tblPr>
      <w:tblGrid>
        <w:gridCol w:w="4111"/>
        <w:gridCol w:w="146"/>
        <w:gridCol w:w="211"/>
        <w:gridCol w:w="736"/>
        <w:gridCol w:w="166"/>
        <w:gridCol w:w="146"/>
        <w:gridCol w:w="244"/>
        <w:gridCol w:w="851"/>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28,563</w:t>
            </w:r>
          </w:p>
        </w:tc>
        <w:tc>
          <w:tcPr>
            <w:tcW w:w="2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2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34,732</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and amortization expense related to property and equipment was $1.5 million and $1.3 million for the three months ended June 30, 2024 and 2023, respectively. Depreciation and amortization expense related to property and equipment was $3.0 million and $2.6 million for the six months ended June 30, 2024 and 2023, respectively.</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Accrued Expenses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Accrued expenses consist of the following (in thousands):</w:t>
      </w:r>
    </w:p>
    <w:p>
      <w:pPr>
        <w:pStyle w:val="TextBody"/>
        <w:bidi w:val="0"/>
        <w:jc w:val="left"/>
        <w:rPr/>
      </w:pPr>
      <w:r>
        <w:rPr/>
        <w:t> </w:t>
      </w:r>
    </w:p>
    <w:tbl>
      <w:tblPr>
        <w:tblW w:w="5027" w:type="dxa"/>
        <w:jc w:val="left"/>
        <w:tblInd w:w="0" w:type="dxa"/>
        <w:tblLayout w:type="fixed"/>
        <w:tblCellMar>
          <w:top w:w="28" w:type="dxa"/>
          <w:left w:w="28" w:type="dxa"/>
          <w:bottom w:w="28" w:type="dxa"/>
          <w:right w:w="28" w:type="dxa"/>
        </w:tblCellMar>
      </w:tblPr>
      <w:tblGrid>
        <w:gridCol w:w="2521"/>
        <w:gridCol w:w="146"/>
        <w:gridCol w:w="211"/>
        <w:gridCol w:w="571"/>
        <w:gridCol w:w="146"/>
        <w:gridCol w:w="146"/>
        <w:gridCol w:w="294"/>
        <w:gridCol w:w="801"/>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w:t>
            </w:r>
          </w:p>
        </w:tc>
        <w:tc>
          <w:tcPr>
            <w:tcW w:w="1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color w:val="000000"/>
          <w:sz w:val="20"/>
        </w:rPr>
      </w:pPr>
      <w:r>
        <w:rPr>
          <w:rFonts w:ascii="Times New Roman" w:hAnsi="Times New Roman"/>
          <w:b/>
          <w:color w:val="000000"/>
          <w:sz w:val="20"/>
        </w:rPr>
        <w:t>REVENUE AND DEFERRED REVENUE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Product revenue consists of instruments with embedded software essential to the instrument's functionality and consumables. Service revenue primarily consists of revenue received from the generation and analysis of proteomic data on behalf of the customer. Related party revenue is comprised of both the sale of products and services performed for related parties, as further discussed in Note 10. Grant and other revenue consists of grant revenue from services performed specifically for the reimbursement of research-related expenses and other revenue which relates to shipping revenue and lease arrangements, as further discussed below.</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Deferred revenue activities consist of the following (in thousands):</w:t>
      </w:r>
    </w:p>
    <w:p>
      <w:pPr>
        <w:pStyle w:val="TextBody"/>
        <w:bidi w:val="0"/>
        <w:jc w:val="left"/>
        <w:rPr/>
      </w:pPr>
      <w:r>
        <w:rPr/>
        <w:t> </w:t>
      </w:r>
    </w:p>
    <w:tbl>
      <w:tblPr>
        <w:tblW w:w="8291" w:type="dxa"/>
        <w:jc w:val="left"/>
        <w:tblInd w:w="0" w:type="dxa"/>
        <w:tblLayout w:type="fixed"/>
        <w:tblCellMar>
          <w:top w:w="28" w:type="dxa"/>
          <w:left w:w="28" w:type="dxa"/>
          <w:bottom w:w="28" w:type="dxa"/>
          <w:right w:w="28" w:type="dxa"/>
        </w:tblCellMar>
      </w:tblPr>
      <w:tblGrid>
        <w:gridCol w:w="5866"/>
        <w:gridCol w:w="146"/>
        <w:gridCol w:w="257"/>
        <w:gridCol w:w="587"/>
        <w:gridCol w:w="202"/>
        <w:gridCol w:w="178"/>
        <w:gridCol w:w="257"/>
        <w:gridCol w:w="587"/>
        <w:gridCol w:w="21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 and noncurrent, as of the beginning of period</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02"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11" w:type="dxa"/>
            <w:tcBorders/>
            <w:shd w:fill="CFF0FC" w:val="clear"/>
            <w:vAlign w:val="center"/>
          </w:tcPr>
          <w:p>
            <w:pPr>
              <w:pStyle w:val="TableContents"/>
              <w:bidi w:val="0"/>
              <w:spacing w:before="0" w:after="283"/>
              <w:jc w:val="left"/>
              <w:rPr/>
            </w:pPr>
            <w:r>
              <w:rPr/>
              <w:t> </w:t>
            </w:r>
          </w:p>
        </w:tc>
      </w:tr>
      <w:tr>
        <w:trPr/>
        <w:tc>
          <w:tcPr>
            <w:tcW w:w="5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02"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211" w:type="dxa"/>
            <w:tcBorders/>
            <w:shd w:fill="FFFFFF" w:val="clear"/>
            <w:vAlign w:val="center"/>
          </w:tcPr>
          <w:p>
            <w:pPr>
              <w:pStyle w:val="TableContents"/>
              <w:bidi w:val="0"/>
              <w:spacing w:before="0" w:after="283"/>
              <w:jc w:val="left"/>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 and noncurrent, as of the end of period</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Transaction price allocated to remaining performance obligations represents contracted revenue that has not yet been recognized, which includes deferred revenue and non-cancelable amounts that will be invoiced and recognized as revenue in future periods. As of June 30, 2024, $0.2 million of revenue is expected to be recognized from the remaining performance obligations, of which 87% is expected to be recognized within twelve months.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Grant and Other Revenue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Since August 2019, the Company received total funding of $2.0 million from a Small Business Innovation Research grant award from the National Institutes of Health for its development of research applications. For each of the three and six months ended June 30, 2024, the Company recognized no grant revenue, with respect to the award. For the three and six months ended June 30, 2023, the Company recognized $0.5 million and $0.8 million of grant revenue, respectively, with respect to the award.</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6. CAPITAL STOCK AND STOCKHOLDERS’ EQUITY</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of June 30, 2024, the Company is authorized to issue 105,000,000 shares of capital stock consisting of 94,000,000 shares of Class A common stock, 6,000,000 shares of Class B common stock, and 5,000,000 shares of preferred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The Class B common stock will also automatically convert into Class A common stock on December 8, 2025. Holders of common stock are entitled to dividends as declared by the Board of Directors, subject to rights of holders of all classes of stock outstanding having priority rights as to dividends. There have been no dividends declared to date.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Common stock issued and outstanding on the condensed consolidated balance sheets and condensed consolidated statements of changes in stockholders' equity includes shares related to early exercised options and restricted stock that are subject to repurchase.</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is a summary of share repurchase activity under the Share Repurchase Program for the period indicated (in thousands except per share data):</w:t>
      </w:r>
    </w:p>
    <w:tbl>
      <w:tblPr>
        <w:tblW w:w="5498" w:type="dxa"/>
        <w:jc w:val="left"/>
        <w:tblInd w:w="0" w:type="dxa"/>
        <w:tblLayout w:type="fixed"/>
        <w:tblCellMar>
          <w:top w:w="28" w:type="dxa"/>
          <w:left w:w="28" w:type="dxa"/>
          <w:bottom w:w="28" w:type="dxa"/>
          <w:right w:w="28" w:type="dxa"/>
        </w:tblCellMar>
      </w:tblPr>
      <w:tblGrid>
        <w:gridCol w:w="2536"/>
        <w:gridCol w:w="146"/>
        <w:gridCol w:w="485"/>
        <w:gridCol w:w="2140"/>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repurchased</w:t>
            </w:r>
          </w:p>
        </w:tc>
        <w:tc>
          <w:tcPr>
            <w:tcW w:w="146"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left"/>
              <w:rPr/>
            </w:pPr>
            <w:r>
              <w:rPr/>
              <w:t> </w:t>
            </w:r>
          </w:p>
        </w:tc>
        <w:tc>
          <w:tcPr>
            <w:tcW w:w="21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2,029,429</w:t>
            </w:r>
          </w:p>
        </w:tc>
        <w:tc>
          <w:tcPr>
            <w:tcW w:w="19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w:t>
            </w:r>
          </w:p>
        </w:tc>
        <w:tc>
          <w:tcPr>
            <w:tcW w:w="146"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w:t>
            </w:r>
          </w:p>
        </w:tc>
        <w:tc>
          <w:tcPr>
            <w:tcW w:w="191" w:type="dxa"/>
            <w:tcBorders/>
            <w:shd w:fill="FFFFFF" w:val="cle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per share cost</w:t>
            </w:r>
          </w:p>
        </w:tc>
        <w:tc>
          <w:tcPr>
            <w:tcW w:w="146"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June 30, 2024, up to approximately $21.3 million of Class A common stock could be repurchased under the Share Repurchase Program.</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7.</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EQUITY INCENTIVE PLANS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June 30, 2024, there are 17,785,881 shares of Class A common stock reserved for issuance under the 2020 Equity Incentive Plan (the 2020 Plan), 3,075,477 shares of which are available for issuance in connection with grants of future awards.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jc w:val="left"/>
        <w:rPr>
          <w:rFonts w:ascii="Times New Roman" w:hAnsi="Times New Roman"/>
          <w:color w:val="000000"/>
          <w:sz w:val="20"/>
        </w:rPr>
      </w:pPr>
      <w:r>
        <w:rPr>
          <w:rFonts w:ascii="Times New Roman" w:hAnsi="Times New Roman"/>
          <w:color w:val="000000"/>
          <w:sz w:val="20"/>
        </w:rPr>
        <w:t>Stock option activity for the six months ended June 30, 2024 is as follows:</w:t>
      </w:r>
    </w:p>
    <w:p>
      <w:pPr>
        <w:pStyle w:val="TextBody"/>
        <w:bidi w:val="0"/>
        <w:jc w:val="left"/>
        <w:rPr/>
      </w:pPr>
      <w:r>
        <w:rPr/>
        <w:t> </w:t>
      </w:r>
    </w:p>
    <w:tbl>
      <w:tblPr>
        <w:tblW w:w="8015" w:type="dxa"/>
        <w:jc w:val="left"/>
        <w:tblInd w:w="0" w:type="dxa"/>
        <w:tblLayout w:type="fixed"/>
        <w:tblCellMar>
          <w:top w:w="28" w:type="dxa"/>
          <w:left w:w="28" w:type="dxa"/>
          <w:bottom w:w="28" w:type="dxa"/>
          <w:right w:w="28" w:type="dxa"/>
        </w:tblCellMar>
      </w:tblPr>
      <w:tblGrid>
        <w:gridCol w:w="3211"/>
        <w:gridCol w:w="146"/>
        <w:gridCol w:w="200"/>
        <w:gridCol w:w="1420"/>
        <w:gridCol w:w="166"/>
        <w:gridCol w:w="146"/>
        <w:gridCol w:w="682"/>
        <w:gridCol w:w="1853"/>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4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11,945,032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191" w:type="dxa"/>
            <w:tcBorders/>
            <w:shd w:fill="CFF0FC" w:val="cle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3,094,537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c>
          <w:tcPr>
            <w:tcW w:w="18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91" w:type="dxa"/>
            <w:tcBorders/>
            <w:shd w:fill="FFFFFF" w:val="clear"/>
            <w:vAlign w:val="center"/>
          </w:tcPr>
          <w:p>
            <w:pPr>
              <w:pStyle w:val="TableContents"/>
              <w:bidi w:val="0"/>
              <w:spacing w:before="0" w:after="283"/>
              <w:jc w:val="left"/>
              <w:rPr/>
            </w:pPr>
            <w:r>
              <w:rPr/>
              <w:t> </w:t>
            </w:r>
          </w:p>
        </w:tc>
      </w:tr>
      <w:tr>
        <w:trPr/>
        <w:tc>
          <w:tcPr>
            <w:tcW w:w="3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CFF0FC" w:val="cle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14,165,454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June 30, 2024</w:t>
            </w:r>
          </w:p>
        </w:tc>
        <w:tc>
          <w:tcPr>
            <w:tcW w:w="146" w:type="dxa"/>
            <w:tcBorders/>
            <w:shd w:fill="CFF0FC" w:val="cle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7,687,908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Market Condition Options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February 2024, the Company granted options to purchase an aggregate of 1,896,901 shares of the Company’s Class A common stock to certain Company executives, with vesting subject to market conditions (Market Condition Options). The granted options are further divided into 1,032,901 shares granted to the Chief Executive Officer (the CEO Award) and 864,000 shares of executive awards. The Market Condition Options become eligible to vest if the average of the closing sales prices of a share of Class A common stock over a trailing twenty trading day period within seven years from the date of grant reaches a stock price of $5.31 per share (the Market Price Milestone) for the CEO Award and $3.54 per share (a Market Price Milestone) for the executive awards, respectively.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February 2023, the Company granted Market Condition Options to purchase an aggregate of 1,794,000 shares of the Company’s Class A common stock to certain executive officers, with vesting subject to market conditions. These Market Condition Options become eligible to vest if the average of the closing sales prices of a share of Class A common stock over a trailing twenty trading day period within seven years from the date of grant reaches a stock price of $6.89 per share (also a Market Price Milestone).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Under each of the above Market Condition Options, if the Market Price Milestone is achieved, 25% of each Market Condition Option will vest upon certification of such achievement, subject to the recipient’s continued service through the Market Price Milestone achievement date, and an additional 25% of each Market Condition Option will then vest on each of the one-, two- or three-year anniversaries of the Market Price Milestone achievement date, respectively, subject to the recipient’s continued service through the applicable anniversary date. In the event of the Company’s change in control during the seven-year performance period, the performance period will be shortened, achievement of the Market Price Milestone will be assessed based on the per share value of consideration that stockholders receive in the transaction (the change in control price), and if the Market Price Milestone is achieved on that basis, each Market Condition Option will vest in full as of immediately prior to the change in control, subject to the recipient’s continued service as of immediately prior to the change in control.</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Compensation expense is recognized using an accelerated attribution method based on the derived service periods for each of the Market Condition Options. Failure to meet the Market Price Milestone for an award does not result in reversal of previously recognized expense, so long as the service is provided for the duration of the respective derived service period.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assumptions were used to determine the grant date fair value of $1.16 to $1.27 and $2.80 to $3.02 for the 2024 and 2023 Market Condition Options, respectively:</w:t>
      </w:r>
    </w:p>
    <w:tbl>
      <w:tblPr>
        <w:tblW w:w="4574" w:type="dxa"/>
        <w:jc w:val="left"/>
        <w:tblInd w:w="0" w:type="dxa"/>
        <w:tblLayout w:type="fixed"/>
        <w:tblCellMar>
          <w:top w:w="28" w:type="dxa"/>
          <w:left w:w="28" w:type="dxa"/>
          <w:bottom w:w="28" w:type="dxa"/>
          <w:right w:w="28" w:type="dxa"/>
        </w:tblCellMar>
      </w:tblPr>
      <w:tblGrid>
        <w:gridCol w:w="2131"/>
        <w:gridCol w:w="146"/>
        <w:gridCol w:w="211"/>
        <w:gridCol w:w="571"/>
        <w:gridCol w:w="271"/>
        <w:gridCol w:w="146"/>
        <w:gridCol w:w="211"/>
        <w:gridCol w:w="571"/>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Strike price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316" w:type="dxa"/>
            <w:tcBorders/>
            <w:shd w:fill="FFFFFF" w:val="cle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For 2024 and 2023 Market Condition Options, the grant date fair value approximates $2.3 million and $5.2 million, respectively, and was determined using a lattice-binomial option-pricing model based on a Monte Carlo simulation.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the three and six months ended June 30, 2024, the Company recognized compensation expense of $0.6 million and $1.1 million, respectively. For the three and six months ended June 30, 2023, the Company recognized compensation expense of $1.0 million and $1.4 million, respectively.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June 30, 2024, $1.9 million of unrecognized compensation cost related to unvested 2024 Market Condition Options is expected to be recognized as expense over a remaining weighted-average period of 2.7 years.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June 30, 2024, $1.4 million of unrecognized compensation cost related to unvested 2023 Market Condition Options is expected to be recognized as expense over a remaining weighted-average period of 1.6 years.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jc w:val="left"/>
        <w:rPr>
          <w:rFonts w:ascii="Times New Roman" w:hAnsi="Times New Roman"/>
          <w:color w:val="000000"/>
          <w:sz w:val="20"/>
        </w:rPr>
      </w:pPr>
      <w:r>
        <w:rPr>
          <w:rFonts w:ascii="Times New Roman" w:hAnsi="Times New Roman"/>
          <w:color w:val="000000"/>
          <w:sz w:val="20"/>
        </w:rPr>
        <w:t>Restricted stock unit activity for the six months ended June 30, 2024 is as follows:</w:t>
      </w:r>
    </w:p>
    <w:p>
      <w:pPr>
        <w:pStyle w:val="TextBody"/>
        <w:bidi w:val="0"/>
        <w:jc w:val="left"/>
        <w:rPr/>
      </w:pPr>
      <w:r>
        <w:rPr/>
        <w:t> </w:t>
      </w:r>
    </w:p>
    <w:tbl>
      <w:tblPr>
        <w:tblW w:w="6170" w:type="dxa"/>
        <w:jc w:val="left"/>
        <w:tblInd w:w="0" w:type="dxa"/>
        <w:tblLayout w:type="fixed"/>
        <w:tblCellMar>
          <w:top w:w="28" w:type="dxa"/>
          <w:left w:w="28" w:type="dxa"/>
          <w:bottom w:w="28" w:type="dxa"/>
          <w:right w:w="28" w:type="dxa"/>
        </w:tblCellMar>
      </w:tblPr>
      <w:tblGrid>
        <w:gridCol w:w="2596"/>
        <w:gridCol w:w="146"/>
        <w:gridCol w:w="191"/>
        <w:gridCol w:w="1219"/>
        <w:gridCol w:w="166"/>
        <w:gridCol w:w="146"/>
        <w:gridCol w:w="472"/>
        <w:gridCol w:w="1043"/>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Weighted-Average </w:t>
              <w:br/>
              <w:t xml:space="preserve">Grant Date </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12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2,813,076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9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12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(838,948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2"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5,126,373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total of 2,355,024 shares of Class A common stock are reserved for issuance under the employee stock purchase plan (ESPP) as of June 30, 2024. During the six months ended June 30, 2024, 117,399 shares of Class A common stock were issued under the ESPP.</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components of stock-based compensation recognized in the Company’s unaudited condensed consolidated statements of operations and comprehensive loss (in thousands):</w:t>
      </w:r>
    </w:p>
    <w:p>
      <w:pPr>
        <w:pStyle w:val="TextBody"/>
        <w:bidi w:val="0"/>
        <w:jc w:val="left"/>
        <w:rPr/>
      </w:pPr>
      <w:r>
        <w:rPr/>
        <w:t> </w:t>
      </w:r>
    </w:p>
    <w:tbl>
      <w:tblPr>
        <w:tblW w:w="7917" w:type="dxa"/>
        <w:jc w:val="left"/>
        <w:tblInd w:w="0" w:type="dxa"/>
        <w:tblLayout w:type="fixed"/>
        <w:tblCellMar>
          <w:top w:w="28" w:type="dxa"/>
          <w:left w:w="28" w:type="dxa"/>
          <w:bottom w:w="28" w:type="dxa"/>
          <w:right w:w="28" w:type="dxa"/>
        </w:tblCellMar>
      </w:tblPr>
      <w:tblGrid>
        <w:gridCol w:w="2956"/>
        <w:gridCol w:w="146"/>
        <w:gridCol w:w="257"/>
        <w:gridCol w:w="697"/>
        <w:gridCol w:w="178"/>
        <w:gridCol w:w="178"/>
        <w:gridCol w:w="257"/>
        <w:gridCol w:w="697"/>
        <w:gridCol w:w="146"/>
        <w:gridCol w:w="146"/>
        <w:gridCol w:w="211"/>
        <w:gridCol w:w="677"/>
        <w:gridCol w:w="146"/>
        <w:gridCol w:w="146"/>
        <w:gridCol w:w="211"/>
        <w:gridCol w:w="677"/>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w:t>
            </w:r>
          </w:p>
        </w:tc>
        <w:tc>
          <w:tcPr>
            <w:tcW w:w="19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5,161</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7,665</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June 21, 2022, the Company’s Board of Directors approved an option repricing to reduce the exercise price of certain vested, outstanding, and unexercised stock options with an exercise price greater than $19.00 per share, each of which was granted under the 2020 Plan, that were held by employees who were not members of the Board of Directors or officers for purposes of Section 16 of the Securities Exchange Act of 1934, as amended (the Non-Section 16 employees) to $19.00 per share, which was the Company’s initial public offering price. The Board of Directors also approved the repricing of certain unvested, outstanding, and unexercised stock options with an exercise price greater than $19.00 per share that were held by Non-Section 16 employees to $7.40 per share, which was the closing price of the Company’s Class A common stock on the Nasdaq Global Select Market on the date of the approval of the repricing. Except for the exercise price, the amended stock options have the same terms and conditions (including vesting schedule, number of shares, and expiration date) and will continue to be governed by the terms of the 2020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recorded $0.2 million and $0.3 million of incremental compensation expense during the three and six months ended June 30, 2024, respectively. The Company recorded $0.2 million and $0.4 million of incremental compensation expense during the three and six months ended June 30, 2023, respectively. The total unrecognized incremental stock-based compensation associated with the option repricing is $0.8 million, which will be recognized over the next two years.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a lessee, the Company leases approximately 51,000 square feet of office and laboratory space in Redwood City, California with a lease term that is set to end in September 2032. The Company has an option to renew all leased space for an additional five-year term at then-current market rates. In connection with the lease, the Company maintains a letter of credit issued to the lessor in the amount of $0.5 million as of each of June 30, 2024 and December 31, 2023, which is secured by restricted cash and is presented as noncurrent at each date based on the term of the underlying lease. In addition, the Company leases approximately 6,000 square feet of office space in San Diego, California under a lease that runs through September 2024.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components of lease expense and supplemental information were as follows (in thousands):</w:t>
      </w:r>
    </w:p>
    <w:p>
      <w:pPr>
        <w:pStyle w:val="TextBody"/>
        <w:bidi w:val="0"/>
        <w:jc w:val="left"/>
        <w:rPr/>
      </w:pPr>
      <w:r>
        <w:rPr/>
        <w:t> </w:t>
      </w:r>
    </w:p>
    <w:tbl>
      <w:tblPr>
        <w:tblW w:w="6857" w:type="dxa"/>
        <w:jc w:val="left"/>
        <w:tblInd w:w="0" w:type="dxa"/>
        <w:tblLayout w:type="fixed"/>
        <w:tblCellMar>
          <w:top w:w="28" w:type="dxa"/>
          <w:left w:w="28" w:type="dxa"/>
          <w:bottom w:w="28" w:type="dxa"/>
          <w:right w:w="28" w:type="dxa"/>
        </w:tblCellMar>
      </w:tblPr>
      <w:tblGrid>
        <w:gridCol w:w="1876"/>
        <w:gridCol w:w="146"/>
        <w:gridCol w:w="257"/>
        <w:gridCol w:w="697"/>
        <w:gridCol w:w="178"/>
        <w:gridCol w:w="178"/>
        <w:gridCol w:w="257"/>
        <w:gridCol w:w="697"/>
        <w:gridCol w:w="166"/>
        <w:gridCol w:w="146"/>
        <w:gridCol w:w="235"/>
        <w:gridCol w:w="637"/>
        <w:gridCol w:w="162"/>
        <w:gridCol w:w="162"/>
        <w:gridCol w:w="235"/>
        <w:gridCol w:w="637"/>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191" w:type="dxa"/>
            <w:tcBorders/>
            <w:shd w:fill="CFF0FC" w:val="clear"/>
            <w:vAlign w:val="center"/>
          </w:tcPr>
          <w:p>
            <w:pPr>
              <w:pStyle w:val="TableContents"/>
              <w:bidi w:val="0"/>
              <w:spacing w:before="0" w:after="283"/>
              <w:jc w:val="left"/>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1" w:type="dxa"/>
            <w:tcBorders/>
            <w:shd w:fill="FFFFFF" w:val="clear"/>
            <w:vAlign w:val="center"/>
          </w:tcPr>
          <w:p>
            <w:pPr>
              <w:pStyle w:val="TableContents"/>
              <w:bidi w:val="0"/>
              <w:spacing w:before="0" w:after="283"/>
              <w:jc w:val="left"/>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tbl>
      <w:tblPr>
        <w:tblW w:w="6657" w:type="dxa"/>
        <w:jc w:val="left"/>
        <w:tblInd w:w="0" w:type="dxa"/>
        <w:tblLayout w:type="fixed"/>
        <w:tblCellMar>
          <w:top w:w="28" w:type="dxa"/>
          <w:left w:w="28" w:type="dxa"/>
          <w:bottom w:w="28" w:type="dxa"/>
          <w:right w:w="28" w:type="dxa"/>
        </w:tblCellMar>
      </w:tblPr>
      <w:tblGrid>
        <w:gridCol w:w="4126"/>
        <w:gridCol w:w="146"/>
        <w:gridCol w:w="211"/>
        <w:gridCol w:w="522"/>
        <w:gridCol w:w="392"/>
        <w:gridCol w:w="211"/>
        <w:gridCol w:w="211"/>
        <w:gridCol w:w="522"/>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92"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16"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incremental borrowing rate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Variable lease costs primarily consist of common area maintenance.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Supplemental cash flow information related to leases is as follows (in thousands):</w:t>
      </w:r>
    </w:p>
    <w:tbl>
      <w:tblPr>
        <w:tblW w:w="8211" w:type="dxa"/>
        <w:jc w:val="left"/>
        <w:tblInd w:w="0" w:type="dxa"/>
        <w:tblLayout w:type="fixed"/>
        <w:tblCellMar>
          <w:top w:w="28" w:type="dxa"/>
          <w:left w:w="28" w:type="dxa"/>
          <w:bottom w:w="28" w:type="dxa"/>
          <w:right w:w="28" w:type="dxa"/>
        </w:tblCellMar>
      </w:tblPr>
      <w:tblGrid>
        <w:gridCol w:w="5806"/>
        <w:gridCol w:w="146"/>
        <w:gridCol w:w="235"/>
        <w:gridCol w:w="637"/>
        <w:gridCol w:w="162"/>
        <w:gridCol w:w="162"/>
        <w:gridCol w:w="235"/>
        <w:gridCol w:w="637"/>
        <w:gridCol w:w="19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91" w:type="dxa"/>
            <w:tcBorders/>
            <w:shd w:fill="CFF0FC"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obtained in exchange for right-of-use assets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2024, future minimum commitments under the Company’s non-cancelable facility operating leases are as follows (in thousands):</w:t>
      </w:r>
    </w:p>
    <w:p>
      <w:pPr>
        <w:pStyle w:val="TextBody"/>
        <w:bidi w:val="0"/>
        <w:jc w:val="left"/>
        <w:rPr/>
      </w:pPr>
      <w:r>
        <w:rPr/>
        <w:t> </w:t>
      </w:r>
    </w:p>
    <w:tbl>
      <w:tblPr>
        <w:tblW w:w="6175" w:type="dxa"/>
        <w:jc w:val="left"/>
        <w:tblInd w:w="0" w:type="dxa"/>
        <w:tblLayout w:type="fixed"/>
        <w:tblCellMar>
          <w:top w:w="28" w:type="dxa"/>
          <w:left w:w="28" w:type="dxa"/>
          <w:bottom w:w="28" w:type="dxa"/>
          <w:right w:w="28" w:type="dxa"/>
        </w:tblCellMar>
      </w:tblPr>
      <w:tblGrid>
        <w:gridCol w:w="4831"/>
        <w:gridCol w:w="146"/>
        <w:gridCol w:w="211"/>
        <w:gridCol w:w="676"/>
        <w:gridCol w:w="31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Years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(remaining six months)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w:t>
            </w:r>
          </w:p>
        </w:tc>
        <w:tc>
          <w:tcPr>
            <w:tcW w:w="31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w:t>
            </w:r>
          </w:p>
        </w:tc>
        <w:tc>
          <w:tcPr>
            <w:tcW w:w="311" w:type="dxa"/>
            <w:tcBorders/>
            <w:shd w:fill="FFFFFF" w:val="cle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w:t>
            </w:r>
          </w:p>
        </w:tc>
        <w:tc>
          <w:tcPr>
            <w:tcW w:w="31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w:t>
            </w:r>
          </w:p>
        </w:tc>
        <w:tc>
          <w:tcPr>
            <w:tcW w:w="311" w:type="dxa"/>
            <w:tcBorders/>
            <w:shd w:fill="FFFFFF" w:val="cle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31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undiscounted future minimum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34,892</w:t>
            </w:r>
          </w:p>
        </w:tc>
        <w:tc>
          <w:tcPr>
            <w:tcW w:w="31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adjustment for minimum lease commitments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lessor, the Company has contracts for equipment leased to customers. The Company accounts for the non-lease component under the revenue recognition ASC 606 guidance and the lease component under ASC 842 guidance.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an arrangement that has been classified as a sales-type lease, revenue is recognized when the transfer of control of the underlying leased asset has occurred and the net investment lease recorded, which is calculated at the present value of the remaining lease payments due from the lessee. For an arrangement that has been classified as an operating lease, revenue is recognized on a straight-line basis over the lease term.</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Purchase Commitments and Obligations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Company has certain purchase commitments related to its inventory management with certain manufacturing suppliers wherein the Company is required to purchase the amounts forecasted in a blanket purchase order within a certain time period. The Company also has certain contractual obligations for third-party technology used as part of the normal operations. The contractual obligations represent future cash commitments and liabilities under agreements with third parties and exclude orders for goods and services entered into in the normal course of business that are not enforceable or are subject to change. These outstanding commitments amounted to $0.9 million and $6.3 million as of June 30, 2024 and December 31, 2023, respectively.</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June 30, 2024 and December 31, 2023, the Company does not have any material indemnification claims that were probable or reasonably possible and consequently has not recorded related liabilities.</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Company may, from time to time, be involved in legal proceedings arising in the ordinary course of business. As of June 30, 2024, the Company had accrued legal contingencies of $1.3 million, recorded within accrued expenses in the unaudited condensed consolidated balance sheets. While there can be no assurances as to the ultimate outcome of any litigation involving the Company, management does not believe any pending legal proceedings will result in a judgment or settlement that will have a material adverse effect on the Company’s financial position, results of operations or cash flows.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has concluded that PrognomiQ is a variable interest entities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The Company has determined that it has the ability to exercise significant influence over PrognomiQ and therefore has accounted for its investment in PrognomiQ using the equity method. During the year ended December 31, 2020, the carrying value of the Company’s investment in PrognomiQ was reduced to nil after recognizing net losses based on its percentage of ownership in PrognomiQ.</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PrognomiQ constitutes a related party and, as of each of June 30, 2024 and December 31, 2023, the Company recorded $0.6 million in related party receivables, on the condensed consolidated balance sheets mainly due from product sales. For the three and six months ended June 30, 2024, the Company recognized revenue of $0.6 million and $1.5 million, respectively, of which $0.4 million and $1.2 million, respectively, were from product sales. This is presented as related party revenue on the unaudited condensed consolidated statements of operations and comprehensive loss. For the three and six months ended June 30, 2023, the Company recognized revenue of $1.4 million and $2.7 million, respectively, which is presented as related party revenue on the unaudited condensed consolidated statements of operations and comprehensive loss and is comprised of the sale of instruments and consumables.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During 2022, a member of the Company’s Board of Directors served as a board member and an executive officer at a company that is a customer of the Company. There was no revenue recognized for each of the three and six months ended June 30, 2024 and 2023. The Company has a contract for equipment leased to this customer that has been classified as a sales-type lease. As of each of June 30, 2024 and December 31, 2023, the lease receivables related to the sales-type lease are $0.2 million. The lease receivables are presented as prepaid expenses and other current assets on the condensed consolidated balance sheets.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NET LOSS PER SHARE ATTRIBUTABLE TO COMMON STOCKHOLDERS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shows the computation of basic and diluted net loss per share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9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(47,390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9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used in computing net loss per share</w:t>
              <w:br/>
              <w:t>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64,576,399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63,762,625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64,581,228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63,654,348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tbl>
      <w:tblPr>
        <w:tblW w:w="7539" w:type="dxa"/>
        <w:jc w:val="left"/>
        <w:tblInd w:w="0" w:type="dxa"/>
        <w:tblLayout w:type="fixed"/>
        <w:tblCellMar>
          <w:top w:w="28" w:type="dxa"/>
          <w:left w:w="28" w:type="dxa"/>
          <w:bottom w:w="28" w:type="dxa"/>
          <w:right w:w="28" w:type="dxa"/>
        </w:tblCellMar>
      </w:tblPr>
      <w:tblGrid>
        <w:gridCol w:w="4546"/>
        <w:gridCol w:w="146"/>
        <w:gridCol w:w="146"/>
        <w:gridCol w:w="1036"/>
        <w:gridCol w:w="146"/>
        <w:gridCol w:w="146"/>
        <w:gridCol w:w="146"/>
        <w:gridCol w:w="1036"/>
        <w:gridCol w:w="19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options issued and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14,165,454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13,290,512</w:t>
            </w:r>
          </w:p>
        </w:tc>
        <w:tc>
          <w:tcPr>
            <w:tcW w:w="191" w:type="dxa"/>
            <w:tcBorders/>
            <w:shd w:fill="CFF0FC" w:val="cle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common stock subject to future vesting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52,182</w:t>
            </w:r>
          </w:p>
        </w:tc>
        <w:tc>
          <w:tcPr>
            <w:tcW w:w="191" w:type="dxa"/>
            <w:tcBorders/>
            <w:shd w:fill="FFFFFF" w:val="clear"/>
            <w:vAlign w:val="center"/>
          </w:tcPr>
          <w:p>
            <w:pPr>
              <w:pStyle w:val="TableContents"/>
              <w:bidi w:val="0"/>
              <w:spacing w:before="0" w:after="283"/>
              <w:jc w:val="left"/>
              <w:rPr/>
            </w:pPr>
            <w:r>
              <w:rPr/>
              <w:t> </w:t>
            </w:r>
          </w:p>
        </w:tc>
      </w:tr>
      <w:tr>
        <w:trPr/>
        <w:tc>
          <w:tcPr>
            <w:tcW w:w="4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5,126,373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3,655,039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19,291,827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16,997,733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sz w:val="20"/>
        </w:rPr>
      </w:pPr>
      <w:bookmarkStart w:id="10" w:name="item_2_mda"/>
      <w:bookmarkEnd w:id="10"/>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Management’s Discussion and Analysis of Financial Condition and Results of Operations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related notes included elsewhere in Part I, Item 1 of this Quarterly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mission is to imagine and pioneer new ways to decode the biology of the proteome to improve human health. Our product, the Proteograph Product Suite (Proteograph), leverages our proprietary engineered nanoparticle (NP) technology to provide unbiased, deep, rapid and large-scale access to the proteome. The Proteograph Product Suite is an integrated solution that includes consumables, an automation instrument and software. 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and being a publicly-traded company, and providing general and administrative support for these activities.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generate product and service revenue sufficient to achieve profitability, if ever, will depend on the successful commercialization of the Proteograph Product Suite and related products and services. We are commercializing the Proteograph Product Suite as an integrated solution comprised of consumables, our SP100 automation instrument and software. Our commercial strategy is focused on growing adoption by the research community of the Proteograph, expanding the installed base and increasing utilization to generate revenue from the purchase of Proteograph consumables. We expect a highly efficient sales model because our workflow integrates with most existing proteomics laboratories’ workflows and also complements large-scale genomics research. We are focused on removing barriers to access to the Proteograph, including through our service offering.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broadly commercializing the Proteograph Product Suite through a direct sales channel in the United States, and through both direct and distributor sales channels in regions outside the United States. Since we are in the early stages of commercialization, we have built, and will continue to build our sales, marketing, support and product distribution capabilities. In addition, we will continue to build the necessary infrastructure for these activities in the United States, European Union, the United Kingdom, and other countries and regions, including Asia-Pacific, as we execute on our commercialization strategy for the Proteograph.</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We are currently manufacturing using our production-scale and pilot lines and continue to build out our manufacturing capabilities to support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designed the SP100 automation instrument and have outsourced its manufacturing to Hamilton Company, a leading manufacturer of automated liquid handling workstations. We have entered into a non-exclusive agreement with Hamilton that covers the manufacturing of the SP100 automation instrument and its continued supply on a purchase order basis. The agreement has an initial term that expires three years following our commercial launch. We have the option to extend the term of the agreement with Hamilton upon written notice at the end of the initial term; provided that prices are only fixed during the initial term of the agreement. Hamilton has represented to us that it maintains ISO 9001 and ISO 13485 certifications.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six months ended June 30, 2024 and 2023, we incurred a net loss of $43.5 million and $47.4 million and used $20.5 million and $34.5 million of cash in operations, respectively. As of June 30, 2024, we had an accumulated deficit of $349.3 million, and cash, cash equivalents, and investments of $344.6 million. We expect to continue to incur significant losses and do not expect positive cash flows from operations for the foreseeable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expenses may increase in connection with our ongoing activities, as we: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broadly commercialize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attract, hire and retain qualified personnel;</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continue to build our sales, marketing, service, support and distribution infrastructure as part of our commercialization efforts;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build-out and expand our in-house NP manufacturing capabilities;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continue to engage in research and development of other products and enhancements to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implement operational, financial and management information systems;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obtain, maintain, expand, and protect our intellectual property portfolio;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build the infrastructure to operate and scale as a public company.</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product revenue consists of an instrument with embedded software essential to the instrument’s functionality and consumables. Our service revenue primarily consists of revenue received from the generation and analysis of proteomic data on behalf of the customer. Our related party revenue is comprised of both product sales and services performed for related parties. Our grant and other revenue consists of research-related grants, lease arrangements, and shipping revenue. Our revenue is primarily generated domestically. We intend to focus our commercial efforts in the United States and expect to grow our international presence.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utilize third-party manufacturers for production of our SP100 instrument and we manufacture our NPs and assemble our assay kits internally. Cost of revenue consists primarily of costs of the components of the Proteograph Product Suite, including the SP100 instrument and consumables, costs of services related to the generation and analysis of proteomic data on behalf of our customers, and distribution-related expenses such as logistics and shipping costs. In addition, cost of revenue includes employee compensation, such as stock-based compensation and employee benefits, allocated overhead, including depreciation, and charges related to inventory reserves.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Research and development (R&amp;D) expenses include costs associated with R&amp;D of our technology and product candidates. R&amp;D expenses consist primarily of employee compensation, including stock-based compensation and employee benefits, laboratory supplies used for in-house research, consulting costs, and allocated costs, including rent, depreciation, information technology and utilities.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expenses consist primarily of employee compensation, including stock-based compensation, and benefits for executive management, sales and marketing, customer support, finance, administrative, human resources, legal functions, allocated costs, including depreciation, professional service fees and other general overhead costs to support our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 income (expense) consists primarily of interest income earned on cash, cash equivalents and investments, asset disposals, and realized and unrealized gains and losses on foreign currency transactions.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Comparisons of the Three Months Ended June 30, 2024 and 2023</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p>
      <w:pPr>
        <w:pStyle w:val="TextBody"/>
        <w:bidi w:val="0"/>
        <w:jc w:val="left"/>
        <w:rPr/>
      </w:pPr>
      <w:r>
        <w:rPr/>
        <w:t> </w:t>
      </w:r>
    </w:p>
    <w:tbl>
      <w:tblPr>
        <w:tblW w:w="8330" w:type="dxa"/>
        <w:jc w:val="left"/>
        <w:tblInd w:w="0" w:type="dxa"/>
        <w:tblLayout w:type="fixed"/>
        <w:tblCellMar>
          <w:top w:w="28" w:type="dxa"/>
          <w:left w:w="28" w:type="dxa"/>
          <w:bottom w:w="28" w:type="dxa"/>
          <w:right w:w="28" w:type="dxa"/>
        </w:tblCellMar>
      </w:tblPr>
      <w:tblGrid>
        <w:gridCol w:w="3156"/>
        <w:gridCol w:w="146"/>
        <w:gridCol w:w="212"/>
        <w:gridCol w:w="741"/>
        <w:gridCol w:w="167"/>
        <w:gridCol w:w="146"/>
        <w:gridCol w:w="212"/>
        <w:gridCol w:w="741"/>
        <w:gridCol w:w="166"/>
        <w:gridCol w:w="146"/>
        <w:gridCol w:w="211"/>
        <w:gridCol w:w="631"/>
        <w:gridCol w:w="166"/>
        <w:gridCol w:w="146"/>
        <w:gridCol w:w="146"/>
        <w:gridCol w:w="421"/>
        <w:gridCol w:w="776"/>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52"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776" w:type="dxa"/>
            <w:tcBorders/>
            <w:shd w:fill="FFFFFF" w:val="clear"/>
            <w:vAlign w:val="center"/>
          </w:tcPr>
          <w:p>
            <w:pPr>
              <w:pStyle w:val="TableContents"/>
              <w:bidi w:val="0"/>
              <w:spacing w:before="0" w:after="283"/>
              <w:jc w:val="center"/>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53"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776"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 and other</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953"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776"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 and other</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53"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200"/>
              <w:jc w:val="right"/>
              <w:rPr/>
            </w:pPr>
            <w:r>
              <w:rPr/>
              <w:t> </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12,734</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(27,096</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953"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776"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(22,850</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5399" w:type="dxa"/>
        <w:jc w:val="left"/>
        <w:tblInd w:w="0" w:type="dxa"/>
        <w:tblLayout w:type="fixed"/>
        <w:tblCellMar>
          <w:top w:w="28" w:type="dxa"/>
          <w:left w:w="28" w:type="dxa"/>
          <w:bottom w:w="28" w:type="dxa"/>
          <w:right w:w="28" w:type="dxa"/>
        </w:tblCellMar>
      </w:tblPr>
      <w:tblGrid>
        <w:gridCol w:w="841"/>
        <w:gridCol w:w="146"/>
        <w:gridCol w:w="252"/>
        <w:gridCol w:w="683"/>
        <w:gridCol w:w="174"/>
        <w:gridCol w:w="174"/>
        <w:gridCol w:w="252"/>
        <w:gridCol w:w="683"/>
        <w:gridCol w:w="146"/>
        <w:gridCol w:w="146"/>
        <w:gridCol w:w="211"/>
        <w:gridCol w:w="481"/>
        <w:gridCol w:w="166"/>
        <w:gridCol w:w="146"/>
        <w:gridCol w:w="146"/>
        <w:gridCol w:w="376"/>
        <w:gridCol w:w="37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036"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 for the three months ended June 30, 2024, decreased by $0.9 million, or 23%, compared to the three months ended June 30, 2023. The decrease was primarily due to lower consumable kits sales to a related party and no grant revenue recognized during the period.</w:t>
      </w:r>
    </w:p>
    <w:p>
      <w:pPr>
        <w:pStyle w:val="TextBody"/>
        <w:bidi w:val="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jc w:val="left"/>
        <w:rPr/>
      </w:pPr>
      <w:r>
        <w:rPr/>
        <w:t> </w:t>
      </w:r>
    </w:p>
    <w:tbl>
      <w:tblPr>
        <w:tblW w:w="5954" w:type="dxa"/>
        <w:jc w:val="left"/>
        <w:tblInd w:w="0" w:type="dxa"/>
        <w:tblLayout w:type="fixed"/>
        <w:tblCellMar>
          <w:top w:w="28" w:type="dxa"/>
          <w:left w:w="28" w:type="dxa"/>
          <w:bottom w:w="28" w:type="dxa"/>
          <w:right w:w="28" w:type="dxa"/>
        </w:tblCellMar>
      </w:tblPr>
      <w:tblGrid>
        <w:gridCol w:w="1396"/>
        <w:gridCol w:w="146"/>
        <w:gridCol w:w="252"/>
        <w:gridCol w:w="683"/>
        <w:gridCol w:w="174"/>
        <w:gridCol w:w="174"/>
        <w:gridCol w:w="252"/>
        <w:gridCol w:w="683"/>
        <w:gridCol w:w="146"/>
        <w:gridCol w:w="146"/>
        <w:gridCol w:w="211"/>
        <w:gridCol w:w="481"/>
        <w:gridCol w:w="166"/>
        <w:gridCol w:w="146"/>
        <w:gridCol w:w="146"/>
        <w:gridCol w:w="376"/>
        <w:gridCol w:w="37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036"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1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Cost of revenue for the three months ended June 30, 2024, decreased by $0.4 million, or 22%, compared to the three months ended June 30, 2023. The decrease was primarily due to an increase in service revenue and lower product revenue from fewer instrument sales, which have a higher cost of revenue, offset by increased overhead expenses, installation, training, warranty, and other costs of revenue.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jc w:val="left"/>
        <w:rPr/>
      </w:pPr>
      <w:r>
        <w:rPr/>
        <w:t> </w:t>
      </w:r>
    </w:p>
    <w:tbl>
      <w:tblPr>
        <w:tblW w:w="7017" w:type="dxa"/>
        <w:jc w:val="left"/>
        <w:tblInd w:w="0" w:type="dxa"/>
        <w:tblLayout w:type="fixed"/>
        <w:tblCellMar>
          <w:top w:w="28" w:type="dxa"/>
          <w:left w:w="28" w:type="dxa"/>
          <w:bottom w:w="28" w:type="dxa"/>
          <w:right w:w="28" w:type="dxa"/>
        </w:tblCellMar>
      </w:tblPr>
      <w:tblGrid>
        <w:gridCol w:w="2311"/>
        <w:gridCol w:w="146"/>
        <w:gridCol w:w="226"/>
        <w:gridCol w:w="726"/>
        <w:gridCol w:w="156"/>
        <w:gridCol w:w="156"/>
        <w:gridCol w:w="226"/>
        <w:gridCol w:w="726"/>
        <w:gridCol w:w="146"/>
        <w:gridCol w:w="146"/>
        <w:gridCol w:w="211"/>
        <w:gridCol w:w="631"/>
        <w:gridCol w:w="166"/>
        <w:gridCol w:w="146"/>
        <w:gridCol w:w="146"/>
        <w:gridCol w:w="376"/>
        <w:gridCol w:w="37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84"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12,734</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Research and development expenses for the three months ended June 30, 2024, decreased by $1.4 million, or 10%, compared to the three months ended June 30, 2023. The decrease was primarily due to lower headcount which resulted in a decrease in employee compensation costs of $1.2 million and a $0.6 million decrease in stock-based compensation. The decrease was offset by a $0.3 million increase in laboratory expenses and a $0.2 million increase in depreciation of laboratory equipment.</w:t>
      </w:r>
    </w:p>
    <w:p>
      <w:pPr>
        <w:pStyle w:val="TextBody"/>
        <w:bidi w:val="0"/>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jc w:val="left"/>
        <w:rPr/>
      </w:pPr>
      <w:r>
        <w:rPr/>
        <w:t> </w:t>
      </w:r>
    </w:p>
    <w:tbl>
      <w:tblPr>
        <w:tblW w:w="7266" w:type="dxa"/>
        <w:jc w:val="left"/>
        <w:tblInd w:w="0" w:type="dxa"/>
        <w:tblLayout w:type="fixed"/>
        <w:tblCellMar>
          <w:top w:w="28" w:type="dxa"/>
          <w:left w:w="28" w:type="dxa"/>
          <w:bottom w:w="28" w:type="dxa"/>
          <w:right w:w="28" w:type="dxa"/>
        </w:tblCellMar>
      </w:tblPr>
      <w:tblGrid>
        <w:gridCol w:w="2956"/>
        <w:gridCol w:w="146"/>
        <w:gridCol w:w="226"/>
        <w:gridCol w:w="726"/>
        <w:gridCol w:w="156"/>
        <w:gridCol w:w="156"/>
        <w:gridCol w:w="226"/>
        <w:gridCol w:w="726"/>
        <w:gridCol w:w="146"/>
        <w:gridCol w:w="146"/>
        <w:gridCol w:w="276"/>
        <w:gridCol w:w="415"/>
        <w:gridCol w:w="146"/>
        <w:gridCol w:w="146"/>
        <w:gridCol w:w="146"/>
        <w:gridCol w:w="211"/>
        <w:gridCol w:w="31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48"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16" w:type="dxa"/>
            <w:tcBorders/>
            <w:shd w:fill="FFFFFF" w:val="cle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16,093</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expenses remained flat for the three months ended June 30, 2024.</w:t>
      </w:r>
    </w:p>
    <w:p>
      <w:pPr>
        <w:pStyle w:val="TextBody"/>
        <w:bidi w:val="0"/>
        <w:jc w:val="left"/>
        <w:rPr>
          <w:rFonts w:ascii="Times New Roman" w:hAnsi="Times New Roman"/>
          <w:b/>
          <w:i/>
          <w:color w:val="000000"/>
          <w:sz w:val="20"/>
        </w:rPr>
      </w:pPr>
      <w:r>
        <w:rPr>
          <w:rFonts w:ascii="Times New Roman" w:hAnsi="Times New Roman"/>
          <w:b/>
          <w:i/>
          <w:color w:val="000000"/>
          <w:sz w:val="20"/>
        </w:rPr>
        <w:t>Total Other Income (Expense)</w:t>
      </w:r>
    </w:p>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1666"/>
        <w:gridCol w:w="146"/>
        <w:gridCol w:w="252"/>
        <w:gridCol w:w="683"/>
        <w:gridCol w:w="174"/>
        <w:gridCol w:w="174"/>
        <w:gridCol w:w="252"/>
        <w:gridCol w:w="683"/>
        <w:gridCol w:w="146"/>
        <w:gridCol w:w="146"/>
        <w:gridCol w:w="211"/>
        <w:gridCol w:w="481"/>
        <w:gridCol w:w="166"/>
        <w:gridCol w:w="146"/>
        <w:gridCol w:w="146"/>
        <w:gridCol w:w="271"/>
        <w:gridCol w:w="376"/>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31"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other income for the three months ended June 30, 2024, decreased by $0.3 million, or 6%, compared to the three months ended June 30, 2023. The decrease was primarily due to loss on asset disposals.</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Comparisons of the Six Months Ended June 30, 2024 and 2023</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p>
      <w:pPr>
        <w:pStyle w:val="TextBody"/>
        <w:bidi w:val="0"/>
        <w:jc w:val="left"/>
        <w:rPr/>
      </w:pPr>
      <w:r>
        <w:rPr/>
        <w:t> </w:t>
      </w:r>
    </w:p>
    <w:tbl>
      <w:tblPr>
        <w:tblW w:w="8317" w:type="dxa"/>
        <w:jc w:val="left"/>
        <w:tblInd w:w="0" w:type="dxa"/>
        <w:tblLayout w:type="fixed"/>
        <w:tblCellMar>
          <w:top w:w="28" w:type="dxa"/>
          <w:left w:w="28" w:type="dxa"/>
          <w:bottom w:w="28" w:type="dxa"/>
          <w:right w:w="28" w:type="dxa"/>
        </w:tblCellMar>
      </w:tblPr>
      <w:tblGrid>
        <w:gridCol w:w="3156"/>
        <w:gridCol w:w="146"/>
        <w:gridCol w:w="211"/>
        <w:gridCol w:w="736"/>
        <w:gridCol w:w="166"/>
        <w:gridCol w:w="146"/>
        <w:gridCol w:w="211"/>
        <w:gridCol w:w="736"/>
        <w:gridCol w:w="166"/>
        <w:gridCol w:w="146"/>
        <w:gridCol w:w="211"/>
        <w:gridCol w:w="631"/>
        <w:gridCol w:w="166"/>
        <w:gridCol w:w="146"/>
        <w:gridCol w:w="146"/>
        <w:gridCol w:w="421"/>
        <w:gridCol w:w="776"/>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39"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776" w:type="dxa"/>
            <w:tcBorders/>
            <w:shd w:fill="FFFFFF" w:val="clear"/>
            <w:vAlign w:val="center"/>
          </w:tcPr>
          <w:p>
            <w:pPr>
              <w:pStyle w:val="TableContents"/>
              <w:bidi w:val="0"/>
              <w:spacing w:before="0" w:after="283"/>
              <w:jc w:val="center"/>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776"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776"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200"/>
              <w:jc w:val="right"/>
              <w:rPr/>
            </w:pPr>
            <w:r>
              <w:rPr/>
              <w:t> </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776"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5355" w:type="dxa"/>
        <w:jc w:val="left"/>
        <w:tblInd w:w="0" w:type="dxa"/>
        <w:tblLayout w:type="fixed"/>
        <w:tblCellMar>
          <w:top w:w="28" w:type="dxa"/>
          <w:left w:w="28" w:type="dxa"/>
          <w:bottom w:w="28" w:type="dxa"/>
          <w:right w:w="28" w:type="dxa"/>
        </w:tblCellMar>
      </w:tblPr>
      <w:tblGrid>
        <w:gridCol w:w="841"/>
        <w:gridCol w:w="146"/>
        <w:gridCol w:w="230"/>
        <w:gridCol w:w="623"/>
        <w:gridCol w:w="159"/>
        <w:gridCol w:w="159"/>
        <w:gridCol w:w="230"/>
        <w:gridCol w:w="623"/>
        <w:gridCol w:w="146"/>
        <w:gridCol w:w="146"/>
        <w:gridCol w:w="211"/>
        <w:gridCol w:w="631"/>
        <w:gridCol w:w="166"/>
        <w:gridCol w:w="146"/>
        <w:gridCol w:w="146"/>
        <w:gridCol w:w="376"/>
        <w:gridCol w:w="37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92"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 for the six months ended June 30, 2024, decreased by $1.9 million, or 24%, compared to the six months ended June 30, 2023. The decrease was primarily due to lower product sales, of which $1.4 million was attributed to related party revenue and no grant revenue recognized during the period.</w:t>
      </w:r>
    </w:p>
    <w:p>
      <w:pPr>
        <w:pStyle w:val="TextBody"/>
        <w:bidi w:val="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jc w:val="left"/>
        <w:rPr/>
      </w:pPr>
      <w:r>
        <w:rPr/>
        <w:t> </w:t>
      </w:r>
    </w:p>
    <w:tbl>
      <w:tblPr>
        <w:tblW w:w="5760" w:type="dxa"/>
        <w:jc w:val="left"/>
        <w:tblInd w:w="0" w:type="dxa"/>
        <w:tblLayout w:type="fixed"/>
        <w:tblCellMar>
          <w:top w:w="28" w:type="dxa"/>
          <w:left w:w="28" w:type="dxa"/>
          <w:bottom w:w="28" w:type="dxa"/>
          <w:right w:w="28" w:type="dxa"/>
        </w:tblCellMar>
      </w:tblPr>
      <w:tblGrid>
        <w:gridCol w:w="1396"/>
        <w:gridCol w:w="146"/>
        <w:gridCol w:w="230"/>
        <w:gridCol w:w="623"/>
        <w:gridCol w:w="159"/>
        <w:gridCol w:w="159"/>
        <w:gridCol w:w="230"/>
        <w:gridCol w:w="623"/>
        <w:gridCol w:w="146"/>
        <w:gridCol w:w="146"/>
        <w:gridCol w:w="211"/>
        <w:gridCol w:w="481"/>
        <w:gridCol w:w="166"/>
        <w:gridCol w:w="146"/>
        <w:gridCol w:w="146"/>
        <w:gridCol w:w="376"/>
        <w:gridCol w:w="37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42"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1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Cost of revenue for the six months ended June 30, 2024, decreased by $0.7 million, or 18%, compared to the six months ended June 30, 2023. The decrease was primarily due to lower product revenue from fewer instrument sales, which have a higher cost of revenue, offset by increased overhead expenses, installation, training, warranty, and other costs of revenue.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jc w:val="left"/>
        <w:rPr/>
      </w:pPr>
      <w:r>
        <w:rPr/>
        <w:t> </w:t>
      </w:r>
    </w:p>
    <w:tbl>
      <w:tblPr>
        <w:tblW w:w="6867" w:type="dxa"/>
        <w:jc w:val="left"/>
        <w:tblInd w:w="0" w:type="dxa"/>
        <w:tblLayout w:type="fixed"/>
        <w:tblCellMar>
          <w:top w:w="28" w:type="dxa"/>
          <w:left w:w="28" w:type="dxa"/>
          <w:bottom w:w="28" w:type="dxa"/>
          <w:right w:w="28" w:type="dxa"/>
        </w:tblCellMar>
      </w:tblPr>
      <w:tblGrid>
        <w:gridCol w:w="2311"/>
        <w:gridCol w:w="146"/>
        <w:gridCol w:w="211"/>
        <w:gridCol w:w="676"/>
        <w:gridCol w:w="146"/>
        <w:gridCol w:w="146"/>
        <w:gridCol w:w="211"/>
        <w:gridCol w:w="676"/>
        <w:gridCol w:w="146"/>
        <w:gridCol w:w="146"/>
        <w:gridCol w:w="211"/>
        <w:gridCol w:w="631"/>
        <w:gridCol w:w="166"/>
        <w:gridCol w:w="146"/>
        <w:gridCol w:w="146"/>
        <w:gridCol w:w="376"/>
        <w:gridCol w:w="37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034"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Research and development expenses for the six months ended June 30, 2024, decreased by $3.6 million, or 13%, compared to the six months ended June 30, 2023. The decrease was primarily due to lower headcount which resulted in a decrease in employee compensation costs of $2.0 million, a $1.0 million decrease in stock-based compensation, and a $0.4 million decrease in laboratory expenses.</w:t>
      </w:r>
    </w:p>
    <w:p>
      <w:pPr>
        <w:pStyle w:val="TextBody"/>
        <w:bidi w:val="0"/>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jc w:val="left"/>
        <w:rPr/>
      </w:pPr>
      <w:r>
        <w:rPr/>
        <w:t> </w:t>
      </w:r>
    </w:p>
    <w:tbl>
      <w:tblPr>
        <w:tblW w:w="7257" w:type="dxa"/>
        <w:jc w:val="left"/>
        <w:tblInd w:w="0" w:type="dxa"/>
        <w:tblLayout w:type="fixed"/>
        <w:tblCellMar>
          <w:top w:w="28" w:type="dxa"/>
          <w:left w:w="28" w:type="dxa"/>
          <w:bottom w:w="28" w:type="dxa"/>
          <w:right w:w="28" w:type="dxa"/>
        </w:tblCellMar>
      </w:tblPr>
      <w:tblGrid>
        <w:gridCol w:w="2956"/>
        <w:gridCol w:w="146"/>
        <w:gridCol w:w="211"/>
        <w:gridCol w:w="676"/>
        <w:gridCol w:w="146"/>
        <w:gridCol w:w="146"/>
        <w:gridCol w:w="211"/>
        <w:gridCol w:w="676"/>
        <w:gridCol w:w="146"/>
        <w:gridCol w:w="146"/>
        <w:gridCol w:w="211"/>
        <w:gridCol w:w="481"/>
        <w:gridCol w:w="166"/>
        <w:gridCol w:w="146"/>
        <w:gridCol w:w="146"/>
        <w:gridCol w:w="271"/>
        <w:gridCol w:w="37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79"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expenses for the six months ended June 30, 2024, decreased by $0.7 million, or 2%, compared to the six months ended June 30, 2023. The decrease was primarily due to a $2.3 million decrease in stock-based compensation, a $1.5 million decrease in employee compensation costs, and a $0.2 million decrease in travel expenses. The decrease was offset by a $2.5 million increase in professional service expenses and a $0.7 million increase in allocated costs.</w:t>
      </w:r>
    </w:p>
    <w:p>
      <w:pPr>
        <w:pStyle w:val="TextBody"/>
        <w:bidi w:val="0"/>
        <w:jc w:val="left"/>
        <w:rPr>
          <w:rFonts w:ascii="Times New Roman" w:hAnsi="Times New Roman"/>
          <w:b/>
          <w:i/>
          <w:color w:val="000000"/>
          <w:sz w:val="20"/>
        </w:rPr>
      </w:pPr>
      <w:r>
        <w:rPr>
          <w:rFonts w:ascii="Times New Roman" w:hAnsi="Times New Roman"/>
          <w:b/>
          <w:i/>
          <w:color w:val="000000"/>
          <w:sz w:val="20"/>
        </w:rPr>
        <w:t>Total Other Income (Expense)</w:t>
      </w:r>
    </w:p>
    <w:p>
      <w:pPr>
        <w:pStyle w:val="TextBody"/>
        <w:bidi w:val="0"/>
        <w:jc w:val="left"/>
        <w:rPr/>
      </w:pPr>
      <w:r>
        <w:rPr/>
        <w:t> </w:t>
      </w:r>
    </w:p>
    <w:tbl>
      <w:tblPr>
        <w:tblW w:w="5889" w:type="dxa"/>
        <w:jc w:val="left"/>
        <w:tblInd w:w="0" w:type="dxa"/>
        <w:tblLayout w:type="fixed"/>
        <w:tblCellMar>
          <w:top w:w="28" w:type="dxa"/>
          <w:left w:w="28" w:type="dxa"/>
          <w:bottom w:w="28" w:type="dxa"/>
          <w:right w:w="28" w:type="dxa"/>
        </w:tblCellMar>
      </w:tblPr>
      <w:tblGrid>
        <w:gridCol w:w="1666"/>
        <w:gridCol w:w="146"/>
        <w:gridCol w:w="230"/>
        <w:gridCol w:w="623"/>
        <w:gridCol w:w="159"/>
        <w:gridCol w:w="159"/>
        <w:gridCol w:w="230"/>
        <w:gridCol w:w="623"/>
        <w:gridCol w:w="146"/>
        <w:gridCol w:w="146"/>
        <w:gridCol w:w="230"/>
        <w:gridCol w:w="461"/>
        <w:gridCol w:w="146"/>
        <w:gridCol w:w="146"/>
        <w:gridCol w:w="146"/>
        <w:gridCol w:w="316"/>
        <w:gridCol w:w="316"/>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61" w:type="dxa"/>
            <w:gridSpan w:val="14"/>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16" w:type="dxa"/>
            <w:tcBorders/>
            <w:shd w:fill="FFFFFF" w:val="clear"/>
            <w:vAlign w:val="center"/>
          </w:tcPr>
          <w:p>
            <w:pPr>
              <w:pStyle w:val="TableContents"/>
              <w:bidi w:val="0"/>
              <w:spacing w:before="0" w:after="283"/>
              <w:jc w:val="center"/>
              <w:rPr/>
            </w:pPr>
            <w:r>
              <w:rPr/>
              <w:t> </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Total other income for the six months ended June 30, 2024, increased by $0.8 million, or 10%, compared to the six months ended June 30, 2023. The increase was mainly due to higher rates of interest earned on cash invested in money market funds, U.S. Treasury securities, commercial paper, corporate securities and government agency debt.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Since the date of our incorporation, we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cash equivalents and investments, we believe we will have adequate liquidity over the next twelve months following the date of this Quarterly Report to operate our business and to meet our cash requirements. If our available cash, cash equivalents and investments and anticipated cash flows from operations are insufficient to satisfy our liquidity requirements, we may consider raising additional capital to expand our business, pursue strategic investments, take advantage of financing opportunities or for other reasons.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enter into agreements as part of the normal course of business with various vendors, which are generally cancellable without material penalty upon written notice. Payments associated with these agreements are not included in this discussion of contractual obligations.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operating lease obligations reflect our lease obligations for our office and laboratory space in Redwood City, California and office space in San Diego, California. We lease approximately 51,000 square feet of office and laboratory space in Redwood City, California, and the lease is set to end on September 30, 2032 with an option to renew for an additional five-year term at then-current market rates. We maintain a letter of credit issued to the lessor in the amount of $0.5 million as of each of June 30, 2024 and December 31, 2023, which is secured by restricted cash and is presented as noncurrent at each date based on the term of the underlying lease. We lease approximately 6,000 square feet of office space in San Diego, California that runs through September 2024.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certain purchase commitments related to our inventory management with certain manufacturing suppliers wherein we are required to purchase the amounts forecasted in a blanket purchase order within a certain time period. The Company also has certain contractual obligations for third-party technology used as part of its normal operations.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$0.9 million as of June 30, 2024.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take a long-term view in growing and scaling our business and regularly review opportunities that meet our long-term growth objectives. Our future capital requirements will depend on many factors including our revenue growth rate, investments in continued commercialization efforts, acquisitions of complementary or enhancing technologies or businesses, including intellectual property rights, the timing and extent of additional capital expenditures to invest in existing and new facilities, the expansion of sales and marketing and international activities and the extent and magnitude of our ongoing research and development programs.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w:t>
      </w:r>
    </w:p>
    <w:p>
      <w:pPr>
        <w:pStyle w:val="TextBody"/>
        <w:bidi w:val="0"/>
        <w:jc w:val="left"/>
        <w:rPr/>
      </w:pPr>
      <w:r>
        <w:rPr/>
        <w:t> </w:t>
      </w:r>
    </w:p>
    <w:tbl>
      <w:tblPr>
        <w:tblW w:w="8129" w:type="dxa"/>
        <w:jc w:val="left"/>
        <w:tblInd w:w="0" w:type="dxa"/>
        <w:tblLayout w:type="fixed"/>
        <w:tblCellMar>
          <w:top w:w="28" w:type="dxa"/>
          <w:left w:w="28" w:type="dxa"/>
          <w:bottom w:w="28" w:type="dxa"/>
          <w:right w:w="28" w:type="dxa"/>
        </w:tblCellMar>
      </w:tblPr>
      <w:tblGrid>
        <w:gridCol w:w="5566"/>
        <w:gridCol w:w="146"/>
        <w:gridCol w:w="211"/>
        <w:gridCol w:w="736"/>
        <w:gridCol w:w="166"/>
        <w:gridCol w:w="146"/>
        <w:gridCol w:w="211"/>
        <w:gridCol w:w="736"/>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37,418</w:t>
            </w:r>
          </w:p>
        </w:tc>
        <w:tc>
          <w:tcPr>
            <w:tcW w:w="2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six months ended June 30, 2024, cash used in operating activities was $20.5 million, attributable to a net loss of $43.5 million, partially offset by non-cash charges of $20.6 million and a net change in our net operating assets and liabilities of $2.4 million. Non-cash charges primarily consisted of stock-based compensation of $15.2 million, $3.0 million of depreciation and amortization, $2.0 million of net amortization of premium on available-for-sale securities, $0.2 million of loss on disposal of property and equipment, $0.1 million of provision for inventory excess and obsolescence, and $0.1 million of non-cash operating lease expense. The change in our net operating assets and liabilities was primarily due to an increase in accounts payable of $3.4 million, an increase in accounts receivable of $1.0 million, an increase in accrued liabilities and other liabilities of $0.5 million, and a decrease of $0.3 million in prepaid expenses and other assets, which was partially offset by an increase in inventory levels of $2.8 million.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During the six months ended June 30, 2023, cash used in operating activities was $34.5 million, which was attributable to a net loss of $47.4 million and a net change in our net operating assets and liabilities of $3.4 million, partially offset by non-cash charges of $16.3 million. Non-cash charges primarily consisted of $18.5 million in stock-based compensation, $2.6 million of depreciation and amortization, $0.2 million of loss on disposal of property and equipment, provision for inventory excess and obsolescence of $0.3 million, and $0.1 million of non-cash operating lease expense, offset by $5.4 million of net accretion of premium on available-for-sale securities. The change in our net operating assets and liabilities was primarily due to an increase in prepaid expense and other assets of $1.7 million primarily due to our annual insurance renewal and software subscriptions and an increase in inventory of $2.1 million due to an increase in finished goods from inventory build up.</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six months ended June 30, 2024, cash provided by investing activities was $23.6 million, which related to the proceeds from maturities of available-for-sale securities of $194.0 million. This was offset by the purchases of available-for-sale securities of $168.5 million and purchases of property and equipment, primarily for laboratory equipment, of $1.9 million.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six months ended June 30, 2023, cash provided by investing activities was $37.4 million, which was attributable to the proceeds from maturities of available-for-sale securities of $305.6 million and proceeds from sale of available-for-sale securities of $3.0 million. This was offset by $269.9 million related to purchases of available-for-sale securities and $1.3 million in purchases of property and equipment, primarily for laboratory equipment.</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six months ended June 30, 2024, cash used in financing activities was $3.6 million, which was primarily attributable to the repurchases of Class A common stock under our share repurchase program of $3.7 million. This partially was offset by the proceeds of $0.1 million from the issuance of Class A common stock in connection with the employee stock purchase plan.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During the six months ended June 30, 2023, cash provided by financing activities was $0.2 million, which was primarily attributable to net proceeds from the exercise of stock options and proceeds from the issuance of Class A common stock in connection with the employee stock purchase plan.</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Critical Accounting Policies, Significant Judgments and Use of Estimates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discussion and analysis of our financial condition and results of operations is based on our unaudited condensed consolidated financial statements, which have been prepared in accordance with United States generally accepted accounting principles. The preparation of these unaudited condensed consolidated financial statements requires us to make estimates and assumptions that affect the reported amounts of assets, liabilities, and the disclosure of contingent assets and liabilities at the date of the unaudited condensed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While our significant accounting policies are described in the notes to our unaudited condensed consolidated financial statements, we believe that the following critical accounting policies are most important to understanding and evaluating our reported financial results.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revenue is generated primarily from sales of products and services. Product revenue consists of sales of an instrument with embedded software essential to the instrument’s functionality and consumables. Service revenue primarily consists of revenue received from the generation and analysis of proteomic data on behalf of our customers.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recognize revenue when control of our products and services is transferred to our customers in an amount that reflects the consideration we expect to receive from our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Revenue from product sales is recognized when control of the product is transferred, which is generally upon shipment to the customer. In instances where right of payment or transfer of title is contingent upon the customer’s acceptance of the product, revenue is deferred until all acceptance criteria have been met. Revenue from services is recognized once the report is delivered to a customer, which is when the customer obtains benefit of the service.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Revenue is recorded net of discounts and sales taxes collected on behalf of governmental authorities. Customers are invoiced generally upon shipment, or upon delivery of services, and payment is typically due within 30 or 60 days. Cash received from customers in advance of product shipment or providing services is recorded as a contract liability. Our contracts with our customer generally do not include rights of return.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At times, we may enter into arrangements with payment terms which exceed one year from the transfer of control of the product or service. In such cases, we assess whether the arrangement contains a significant financing component. If a significant financing component exists, the transaction price is adjusted for the financing portion of the arrangement, which is recorded as interest income over the payment term using the effective interest method. We do not assess whether a significant financing component exists when, at contract inception, the period between the transfer of control to a customer and final payment is one year or less.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elected the practical expedient to account for shipping and handling activities that occur after the customer has obtained control as a fulfillment activity. We expense incremental costs of obtaining a contract as and when incurred if the expected amortization period is one year or less or the amount is immaterial. We exclude from the transaction price all taxes assessed by a governmental authority on revenue-producing transactions that are collected by us from a customer.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regularly enter into contracts that include various combinations of products and services which are generally distinct and accounted for as separate performance obligations. The transaction price is allocated to each performance obligation in proportion to its standalone selling price. We determine standalone selling price using average selling prices with consideration of current market conditions. If the product or service has no history of sales or if the sales volume is not sufficient, we rely upon prices set by management, adjusted for applicable discounts.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sz w:val="20"/>
        </w:rPr>
      </w:pPr>
      <w:r>
        <w:rPr>
          <w:rFonts w:ascii="Times New Roman" w:hAnsi="Times New Roman"/>
          <w:color w:val="000000"/>
          <w:sz w:val="20"/>
        </w:rPr>
        <w:t xml:space="preserve">A portion of our revenue relates to lease arrangements. Standalone lease arrangements are outside the scope of Accounting Standards Codification (ASC) 606, </w:t>
      </w:r>
      <w:r>
        <w:rPr>
          <w:rFonts w:ascii="Times New Roman" w:hAnsi="Times New Roman"/>
          <w:i/>
          <w:color w:val="000000"/>
          <w:sz w:val="20"/>
        </w:rPr>
        <w:t>Revenue Contracts with Customer</w:t>
      </w:r>
      <w:r>
        <w:rPr>
          <w:rFonts w:ascii="Times New Roman" w:hAnsi="Times New Roman"/>
          <w:color w:val="000000"/>
          <w:sz w:val="20"/>
        </w:rPr>
        <w:t xml:space="preserve"> and are therefore accounted for in accordance with ASC 842, </w:t>
      </w:r>
      <w:r>
        <w:rPr>
          <w:rFonts w:ascii="Times New Roman" w:hAnsi="Times New Roman"/>
          <w:i/>
          <w:color w:val="000000"/>
          <w:sz w:val="20"/>
        </w:rPr>
        <w:t>Leases</w:t>
      </w:r>
      <w:r>
        <w:rPr>
          <w:rFonts w:ascii="Times New Roman" w:hAnsi="Times New Roman"/>
          <w:color w:val="000000"/>
          <w:sz w:val="20"/>
        </w:rPr>
        <w:t>. The total consideration in a lease arrangement is allocated between lease and non-lease components on their relative stand-alone selling prices. The stand-alone selling price is based on the price we would separately sell that promised good or service to a customer. If a stand-alone price is not available for a component, it is estimated using the best information available.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determining whether a transaction should be classified as a sales-type or operating lease, the Company considered the following criteria at lease commencement: (1) whether title of the instrument transfers automatically or for a nominal fee by the end of the lease term, (2) whether the present value of the minimum lease payments equals or exceeds substantially all of the fair value of the leased instrument, (3) whether the lease term is for the major part of the remaining economic life of the leased instrument, (4) whether the lease grants the lessee an option to purchase the leased instrument that the lessee is reasonably certain to exercise, and (5) whether the underlying instrument is of such a specialized nature that it is expected to have no alternative use to the Company at the end of the lease term. If any of these criteria were met, the lease was classified as a sales-type lease. If none of these criteria are met, the lease was classified as an operating lease.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Shipping revenue is recognized when control of the product is transferred to the customer, and the related shipping and handling costs are included in the cost of revenue.</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See Note 2 to our unaudited condensed consolidated financial statements included elsewhere in this Quarterly Report for more information about recent accounting pronouncements, the timing of their adoption, and our assessment, to the extent we have made one yet, of their potential impact on our financial condition of results of operations.</w:t>
      </w:r>
    </w:p>
    <w:p>
      <w:pPr>
        <w:pStyle w:val="TextBody"/>
        <w:bidi w:val="0"/>
        <w:spacing w:before="0" w:after="180"/>
        <w:jc w:val="left"/>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exposure to interest rate risk that relates to our cash and cash equivalents and investments held in money market funds, U.S. Treasury securities, commercial paper, corporate debt securities and government agency debt. The goals of our investment policy are liquidity and capital preservation. We believe that we do not have material exposure to changes in the fair value of these assets as a result of changes in interest rates due to the short-term nature of our cash and cash equivalents and investments.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sz w:val="20"/>
        </w:rPr>
      </w:pPr>
      <w:bookmarkStart w:id="12" w:name="item_4_controls_and_procedures"/>
      <w:bookmarkEnd w:id="12"/>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Controls and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June 30, 2024,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Inherent Limitations on Effectiveness of Controls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management, including our CEO and CFO, does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that occurred during the quarter ended June 30, 2024 that have materially affected, or are reasonably likely to materially affect, our internal control over financial reporting.</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180" w:after="180"/>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information included in Note 9. Commitments and Contingencies to the Company's unaudited condensed consolidated financial statements included in Part I, Item 1 of this quarterly report is incorporated herein by reference.</w:t>
      </w:r>
    </w:p>
    <w:p>
      <w:pPr>
        <w:pStyle w:val="TextBody"/>
        <w:bidi w:val="0"/>
        <w:jc w:val="center"/>
        <w:rPr/>
      </w:pPr>
      <w:r>
        <w:rPr/>
        <w:t> </w:t>
      </w:r>
    </w:p>
    <w:p>
      <w:pPr>
        <w:pStyle w:val="TextBody"/>
        <w:bidi w:val="0"/>
        <w:spacing w:before="180" w:after="180"/>
        <w:jc w:val="left"/>
        <w:rPr>
          <w:rFonts w:ascii="Times New Roman" w:hAnsi="Times New Roman"/>
          <w:sz w:val="20"/>
        </w:rPr>
      </w:pPr>
      <w:bookmarkStart w:id="15" w:name="item_1a_risk_factors"/>
      <w:bookmarkEnd w:id="15"/>
      <w:r>
        <w:rPr>
          <w:rFonts w:ascii="Times New Roman" w:hAnsi="Times New Roman"/>
          <w:b/>
          <w:color w:val="000000"/>
          <w:sz w:val="20"/>
        </w:rPr>
        <w:t>Item 1A. Risk</w:t>
      </w:r>
      <w:r>
        <w:rPr>
          <w:rFonts w:ascii="Times New Roman" w:hAnsi="Times New Roman"/>
          <w:color w:val="000000"/>
          <w:sz w:val="20"/>
        </w:rPr>
        <w:t xml:space="preserve"> </w:t>
      </w:r>
      <w:r>
        <w:rPr>
          <w:rFonts w:ascii="Times New Roman" w:hAnsi="Times New Roman"/>
          <w:b/>
          <w:color w:val="000000"/>
          <w:sz w:val="20"/>
        </w:rPr>
        <w:t>Factors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Investing in our Class A common stock involves a high degree of risk. You should carefully consider the risks described below, as well as the other information in this Quarterly Report, including our unaudited condensed consolidated financial statements and the related notes and the section titled “Management’s Discussion and Analysis of Financial Condition and Results of Operations” in this Quarterly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Summary Risk Factor</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business is subject to numerous risks and uncertainties that you should consider before investing in our company, as more fully described below. The principal factors and uncertainties that make investing in our company risky include, among others: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an early-stage life sciences technology company with a history of net losses, which we expect to continue, and we may not be able to generate meaningful revenues or achieve and sustain profitability in the future;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 limited operating history, which may make it difficult to evaluate our current business and the prospects for our future viability, and to predict our future performance;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operating results may fluctuate significantly in the future, which makes our future operating results difficult to predict and could cause our operating results to fall below expectations or any guidance we may provide;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size of the markets for the Proteograph Product Suite may be smaller than estimated, and new market opportunities may not develop as quickly as we expect, or at all, limiting our ability to successfully sell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in the early stages of our commercialization plan, and we may not be able to commercialize the Proteograph Product Suite as planned;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commercialization success depends on broad scientific and market acceptance of the Proteograph, which we may fail to achieve;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even if the Proteograph Product Suite is successfully commercialized and achieves broad scientific and market acceptance, if we fail to improve it or introduce compelling new products or services, our revenues and our prospects could be harmed;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health epidemics could adversely impact our business and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are unable to identify and recruit qualified employees, and retain or maintain our employee base, it may adversely impact our business and operations;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an early-stage life sciences technology company with a history of net losses, which we expect to continue, and we may not be able to generate meaningful revenues or achieve and sustain profitability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an early-stage life sciences technology company, and we have incurred significant losses since we were formed in 2017, and expect to continue to incur losses in the future. We incurred net losses of $22.9 million and $23.4 million during the three months ended June 30, 2024 and 2023, respectively. We incurred net losses of $43.5 million and $47.4 million during the six months ended June 30, 2024 and 2023, respectively. As of June 30, 2024, we had an accumulated deficit of $349.3 million. 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and related products and services, including sales and marketing, manufacturing and operations costs, and research and development efforts for products and services. These efforts may prove more costly than we currently anticipate. While we have generated product and service revenue, we may never generate revenue sufficient to offset our expenses. In addition, as a public company, we incur significant legal, accounting, administrative, insurance and other expenses. Accordingly, we cannot assure you that we will achieve profitability in the future or that, if we do become profitable, we will sustain profitability.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have a limited operating history, which may make it difficult to evaluate our current business and the prospects for our future viability, and to predict our future performance.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in the early stages of commercialization of the Proteograph Product Suite and related products and services. Our operations to date have been primarily focused on developing our technology, products and services.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 and services.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as a business with a limited operating history, we may encounter unforeseen expenses, difficulties, complications, delays and other known and unknown obstacles. As we continue to transition from a company with a focus on research and development to a company capable of supporting broad commercial activities as well,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operating results may fluctuate significantly in the future, which makes our future operating results difficult to predict and could cause our operating results to fall below expectations of investors or security analysts or any guidance we may provide, and which may cause the price of our Class A common stock to fluctuate or decline substantially.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which makes it difficult for us to predict our future operating results. These fluctuations may occur due to a variety of factors, many of which are outside of our control, including, but not limited to: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successfully commercialize the Proteograph Product Suite on our anticipated timeline;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offer high-quality services, including customer service;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timing and cost of, and level of investment in, research and development and commercialization activities relating to the Proteograph Product Suite, including our SP100 automation instrument, proprietary engineered nanoparticle (NP) technology and Proteograph Analysis Suite software, which may change from time to time;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level of demand for any products we are able to commercialize, particularly the Proteograph Product Suite, which may vary significantly from period to period;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drive adoption of the Proteograph in our target markets and our ability to expand into any future target markets;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relationship with third-party distributorships, the quantity of our products they elect to hold in inventory, and their ability to promote and sell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prices at which we will be able to sell the Proteograph Product Suite and related services;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volume and mix of our sales between the Proteograph Product Suite and associated consumables, or changes in the manufacturing or sales costs related to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length of time and unpredictable nature of the sales cycle;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lead time needed to procure SP100 automation instruments from our third-party contract manufacturer;</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our sales force, which if less than anticipated, could significantly impair our ability to generate revenue;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failure of customers to exercise Proteograph purchase options;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effective and efficient use of our financial and other resources, including the timing and amount of expenditures that we may incur to develop, commercialize or acquire additional products and technologies or for other purposes, such as the expansion of our facilities;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governmental funding of life sciences research and development or changes that impact budgets and budget cycles;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seasonal spending patterns and the ability to collect on the accounts receivable of our customers;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timing of when we recognize revenue;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future accounting pronouncements, changes in accounting rules and regulations, or modifications to our accounting policies;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outcome of any future litigation or governmental investigations involving us, our industry or both;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higher than anticipated service, replacement and warranty costs;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health epidemics on the economy, investment in life sciences and research industries, our business operations, and resources and operations of our customers, suppliers, and distributors;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global supply chain interruptions;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general industry, economic and market conditions such as inflation, rising interest rates, bank failures and other factors, including factors unrelated to our operating performance or the operating performance of our competitors.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variability and unpredictability could also result in our failing to meet expectations of industry or financial analysts, or investors, for any period. If we are unable to commercialize products or generate sufficient revenue, or if our operating results fall below the expectations of analysts or investors or below any guidance we may provide, or if the guidance we provide is below the expectations of analysts or investors, it could cause the market price of our Class A common stock to fluctuate or decline substantially.</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size of the markets for the Proteograph Product Suite may be smaller or different from estimated, and new market opportunities may not develop as quickly as we expect, or at all, limiting our ability to successfully sell our products.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and services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and services are even more difficult to predict. Our product is an innovative new product, and while we draw comparisons between the evolution and growth of the genomics and proteomics markets, the proteomics market may develop more slowly or differently. In addition, the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in the early stages of commercialization, and we may not be able to commercialize the Proteograph Product Suite as planned.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only recently initiated the broad commercialization of the Proteograph Product Suite and related products and services, and we may not be able to successfully execute on this phase as planned due to:</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inability to establish the capabilities and value proposition of the Proteograph Product Suite with key opinion leaders and other customers in a timely fashion;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delays or longer-than expected lead times in the sales cycle to establish customer contacts, complete responsive presentations including platform evaluations tailored to specific requests, and move expeditiously from quote to order to revenue to receipt of payment due to budgetary or other constraints of academic organizations, laboratories, biopharmaceutical companies and others;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changing industry or market conditions, customer requirements or competitor offerings during broad commercialization;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delays in continuing the build-out of our sales, customer support and marketing organization as needed for broad commercialization;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delays in ramping up manufacturing, either internally or through our suppliers, to meet the expected demand for broad commercialization;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health epidemics on the economy and research industries, our business operations, and resources and the operations of our customers, suppliers and supply chain, and distributors.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the extent our broad commercial release phase is unsuccessful, our financial results will be adversely impacted.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Even if we are able to execute on our commercialization plan, our success depends on broad scientific and market acceptance of the Proteograph Product Suite, which we may fail to achieve.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achieve and maintain scientific and commercial market acceptance of the Proteograph Product Suite will depend on a number of factors. We expect that the Proteograph will be subject to the market forces and adoption curves common to other new technologies. The market for proteomics and genomics technologies and products is in its early stages of development. If widespread adoption of the Proteograph takes longer than anticipated, or broad scientific and market acceptance does not occur, we will continue to experience operating losses.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 factors in achieving commercial market acceptance, include: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market and increase awareness of the capabilities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ability of the Proteograph Product Suite to perform intended use applications broadly in the hands of customers;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customers’ willingness to adopt new products and workflows;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Proteograph’s ease of use and whether it reliably provides advantages over other alternative technologies;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rate of adoption of the Proteograph Product Suite by academic institutions, laboratories, biopharmaceutical companies and others;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prices we charge for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develop new products, services and solutions that achieve commercial market acceptance;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competitors develop and commercialize products that perform similar functions as the Proteograph;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our investments in product innovation and commercial growth.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our sales force is less successful than anticipated, we may not be successful in commercializing the Proteograph Product Suite.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limited experience as a company in sales and marketing and our ability to successfully commercialize depends on our being able to attract customers for the Proteograph Product Suite. Although members of our management team have considerable industry experience, we need to expand our sales, marketing, distribution and customer service and support capabilities with the appropriate technical expertise during the commercialization of the Proteograph Product Suite and related products and services. To perform sales, marketing, distribution, and customer service and support successfully, we will face a number of risks,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attract, retain and manage the sales, marketing and customer service and support force necessary to commercialize and gain market acceptance for our technology;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time and cost of establishing a specialized sales, marketing and customer service and support force;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sales, marketing and customer service and support force may be unable to initiate and execute successful commercialization activities.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In addition, we rely on commercial carriers to transport our products, including consumables that are temperature controlled, to customers in a timely and cost-efficient manner, and if these services are delayed or disrupted, our business may be harmed. If our sales and marketing efforts, and logistics capability, or those of any third-party sales and distribution partners, are not successful, the Proteograph may not gain market acceptance, which could materially impact our business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Even if the Proteograph Product Suite is successfully commercialized and achieves broad scientific and market acceptance, if we fail to improve it or introduce compelling new products and services, our revenues and our prospects could be harmed.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and services.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and services, enhance the Proteograph Product Suite to meet customer requirements, compete with alternative products, or otherwise gain and maintain market acceptance, our business, results of operations and financial condition could be harmed.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Health epidemics could adversely impact our business and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drive the adoption of the Proteograph Product Suite, including our instruments and associated consumables by academic, research and commercial customers depends on our ability to visit customer sites, the ability of our customers to access laboratories, and the ability to install and train on the Proteograph Product Suite and conduct research in light of any health epidemic. These considerations are impacted by factors beyond our control, such as: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reductions in capacity or shutdowns of laboratories and other institutions as well as reduced or delayed spending on instruments and consumables as a result of shutdowns and delays;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decreases in government funding of research and development;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to programs that provide funding to research laboratories and institutions, including changes in the amount of funds allocated to different areas of research, changes that have the effect of increasing the length of the funding process or the impact of any health epidemic on our customers and potential customers and their funding sources.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future impact of any health epidemic is highly uncertain and subject to sudden change, including changes in FDA and other regulatory policies that can materially impact our business or that of our customers and partners. This impact could have a material, adverse impact on our liquidity, capital resources, operations and business and those of the third parties on which we rely, such as the manufacturer of our SP100 automation instrument, Hamilton Company, and could worsen over time. Any of these occurrences, and any new epidemics, could significantly harm our business, results of operations and financial condition.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Unfavorable U.S. or global economic conditions could adversely affect our ability to raise capital and our business, results of operations and financial condition.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Volatility and disruptions in the capital and credit markets could have an adverse effect on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rising inflation, rising interest rates, or bank failures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financial condition, and cause the stock price of our Class A common stock to decline.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could impair our ability to access our cash, cash equivalents and investments and to timely meet our financial obligations to our vendors and others.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Adverse developments affecting the financial services industry, many of which may be beyond our control, could impair our ability to access our cash, cash equivalents and investments and to timely meet our financial obligations to our vendors and others. If banks and financial institutions with whom we have relationships experience liquidity issues, become insolvent, or enter receivership, we may be unable to access, and we may lose, some of or all our cash, cash equivalents and investments to the extent those funds are not protected by FDIC or SIPC insurance. We regularly maintain cash, cash equivalents and investments that exceed insurance limits or are not insured, and the factors above or other related or similar factors not described above could have a material adverse effect on our financial statements and our vendor and other relationships, and cause the price of our Class A common stock to decline.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do not sustain or successfully manage our growth or financial resources, our business and prospects will be harmed.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Growing our business will place significant strains on our management, operational and manufacturing systems and processes, sales and marketing team, financial resources,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growth or financial resources, our business, results of operations, financial condition and prospects will be harmed.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depend on our key personnel and other highly qualified personnel, and if we are unable to recruit, train and retain our personnel, we may not achieve our goals.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future success depends upon our ability to recruit, train, retain and motivate key personnel. Our senior management team, including Omid Farokhzad, one of our founders and our Chief Executive Officer, and David Horn, our President and Chief Financial Officer, are critical to our vision, strategic direction, product development and commercialization efforts.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departure of one or more of our executive officers, senior management team members, or other key employees could be disruptive to our business until we are able to hire qualified successors. We do not maintain “key man” life insurance on our senior management team.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typically require significant training and, in many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and San Diego.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and San Diego,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previously announced reductions in force impacting a number of our full-time employees and may announce additional reductions in force from time to time. In addition, we are taking measures to reduce our non-personnel expenses. These measures are part of our broader strategic effort to realign our expense base with our revenue growth as we continue to build the market and drive customer adoption of the Proteograph. The reduction in force and our other restructuring and cost-saving activities may yield unintended consequences and costs and we may not achieve the anticipated benefits of these measures. For example, the reduction in workforce could make it difficult for us to pursue, or prevent us from pursuing, new opportunities and initiatives due to insufficient personnel, or require us to incur additional and unanticipated costs to hire new personnel to pursue such opportunities or initiatives. We also may be required to take additional cost-saving measures in the future, including those involving personnel, and we may incur severance and other related costs. If we are unable to realize the anticipated benefits from the reduction in force and our other cost-saving measures, or if we experience significant adverse consequences from these measures, our business, financial condition, and results of operations may be materially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do not maintain fixed term employment contracts with any of our employees. As a result, our employees could leave our company with little or no prior notice and could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expect to be dependent upon revenue generated from the sale of the Proteograph Product Suite and related services for the foreseeable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expect that we will generate substantially all of our revenue from the sale of the Proteograph Product Suite and associated consumables and services for the foreseeable future. There can be no assurance that we will be able to successfully broadly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our development and commercialization plans for the Proteograph Product Suite, we may forego other opportunities that may provide greater revenue or be more profitable. If our research and product development efforts do not result in commercially viable products or services within anticipated timelines, or at all, our business and results of operations will be adversely affected. Any delay or failure by us to develop and release the Proteograph Product Suite or new products or product enhancements would have a substantial adverse effect on our business and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sales have been concentrated in a small number of customers.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We are in the early stages of our commercialization plan and our revenues have been concentrated in a relatively small number of customers, including a related party, PrognomiQ. For the six months ended June 30, 2024 and 2023, PrognomiQ, accounted for 25% and 33% of our revenue, respectively. If one or more customers, including PrognomiQ, terminate all or any portion of their agreements, delay installations or fail to order the anticipated amount of consumables or services, there could be a material adverse effect on our business, financial condition and results of operations. See Note 5 </w:t>
      </w:r>
      <w:r>
        <w:rPr>
          <w:rFonts w:ascii="Times New Roman" w:hAnsi="Times New Roman"/>
          <w:i/>
          <w:color w:val="000000"/>
          <w:sz w:val="20"/>
        </w:rPr>
        <w:t>- Revenue and Deferred Revenue</w:t>
      </w:r>
      <w:r>
        <w:rPr>
          <w:rFonts w:ascii="Times New Roman" w:hAnsi="Times New Roman"/>
          <w:color w:val="000000"/>
          <w:sz w:val="20"/>
        </w:rPr>
        <w:t xml:space="preserve"> and Note 10 - </w:t>
      </w:r>
      <w:r>
        <w:rPr>
          <w:rFonts w:ascii="Times New Roman" w:hAnsi="Times New Roman"/>
          <w:i/>
          <w:color w:val="000000"/>
          <w:sz w:val="20"/>
        </w:rPr>
        <w:t xml:space="preserve">Related Party Transactions </w:t>
      </w:r>
      <w:r>
        <w:rPr>
          <w:rFonts w:ascii="Times New Roman" w:hAnsi="Times New Roman"/>
          <w:color w:val="000000"/>
          <w:sz w:val="20"/>
        </w:rPr>
        <w:t>to our notes to financial statements included in Part I, Item 1, herein for further information regarding our relationship with PrognomiQ.</w:t>
      </w:r>
    </w:p>
    <w:p>
      <w:pPr>
        <w:pStyle w:val="TextBody"/>
        <w:bidi w:val="0"/>
        <w:spacing w:before="0" w:after="180"/>
        <w:jc w:val="left"/>
        <w:rPr>
          <w:rFonts w:ascii="Times New Roman" w:hAnsi="Times New Roman"/>
          <w:sz w:val="20"/>
        </w:rPr>
      </w:pPr>
      <w:r>
        <w:rPr>
          <w:rFonts w:ascii="Times New Roman" w:hAnsi="Times New Roman"/>
          <w:b/>
          <w:i/>
          <w:color w:val="000000"/>
          <w:sz w:val="20"/>
        </w:rPr>
        <w:t>Our business depends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Substantially all of our sales revenue in the near term will be generated from sales to commercial companies, academic institutions and other research institutions. Certain of these customers’ funding is provided by various state, federal and international government agencies. As a result, the demand for the Proteograph Product Suite and related services depends upon the research and development budgets of these customers, which are impacted by factors beyond our control, such as: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decreases in government funding of research and development;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to programs that provide funding to research laboratories and institutions, including changes in the amount of funds allocated to different areas of research or changes that have the effect of increasing the length of the funding process;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strategy and funding by commercial companies in their efforts around therapeutic and diagnostic product development and their adoption and use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macroeconomic conditions;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opinions in the scientific community, including researchers’ opinions of the utility of the Proteograph solution;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citation of the Proteograph Product Suite in published research;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potential changes in the regulatory environment;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differences in budgetary cycles, especially government- or grant-funded customers, whose cycles often coincide with government fiscal year ends;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competitor product or service offerings or pricing;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market-driven pressures to consolidate operations and reduce costs;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market acceptance of relatively new technologies, such as the Proteograph Product Suite.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rely on single suppliers for some of the components of the Proteograph Product Suite, including a single contract manufacturer to manufacture and supply our instruments. If these suppliers or manufacturers should fail or not perform satisfactorily, our ability to meet demand and supply the Proteograph Product Suite would be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Further, if Hamilton is unable to obtain critical components used in the Proteograph solution or supply our instruments on the timelines we require, our business and commercialization efforts would be harmed.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event it becomes necessary to utilize one or more different contract manufacturers for automated liquid handling workstations, reagents or other product components associated with the Proteograph Product Suite, we would experience additional costs, delays and difficulties in doing so as a result of identifying and entering into new agreements with new suppliers or manufacturers. In addition, we would have to prepare such new suppliers or manufacturers to meet the logistical requirements associated with supplying and manufacturing the Proteograph Product Suite, and our business would suffer.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certain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have limited experience producing and supplying our products, and we may be unable to consistently manufacture or source our SP100 automation instruments and consumables to the necessary specifications or in quantities necessary to meet demand on a timely basis and at acceptable performance and cost levels.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Product Suite is an integrated solution with many different components that work together. As such, a quality defect in a single component can compromise the performance of the entire solution. In order to 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These manufacturing processes are complex. As we increase the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and transportation of certain hazardous substances or chemicals, including in commercial products, or the collection, reuse, and recycling of waste from products we manufacture, our business will be adversely impacted.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automation instrument so that it consistently achieves the product specifications and produces results with acceptable quality. Our NPs and other consumables have a limited shelf life, after which their performance is not ensured.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or cyber attacks on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losing International Organization for Standardization (ISO) quality management certifications. If we or our third-party manufacturers fail to obtain or maintain applicable ISO quality management certifications, customers might choose not to purchase products from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products could have defects or errors, which may give rise to claims against us, adversely affect market adoption of the Proteograph Product Suite, damage our reputation, and adversely affect our business, financial condition, and results of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Proteograph Product Suite utilizes novel and complex technology, including hardware, consumables and software, and may develop or contain defects, errors or material performance problems. We cannot assure you that material performance problems, defects, or errors will not arise, and as we commercialize the Proteograph, these risks may increase. We provide warranties that our products will meet performance expectations and will be free from material defects. The costs incurred in correcting any defects or errors may be substantial and could adversely affect our operating margins.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manufacturing the Proteograph Product Suite, we depend upon third parties for the supply of our instruments and various components, many of which require a significant degree of technical expertise to produce. If our suppliers fail to produce our SP100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the Proteograph Product Suite contains defects, we may experience: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failure to achieve market acceptance for the Proteograph or expansion of the Proteograph Product Suite sales;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loss of customer orders and delay in order fulfillment;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damage to our brand reputation;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increased warranty and customer service and support costs due to product repair or replacement;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product recalls or replacements;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inability to attract new customers;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diversion of resources from our manufacturing and research and development departments to our service department; and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legal claims against us, including product liability, hazardous material or environmental compliance claims, which could be costly and time consuming to defend and result in substantial damages.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face potential risks related to using, handling, storing, importing, exporting, and transferring biological samples, hazardous materials and substances or chemicals such as reagents in commercial products; the collection, reuse and recycling of waste from products we manufacture and services we provide; and compliance with environmental health and safety regulations.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At our facilities in Redwood City, including our Biohazards Safety Level 2 laboratory, we leverage unit operations to formulate and manufacture our NPs, assemble our consumables, conduct assays and perform mass spectrometer analyses. As we increase the commercial scale, formulation and manufacture of our products using, handling, storing, importing, exporting, and transferring biological samples, hazardous materials and substances or chemicals such as reagents, or if we are unable to repeatably produce our products or perform our services, in compliance with applicable health and safety, and environmental laws, rules and regulations, our operations, including our sales, could be negatively affected. In addition, if we encounter issues in packaging and labelling our consumables, complying with regulations relating to laboratory safety, safety data sheets, handling human samples such as inactive COVID-19 samples, using certain hazardous substances or chemicals such as reagents in commercial products, collecting, reusing and recycling of waste from products we manufacture, or complying with environmental health and safety regulations, our business could be adversely impacted.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do not successfully deploy and implement enhancements of the Instrument Control Software and Proteograph Analysis Suite, our commercialization efforts and, therefore, business and results of operations could suffer.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the Proteograph Product Suite depends, in part, on our ability to design and deploy our Instrument Control Software and Proteograph Analysis Suite in a manner that enables the integration with our potential customers’ systems and accommodates our customers’ needs. Without the Instrument Control Software, the Proteograph may become inoperable. Without the Proteograph Analysis Suite software, quality control of the workflow and data analysis is less accessible and robust, and it may be difficult for our customers to understand and evaluate the quality of their results.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and will continue to spend significant amounts of effort continuing to develop our software to meet our customers’ and potential customers’ evolving needs. There is no assurance that the development or deployment of our software will be compelling to our customers or function correctly. In addition, we may experience delays in our release dates of our software, and there can be no assurance that our software will be released according to schedule. If our software development and deployment plan, which may include participation from third party vendors and licensors, does not accurately anticipate customer demands, or if we fail to develop our software in a manner that satisfies customer preferences in a timely and cost-effective manner, the Proteograph Product Suite may fail to gain market acceptance or function correctly. The occurrence of any one or more of the foregoing could negatively affect our business, financial condition, and results of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As we commercialize the Proteograph Product Suite outside of the United States, our international business could expose us to business, regulatory, legal, political, operational, financial, and economic risks associated with doing business outside of the United States.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Engaging in international business inherently involves a number of difficulties and risks,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to the collection, reuse, and recycling of waste from products we manufacture;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required compliance with U.S. laws such as the Foreign Corrupt Practices Act, and other U.S. federal laws and regulations, including with respect to not doing business with sanctioned parties, as prohibited by the office of Foreign Asset Control;</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export requirements and import or trade restrictions, including, without limitation, with respect to biological samples, and trade retaliation laws;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laws and business practices favoring local companies;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risks associated with transactions or payments denominated in foreign currency, longer payment cycles and difficulties in enforcing agreements and collecting receivables through certain foreign legal systems;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 including as a result of the separation of the United Kingdom from the European Union (Brexit);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potentially adverse tax consequences, tariffs, customs charges, bureaucratic requirements, and other trade barriers;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difficulties and costs of staffing and managing foreign operations;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difficulties protecting, maintaining, enforcing or procuring intellectual property rights.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one or more of these risks occurs, it could require us to dedicate significant resources to remedy such occurrence, and if we are unsuccessful in finding a solution, our financial results will suffer.</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 portion of our international sales is and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 and business may be negatively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current commercial model includes direct sales in the United States and elsewhere, and we have built and are building relationships with third party distributors and channel partners in various countries, to enable us to enter additional markets more efficiently. If we are unable to enter or maintain such distribution arrangements on acceptable terms, or at all, we may not be able to successfully commercialize our products in certain countries.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distributors can choose the level of effort that they apply to selling our products relative to others in their portfolio. Our distributors may not commit the necessary resources to market our products or may favor the products of other companies.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although we intend to require contract terms obligating our distributors to comply with all applicable laws regarding the sale of our products, including regulatory labelling, protection of personal data, U.S. export regulations and the U.S. Foreign Corrupt Practices Act (FCPA), we may not be able to ensure proper compliance. If our distributors fail to effectively market and sell our products in full compliance with applicable laws and regulations, our results of operations and business may suffer.</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life sciences technology market is highly competitive. If we fail to compete effectively, our business and results of operation will suffer.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Bruker Corporation, Danaher, DiaSorin, and Thermo Fisher Scientific. We also compete with a number of companies that have developed, or are developing, proteomic products and solutions, such as Nautilus Biotechnology, Olink Proteomics, Quanterix, Quantum-Si and Standard BioTools.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Some of our current competitors are large publicly-traded companies, or are divisions of large publicly-traded companies, and may enjoy a number of competitive advantages over us,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greater name and brand recognition;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greater financial and human resources;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broader product lines;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larger sales forces and more established distributor networks;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substantial intellectual property portfolios;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larger and more established customer bases and relationships;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better established, larger scale and lower cost manufacturing capabilities.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cannot assure you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you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Based on our current plans, we believe that our current cash, cash equivalents and investments will be sufficient to meet our anticipated cash flow requirements for at least twelve months from the date of this Quarterly Report. If our available cash resources and anticipated cash flow from operations are insufficient to satisfy our liquidity requirements including because of lower demand for our products or the realization of other risks described in this Quarterly Report, we may be required to raise additional capital prior to such time through issuances of equity or convertible debt securities, entrance into a credit facility or another form of third-party funding or seek other debt financing.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will consider raising additional capital in the future to expand our business, to pursue strategic investments, to take advantage of financing opportunities or for other reasons,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increasing our sales and marketing and other commercialization efforts to drive market adoption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funding development and marketing efforts of the Proteograph Product Suite or any other future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expanding our technologies into additional markets;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acquiring, licensing or investing in technologies and other intellectual property rights;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acquiring or investing in complementary businesses or assets;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financing capital expenditures and general and administrative expenses.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present and future funding requirements will depend on many factors,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rate of progress in commercializing the Proteograph Product Suite and new products, and the cost of the sales and marketing activities associated with establishing adoption of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rate of progress in, and cost of research and development activities associated with, products in research and development;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borrow funds from or deposit funds in banks or other financial institutions, we might encounter increasingly restrictive requirements and be subject to their solvency risk. If we raise funds through collaborations or licensing arrangements, we might be required to relinquish significant rights to our technologies or products or grant licenses on terms that are not favorable to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acquire other companies, or their assets or technologies, enter into joint ventures, or make other strategic investments in companies, which could divert our management’s attention, result in additional dilution to our stockholders and otherwise disrupt our operations and harm our operating results.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in the future seek to acquire businesses, applications or technologies that we believe could complement or expand the Proteograph Product Suite or future products or services,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may make investments in early-stage companies that we believe are advancing or developing new technologies applicable to our businesses. These investments are generally illiquid at the time of investment. We have and expect to continue to recognize gains or losses attributable to adjustments of the investments’ fair value, including impairments up to and including the full value of the investment, which events are generally outside of our control such as the success or failure of the company and market volatility. In some cases, we may also enter into separate commercial arrangements with these companies, whether before, concurrently with, or after making an investment. In certain cases, the commercial arrangement may be a driving factor behind our investment. We cannot assure you that the commercial arrangement will further our business strategy as we expected. We may not realize all the economic benefits expected from the commercial agreement or realize the expected return on our investments.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realize the benefits of PrognomiQ as a separate healthcare company in the area of disease testing.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August 2020, we transferred certain assets to PrognomiQ, as a separate healthcare company to help enable the growth of ecosystems around new applications that leverage the Proteograph solution for unbiased, deep and large-scale proteomic information. As of June 30, 2024, we held approximately 15% of the outstanding capital stock of PrognomiQ. We may not realize the potential benefits of forming PrognomiQ for a variety of reasons,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PrognomiQ may be unable to successfully develop viable testing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PrognomiQ’s business may not help demonstrate the value of the Proteograph;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an inability to reach agreement with PrognomiQ on future commercial arrangements;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although PrognomiQ accounted for 19% and 25% of our revenue during the three and six months ended June 30, 2024, it may not continue to be a meaningful customer of ours;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PrognomiQ may need to raise additional funding in the future and be unable to do so;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formation of PrognomiQ and our continuing equity position in PrognomiQ may add complexities to our business from a finance, tax and accounting perspective.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Financial Reporting</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public company with SEC reporting obligations, we are required to document and test our internal control procedures to satisfy the requirements of Section 404(a) of the Sarbanes-Oxley Act (SOX), which requires annual assessments by management of the effectiveness of our internal control over financial reporting. Because we re-qualified as a smaller reporting company, as of December 31, 2023, we are a non-accelerated filer and are no longer required to comply with the auditor attestation requirements regarding the effectiveness of our internal control over financial reporting under Section 404(b) of the Sarbanes-Oxley Act until we become an accelerated filer or large accelerated filer.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404(a)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and there could be a failure to meet exchange listing requirements. Any of the above could cause investors to lose confidence in our reported financial information or our Class A common stock listing on Nasdaq to be suspended or terminated, which could have a negative effect on the trading price of our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are unable to successfully maintain internal control over financial reporting, or identify any material weaknesses, the accuracy and timing of our financial reporting may be adversely affected. 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Nasdaq Global Select Market or any other securities exchange on which it is then listed.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in a timely manner or prevent fraud, which would harm our business.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condensed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Remediation of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Changes in, or evolving interpretations of, financial accounting rules, regulations, standards or practices could result in unfavorable accounting changes, require us to, for example, change our compensation policies or restate our financial statements, or cause adverse, unexpected fluctuations in our operating results, resulting in a decline in the market price of our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U.S. GAAP requires management to make estimates and assumptions that affect the amounts reported in our condensed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However, we have a limited operating history.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or if accounting rules, regulations, standards or practices change, our compensation practices may need to change or our financial statements may need to be restated, and our operating results may be adversely affected and could fall below our publicly announced guidance or the expectations of securities analysts and investors, resulting in a decline in the market price of our Class A common stock.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Regulatory Compliance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products are labeled, promoted, sold as research use only (RUO) products, primarily to academic and research institutions and research companies, and are not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The FDA issued a final rule in February 2024 replacing the QSR with Quality Management System Regulation (QMSR), which incorporates by reference the quality management system requirements of ISO 13485:2016. The FDA has stated that the standards contained in ISO 13485:2016 are substantially similar to those set forth in the existing QSR. FDA will begin to enforce the QMSR requirements upon the effective date, February 2, 2026.</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r>
        <w:rPr>
          <w:rFonts w:ascii="Times New Roman" w:hAnsi="Times New Roman"/>
          <w:color w:val="000000"/>
          <w:sz w:val="20"/>
        </w:rPr>
        <w:t xml:space="preserve">In January 2024, FDA announced its plans to reclassify certain high-risk in vitro diagnostics, including companion diagnostics, as Class II devices. 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Times New Roman" w:hAnsi="Times New Roman"/>
          <w:i/>
          <w:color w:val="000000"/>
          <w:sz w:val="20"/>
        </w:rPr>
        <w:t>de novo</w:t>
      </w:r>
      <w:r>
        <w:rPr>
          <w:rFonts w:ascii="Times New Roman" w:hAnsi="Times New Roman"/>
          <w:color w:val="000000"/>
          <w:sz w:val="20"/>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on May 26, 2021 (postponed from 2020) and May 26, 2022 respectively. In 2023, the European Parliament voted to extend the transition timelines for MDR and IVDR. These regulations increase the clinical requirements and will increase the difficulty of regulatory approvals in Europe.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r>
        <w:rPr>
          <w:rFonts w:ascii="Times New Roman" w:hAnsi="Times New Roman"/>
          <w:b/>
          <w:i/>
          <w:color w:val="000000"/>
          <w:sz w:val="20"/>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Times New Roman" w:hAnsi="Times New Roman"/>
          <w:color w:val="000000"/>
          <w:sz w:val="2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Legislative and administrative proposals to amend the FDA's oversight of LDTs have been introduced in recent years, including the Verifying Accurate Leading-edge IVCT Development Act of 2021 (VALID Act). In September 2022, Congress passed the FDA user fee reauthorization legislation without substantive FDA policy riders, including the VALID Act, but Congress may revisit the policy riders and enact other FDA programmatic reforms in the future. In April 2024, the FDA released its final rule to regulate LDTs, which may impact the sales of our products and how customers use our products, and may require us to change our business model in order to maintain compliance with these laws. We cannot predict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It is unclear how future legislation by federal and state governments and FDA regulation will impact the industry, including our business and that of our customers. In the future, to the extent we or our partners develop any medical devices subject to FDA regulation, failure to comply with applicable regulatory requirements can result in enforcement action by the government, which may include warning letters, untitled letters, fines, injunctions, civil penalties, recall or seizure of products, among others.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are unable to obtain, maintain and enforce sufficient intellectual property protection for our products, services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rely on patent protection as well as trademark, copyright, trade secret and other intellectual property rights protection and contractual restrictions to protect our proprietary products, services and technologies, all of which provide limited protection and may not adequately protect our rights or permit us to gain or keep any competitive advantage. If we fail to obtain, maintain, enforce and protect our intellectual property, third parties may be able to compete more effectively against us. In addition, we may incur substantial litigation costs in our attempts to recover or restrict use of our intellectual property.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the extent our intellectual property offers inadequate protection, or is found to be invalid or unenforceable, we would be exposed to a greater risk of direct competition. If our intellectual property does not provide adequate coverage of our competitors’ products or services, our competitive position could be adversely affected, as could our business, financial condition, results of operations and prospects. Both the patent application process and the process of managing patent and other intellectual property disputes can be time-consuming, expensive and unpredictable.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services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services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or services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U.S. law relating to the patentability of certain inventions in the life sciences technology industry is uncertain and rapidly changing, which may adversely impact our existing patents or our ability to obtain patents in the future.</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Times New Roman" w:hAnsi="Times New Roman"/>
          <w:i/>
          <w:color w:val="000000"/>
          <w:sz w:val="20"/>
        </w:rPr>
        <w:t xml:space="preserve">inter partes </w:t>
      </w:r>
      <w:r>
        <w:rPr>
          <w:rFonts w:ascii="Times New Roman" w:hAnsi="Times New Roman"/>
          <w:color w:val="000000"/>
          <w:sz w:val="20"/>
        </w:rPr>
        <w:t>review and derivation proceedings. The America Invents Act and its implementation could increase the uncertainties and costs surrounding the prosecution of our patent applications and future patent applications, and the enforcement or defense of our issued patents, all of which could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Filing, prosecuting and defending patents on our technology, services and products, including the Proteograph Product Suite, in all countries throughout the world would be prohibitively expensive, and our intellectual property rights in some countries outside the United States can be less extensive than those in the United States.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laws of some foreign countries do not protect intellectual property rights to the same extent as the laws of the United States, and we and our licensor may encounter difficulties in protecting and defending such rights in foreign jurisdictions. Obtaining granted patents in foreign jurisdictions is time-consuming and expensive, the outcome is 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 timely manner, and if we are unable to do so it could have a material adverse effect on our business, financial condition, results of operation and prospects in various geographies.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Moreover, European applications now have the option, upon grant of a patent, of becoming a Unitary Patent which will be subject to the jurisdiction of the Unitary Patent Court (UPC). This is a significant change in European patent practice. As the UPC is a new court system, there is limited precedent for the court, increasing the uncertainty of any patent litigation in Europe.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Competitors and other third parties may also use our technologies in jurisdictions where we have not obtained patent protection to develop their own products, services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Geopolitical actions worldwide could increase the uncertainties and costs surrounding the prosecution or maintenance of our patent applications or those of any current or future licensors and the maintenance, enforcement or defense of our issued patents or those of any current or future licensors.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Issued patents covering our products or services could be found invalid or unenforceable if challenged.</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have been, and may be challenged at a future point in time in third-party observations, opposition, revocation, nullification, derivation,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or services, the defendant could counterclaim that such patent covering our products or services,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Times New Roman" w:hAnsi="Times New Roman"/>
          <w:i/>
          <w:color w:val="000000"/>
          <w:sz w:val="20"/>
        </w:rPr>
        <w:t>ex parte</w:t>
      </w:r>
      <w:r>
        <w:rPr>
          <w:rFonts w:ascii="Times New Roman" w:hAnsi="Times New Roman"/>
          <w:color w:val="000000"/>
          <w:sz w:val="20"/>
        </w:rPr>
        <w:t xml:space="preserve"> re-examination, </w:t>
      </w:r>
      <w:r>
        <w:rPr>
          <w:rFonts w:ascii="Times New Roman" w:hAnsi="Times New Roman"/>
          <w:i/>
          <w:color w:val="000000"/>
          <w:sz w:val="20"/>
        </w:rPr>
        <w:t>inter partes</w:t>
      </w:r>
      <w:r>
        <w:rPr>
          <w:rFonts w:ascii="Times New Roman" w:hAnsi="Times New Roman"/>
          <w:color w:val="000000"/>
          <w:sz w:val="20"/>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or exclude our competitor’s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services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not be aware of all third-party intellectual property rights potentially relating to our products or services.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the value of our technology could be materially adversely affected and our business could be harmed.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relied and expect to rely heavily on trade secrets and confidentiality agreements to protect our unpatented know-how, technology and other proprietary and confidential information, including parts of the Proteograph Product Suite and related services,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academia and industry.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obtain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be subject to claims challenging the inventorship of our patents and other intellectual property.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or our licensor have been, and may be, subject to claims that former employees, collaborators or other third parties have an interest in our owned or in-licensed patents, trade secrets or other intellectual property as an inventor or co-inventor. For example, on December 28, 2023, Giulio Caracciolo (Caracciolo) and Dipartimento di Medicina Molecolare Sapienza Universita di Roma filed a lawsuit against us, The Brigham and Women’s Hospital, Inc. (BWH), and other inventors in the United States District Court for the Northern District of California (Case No. 4:23-cv-06643). The complaint alleges, among other things, that Caracciolo was wrongfully excluded as an inventor on certain patents that we have exclusively licensed from BWH. The outcome of any claims or litigation, regardless of the merits, is inherently uncertain. Moreover,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Litigation has been, and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Product Suite, including our software, workflows, consumables, reagent kits, and related services.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services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be able to protect and enforce our trademarks and trade names, or build name recognition in our markets of interest thereby harming our competitive position.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from time to time, we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products, services and technologies, including the Proteograph Product Suite for an adequate amount of time.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or services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Times New Roman" w:hAnsi="Times New Roman"/>
          <w:i/>
          <w:color w:val="000000"/>
          <w:sz w:val="20"/>
        </w:rPr>
        <w:t>inter partes</w:t>
      </w:r>
      <w:r>
        <w:rPr>
          <w:rFonts w:ascii="Times New Roman" w:hAnsi="Times New Roman"/>
          <w:color w:val="000000"/>
          <w:sz w:val="20"/>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services,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services,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 2026, without taking into account any possible patent term adjustments or extensions. We are also aware of an issued patent and pending patent application in Europe owned by a third party directed to a method of identifying biomarkers in biofluids using nanoparticles, which is projected to expire in 2037 without taking into account any possible patent term extensions. Such patents and patent application could be construed or claim scope obtained to cover certain aspects of our current or future products, services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services or technologies and we may be required to redesign such products, services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or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r>
        <w:rPr>
          <w:rFonts w:ascii="Times New Roman" w:hAnsi="Times New Roman"/>
          <w:color w:val="000000"/>
          <w:sz w:val="20"/>
        </w:rPr>
        <w:t xml:space="preserve">We have, and may in the future,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Times New Roman" w:hAnsi="Times New Roman"/>
          <w:i/>
          <w:color w:val="000000"/>
          <w:sz w:val="20"/>
        </w:rPr>
        <w:t xml:space="preserve">ex-parte </w:t>
      </w:r>
      <w:r>
        <w:rPr>
          <w:rFonts w:ascii="Times New Roman" w:hAnsi="Times New Roman"/>
          <w:color w:val="000000"/>
          <w:sz w:val="20"/>
        </w:rPr>
        <w:t xml:space="preserve">reexamination, </w:t>
      </w:r>
      <w:r>
        <w:rPr>
          <w:rFonts w:ascii="Times New Roman" w:hAnsi="Times New Roman"/>
          <w:i/>
          <w:color w:val="000000"/>
          <w:sz w:val="20"/>
        </w:rPr>
        <w:t>inter partes</w:t>
      </w:r>
      <w:r>
        <w:rPr>
          <w:rFonts w:ascii="Times New Roman" w:hAnsi="Times New Roman"/>
          <w:color w:val="000000"/>
          <w:sz w:val="20"/>
        </w:rPr>
        <w:t xml:space="preserve"> review, post-grant review proceeding, opposition or other comparable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services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are unable to obtain such a license, we may be required to cease commercialization of our products, services and technologies, any of which could have a material adverse effect on our business, financial condition, results of operations and prospects. The outcome in any such proceedings are unpredictable.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Regardless of whether we are defending against or asserting any intellectual property-related proceeding, any such intellectual property-related proceeding, regardless of outcome, could result in substantial costs and diversion of resources and could have a material adverse effect on our business, financial condition, results of operations and prospects. Furthermore, because of the substantial amount of discovery that may be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employees, consultants, advisors or independent contractors may have wrongfully used or disclosed, or may in the future wrongfully use or disclose, confidential information or alleged trade secrets of ours, third parties or former employers.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employed and expect to employ individuals, and engaged consultants and expect to engage consultants, who were previously employed, or consulted, at academic institutions and other companies and entities, including our competitors or potential competitors. Although we try to ensure that our employees, consultants, advisors and independent contractors do not use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confidential or proprietary information of their former employers or other third parties, or to claims that we have improperly used or obtained such trade secrets. Domestic or international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we or our licensor have been, or may be, subject to claims by former employees, consultants or other third parties asserting an ownership right in our owned or licensed patents or patent applications. For example, as discussed above, a lawsuit was filed relating to inventorship for certain patents that we have exclusively licensed from BWH.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or services without infringing third-party patent rights. Any of the foregoing could harm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currently rely on a license from a third party, and in the future may rely on additional licenses from other third parties, in relation to our technologies, services and products, including the Proteograph Product Suite and related services, and if we lose any of these licenses, then we may be subjected to future litigation.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and may in the future become, a party to license agreements that grant us rights to use certain intellectual property, including patents and patent applications, typically in certain specified fields of use. Currently, we rely on an in-license from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a patent family which includes methods used in the Proteograph Product Suite and related services, and to the extent any additional intellectual property developed by BWH that are not included in such licensed patent families are necessary or useful for the Proteograph Product Suite or any other product, services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with us. Any of the foregoing could have a material adverse effect on our business, financial condition, results of operation or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comply with our obligations under any license, collaboration or other agreements, we may be required to pay damages and could lose intellectual property rights necessary for developing and protecting our technologies, services and products, including the Proteograph Product Suite and related services, or we could lose certain rights to grant sublicenses.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 future royalty obligations will depend on the technology and intellectual property we use in products we commercialize, if at all. Therefore, even if we successfully develop and commercialize existing or future products, we may be unable to achieve or maintain profitability. Any of the foregoing could have a material adverse effect on our competitive position, business, financial conditions,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Moreover, disputes may also arise between us and our licensor regarding intellectual property subject to a license agreement,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financial or other obligations under the license agreement;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whether, and the extent to which, our products, technology and processes infringe on intellectual property of the licensor that is not subject to the licensing agreement;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licensor(s);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or services, including the Proteograph Product Suite and related services,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cannot license rights to use technologies on reasonable terms, we may not be able to commercialize new products or services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identify third-party technology that we may need to license or acquire in order to develop or commercialize our products, services or technologies, including the Proteograph Product Suite and related services. However, we may be unable to secure such licenses or acquisitions.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our owned and in-licensed patents have been, or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including as set forth in the Bayh-Dole Act of 1980.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products contain, and our services use, third-party open source software components and failure to comply with the terms of the underlying open source software licenses could restrict our ability to sell our products and service our customers, or require disclosure of our proprietary software.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products contain software licensed by third parties under open source software licenses. Use and distribution of open source software may entail different or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combined works,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services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or services if re-engineering could not be accomplished on a timely basis, or to make generally available, in source code form, our proprietary code, any of which could materially adversely affect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others may be able to make products or services that are similar to products and technologies we may develop or utilize similar technology that are not covered by the claims of the patents that we own or license now or in the future;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or our licensor(s), might not have been the first to make the inventions covered by the issued patent or pending patent application that we license or may own in the future;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or our licensor(s), might not have been the first to file patent applications covering certain of our or their inventions;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misappropriating or otherwise violating our owned or licensed intellectual property rights;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it is possible that our pending patent applications, and our licensed pending patent applications, or those that we may own or license in the future, will not lead to issued patents;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issued patents that we hold rights to may be held invalid or unenforceable, including as a result of legal challenges by our competitors;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and our licensor(s), may not develop additional proprietary technologies that are patentable;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patents of others may harm our business;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choose not to file a patent for certain trade secrets or know-how, and a third party may subsequently file a patent covering such intellectual property.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Should any of these events occur, they could materially adversely affect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Ownership of Our Class A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An active trading market for our Class A common stock may not be sustained.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Although our Class A common stock is traded on the Nasdaq Global Select Market under the symbol “SEER,”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maintain compliance with the listing requirements of the Nasdaq Global Select Market, we may be delisted and the price of our Class A common stock and our ability to access the capital markets could be negatively impacted.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maintain the listing of our Class A common stock on the Nasdaq Global Select Market, we are required to meet certain listing requirements, including, among others, either: (i) a minimum closing bid price of $1.00 per share, a market value of publicly held shares (excluding shares held by our executive officers, directors and 10% or more stockholders) of at least $5 million and stockholders’ equity of at least $10.0 million; or (ii) a minimum closing bid price of $1.00 per share, a market value of publicly held shares (excluding shares held by our executive officers, directors, affiliates and 10% or more stockholders) of at least $15.0 million and a total market value of listed securities of at least $50.0 million.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fail to satisfy one or more the Nasdaq Global Select Market requirements for continued listing of our Class A common stock in the future. There can be no assurance that we will be successful in maintaining the listing of our Class A common stock on the Nasdaq Global Select Market, or, if transferred, on the Nasdaq Capital Market. The delisting of our Class A common stock from a national exchange could impair the liquidity and market price of our Class A common stock. It could also materially, adversely affect our access to the capital markets, and any limitation on market liquidity or reduction in the price of our Class A common stock as a result of that delisting could adversely affect our ability to raise capital on terms acceptable to us, or at all.</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market price of our Class A common stock has been and may continue to be volatile.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Some of the factors that may cause the market price of our Class A common stock to fluctuate include, but are not limited to:</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degree to which our launch and commercialization of our products meets the expectations of securities analysts and investors;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actual or anticipated fluctuations in our operating results, including fluctuations in our quarterly and annual results;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 being less than anticipated or operating expenses being more than anticipated;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failure or discontinuation of any of our product development and research programs;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the structure or funding of research at academic and research laboratories and institutions, including changes that would affect their ability to purchase our instruments or consumables;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existing or new competitive businesses or technologies;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announcements about new research programs or products of our competitors;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litigation and governmental investigations involving us, our industry or both;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volatility and variations in market conditions in the life sciences technology sector generally, or the proteomics or genomics sectors specifically, including volatility in the stock prices of publicly held companies in our industry;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investor perceptions of us or our industry;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level of expenses related to any of our research and development programs or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whether our financial results meet the expectations of securities analysts or investors;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short-selling strategies that may drive down the price of our Class A common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announcement or expectation of additional financing efforts;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sales of our Class A common stock by us or sales of our Class A common stock or Class B common stock by our insiders or other stockholders, or future stock issuances;</w:t>
      </w:r>
    </w:p>
    <w:p>
      <w:pPr>
        <w:pStyle w:val="TextBody"/>
        <w:bidi w:val="0"/>
        <w:spacing w:before="120" w:after="180"/>
        <w:jc w:val="left"/>
        <w:rPr>
          <w:color w:val="000000"/>
        </w:rPr>
      </w:pPr>
      <w:r>
        <w:rPr>
          <w:color w:val="000000"/>
        </w:rPr>
        <w:t>•</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the perceived solvency of financial institutions with which we have financial deposits or investments in excess of insurance limits;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general economic, industry and market conditions;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health epidemics such as the COVID-19 pandemic, natural disasters or major catastrophic events.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Stock markets in general, and the market for life sciences technology companies in particular, have experienced significant price and volume fluctuations that have often been unrelated or disproportionate to changes in the operating performance, financial condition, or tangible asset value of the companies whose stock is experiencing those price and volume fluctuations. Broad market and industry factors may seriously affect the market price of our Class A common stock, regardless of our actual operating performance, financial condition, or tangible asset value. Following periods of such volatility or decline in the market price of a company’s securities, securities class action litigation or shareholder activism has often been initiated against that company. Because of the potential volatility or decline of our stock price, we may become the target of securities litigation or shareholder activism in the future which could result in substantial costs and divert management’s attention and resources from our business.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r>
        <w:rPr>
          <w:rFonts w:ascii="Times New Roman" w:hAnsi="Times New Roman"/>
          <w:b/>
          <w:i/>
          <w:color w:val="000000"/>
          <w:sz w:val="20"/>
        </w:rPr>
        <w:t>The multi-class structure of our common stock will have the effect of concentrating voting control with certain stockholders and it may depress the trading price of our Class A common stock.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Class A common stock, which is our publicly-traded class of stock, has one vote per share, and our Class B common stock has ten votes per share, except as otherwise required by law. Our Class B common stock is held by our founders and early investors. As of August 6, 2024, the holders of our Class B common stock hold in the aggregate 41.3 % of the voting power of our capital stock, which may increase from time to time, including as a result of our Share Repurchase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8, 2025. The conversion of Class B common stock to Class A common stock will have the effect, over time, of increasing the relative voting power of those individual holders of Class B common stock who retain their shares over the long term.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July 2017, S&amp;P Dow Jones announced that it would no longer admit companies with multiple-class share structures to certain of its indices. Affected indices include the S&amp;P 500, S&amp;P MidCap 400, and S&amp;P SmallCap 600, which together make up the S&amp;P Composite 1500. Our multi-class capital structure may make us ineligible for inclusion in certain indices, and as a result, mutual funds, exchange-traded funds and other investment vehicles that attempt to passively track these indices may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industry analysts, including securities analysts do not publish research or reports about our business or if they publish negative evaluations of our Class A common stock, the price of our Class A common stock could decline.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Sales of a substantial number of shares of our Class A common stock by our existing stockholders could cause the price of our Class A common stock to decline.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Sales of a substantial number of shares of our Class A common stock in the public market could occur at any time and the perception in the market that the holders of a large number of shares of Class A common stock intend to sell shares could reduce the market price of our Class A common stock.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There can be no assurance that we will repurchase shares of our Class A common stock or that we will repurchase shares at favorable prices.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May 2024, our Board of Directors approved a share repurchase program (the Share Repurchase Program) pursuant to which we are authorized to repurchase up to $25.0 million of our Class A common stock from time to time through open market transactions. The amount and timing of our share repurchases, if any, are subject to the availability of capital and our determination that the share repurchases are in the best interest of the Company and our stockholders. Our Share Repurchase Program does not obligate us to repurchase any specific number of shares and may be suspended at any time at our discretion.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make share repurchases, if any,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if at all. As a result, there can be no guarantee around the timing of our share repurchases. Any failure to repurchase stock after we have announced our intention to do so, a reduction in the frequency of repurchases, or the completion of our Share Repurchase Program could have a negative effect on our reputation, investor confidence in us and our stock price.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Class A common stock may decline below the levels at which we repurchase shares, and short-term stock price fluctuations could reduce the effectiveness of the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Repurchasing our Class A common stock reduces the amount of cash we have available, and we may fail to realize the anticipated long-term stockholder value of any share repurchase program.</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have not paid dividends in the past and do not expect to pay dividends in the future, and, as a result, any return on investment may be limited to the value of our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pStyle w:val="TextBody"/>
        <w:bidi w:val="0"/>
        <w:spacing w:before="0" w:after="180"/>
        <w:jc w:val="left"/>
        <w:rPr>
          <w:rFonts w:ascii="Times New Roman" w:hAnsi="Times New Roman"/>
          <w:sz w:val="20"/>
        </w:rPr>
      </w:pPr>
      <w:r>
        <w:rPr>
          <w:rFonts w:ascii="Times New Roman" w:hAnsi="Times New Roman"/>
          <w:b/>
          <w:i/>
          <w:color w:val="000000"/>
          <w:sz w:val="20"/>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transaction that would result in a change in control of our company requires the approval of a majority of our outstanding Class B common stock voting as a separate class;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amendments to our amended and restated certificate of incorporation require the approval of stockholders holding two-thirds of the voting power of our then outstanding capital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stockholder-proposed amendment to our amended and restated bylaws require the approval of stockholders holding two-thirds of the voting power of our then outstanding capital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stockholders may only be able to take action at a meeting of stockholders and may not be able to take action by written consent for any matter;</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stockholders are able to act by written consent only if the action is first recommended or approved by the board of directors;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vacancies on our board of directors may be filled only by our board of directors and not by stockholders;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only the chair of the board of directors, chief executive officer or a majority of the board of directors are authorized to call a special meeting of stockholders;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litigation against us can only be brought in Delaware;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restated certificate of incorporation authorizes undesignated preferred stock, the terms of which may be established and shares of which may be issued, without the approval of the holders of our capital stock;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advance notice procedures apply for stockholders to nominate candidates for election as directors or to bring matters before an annual meeting of stockholders.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ability to use net operating losses to offset future taxable income may be subject to certain limitations, and changes to U.S. tax laws may cause us to make adjustments to our financial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2023, we had U.S. federal and state net operating loss carryforwards (NOLs) of $148.1 million and $151.8 million, respectively, which if not utilized will expire in 2035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changes in U.S. tax laws or limitations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continue to incur significant increased costs and management resources as a result of operating as a public company.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public company, we continue to incur significant legal, accounting, compliance, insurance and other expenses that we did not incur as a private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regulations and standards relating to corporate governance and public disclosure, including SOX, and the related rules and regulations implemented by the SEC and the Nasdaq Stock Market, LLC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General Risks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Environmental, social, and governance (ESG) matters are subject to increasing scrutiny and evolving expectations from customers, regulators, investors and other stakeholders and may expose us to reputational, cost and other risks.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Companies across all industries are subject to increasing scrutiny and evolving expectations regarding ESG matters. In particular, customers, regulators, investors and other stakeholders are increasingly focusing on environmental issues, including climate change, energy use, industrial waste, and other sustainability concerns. Failure to implement sufficient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our facilities or our third-party manufacturers’ facilities become unavailable or inoperable, our research and development program and commercialization plan could be adversely impacted and manufacturing of our instruments and consumables could be interrupted.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Redwood City, California, facilities house our operations, including research and development, NP manufacturing and quality assurance teams. Our instruments are manufactured at our third-party manufacturer’s facilities in Nevada, and our consumables are manufactured at various locations in the United States and internationally.</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facilities in Redwood City and those of our third-party manufacturers are vulnerable to natural disasters, public health crises, including the impact of health epidemics such as the COVID-19 pandemic,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and self-insure for earthquake risk, this insurance may not be sufficient to cover all of our potential losses and may not continue to be available to us on acceptable terms, or at all.</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or our vendors, partners or customers, experience a significant disruption in our information technology systems or breaches of data security, our business could be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rely, or will rely, on information technology systems to keep financial records, facilitate our research and development initiatives, manage our manufacturing operations, provide services, maintain quality control, fulfill customer orders, maintain corporate records, communicate with staff and external parties and operate other critical functions. Our information technology systems and those of our vendors, partners and customers are potentially vulnerable to disruption due to breakdown, malicious intrusion and computer viruses or other disruptive events, including, but not limited to,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our information technology strategy encompasses multi-vendor, multi-cloud infrastructure, systems and applications. We have a shared responsibility model with our information technology vendors and rely on their security measures and controls. We have not conducted a comprehensive evaluation of all vendors to understand their security postures.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our security measures, or those of our vendors, partners and customers,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lose data or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our information technology systems, and those of our vendors, partners and customers, are potentially vulnerable to data security breaches, whether by internal bad actors, such as employees or other third parties with legitimate access to our or our third-party providers’ systems, or external bad actors, which could lead to the loss or exposure of personal data, sensitive data and confidential information to unauthorized persons. Any such data security breaches could lead to the loss of trade secrets or other intellectual property, the exposure of personal information, including sensitive personal information, of our employees, customers and others, or could prevent us from accessing critical information, any of which could expose us to liability and have a material adverse effect on our business, reputation, financial condition and results of operations. Moreover, due to the inherent features and technical limitations of information technology systems and infrastructure, our products and services may be impacted by cyberattacks or other disruptions, including efforts to penetrate our customers’ network security, sabotage or otherwise disable our instruments and services, including instruments at our customers’ sites, misappropriate our customers’ proprietary information, or cause interruptions of our or our customers’ internal operations, systems and services. Any such breach could compromise our customers’ networks and the information stored there could be accessed, publicly disclosed, lost or stolen.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went into effect on January 1, 2023. The CPRA modifies the California Consumer Privacy Act (CCPA) significantly, potentially resulting in further uncertainty and requiring us to incur additional costs and expenses in an effort to comply. The CPRA restricts use of certain categories of sensitive personal information that we may handle, establish restrictions on the retention of personal information, expand the types of data breaches subject to the private right of action, and establish the California Privacy Protection Agency to implement and enforce the new law and impose administrative fines.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took effect on January 1, 2023, on June 8, 2021, Colorado enacted the Colorado Privacy Act, or CPA, which took effect on July 1, 2023, and on March 24, 2022, Utah enacted the Utah Consumer Privacy Act, or UCPA, which took effect on December 31, 2023; and on May 10, 2022, Connecticut enacted the Connecticut Data Privacy Act, or CTDPA, which took effect on July 1, 2023. The CPA, CDPA, UCPA, and CTDPA share similarities with and differences from the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currently subject to, and may in the future become subject to additional international and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international and domestic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CCPA, which increases privacy rights for California residents and imposes obligations on companies that process their personal information, came into effect on January 1, 2020, and the CPRA, which increases such rights and responsibilities, came into effect on January 1, 2023.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adopted and train our employees and applicable consultants on our policies related to the collection, processing, and storage of information, including personal data of employees and scientific data of customers. From time to time, we have and may conduct internal and external audits to assess our ability, and comment on our vendors’ ability, to comply with evolving compliance and operational requirements, which could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including GDPR,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b/>
          <w:color w:val="000000"/>
          <w:sz w:val="20"/>
        </w:rPr>
      </w:pPr>
      <w:bookmarkStart w:id="16" w:name="item_2_unregistered_sales_of_equity_secu"/>
      <w:bookmarkEnd w:id="16"/>
      <w:r>
        <w:rPr>
          <w:rFonts w:ascii="Times New Roman" w:hAnsi="Times New Roman"/>
          <w:b/>
          <w:color w:val="000000"/>
          <w:sz w:val="20"/>
        </w:rPr>
        <w:t>Item 2. Unregistered Sales of Equity Securities</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represents a month-to-month summary of information with respect to purchases of common stock made during the three months ended June 30, 2024:</w:t>
      </w:r>
    </w:p>
    <w:tbl>
      <w:tblPr>
        <w:tblW w:w="10205" w:type="dxa"/>
        <w:jc w:val="left"/>
        <w:tblInd w:w="0" w:type="dxa"/>
        <w:tblLayout w:type="fixed"/>
        <w:tblCellMar>
          <w:top w:w="28" w:type="dxa"/>
          <w:left w:w="28" w:type="dxa"/>
          <w:bottom w:w="28" w:type="dxa"/>
          <w:right w:w="28" w:type="dxa"/>
        </w:tblCellMar>
      </w:tblPr>
      <w:tblGrid>
        <w:gridCol w:w="845"/>
        <w:gridCol w:w="146"/>
        <w:gridCol w:w="207"/>
        <w:gridCol w:w="1324"/>
        <w:gridCol w:w="146"/>
        <w:gridCol w:w="146"/>
        <w:gridCol w:w="363"/>
        <w:gridCol w:w="807"/>
        <w:gridCol w:w="146"/>
        <w:gridCol w:w="146"/>
        <w:gridCol w:w="338"/>
        <w:gridCol w:w="2157"/>
        <w:gridCol w:w="146"/>
        <w:gridCol w:w="146"/>
        <w:gridCol w:w="699"/>
        <w:gridCol w:w="2247"/>
        <w:gridCol w:w="196"/>
      </w:tblGrid>
      <w:tr>
        <w:trPr/>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Total Number of Shares Purchased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Average Price Paid per Share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Total Number of Shares Purchased as Part of Publicly Announced Plans or Programs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Approximate Dollar Value (in thousands) of Shares that May Yet Be Purchased Under the Plans or Programs </w:t>
            </w:r>
            <w:r>
              <w:rPr>
                <w:rFonts w:ascii="Times New Roman" w:hAnsi="Times New Roman"/>
                <w:b/>
                <w:color w:val="000000"/>
                <w:sz w:val="11"/>
              </w:rPr>
              <w:t>(3)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10 - May 31</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13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530,398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21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530,398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23,914</w:t>
            </w:r>
          </w:p>
        </w:tc>
        <w:tc>
          <w:tcPr>
            <w:tcW w:w="196" w:type="dxa"/>
            <w:tcBorders/>
            <w:shd w:fill="CFF0FC"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 June 30</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1,499,031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1,499,031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21,274</w:t>
            </w:r>
          </w:p>
        </w:tc>
        <w:tc>
          <w:tcPr>
            <w:tcW w:w="196" w:type="dxa"/>
            <w:tcBorders/>
            <w:shd w:fill="FFFFFF" w:val="clear"/>
            <w:vAlign w:val="center"/>
          </w:tcPr>
          <w:p>
            <w:pPr>
              <w:pStyle w:val="TableContents"/>
              <w:bidi w:val="0"/>
              <w:spacing w:before="0" w:after="283"/>
              <w:jc w:val="left"/>
              <w:rPr/>
            </w:pPr>
            <w:r>
              <w:rPr/>
              <w:t> </w:t>
            </w:r>
          </w:p>
        </w:tc>
      </w:tr>
      <w:tr>
        <w:trPr/>
        <w:tc>
          <w:tcPr>
            <w:tcW w:w="8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2,029,429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2,029,429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6" w:type="dxa"/>
            <w:gridSpan w:val="2"/>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All shares of common stock were retired following purchase.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Average price paid per share excludes broker commissions and taxes.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On May 3, 2024, the Company’s Board of Directors approved the Share Repurchase Program under which the Company is authorized to purchase up to $25.0 million of its issued and outstanding Class A common stock.</w:t>
      </w:r>
    </w:p>
    <w:p>
      <w:pPr>
        <w:pStyle w:val="TextBody"/>
        <w:bidi w:val="0"/>
        <w:spacing w:before="240" w:after="180"/>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180"/>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quarter ended June 30, 2024, no director or officer, as defined in Rule 16a-1(f), adopted or terminated a “Rule 10b5-1 trading arrangement” or a “non-Rule 10b5-1 trading arrangement,” each as defined in Regulation S-K Item 408.</w:t>
      </w:r>
    </w:p>
    <w:p>
      <w:pPr>
        <w:pStyle w:val="TextBody"/>
        <w:bidi w:val="0"/>
        <w:spacing w:before="180" w:after="283"/>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left"/>
        <w:rPr>
          <w:rFonts w:ascii="Times New Roman" w:hAnsi="Times New Roman"/>
          <w:sz w:val="20"/>
        </w:rPr>
      </w:pPr>
      <w:bookmarkStart w:id="20" w:name="item_6_exhibits"/>
      <w:bookmarkEnd w:id="20"/>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896"/>
        <w:gridCol w:w="146"/>
        <w:gridCol w:w="6406"/>
        <w:gridCol w:w="511"/>
        <w:gridCol w:w="146"/>
        <w:gridCol w:w="476"/>
        <w:gridCol w:w="146"/>
        <w:gridCol w:w="631"/>
        <w:gridCol w:w="146"/>
        <w:gridCol w:w="701"/>
      </w:tblGrid>
      <w:tr>
        <w:trPr/>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0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8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8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center"/>
              <w:rPr/>
            </w:pPr>
            <w:r>
              <w:rPr/>
              <w:t> </w:t>
            </w:r>
          </w:p>
        </w:tc>
      </w:tr>
      <w:tr>
        <w:trPr/>
        <w:tc>
          <w:tcPr>
            <w:tcW w:w="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31.1</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hyperlink w:anchor="ck0001726445-ex31_1.htm">
              <w:r>
                <w:rPr>
                  <w:rStyle w:val="InternetLink"/>
                  <w:rFonts w:ascii="Times New Roman" w:hAnsi="Times New Roman"/>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31.2</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hyperlink w:anchor="ck0001726445-ex31_2.htm">
              <w:r>
                <w:rPr>
                  <w:rStyle w:val="InternetLink"/>
                  <w:rFonts w:ascii="Times New Roman" w:hAnsi="Times New Roman"/>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32.1</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hyperlink w:anchor="ck0001726445-ex32_1.htm">
              <w:r>
                <w:rPr>
                  <w:rStyle w:val="InternetLink"/>
                  <w:rFonts w:ascii="Times New Roman" w:hAnsi="Times New Roman"/>
                  <w:color w:val="0000FF"/>
                  <w:sz w:val="19"/>
                  <w:u w:val="single"/>
                </w:rPr>
                <w:t>Certification of Principal Executive Officer Pursuant to 18 U.S.C. Section 1350, as Adopted Pursuant to Section 906 of the Sarbanes-Oxley Act of 2002.</w:t>
              </w:r>
            </w:hyperlink>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32.2</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hyperlink w:anchor="ck0001726445-ex32_2.htm">
              <w:r>
                <w:rPr>
                  <w:rStyle w:val="InternetLink"/>
                  <w:rFonts w:ascii="Times New Roman" w:hAnsi="Times New Roman"/>
                  <w:color w:val="0000FF"/>
                  <w:sz w:val="19"/>
                  <w:u w:val="single"/>
                </w:rPr>
                <w:t>Certification of Principal Financial Officer Pursuant to 18 U.S.C. Section 1350, as Adopted Pursuant to Section 906 of the Sarbanes-Oxley Act of 2002.</w:t>
              </w:r>
            </w:hyperlink>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101.INS</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Inline XBRL Instance Document</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101.SCH</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Inline XBRL Taxonomy Extension Schema Document With Embedded Linkbase Documents</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104</w:t>
            </w:r>
          </w:p>
        </w:tc>
        <w:tc>
          <w:tcPr>
            <w:tcW w:w="14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Cover Page Interactive Data File - the Cover Page Interactive Data File does not appear in the Interactive Data File because its XBRL tags are embedded within the Inline XBRL document.</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jc w:val="left"/>
        <w:rPr>
          <w:rFonts w:ascii="Times New Roman" w:hAnsi="Times New Roman"/>
          <w:color w:val="000000"/>
          <w:sz w:val="16"/>
        </w:rPr>
      </w:pPr>
      <w:r>
        <w:rPr>
          <w:rFonts w:ascii="Times New Roman" w:hAnsi="Times New Roman"/>
          <w:color w:val="000000"/>
          <w:sz w:val="16"/>
        </w:rPr>
        <w:t>* Filed herewith</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p>
      <w:pPr>
        <w:pStyle w:val="TextBody"/>
        <w:bidi w:val="0"/>
        <w:jc w:val="left"/>
        <w:rPr/>
      </w:pPr>
      <w:r>
        <w:rPr/>
        <w:t> </w:t>
      </w:r>
    </w:p>
    <w:tbl>
      <w:tblPr>
        <w:tblW w:w="5002" w:type="dxa"/>
        <w:jc w:val="left"/>
        <w:tblInd w:w="0" w:type="dxa"/>
        <w:tblLayout w:type="fixed"/>
        <w:tblCellMar>
          <w:top w:w="28" w:type="dxa"/>
          <w:left w:w="28" w:type="dxa"/>
          <w:bottom w:w="28" w:type="dxa"/>
          <w:right w:w="28" w:type="dxa"/>
        </w:tblCellMar>
      </w:tblPr>
      <w:tblGrid>
        <w:gridCol w:w="1846"/>
        <w:gridCol w:w="109"/>
        <w:gridCol w:w="406"/>
        <w:gridCol w:w="264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SEER, INC.</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Omid Farokhzad, M.D.</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 M.D.</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of the Board of Directors</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6847" w:type="dxa"/>
        <w:jc w:val="left"/>
        <w:tblInd w:w="0" w:type="dxa"/>
        <w:tblLayout w:type="fixed"/>
        <w:tblCellMar>
          <w:top w:w="28" w:type="dxa"/>
          <w:left w:w="28" w:type="dxa"/>
          <w:bottom w:w="28" w:type="dxa"/>
          <w:right w:w="28" w:type="dxa"/>
        </w:tblCellMar>
      </w:tblPr>
      <w:tblGrid>
        <w:gridCol w:w="1846"/>
        <w:gridCol w:w="109"/>
        <w:gridCol w:w="406"/>
        <w:gridCol w:w="448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8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R. Horn</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R. Horn</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Accounting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bookmarkStart w:id="22" w:name="ck0001726445-ex31_1.htm"/>
      <w:bookmarkStart w:id="23" w:name="ksck0001726445ex31_1"/>
      <w:bookmarkEnd w:id="22"/>
      <w:bookmarkEnd w:id="23"/>
      <w:r>
        <w:rPr/>
        <w:t> </w:t>
      </w:r>
      <w:r>
        <w:br w:type="page"/>
      </w:r>
    </w:p>
    <w:p>
      <w:pPr>
        <w:pStyle w:val="TextBody"/>
        <w:bidi w:val="0"/>
        <w:jc w:val="left"/>
        <w:rPr/>
      </w:pPr>
      <w:r>
        <w:rPr/>
        <w:t> </w:t>
      </w:r>
    </w:p>
    <w:p>
      <w:pPr>
        <w:pStyle w:val="TextBody"/>
        <w:bidi w:val="0"/>
        <w:jc w:val="right"/>
        <w:rPr/>
      </w:pPr>
      <w:r>
        <w:rPr/>
        <w:t> </w:t>
      </w:r>
    </w:p>
    <w:p>
      <w:pPr>
        <w:pStyle w:val="TextBody"/>
        <w:bidi w:val="0"/>
        <w:jc w:val="right"/>
        <w:rPr>
          <w:rFonts w:ascii="Times New Roman" w:hAnsi="Times New Roman"/>
          <w:b/>
          <w:color w:val="000000"/>
          <w:sz w:val="20"/>
        </w:rPr>
      </w:pPr>
      <w:bookmarkStart w:id="24" w:name="section1"/>
      <w:bookmarkEnd w:id="24"/>
      <w:r>
        <w:rPr>
          <w:rFonts w:ascii="Times New Roman" w:hAnsi="Times New Roman"/>
          <w:b/>
          <w:color w:val="000000"/>
          <w:sz w:val="20"/>
        </w:rPr>
        <w:t>Exhibit 31.1</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RULES 13a-14(a) AND 15d-14(a) UNDER THE SECURITIES EXCHANGE ACT OF 1934, 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Omid Farokhzad,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Seer,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6797" w:type="dxa"/>
        <w:jc w:val="left"/>
        <w:tblInd w:w="0" w:type="dxa"/>
        <w:tblLayout w:type="fixed"/>
        <w:tblCellMar>
          <w:top w:w="28" w:type="dxa"/>
          <w:left w:w="28" w:type="dxa"/>
          <w:bottom w:w="28" w:type="dxa"/>
          <w:right w:w="28" w:type="dxa"/>
        </w:tblCellMar>
      </w:tblPr>
      <w:tblGrid>
        <w:gridCol w:w="1846"/>
        <w:gridCol w:w="4951"/>
      </w:tblGrid>
      <w:tr>
        <w:trPr/>
        <w:tc>
          <w:tcPr>
            <w:tcW w:w="1846"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By: /s/ Omid Farokhzad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 of the Board of Directors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ck0001726445-ex31_2.htm"/>
      <w:bookmarkStart w:id="26" w:name="ksck0001726445ex31_2"/>
      <w:bookmarkEnd w:id="25"/>
      <w:bookmarkEnd w:id="26"/>
      <w:r>
        <w:rPr/>
        <w:t> </w:t>
      </w:r>
      <w:r>
        <w:br w:type="page"/>
      </w:r>
    </w:p>
    <w:p>
      <w:pPr>
        <w:pStyle w:val="TextBody"/>
        <w:bidi w:val="0"/>
        <w:jc w:val="left"/>
        <w:rPr/>
      </w:pPr>
      <w:r>
        <w:rPr/>
        <w:t> </w:t>
      </w:r>
    </w:p>
    <w:p>
      <w:pPr>
        <w:pStyle w:val="TextBody"/>
        <w:bidi w:val="0"/>
        <w:jc w:val="right"/>
        <w:rPr/>
      </w:pPr>
      <w:r>
        <w:rPr/>
        <w:t> </w:t>
      </w:r>
    </w:p>
    <w:p>
      <w:pPr>
        <w:pStyle w:val="TextBody"/>
        <w:bidi w:val="0"/>
        <w:jc w:val="right"/>
        <w:rPr>
          <w:rFonts w:ascii="Times New Roman" w:hAnsi="Times New Roman"/>
          <w:b/>
          <w:color w:val="000000"/>
          <w:sz w:val="20"/>
        </w:rPr>
      </w:pPr>
      <w:bookmarkStart w:id="27" w:name="section11"/>
      <w:bookmarkEnd w:id="27"/>
      <w:r>
        <w:rPr>
          <w:rFonts w:ascii="Times New Roman" w:hAnsi="Times New Roman"/>
          <w:b/>
          <w:color w:val="000000"/>
          <w:sz w:val="20"/>
        </w:rPr>
        <w:t>Exhibit 31.2</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RULES 13a-14(a) AND 15d-14(a) UNDER THE SECURITIES EXCHANGE ACT OF 1934, 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David Horn,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Seer,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6212" w:type="dxa"/>
        <w:jc w:val="left"/>
        <w:tblInd w:w="0" w:type="dxa"/>
        <w:tblLayout w:type="fixed"/>
        <w:tblCellMar>
          <w:top w:w="28" w:type="dxa"/>
          <w:left w:w="28" w:type="dxa"/>
          <w:bottom w:w="28" w:type="dxa"/>
          <w:right w:w="28" w:type="dxa"/>
        </w:tblCellMar>
      </w:tblPr>
      <w:tblGrid>
        <w:gridCol w:w="1846"/>
        <w:gridCol w:w="4366"/>
      </w:tblGrid>
      <w:tr>
        <w:trPr/>
        <w:tc>
          <w:tcPr>
            <w:tcW w:w="1846"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By: /s/ David Horn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ck0001726445-ex32_1.htm"/>
      <w:bookmarkStart w:id="29" w:name="ksck0001726445ex32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left"/>
        <w:rPr>
          <w:rFonts w:ascii="Times New Roman" w:hAnsi="Times New Roman"/>
          <w:b/>
          <w:color w:val="000000"/>
          <w:sz w:val="20"/>
        </w:rPr>
      </w:pPr>
      <w:bookmarkStart w:id="30" w:name="section12"/>
      <w:bookmarkEnd w:id="30"/>
      <w:r>
        <w:rPr>
          <w:rFonts w:ascii="Times New Roman" w:hAnsi="Times New Roman"/>
          <w:b/>
          <w:color w:val="000000"/>
          <w:sz w:val="20"/>
        </w:rPr>
        <w:t>CERTIFICATION OF PRINCIPAL EXECUTIVE OFFICER PURSUANT TO 18 U.S.C. SECTION 1350, AS ADOPTED PURSUANT TO 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Seer, Inc. (the “Company”) on Form 10-Q for the period ended June 30, 2024 as filed with the Securities and Exchange Commission on the date hereof (the “Report”), I, Omid Farokhzad, hereby certify, pursuant to 18 U.S.C. § 1350, as adopted pursuant to § 906 of the Sarbanes-Oxley Act of 2002,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6797" w:type="dxa"/>
        <w:jc w:val="left"/>
        <w:tblInd w:w="0" w:type="dxa"/>
        <w:tblLayout w:type="fixed"/>
        <w:tblCellMar>
          <w:top w:w="28" w:type="dxa"/>
          <w:left w:w="28" w:type="dxa"/>
          <w:bottom w:w="28" w:type="dxa"/>
          <w:right w:w="28" w:type="dxa"/>
        </w:tblCellMar>
      </w:tblPr>
      <w:tblGrid>
        <w:gridCol w:w="1846"/>
        <w:gridCol w:w="4951"/>
      </w:tblGrid>
      <w:tr>
        <w:trPr/>
        <w:tc>
          <w:tcPr>
            <w:tcW w:w="1846"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By: /s/ Omid Farokhzad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 of the Board of Directors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ck0001726445-ex32_2.htm"/>
      <w:bookmarkStart w:id="32" w:name="ksck0001726445ex32_2"/>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left"/>
        <w:rPr>
          <w:rFonts w:ascii="Times New Roman" w:hAnsi="Times New Roman"/>
          <w:b/>
          <w:color w:val="000000"/>
          <w:sz w:val="20"/>
        </w:rPr>
      </w:pPr>
      <w:bookmarkStart w:id="33" w:name="section13"/>
      <w:bookmarkEnd w:id="33"/>
      <w:r>
        <w:rPr>
          <w:rFonts w:ascii="Times New Roman" w:hAnsi="Times New Roman"/>
          <w:b/>
          <w:color w:val="000000"/>
          <w:sz w:val="20"/>
        </w:rPr>
        <w:t>CERTIFICATION OF PRINCIPAL FINANCIAL OFFICER PURSUANT TO 18 U.S.C. SECTION 1350, AS ADOPTED PURSUANT TO 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Seer, Inc. (the “Company”) on Form 10-Q for the period ended June 30, 2024 as filed with the Securities and Exchange Commission on the date hereof (the “Report”), I, David Horn, hereby certify, pursuant to 18 U.S.C. § 1350, as adopted pursuant to § 906 of the Sarbanes-Oxley Act of 2002,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6212" w:type="dxa"/>
        <w:jc w:val="left"/>
        <w:tblInd w:w="0" w:type="dxa"/>
        <w:tblLayout w:type="fixed"/>
        <w:tblCellMar>
          <w:top w:w="28" w:type="dxa"/>
          <w:left w:w="28" w:type="dxa"/>
          <w:bottom w:w="28" w:type="dxa"/>
          <w:right w:w="28" w:type="dxa"/>
        </w:tblCellMar>
      </w:tblPr>
      <w:tblGrid>
        <w:gridCol w:w="1846"/>
        <w:gridCol w:w="4366"/>
      </w:tblGrid>
      <w:tr>
        <w:trPr/>
        <w:tc>
          <w:tcPr>
            <w:tcW w:w="1846"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By: /s/ David Horn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49050</Words>
  <Characters>271668</Characters>
  <CharactersWithSpaces>321272</CharactersWithSpaces>
  <Paragraphs>6549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