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10082026_091034.xml.htm"/>
      <w:bookmarkStart w:id="1" w:name="ksform310082026_09103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Endweiss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SEER,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BRIDGE PARKWAY,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Seer, Inc.</w:t>
              </w:r>
            </w:hyperlink>
            <w:r>
              <w:rPr/>
              <w:t xml:space="preserve"> [ </w:t>
            </w:r>
            <w:r>
              <w:rPr>
                <w:rFonts w:ascii="Times;serif" w:hAnsi="Times;serif"/>
                <w:color w:val="0000FF"/>
                <w:sz w:val="24"/>
                <w:shd w:fill="FFFFFF" w:val="clear"/>
              </w:rPr>
              <w:t>SEER</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Financial Planning Analysis</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107,641</w:t>
            </w:r>
            <w:r>
              <w:rPr>
                <w:rFonts w:ascii="Times;serif" w:hAnsi="Times;serif"/>
                <w:color w:val="008000"/>
                <w:position w:val="7"/>
                <w:sz w:val="16"/>
                <w:sz w:val="20"/>
                <w:shd w:fill="FFFFFF" w:val="clear"/>
              </w:rPr>
              <w:t>(1)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5000" w:type="pct"/>
        <w:jc w:val="left"/>
        <w:tblInd w:w="-7" w:type="dxa"/>
        <w:tblLayout w:type="fixed"/>
        <w:tblCellMar>
          <w:top w:w="60" w:type="dxa"/>
          <w:left w:w="60" w:type="dxa"/>
          <w:bottom w:w="60" w:type="dxa"/>
          <w:right w:w="60" w:type="dxa"/>
        </w:tblCellMar>
      </w:tblPr>
      <w:tblGrid>
        <w:gridCol w:w="1705"/>
        <w:gridCol w:w="1223"/>
        <w:gridCol w:w="1129"/>
        <w:gridCol w:w="1340"/>
        <w:gridCol w:w="936"/>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7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01/06/2031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46,730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10,578</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02/08/2032</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02/15/2033</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02/06/2034</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02/06/2035</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Employee 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02/03/2036</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43,149 shares represented by restricted stock units, or RSUs, which vest as follows: 2,656 RSUs vest in two equal quarterly installments beginning on November 15, 2026; 6,995 RSUs vest in six equal quarterly installments beginning on November 15, 2026; 7,968 RSUs vest in seven equal quarterly installments beginning on November 15, 2026; 13,280 RSUs vest in 10 equal quarterly installments beginning on November 15, 2026; and 12,250 RSUs vest in 14 equal installments beginning on November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in a custodial account for the reporting person's elder 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in a custodial account for the reporting person's younger 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underlying the option are fully vested are immediately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One-fourth of the shares underlying the option vested on February 7, 2024 and the remaining shares vest in 36 equal monthly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One-fourth of the shares underlying the option vested on February 6, 2025 and the remaining shares vest in 36 equal monthly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One-fourth of the shares underlying the option vested on February 6, 2026 and the remaining shares vest in 36 equal monthly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One-fourth of the shares underlying the option vest on February 3, 2027 and the remaining shares vest in 36 equal monthly installments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Endweiss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330" w:after="0"/>
        <w:jc w:val="center"/>
        <w:rPr>
          <w:b/>
          <w:sz w:val="22"/>
        </w:rPr>
      </w:pPr>
      <w:bookmarkStart w:id="2" w:name="ex24-10082026_091034.htm"/>
      <w:bookmarkStart w:id="3" w:name="ksex2410082026_091034"/>
      <w:bookmarkEnd w:id="2"/>
      <w:bookmarkEnd w:id="3"/>
      <w:r>
        <w:rPr>
          <w:b/>
          <w:sz w:val="22"/>
        </w:rPr>
        <w:t>POWER OF ATTORNEY</w:t>
      </w:r>
      <w:r>
        <w:br w:type="page"/>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as a Section 16 reporting person of Seer, Inc. (the Company), hereby constitutes and appoints Omid Farokhzad, M.D. and Marissa Dixon, and each of them, as the undersigneds true and lawful attorney-in-fact to: </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all acts necessary in order to file such forms with the SEC, any securities exchange or national association, the Company and such other person or agency as the attorneys-in-fact shall deem appropriate.</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9144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72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 </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IN WITNESS WHEREOF, the undersigned has caused this Power of Attorney to be executed as of this 30 day of September,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left"/>
        <w:rPr>
          <w:sz w:val="22"/>
        </w:rPr>
      </w:pPr>
      <w:r>
        <w:rPr>
          <w:sz w:val="22"/>
        </w:rPr>
        <w:t xml:space="preserve">Signature: </w:t>
      </w:r>
      <w:r>
        <w:rPr>
          <w:sz w:val="22"/>
          <w:u w:val="single"/>
        </w:rPr>
        <w:t>/s/ Charles Endweiss</w:t>
      </w:r>
      <w:r>
        <w:rPr>
          <w:sz w:val="22"/>
        </w:rPr>
        <w:t>______</w:t>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Print Name: Charles Endweiss</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7949" TargetMode="External"/><Relationship Id="rId3" Type="http://schemas.openxmlformats.org/officeDocument/2006/relationships/hyperlink" Target="http://www.sec.gov/cgi-bin/browse-edgar?action=getcompany&amp;CIK=000172644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1029</Words>
  <Characters>5459</Characters>
  <CharactersWithSpaces>6355</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