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1" w:lineRule="exact"/>
        <w:rPr>
          <w:sz w:val="24"/>
          <w:szCs w:val="24"/>
          <w:color w:val="auto"/>
        </w:rPr>
      </w:pPr>
    </w:p>
    <w:p>
      <w:pPr>
        <w:ind w:left="2880"/>
        <w:spacing w:after="0"/>
        <w:rPr>
          <w:sz w:val="20"/>
          <w:szCs w:val="20"/>
          <w:color w:val="auto"/>
        </w:rPr>
      </w:pPr>
      <w:r>
        <w:rPr>
          <w:rFonts w:ascii="Arial" w:cs="Arial" w:eastAsia="Arial" w:hAnsi="Arial"/>
          <w:sz w:val="14"/>
          <w:szCs w:val="14"/>
          <w:b w:val="1"/>
          <w:bCs w:val="1"/>
          <w:color w:val="auto"/>
        </w:rPr>
        <w:t>As filed with the Securities and Exchange Commission on March 8, 2023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-278130</wp:posOffset>
            </wp:positionH>
            <wp:positionV relativeFrom="paragraph">
              <wp:posOffset>90805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22225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16" w:lineRule="exact"/>
        <w:rPr>
          <w:sz w:val="24"/>
          <w:szCs w:val="24"/>
          <w:color w:val="auto"/>
        </w:rPr>
      </w:pPr>
    </w:p>
    <w:p>
      <w:pPr>
        <w:jc w:val="center"/>
        <w:ind w:right="420"/>
        <w:spacing w:after="0"/>
        <w:rPr>
          <w:sz w:val="20"/>
          <w:szCs w:val="20"/>
          <w:color w:val="auto"/>
        </w:rPr>
      </w:pPr>
      <w:r>
        <w:rPr>
          <w:rFonts w:ascii="Arial" w:cs="Arial" w:eastAsia="Arial" w:hAnsi="Arial"/>
          <w:sz w:val="29"/>
          <w:szCs w:val="29"/>
          <w:b w:val="1"/>
          <w:bCs w:val="1"/>
          <w:color w:val="auto"/>
        </w:rPr>
        <w:t>UNITED STATES</w:t>
      </w:r>
    </w:p>
    <w:p>
      <w:pPr>
        <w:jc w:val="center"/>
        <w:ind w:right="420"/>
        <w:spacing w:after="0" w:line="224" w:lineRule="auto"/>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81915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2" w:lineRule="exact"/>
        <w:rPr>
          <w:sz w:val="24"/>
          <w:szCs w:val="24"/>
          <w:color w:val="auto"/>
        </w:rPr>
      </w:pPr>
    </w:p>
    <w:p>
      <w:pPr>
        <w:jc w:val="center"/>
        <w:ind w:right="420"/>
        <w:spacing w:after="0"/>
        <w:rPr>
          <w:sz w:val="20"/>
          <w:szCs w:val="20"/>
          <w:color w:val="auto"/>
        </w:rPr>
      </w:pPr>
      <w:r>
        <w:rPr>
          <w:rFonts w:ascii="Arial" w:cs="Arial" w:eastAsia="Arial" w:hAnsi="Arial"/>
          <w:sz w:val="29"/>
          <w:szCs w:val="29"/>
          <w:b w:val="1"/>
          <w:bCs w:val="1"/>
          <w:color w:val="auto"/>
        </w:rPr>
        <w:t>FORM S-8</w:t>
      </w:r>
    </w:p>
    <w:p>
      <w:pPr>
        <w:jc w:val="center"/>
        <w:ind w:right="420"/>
        <w:spacing w:after="0" w:line="213" w:lineRule="auto"/>
        <w:rPr>
          <w:sz w:val="20"/>
          <w:szCs w:val="20"/>
          <w:color w:val="auto"/>
        </w:rPr>
      </w:pPr>
      <w:r>
        <w:rPr>
          <w:rFonts w:ascii="Arial" w:cs="Arial" w:eastAsia="Arial" w:hAnsi="Arial"/>
          <w:sz w:val="29"/>
          <w:szCs w:val="29"/>
          <w:b w:val="1"/>
          <w:bCs w:val="1"/>
          <w:color w:val="auto"/>
        </w:rPr>
        <w:t>REGISTRATION STATEMENT</w:t>
      </w:r>
    </w:p>
    <w:p>
      <w:pPr>
        <w:jc w:val="center"/>
        <w:ind w:right="420"/>
        <w:spacing w:after="0" w:line="211" w:lineRule="auto"/>
        <w:rPr>
          <w:sz w:val="20"/>
          <w:szCs w:val="20"/>
          <w:color w:val="auto"/>
        </w:rPr>
      </w:pPr>
      <w:r>
        <w:rPr>
          <w:rFonts w:ascii="Arial" w:cs="Arial" w:eastAsia="Arial" w:hAnsi="Arial"/>
          <w:sz w:val="20"/>
          <w:szCs w:val="20"/>
          <w:b w:val="1"/>
          <w:bCs w:val="1"/>
          <w:i w:val="1"/>
          <w:iCs w:val="1"/>
          <w:color w:val="auto"/>
        </w:rPr>
        <w:t>Under</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51435</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43" w:lineRule="exact"/>
        <w:rPr>
          <w:sz w:val="24"/>
          <w:szCs w:val="24"/>
          <w:color w:val="auto"/>
        </w:rPr>
      </w:pPr>
    </w:p>
    <w:p>
      <w:pPr>
        <w:jc w:val="center"/>
        <w:ind w:right="420"/>
        <w:spacing w:after="0"/>
        <w:rPr>
          <w:sz w:val="20"/>
          <w:szCs w:val="20"/>
          <w:color w:val="auto"/>
        </w:rPr>
      </w:pPr>
      <w:r>
        <w:rPr>
          <w:rFonts w:ascii="Arial" w:cs="Arial" w:eastAsia="Arial" w:hAnsi="Arial"/>
          <w:sz w:val="40"/>
          <w:szCs w:val="40"/>
          <w:b w:val="1"/>
          <w:bCs w:val="1"/>
          <w:color w:val="auto"/>
        </w:rPr>
        <w:t>SEER, INC.</w:t>
      </w:r>
    </w:p>
    <w:p>
      <w:pPr>
        <w:ind w:left="35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227965</wp:posOffset>
            </wp:positionV>
            <wp:extent cx="1414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0740"/>
          </w:cols>
          <w:pgMar w:left="780" w:top="1440"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82-1153150</w:t>
      </w:r>
    </w:p>
    <w:p>
      <w:pPr>
        <w:spacing w:after="0" w:line="72" w:lineRule="exact"/>
        <w:rPr>
          <w:sz w:val="24"/>
          <w:szCs w:val="24"/>
          <w:color w:val="auto"/>
        </w:rPr>
      </w:pPr>
    </w:p>
    <w:p>
      <w:pPr>
        <w:sectPr>
          <w:pgSz w:w="11900" w:h="16838" w:orient="portrait"/>
          <w:cols w:equalWidth="0" w:num="2">
            <w:col w:w="7700" w:space="720"/>
            <w:col w:w="2320"/>
          </w:cols>
          <w:pgMar w:left="780" w:top="1440" w:right="379" w:bottom="1440" w:gutter="0" w:footer="0" w:header="0"/>
          <w:type w:val="continuous"/>
        </w:sectPr>
      </w:pPr>
    </w:p>
    <w:p>
      <w:pPr>
        <w:jc w:val="center"/>
        <w:ind w:right="4060"/>
        <w:spacing w:after="0"/>
        <w:rPr>
          <w:sz w:val="20"/>
          <w:szCs w:val="20"/>
          <w:color w:val="auto"/>
        </w:rPr>
      </w:pPr>
      <w:r>
        <w:rPr>
          <w:rFonts w:ascii="Arial" w:cs="Arial" w:eastAsia="Arial" w:hAnsi="Arial"/>
          <w:sz w:val="13"/>
          <w:szCs w:val="13"/>
          <w:b w:val="1"/>
          <w:bCs w:val="1"/>
          <w:color w:val="auto"/>
        </w:rPr>
        <w:t>(State or other jurisdiction of incorporation or</w:t>
      </w:r>
    </w:p>
    <w:p>
      <w:pPr>
        <w:spacing w:after="0" w:line="2" w:lineRule="exact"/>
        <w:rPr>
          <w:sz w:val="24"/>
          <w:szCs w:val="24"/>
          <w:color w:val="auto"/>
        </w:rPr>
      </w:pPr>
    </w:p>
    <w:p>
      <w:pPr>
        <w:jc w:val="center"/>
        <w:ind w:right="4060"/>
        <w:spacing w:after="0"/>
        <w:rPr>
          <w:sz w:val="20"/>
          <w:szCs w:val="20"/>
          <w:color w:val="auto"/>
        </w:rPr>
      </w:pPr>
      <w:r>
        <w:rPr>
          <w:rFonts w:ascii="Arial" w:cs="Arial" w:eastAsia="Arial" w:hAnsi="Arial"/>
          <w:sz w:val="14"/>
          <w:szCs w:val="14"/>
          <w:b w:val="1"/>
          <w:bCs w:val="1"/>
          <w:color w:val="auto"/>
        </w:rPr>
        <w:t>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1667510</wp:posOffset>
            </wp:positionH>
            <wp:positionV relativeFrom="paragraph">
              <wp:posOffset>296545</wp:posOffset>
            </wp:positionV>
            <wp:extent cx="141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Number)</w:t>
      </w:r>
    </w:p>
    <w:p>
      <w:pPr>
        <w:spacing w:after="0" w:line="362" w:lineRule="exact"/>
        <w:rPr>
          <w:sz w:val="24"/>
          <w:szCs w:val="24"/>
          <w:color w:val="auto"/>
        </w:rPr>
      </w:pPr>
    </w:p>
    <w:p>
      <w:pPr>
        <w:sectPr>
          <w:pgSz w:w="11900" w:h="16838" w:orient="portrait"/>
          <w:cols w:equalWidth="0" w:num="2">
            <w:col w:w="6920" w:space="720"/>
            <w:col w:w="3100"/>
          </w:cols>
          <w:pgMar w:left="780" w:top="1440" w:right="379" w:bottom="1440" w:gutter="0" w:footer="0" w:header="0"/>
          <w:type w:val="continuous"/>
        </w:sectPr>
      </w:pPr>
    </w:p>
    <w:p>
      <w:pPr>
        <w:spacing w:after="0" w:line="200" w:lineRule="exact"/>
        <w:rPr>
          <w:sz w:val="24"/>
          <w:szCs w:val="24"/>
          <w:color w:val="auto"/>
        </w:rPr>
      </w:pPr>
    </w:p>
    <w:p>
      <w:pPr>
        <w:spacing w:after="0" w:line="295" w:lineRule="exact"/>
        <w:rPr>
          <w:sz w:val="24"/>
          <w:szCs w:val="24"/>
          <w:color w:val="auto"/>
        </w:rPr>
      </w:pPr>
    </w:p>
    <w:p>
      <w:pPr>
        <w:ind w:left="3820"/>
        <w:spacing w:after="0"/>
        <w:rPr>
          <w:sz w:val="20"/>
          <w:szCs w:val="20"/>
          <w:color w:val="auto"/>
        </w:rPr>
      </w:pPr>
      <w:r>
        <w:rPr>
          <w:rFonts w:ascii="Arial" w:cs="Arial" w:eastAsia="Arial" w:hAnsi="Arial"/>
          <w:sz w:val="20"/>
          <w:szCs w:val="20"/>
          <w:b w:val="1"/>
          <w:bCs w:val="1"/>
          <w:color w:val="auto"/>
        </w:rPr>
        <w:t>3800 Bridge Parkway, Suite 102</w:t>
      </w:r>
    </w:p>
    <w:p>
      <w:pPr>
        <w:ind w:left="3820"/>
        <w:spacing w:after="0" w:line="191" w:lineRule="auto"/>
        <w:rPr>
          <w:sz w:val="20"/>
          <w:szCs w:val="20"/>
          <w:color w:val="auto"/>
        </w:rPr>
      </w:pPr>
      <w:r>
        <w:rPr>
          <w:rFonts w:ascii="Arial" w:cs="Arial" w:eastAsia="Arial" w:hAnsi="Arial"/>
          <w:sz w:val="20"/>
          <w:szCs w:val="20"/>
          <w:b w:val="1"/>
          <w:bCs w:val="1"/>
          <w:color w:val="auto"/>
        </w:rPr>
        <w:t>Redwood City, California 94065</w:t>
      </w:r>
    </w:p>
    <w:p>
      <w:pPr>
        <w:ind w:left="338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73660</wp:posOffset>
            </wp:positionV>
            <wp:extent cx="1945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91" w:lineRule="exact"/>
        <w:rPr>
          <w:sz w:val="24"/>
          <w:szCs w:val="24"/>
          <w:color w:val="auto"/>
        </w:rPr>
      </w:pPr>
    </w:p>
    <w:p>
      <w:pPr>
        <w:ind w:left="4020"/>
        <w:spacing w:after="0"/>
        <w:rPr>
          <w:sz w:val="20"/>
          <w:szCs w:val="20"/>
          <w:color w:val="auto"/>
        </w:rPr>
      </w:pPr>
      <w:r>
        <w:rPr>
          <w:rFonts w:ascii="Arial" w:cs="Arial" w:eastAsia="Arial" w:hAnsi="Arial"/>
          <w:sz w:val="20"/>
          <w:szCs w:val="20"/>
          <w:b w:val="1"/>
          <w:bCs w:val="1"/>
          <w:color w:val="auto"/>
        </w:rPr>
        <w:t>2020 Equity Incentive Plan</w:t>
      </w:r>
    </w:p>
    <w:p>
      <w:pPr>
        <w:ind w:left="3640"/>
        <w:spacing w:after="0" w:line="205" w:lineRule="auto"/>
        <w:rPr>
          <w:sz w:val="20"/>
          <w:szCs w:val="20"/>
          <w:color w:val="auto"/>
        </w:rPr>
      </w:pPr>
      <w:r>
        <w:rPr>
          <w:rFonts w:ascii="Arial" w:cs="Arial" w:eastAsia="Arial" w:hAnsi="Arial"/>
          <w:sz w:val="20"/>
          <w:szCs w:val="20"/>
          <w:b w:val="1"/>
          <w:bCs w:val="1"/>
          <w:color w:val="auto"/>
        </w:rPr>
        <w:t>2020 Employee Stock Purchase Plan</w:t>
      </w:r>
    </w:p>
    <w:p>
      <w:pPr>
        <w:jc w:val="center"/>
        <w:ind w:right="420"/>
        <w:spacing w:after="0"/>
        <w:rPr>
          <w:sz w:val="20"/>
          <w:szCs w:val="20"/>
          <w:color w:val="auto"/>
        </w:rPr>
      </w:pPr>
      <w:r>
        <w:rPr>
          <w:rFonts w:ascii="Arial" w:cs="Arial" w:eastAsia="Arial" w:hAnsi="Arial"/>
          <w:sz w:val="14"/>
          <w:szCs w:val="14"/>
          <w:b w:val="1"/>
          <w:bCs w:val="1"/>
          <w:color w:val="auto"/>
        </w:rPr>
        <w:t>(Full title of plan)</w:t>
      </w:r>
    </w:p>
    <w:p>
      <w:pPr>
        <w:spacing w:after="0" w:line="70"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Omid Farokhzad, M.D.</w:t>
      </w:r>
    </w:p>
    <w:p>
      <w:pPr>
        <w:ind w:left="3700"/>
        <w:spacing w:after="0" w:line="205" w:lineRule="auto"/>
        <w:rPr>
          <w:sz w:val="20"/>
          <w:szCs w:val="20"/>
          <w:color w:val="auto"/>
        </w:rPr>
      </w:pPr>
      <w:r>
        <w:rPr>
          <w:rFonts w:ascii="Arial" w:cs="Arial" w:eastAsia="Arial" w:hAnsi="Arial"/>
          <w:sz w:val="18"/>
          <w:szCs w:val="18"/>
          <w:b w:val="1"/>
          <w:bCs w:val="1"/>
          <w:color w:val="auto"/>
        </w:rPr>
        <w:t>Chief Executive Officer and President</w:t>
      </w:r>
    </w:p>
    <w:p>
      <w:pPr>
        <w:jc w:val="center"/>
        <w:ind w:right="420"/>
        <w:spacing w:after="0" w:line="204" w:lineRule="auto"/>
        <w:rPr>
          <w:sz w:val="20"/>
          <w:szCs w:val="20"/>
          <w:color w:val="auto"/>
        </w:rPr>
      </w:pPr>
      <w:r>
        <w:rPr>
          <w:rFonts w:ascii="Arial" w:cs="Arial" w:eastAsia="Arial" w:hAnsi="Arial"/>
          <w:sz w:val="18"/>
          <w:szCs w:val="18"/>
          <w:b w:val="1"/>
          <w:bCs w:val="1"/>
          <w:color w:val="auto"/>
        </w:rPr>
        <w:t>Seer, Inc.</w:t>
      </w:r>
    </w:p>
    <w:p>
      <w:pPr>
        <w:jc w:val="center"/>
        <w:ind w:right="420"/>
        <w:spacing w:after="0" w:line="219" w:lineRule="auto"/>
        <w:rPr>
          <w:sz w:val="20"/>
          <w:szCs w:val="20"/>
          <w:color w:val="auto"/>
        </w:rPr>
      </w:pPr>
      <w:r>
        <w:rPr>
          <w:rFonts w:ascii="Arial" w:cs="Arial" w:eastAsia="Arial" w:hAnsi="Arial"/>
          <w:sz w:val="18"/>
          <w:szCs w:val="18"/>
          <w:b w:val="1"/>
          <w:bCs w:val="1"/>
          <w:color w:val="auto"/>
        </w:rPr>
        <w:t>3800 Bridge Parkway, Suite 102</w:t>
      </w:r>
    </w:p>
    <w:p>
      <w:pPr>
        <w:jc w:val="center"/>
        <w:ind w:right="420"/>
        <w:spacing w:after="0" w:line="203" w:lineRule="auto"/>
        <w:rPr>
          <w:sz w:val="20"/>
          <w:szCs w:val="20"/>
          <w:color w:val="auto"/>
        </w:rPr>
      </w:pPr>
      <w:r>
        <w:rPr>
          <w:rFonts w:ascii="Arial" w:cs="Arial" w:eastAsia="Arial" w:hAnsi="Arial"/>
          <w:sz w:val="18"/>
          <w:szCs w:val="18"/>
          <w:b w:val="1"/>
          <w:bCs w:val="1"/>
          <w:color w:val="auto"/>
        </w:rPr>
        <w:t>Redwood City, California 94065</w:t>
      </w:r>
    </w:p>
    <w:p>
      <w:pPr>
        <w:jc w:val="center"/>
        <w:ind w:right="420"/>
        <w:spacing w:after="0" w:line="194" w:lineRule="auto"/>
        <w:rPr>
          <w:sz w:val="20"/>
          <w:szCs w:val="20"/>
          <w:color w:val="auto"/>
        </w:rPr>
      </w:pPr>
      <w:r>
        <w:rPr>
          <w:rFonts w:ascii="Arial" w:cs="Arial" w:eastAsia="Arial" w:hAnsi="Arial"/>
          <w:sz w:val="18"/>
          <w:szCs w:val="18"/>
          <w:b w:val="1"/>
          <w:bCs w:val="1"/>
          <w:color w:val="auto"/>
        </w:rPr>
        <w:t>650-453-0000</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(Name, address and telephone number, including area code of agent for service)</w:t>
      </w:r>
    </w:p>
    <w:p>
      <w:pPr>
        <w:spacing w:after="0" w:line="111" w:lineRule="exact"/>
        <w:rPr>
          <w:sz w:val="24"/>
          <w:szCs w:val="24"/>
          <w:color w:val="auto"/>
        </w:rPr>
      </w:pPr>
    </w:p>
    <w:p>
      <w:pPr>
        <w:jc w:val="center"/>
        <w:ind w:right="420"/>
        <w:spacing w:after="0"/>
        <w:rPr>
          <w:sz w:val="20"/>
          <w:szCs w:val="20"/>
          <w:color w:val="auto"/>
        </w:rPr>
      </w:pPr>
      <w:r>
        <w:rPr>
          <w:rFonts w:ascii="Arial" w:cs="Arial" w:eastAsia="Arial" w:hAnsi="Arial"/>
          <w:sz w:val="18"/>
          <w:szCs w:val="18"/>
          <w:i w:val="1"/>
          <w:iCs w:val="1"/>
          <w:color w:val="auto"/>
        </w:rPr>
        <w:t>Copies to:</w:t>
      </w:r>
    </w:p>
    <w:p>
      <w:pPr>
        <w:spacing w:after="0" w:line="7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Tony Jeffries</w:t>
      </w:r>
    </w:p>
    <w:p>
      <w:pPr>
        <w:ind w:left="4380"/>
        <w:spacing w:after="0" w:line="205" w:lineRule="auto"/>
        <w:rPr>
          <w:sz w:val="20"/>
          <w:szCs w:val="20"/>
          <w:color w:val="auto"/>
        </w:rPr>
      </w:pPr>
      <w:r>
        <w:rPr>
          <w:rFonts w:ascii="Arial" w:cs="Arial" w:eastAsia="Arial" w:hAnsi="Arial"/>
          <w:sz w:val="18"/>
          <w:szCs w:val="18"/>
          <w:b w:val="1"/>
          <w:bCs w:val="1"/>
          <w:color w:val="auto"/>
        </w:rPr>
        <w:t>Christina L. Poulsen</w:t>
      </w:r>
    </w:p>
    <w:p>
      <w:pPr>
        <w:jc w:val="center"/>
        <w:ind w:right="420"/>
        <w:spacing w:after="0" w:line="204" w:lineRule="auto"/>
        <w:rPr>
          <w:sz w:val="20"/>
          <w:szCs w:val="20"/>
          <w:color w:val="auto"/>
        </w:rPr>
      </w:pPr>
      <w:r>
        <w:rPr>
          <w:rFonts w:ascii="Arial" w:cs="Arial" w:eastAsia="Arial" w:hAnsi="Arial"/>
          <w:sz w:val="18"/>
          <w:szCs w:val="18"/>
          <w:b w:val="1"/>
          <w:bCs w:val="1"/>
          <w:color w:val="auto"/>
        </w:rPr>
        <w:t>Wilson Sonsini Goodrich &amp; Rosati, P.C.</w:t>
      </w:r>
    </w:p>
    <w:p>
      <w:pPr>
        <w:jc w:val="center"/>
        <w:ind w:right="420"/>
        <w:spacing w:after="0" w:line="219" w:lineRule="auto"/>
        <w:rPr>
          <w:sz w:val="20"/>
          <w:szCs w:val="20"/>
          <w:color w:val="auto"/>
        </w:rPr>
      </w:pPr>
      <w:r>
        <w:rPr>
          <w:rFonts w:ascii="Arial" w:cs="Arial" w:eastAsia="Arial" w:hAnsi="Arial"/>
          <w:sz w:val="18"/>
          <w:szCs w:val="18"/>
          <w:b w:val="1"/>
          <w:bCs w:val="1"/>
          <w:color w:val="auto"/>
        </w:rPr>
        <w:t>650 Page Mill Road</w:t>
      </w:r>
    </w:p>
    <w:p>
      <w:pPr>
        <w:jc w:val="center"/>
        <w:ind w:right="420"/>
        <w:spacing w:after="0" w:line="203" w:lineRule="auto"/>
        <w:rPr>
          <w:sz w:val="20"/>
          <w:szCs w:val="20"/>
          <w:color w:val="auto"/>
        </w:rPr>
      </w:pPr>
      <w:r>
        <w:rPr>
          <w:rFonts w:ascii="Arial" w:cs="Arial" w:eastAsia="Arial" w:hAnsi="Arial"/>
          <w:sz w:val="18"/>
          <w:szCs w:val="18"/>
          <w:b w:val="1"/>
          <w:bCs w:val="1"/>
          <w:color w:val="auto"/>
        </w:rPr>
        <w:t>Palo Alto, California 94304</w:t>
      </w:r>
    </w:p>
    <w:p>
      <w:pPr>
        <w:spacing w:after="0" w:line="1"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650-493-9300</w:t>
      </w:r>
    </w:p>
    <w:p>
      <w:pPr>
        <w:sectPr>
          <w:pgSz w:w="11900" w:h="16838" w:orient="portrait"/>
          <w:cols w:equalWidth="0" w:num="1">
            <w:col w:w="10740"/>
          </w:cols>
          <w:pgMar w:left="780" w:top="1440" w:right="379" w:bottom="1440" w:gutter="0" w:footer="0" w:header="0"/>
          <w:type w:val="continuous"/>
        </w:sectPr>
      </w:pPr>
    </w:p>
    <w:bookmarkStart w:id="1" w:name="page2"/>
    <w:bookmarkEnd w:id="1"/>
    <w:p>
      <w:pPr>
        <w:ind w:right="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36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510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0"/>
          <w:szCs w:val="20"/>
          <w:color w:val="auto"/>
        </w:rPr>
      </w:pPr>
    </w:p>
    <w:p>
      <w:pPr>
        <w:ind w:right="14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151130</wp:posOffset>
            </wp:positionV>
            <wp:extent cx="1414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This Registration Statement on Form S-8 (the “Registration Statement”) registers additional shares of Class A Common Stock (“Shares”) of Seer, Inc. (the “Registrant”) reserved for issuance under the Registrant’s 2020 Equity Incentive Plan (the “2020 Plan”) and 2020 Employee Stock Purchase Plan (the “2020 ESPP”). The number of Shares available for grant and issuance under the 2020 Plan is subject to an annual increase on the first day of each fiscal</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year, by an amount equal to the least of (i) 9,037,149 Shares, (ii) five percent (5%) of the outstanding shares of all classes of the Registrant’s common stock on the last day of the immediately preceding fiscal year or (iii) such number of Shares determined by the Registrant’s board of directors. The number of Shares available for grant and issuance under the 2020 ESPP is subject to an annual increase on the first day of each fiscal year, by an amount equal to the</w:t>
      </w:r>
    </w:p>
    <w:p>
      <w:pPr>
        <w:spacing w:after="0" w:line="2" w:lineRule="exact"/>
        <w:rPr>
          <w:sz w:val="20"/>
          <w:szCs w:val="20"/>
          <w:color w:val="auto"/>
        </w:rPr>
      </w:pPr>
    </w:p>
    <w:p>
      <w:pPr>
        <w:ind w:right="780"/>
        <w:spacing w:after="0" w:line="226" w:lineRule="auto"/>
        <w:rPr>
          <w:sz w:val="20"/>
          <w:szCs w:val="20"/>
          <w:color w:val="auto"/>
        </w:rPr>
      </w:pPr>
      <w:r>
        <w:rPr>
          <w:rFonts w:ascii="Arial" w:cs="Arial" w:eastAsia="Arial" w:hAnsi="Arial"/>
          <w:sz w:val="18"/>
          <w:szCs w:val="18"/>
          <w:color w:val="auto"/>
        </w:rPr>
        <w:t>least of (i) 1,807,476 Shares, (ii) one percent (1%) of the outstanding shares of all classes of the Registrant’s common stock on the last day of the immediately preceding fiscal year or (iii) such number of Shares determined by the Registrant’s board of directors.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This Registration Statement registers (1) 3,170,552 additional shares of common stock available for grant and issuance under the 2020 Plan, which became</w:t>
      </w:r>
    </w:p>
    <w:p>
      <w:pPr>
        <w:spacing w:after="0" w:line="21"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available for grant and issuance pursuant to the provision of the 2020 Plan providing for an automatic annual increase in the number of shares reserved for issuance on January 1, 2023, and (2) 634,110 additional shares of common stock available for issuance under the 2020 ESPP, which became available for grant and issuance pursuant to the provision of the 2020 ESPP providing for an automatic annual increase in the number of shares reserved for issuance 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January 1, 2023.</w:t>
      </w:r>
    </w:p>
    <w:p>
      <w:pPr>
        <w:sectPr>
          <w:pgSz w:w="11900" w:h="16838" w:orient="portrait"/>
          <w:cols w:equalWidth="0" w:num="1">
            <w:col w:w="11220"/>
          </w:cols>
          <w:pgMar w:left="320" w:top="1403" w:right="359" w:bottom="1440" w:gutter="0" w:footer="0" w:header="0"/>
        </w:sectPr>
      </w:pPr>
    </w:p>
    <w:bookmarkStart w:id="2" w:name="page3"/>
    <w:bookmarkEnd w:id="2"/>
    <w:p>
      <w:pPr>
        <w:spacing w:after="0" w:line="200" w:lineRule="exact"/>
        <w:rPr>
          <w:sz w:val="20"/>
          <w:szCs w:val="20"/>
          <w:color w:val="auto"/>
        </w:rPr>
      </w:pP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14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specified by Rule 428(b)(1) under the Securities Act.</w:t>
      </w:r>
    </w:p>
    <w:p>
      <w:pPr>
        <w:sectPr>
          <w:pgSz w:w="11900" w:h="16838" w:orient="portrait"/>
          <w:cols w:equalWidth="0" w:num="1">
            <w:col w:w="10980"/>
          </w:cols>
          <w:pgMar w:left="320" w:top="1440" w:right="599" w:bottom="1440" w:gutter="0" w:footer="0" w:header="0"/>
        </w:sectPr>
      </w:pPr>
    </w:p>
    <w:bookmarkStart w:id="3" w:name="page4"/>
    <w:bookmarkEnd w:id="3"/>
    <w:p>
      <w:pPr>
        <w:spacing w:after="0" w:line="200" w:lineRule="exact"/>
        <w:rPr>
          <w:sz w:val="20"/>
          <w:szCs w:val="20"/>
          <w:color w:val="auto"/>
        </w:rPr>
      </w:pPr>
    </w:p>
    <w:p>
      <w:pPr>
        <w:spacing w:after="0" w:line="33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hereby incorporates by reference into this Registration Statement the following documents previously filed with the Securities and</w:t>
      </w:r>
    </w:p>
    <w:p>
      <w:pPr>
        <w:spacing w:after="0"/>
        <w:rPr>
          <w:sz w:val="20"/>
          <w:szCs w:val="20"/>
          <w:color w:val="auto"/>
        </w:rPr>
      </w:pPr>
      <w:r>
        <w:rPr>
          <w:rFonts w:ascii="Arial" w:cs="Arial" w:eastAsia="Arial" w:hAnsi="Arial"/>
          <w:sz w:val="18"/>
          <w:szCs w:val="18"/>
          <w:color w:val="auto"/>
        </w:rPr>
        <w:t>Exchange Commission (the “Commission”):</w:t>
      </w:r>
    </w:p>
    <w:p>
      <w:pPr>
        <w:spacing w:after="0" w:line="128"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2022, filed with the Commission on </w:t>
      </w:r>
      <w:hyperlink r:id="rId16">
        <w:r>
          <w:rPr>
            <w:rFonts w:ascii="Arial" w:cs="Arial" w:eastAsia="Arial" w:hAnsi="Arial"/>
            <w:sz w:val="18"/>
            <w:szCs w:val="18"/>
            <w:u w:val="single" w:color="auto"/>
            <w:color w:val="0000FF"/>
          </w:rPr>
          <w:t>March 6, 2023</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right="80" w:firstLine="8"/>
        <w:spacing w:after="0" w:line="289" w:lineRule="auto"/>
        <w:tabs>
          <w:tab w:leader="none" w:pos="255" w:val="left"/>
        </w:tabs>
        <w:numPr>
          <w:ilvl w:val="0"/>
          <w:numId w:val="1"/>
        </w:numPr>
        <w:rPr>
          <w:rFonts w:ascii="Arial" w:cs="Arial" w:eastAsia="Arial" w:hAnsi="Arial"/>
          <w:sz w:val="16"/>
          <w:szCs w:val="16"/>
          <w:color w:val="auto"/>
        </w:rPr>
      </w:pPr>
      <w:r>
        <w:rPr>
          <w:rFonts w:ascii="Arial" w:cs="Arial" w:eastAsia="Arial" w:hAnsi="Arial"/>
          <w:sz w:val="16"/>
          <w:szCs w:val="16"/>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spacing w:after="0" w:line="83" w:lineRule="exact"/>
        <w:rPr>
          <w:rFonts w:ascii="Arial" w:cs="Arial" w:eastAsia="Arial" w:hAnsi="Arial"/>
          <w:sz w:val="16"/>
          <w:szCs w:val="16"/>
          <w:color w:val="auto"/>
        </w:rPr>
      </w:pPr>
    </w:p>
    <w:p>
      <w:pPr>
        <w:ind w:right="80" w:firstLine="8"/>
        <w:spacing w:after="0" w:line="224"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Form 8-A (File No. 001-39747) filed with the Commission on </w:t>
      </w:r>
      <w:hyperlink r:id="rId17">
        <w:r>
          <w:rPr>
            <w:rFonts w:ascii="Arial" w:cs="Arial" w:eastAsia="Arial" w:hAnsi="Arial"/>
            <w:sz w:val="18"/>
            <w:szCs w:val="18"/>
            <w:u w:val="single" w:color="auto"/>
            <w:color w:val="0000FF"/>
          </w:rPr>
          <w:t>November 30, 2020</w:t>
        </w:r>
      </w:hyperlink>
      <w:r>
        <w:rPr>
          <w:rFonts w:ascii="Arial" w:cs="Arial" w:eastAsia="Arial" w:hAnsi="Arial"/>
          <w:sz w:val="18"/>
          <w:szCs w:val="18"/>
          <w:color w:val="auto"/>
        </w:rPr>
        <w:t>, pursuant to Section 12(b) of the Exchange Act, including any amendment or report filed for the purpose of updating such description.</w:t>
      </w:r>
    </w:p>
    <w:p>
      <w:pPr>
        <w:spacing w:after="0" w:line="122" w:lineRule="exact"/>
        <w:rPr>
          <w:rFonts w:ascii="Arial" w:cs="Arial" w:eastAsia="Arial" w:hAnsi="Arial"/>
          <w:sz w:val="18"/>
          <w:szCs w:val="18"/>
          <w:color w:val="auto"/>
        </w:rPr>
      </w:pPr>
    </w:p>
    <w:p>
      <w:pPr>
        <w:jc w:val="both"/>
        <w:spacing w:after="0" w:line="241" w:lineRule="auto"/>
        <w:rPr>
          <w:sz w:val="20"/>
          <w:szCs w:val="20"/>
          <w:color w:val="auto"/>
        </w:rPr>
      </w:pPr>
      <w:r>
        <w:rPr>
          <w:rFonts w:ascii="Arial" w:cs="Arial" w:eastAsia="Arial" w:hAnsi="Arial"/>
          <w:sz w:val="16"/>
          <w:szCs w:val="16"/>
          <w:color w:val="auto"/>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w:t>
      </w:r>
    </w:p>
    <w:p>
      <w:pPr>
        <w:spacing w:after="0" w:line="2" w:lineRule="exact"/>
        <w:rPr>
          <w:rFonts w:ascii="Arial" w:cs="Arial" w:eastAsia="Arial" w:hAnsi="Arial"/>
          <w:sz w:val="18"/>
          <w:szCs w:val="18"/>
          <w:color w:val="auto"/>
        </w:rPr>
      </w:pPr>
    </w:p>
    <w:p>
      <w:pPr>
        <w:ind w:right="260"/>
        <w:spacing w:after="0" w:line="226" w:lineRule="auto"/>
        <w:rPr>
          <w:sz w:val="20"/>
          <w:szCs w:val="20"/>
          <w:color w:val="auto"/>
        </w:rPr>
      </w:pPr>
      <w:r>
        <w:rPr>
          <w:rFonts w:ascii="Arial" w:cs="Arial" w:eastAsia="Arial" w:hAnsi="Arial"/>
          <w:sz w:val="18"/>
          <w:szCs w:val="18"/>
          <w:color w:val="auto"/>
        </w:rPr>
        <w:t xml:space="preserve">filing of such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documents or information deemed to have been furnished and not filed in accordance with the rules of the Commission shall not be deemed incorporated by reference into this Registration Statement.</w:t>
      </w:r>
    </w:p>
    <w:p>
      <w:pPr>
        <w:spacing w:after="0" w:line="10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w:t>
      </w:r>
    </w:p>
    <w:p>
      <w:pPr>
        <w:spacing w:after="0" w:line="21" w:lineRule="exact"/>
        <w:rPr>
          <w:rFonts w:ascii="Arial" w:cs="Arial" w:eastAsia="Arial" w:hAnsi="Arial"/>
          <w:sz w:val="18"/>
          <w:szCs w:val="18"/>
          <w:color w:val="auto"/>
        </w:rPr>
      </w:pPr>
    </w:p>
    <w:p>
      <w:pPr>
        <w:jc w:val="both"/>
        <w:ind w:right="200"/>
        <w:spacing w:after="0" w:line="218" w:lineRule="auto"/>
        <w:rPr>
          <w:sz w:val="20"/>
          <w:szCs w:val="20"/>
          <w:color w:val="auto"/>
        </w:rPr>
      </w:pPr>
      <w:r>
        <w:rPr>
          <w:rFonts w:ascii="Arial" w:cs="Arial" w:eastAsia="Arial" w:hAnsi="Arial"/>
          <w:sz w:val="18"/>
          <w:szCs w:val="18"/>
          <w:color w:val="auto"/>
        </w:rPr>
        <w:t>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Section 145 of the Delaware General Corporation Law, or DGCL, empowers a corporation to indemnify its directors and officers and to purchase insurance</w:t>
      </w:r>
    </w:p>
    <w:p>
      <w:pPr>
        <w:spacing w:after="0" w:line="21" w:lineRule="exact"/>
        <w:rPr>
          <w:rFonts w:ascii="Arial" w:cs="Arial" w:eastAsia="Arial" w:hAnsi="Arial"/>
          <w:sz w:val="18"/>
          <w:szCs w:val="18"/>
          <w:color w:val="auto"/>
        </w:rPr>
      </w:pPr>
    </w:p>
    <w:p>
      <w:pPr>
        <w:ind w:right="40"/>
        <w:spacing w:after="0" w:line="234" w:lineRule="auto"/>
        <w:rPr>
          <w:sz w:val="20"/>
          <w:szCs w:val="20"/>
          <w:color w:val="auto"/>
        </w:rPr>
      </w:pPr>
      <w:r>
        <w:rPr>
          <w:rFonts w:ascii="Arial" w:cs="Arial" w:eastAsia="Arial" w:hAnsi="Arial"/>
          <w:sz w:val="16"/>
          <w:szCs w:val="16"/>
          <w:color w:val="auto"/>
        </w:rPr>
        <w:t>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w:t>
      </w:r>
    </w:p>
    <w:p>
      <w:pPr>
        <w:spacing w:after="0" w:line="2" w:lineRule="exact"/>
        <w:rPr>
          <w:rFonts w:ascii="Arial" w:cs="Arial" w:eastAsia="Arial" w:hAnsi="Arial"/>
          <w:sz w:val="18"/>
          <w:szCs w:val="18"/>
          <w:color w:val="auto"/>
        </w:rPr>
      </w:pPr>
    </w:p>
    <w:p>
      <w:pPr>
        <w:ind w:right="80"/>
        <w:spacing w:after="0" w:line="234" w:lineRule="auto"/>
        <w:rPr>
          <w:sz w:val="20"/>
          <w:szCs w:val="20"/>
          <w:color w:val="auto"/>
        </w:rPr>
      </w:pPr>
      <w:r>
        <w:rPr>
          <w:rFonts w:ascii="Arial" w:cs="Arial" w:eastAsia="Arial" w:hAnsi="Arial"/>
          <w:sz w:val="16"/>
          <w:szCs w:val="16"/>
          <w:color w:val="auto"/>
        </w:rPr>
        <w:t>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w:t>
      </w:r>
    </w:p>
    <w:p>
      <w:pPr>
        <w:spacing w:after="0" w:line="2" w:lineRule="exact"/>
        <w:rPr>
          <w:rFonts w:ascii="Arial" w:cs="Arial" w:eastAsia="Arial" w:hAnsi="Arial"/>
          <w:sz w:val="18"/>
          <w:szCs w:val="18"/>
          <w:color w:val="auto"/>
        </w:rPr>
      </w:pPr>
    </w:p>
    <w:p>
      <w:pPr>
        <w:ind w:right="60"/>
        <w:spacing w:after="0" w:line="233" w:lineRule="auto"/>
        <w:rPr>
          <w:sz w:val="20"/>
          <w:szCs w:val="20"/>
          <w:color w:val="auto"/>
        </w:rPr>
      </w:pPr>
      <w:r>
        <w:rPr>
          <w:rFonts w:ascii="Arial" w:cs="Arial" w:eastAsia="Arial" w:hAnsi="Arial"/>
          <w:sz w:val="16"/>
          <w:szCs w:val="16"/>
          <w:color w:val="auto"/>
        </w:rPr>
        <w:t>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w:t>
      </w:r>
    </w:p>
    <w:p>
      <w:pPr>
        <w:spacing w:after="0" w:line="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person in connection with such action, suit or proceeding, to the fullest extent permitted by applicable law.</w:t>
      </w:r>
    </w:p>
    <w:p>
      <w:pPr>
        <w:spacing w:after="0" w:line="115" w:lineRule="exact"/>
        <w:rPr>
          <w:rFonts w:ascii="Arial" w:cs="Arial" w:eastAsia="Arial" w:hAnsi="Arial"/>
          <w:sz w:val="18"/>
          <w:szCs w:val="18"/>
          <w:color w:val="auto"/>
        </w:rPr>
      </w:pPr>
    </w:p>
    <w:p>
      <w:pPr>
        <w:ind w:right="80"/>
        <w:spacing w:after="0" w:line="248"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w:t>
      </w:r>
    </w:p>
    <w:p>
      <w:pPr>
        <w:spacing w:after="0"/>
        <w:rPr>
          <w:sz w:val="20"/>
          <w:szCs w:val="20"/>
          <w:color w:val="auto"/>
        </w:rPr>
      </w:pPr>
      <w:r>
        <w:rPr>
          <w:rFonts w:ascii="Arial" w:cs="Arial" w:eastAsia="Arial" w:hAnsi="Arial"/>
          <w:sz w:val="18"/>
          <w:szCs w:val="18"/>
          <w:color w:val="auto"/>
        </w:rPr>
        <w:t>of loyalty to the corporation or</w:t>
      </w:r>
    </w:p>
    <w:p>
      <w:pPr>
        <w:sectPr>
          <w:pgSz w:w="11900" w:h="16838" w:orient="portrait"/>
          <w:cols w:equalWidth="0" w:num="1">
            <w:col w:w="11240"/>
          </w:cols>
          <w:pgMar w:left="320" w:top="1440" w:right="339" w:bottom="1440" w:gutter="0" w:footer="0" w:header="0"/>
        </w:sectPr>
      </w:pPr>
    </w:p>
    <w:bookmarkStart w:id="4" w:name="page5"/>
    <w:bookmarkEnd w:id="4"/>
    <w:p>
      <w:pPr>
        <w:ind w:right="160"/>
        <w:spacing w:after="0" w:line="248" w:lineRule="auto"/>
        <w:rPr>
          <w:sz w:val="20"/>
          <w:szCs w:val="20"/>
          <w:color w:val="auto"/>
        </w:rPr>
      </w:pPr>
      <w:r>
        <w:rPr>
          <w:rFonts w:ascii="Arial" w:cs="Arial" w:eastAsia="Arial" w:hAnsi="Arial"/>
          <w:sz w:val="16"/>
          <w:szCs w:val="16"/>
          <w:color w:val="auto"/>
        </w:rPr>
        <w:t>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w:t>
      </w:r>
    </w:p>
    <w:p>
      <w:pPr>
        <w:spacing w:after="0" w:line="234" w:lineRule="auto"/>
        <w:rPr>
          <w:sz w:val="20"/>
          <w:szCs w:val="20"/>
          <w:color w:val="auto"/>
        </w:rPr>
      </w:pPr>
      <w:r>
        <w:rPr>
          <w:rFonts w:ascii="Arial" w:cs="Arial" w:eastAsia="Arial" w:hAnsi="Arial"/>
          <w:sz w:val="16"/>
          <w:szCs w:val="16"/>
          <w:color w:val="auto"/>
        </w:rPr>
        <w:t>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fullest extent permitted by the DGCL, as so amended.</w:t>
      </w:r>
    </w:p>
    <w:p>
      <w:pPr>
        <w:spacing w:after="0" w:line="11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w:t>
      </w:r>
    </w:p>
    <w:p>
      <w:pPr>
        <w:ind w:right="160"/>
        <w:spacing w:after="0" w:line="239" w:lineRule="auto"/>
        <w:rPr>
          <w:sz w:val="20"/>
          <w:szCs w:val="20"/>
          <w:color w:val="auto"/>
        </w:rPr>
      </w:pPr>
      <w:r>
        <w:rPr>
          <w:rFonts w:ascii="Arial" w:cs="Arial" w:eastAsia="Arial" w:hAnsi="Arial"/>
          <w:sz w:val="17"/>
          <w:szCs w:val="17"/>
          <w:color w:val="auto"/>
        </w:rPr>
        <w:t>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As permitted by the DGCL, the registrant intends to enter into separate indemnification agreements with each of the registrant’s directors and certain of the</w:t>
      </w:r>
    </w:p>
    <w:p>
      <w:pPr>
        <w:spacing w:after="0" w:line="2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registrant’s officers which would require the registrant, among other things, to indemnify them against certain liabilities which may arise by reason of their status as directors, officers or certain other employees.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w:t>
      </w:r>
    </w:p>
    <w:p>
      <w:pPr>
        <w:spacing w:after="0" w:line="1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16"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ind w:left="40"/>
        <w:spacing w:after="0"/>
        <w:tabs>
          <w:tab w:leader="none" w:pos="12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4.1</w:t>
      </w:r>
      <w:r>
        <w:rPr>
          <w:rFonts w:ascii="Arial" w:cs="Arial" w:eastAsia="Arial" w:hAnsi="Arial"/>
          <w:sz w:val="10"/>
          <w:szCs w:val="10"/>
          <w:color w:val="auto"/>
        </w:rPr>
        <w:t>(1)</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4.2</w:t>
      </w:r>
      <w:r>
        <w:rPr>
          <w:rFonts w:ascii="Arial" w:cs="Arial" w:eastAsia="Arial" w:hAnsi="Arial"/>
          <w:sz w:val="10"/>
          <w:szCs w:val="10"/>
          <w:color w:val="auto"/>
        </w:rPr>
        <w:t>(2)</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4.3</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5.1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23.1</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23.2</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24.1</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Form of common stock certificate of the Registrant.</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2020 Equity Incentive Plan and related form agreements.</w:t>
        </w:r>
      </w:hyperlink>
    </w:p>
    <w:p>
      <w:pPr>
        <w:spacing w:after="0" w:line="90" w:lineRule="exact"/>
        <w:rPr>
          <w:sz w:val="20"/>
          <w:szCs w:val="20"/>
          <w:color w:val="auto"/>
        </w:rPr>
      </w:pPr>
    </w:p>
    <w:p>
      <w:pPr>
        <w:ind w:right="3480"/>
        <w:spacing w:after="0" w:line="340" w:lineRule="auto"/>
        <w:rPr>
          <w:sz w:val="20"/>
          <w:szCs w:val="20"/>
          <w:color w:val="auto"/>
        </w:rPr>
      </w:pPr>
      <w:r>
        <w:rPr>
          <w:rFonts w:ascii="Arial" w:cs="Arial" w:eastAsia="Arial" w:hAnsi="Arial"/>
          <w:sz w:val="18"/>
          <w:szCs w:val="18"/>
          <w:u w:val="single" w:color="auto"/>
          <w:color w:val="0000FF"/>
        </w:rPr>
        <w:t>Amended and Restated 2020 Employee Stock Purchase Plan and related form agreements Opinion of Wilson Sonsini Goodrich &amp; Rosati, P.C.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Consent of Deloitte &amp; Touche LLP,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Wilson Sonsini Goodrich &amp; Rosati, Professional Corporation (included in Exhibit 5.1).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Power of Attorney (contained on signature page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Filing Fee Table.</w:t>
      </w:r>
    </w:p>
    <w:p>
      <w:pPr>
        <w:spacing w:after="0" w:line="200" w:lineRule="exact"/>
        <w:rPr>
          <w:sz w:val="20"/>
          <w:szCs w:val="20"/>
          <w:color w:val="auto"/>
        </w:rPr>
      </w:pPr>
    </w:p>
    <w:p>
      <w:pPr>
        <w:sectPr>
          <w:pgSz w:w="11900" w:h="16838" w:orient="portrait"/>
          <w:cols w:equalWidth="0" w:num="2">
            <w:col w:w="560" w:space="720"/>
            <w:col w:w="9940"/>
          </w:cols>
          <w:pgMar w:left="320" w:top="1408" w:right="359" w:bottom="1440" w:gutter="0" w:footer="0" w:header="0"/>
          <w:type w:val="continuous"/>
        </w:sectPr>
      </w:pP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rPr>
          <w:sz w:val="20"/>
          <w:szCs w:val="20"/>
          <w:color w:val="auto"/>
        </w:rPr>
      </w:pPr>
      <w:r>
        <w:rPr>
          <w:rFonts w:ascii="Arial" w:cs="Arial" w:eastAsia="Arial" w:hAnsi="Arial"/>
          <w:sz w:val="13"/>
          <w:szCs w:val="13"/>
          <w:color w:val="auto"/>
        </w:rPr>
        <w:t>(1)Incorporated by reference to Exhibit 4.1 filed with the Registrant’s Registration Statement on Form S-1 (Registration No. 333-250035), filed with the Commission on November 12, 2020.</w:t>
      </w:r>
    </w:p>
    <w:p>
      <w:pPr>
        <w:spacing w:after="0"/>
        <w:rPr>
          <w:sz w:val="20"/>
          <w:szCs w:val="20"/>
          <w:color w:val="auto"/>
        </w:rPr>
      </w:pPr>
      <w:r>
        <w:rPr>
          <w:rFonts w:ascii="Arial" w:cs="Arial" w:eastAsia="Arial" w:hAnsi="Arial"/>
          <w:sz w:val="13"/>
          <w:szCs w:val="13"/>
          <w:color w:val="auto"/>
        </w:rPr>
        <w:t>(2)Incorporated by reference to Exhibit 10.2 filed with the Registrant’s Registration Statement on Form S-1/A (Registration No. 333-250035), filed with the Commission on November 30, 2020.</w:t>
      </w:r>
    </w:p>
    <w:p>
      <w:pPr>
        <w:sectPr>
          <w:pgSz w:w="11900" w:h="16838" w:orient="portrait"/>
          <w:cols w:equalWidth="0" w:num="1">
            <w:col w:w="11220"/>
          </w:cols>
          <w:pgMar w:left="320" w:top="1408"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9. Undertakings.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115"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44" w:lineRule="exact"/>
        <w:rPr>
          <w:rFonts w:ascii="Arial" w:cs="Arial" w:eastAsia="Arial" w:hAnsi="Arial"/>
          <w:sz w:val="18"/>
          <w:szCs w:val="18"/>
          <w:color w:val="auto"/>
        </w:rPr>
      </w:pPr>
    </w:p>
    <w:p>
      <w:pPr>
        <w:ind w:left="1280" w:hanging="219"/>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540" w:right="120" w:hanging="479"/>
        <w:spacing w:after="0" w:line="244" w:lineRule="auto"/>
        <w:tabs>
          <w:tab w:leader="none" w:pos="1319" w:val="left"/>
        </w:tabs>
        <w:numPr>
          <w:ilvl w:val="1"/>
          <w:numId w:val="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08" w:lineRule="exact"/>
        <w:rPr>
          <w:rFonts w:ascii="Arial" w:cs="Arial" w:eastAsia="Arial" w:hAnsi="Arial"/>
          <w:sz w:val="16"/>
          <w:szCs w:val="16"/>
          <w:color w:val="auto"/>
        </w:rPr>
      </w:pPr>
    </w:p>
    <w:p>
      <w:pPr>
        <w:ind w:left="1540" w:hanging="479"/>
        <w:spacing w:after="0" w:line="246" w:lineRule="auto"/>
        <w:tabs>
          <w:tab w:leader="none" w:pos="1369"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Commission by the Registrant pursuant to Section 13 or Section 15(d) of the Exchange Act</w:t>
      </w:r>
    </w:p>
    <w:p>
      <w:pPr>
        <w:spacing w:after="0"/>
        <w:rPr>
          <w:sz w:val="20"/>
          <w:szCs w:val="20"/>
          <w:color w:val="auto"/>
        </w:rPr>
      </w:pPr>
      <w:r>
        <w:rPr>
          <w:rFonts w:ascii="Arial" w:cs="Arial" w:eastAsia="Arial" w:hAnsi="Arial"/>
          <w:sz w:val="18"/>
          <w:szCs w:val="18"/>
          <w:color w:val="auto"/>
        </w:rPr>
        <w:t>that are incorporated by reference in this Registration Statement.</w:t>
      </w:r>
    </w:p>
    <w:p>
      <w:pPr>
        <w:spacing w:after="0" w:line="115" w:lineRule="exact"/>
        <w:rPr>
          <w:sz w:val="20"/>
          <w:szCs w:val="20"/>
          <w:color w:val="auto"/>
        </w:rPr>
      </w:pPr>
    </w:p>
    <w:p>
      <w:pPr>
        <w:ind w:left="1060" w:hanging="404"/>
        <w:spacing w:after="0" w:line="229"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Arial" w:cs="Arial" w:eastAsia="Arial" w:hAnsi="Arial"/>
          <w:sz w:val="18"/>
          <w:szCs w:val="18"/>
          <w:color w:val="auto"/>
        </w:rPr>
      </w:pPr>
    </w:p>
    <w:p>
      <w:pPr>
        <w:ind w:left="1060" w:right="360" w:hanging="404"/>
        <w:spacing w:after="0" w:line="235" w:lineRule="auto"/>
        <w:tabs>
          <w:tab w:leader="none" w:pos="910" w:val="left"/>
        </w:tabs>
        <w:numPr>
          <w:ilvl w:val="1"/>
          <w:numId w:val="3"/>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21" w:lineRule="exact"/>
        <w:rPr>
          <w:rFonts w:ascii="Arial" w:cs="Arial" w:eastAsia="Arial" w:hAnsi="Arial"/>
          <w:sz w:val="18"/>
          <w:szCs w:val="18"/>
          <w:color w:val="auto"/>
        </w:rPr>
      </w:pPr>
    </w:p>
    <w:p>
      <w:pPr>
        <w:ind w:left="660" w:hanging="328"/>
        <w:spacing w:after="0" w:line="219" w:lineRule="auto"/>
        <w:tabs>
          <w:tab w:leader="none" w:pos="54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Arial" w:cs="Arial" w:eastAsia="Arial" w:hAnsi="Arial"/>
          <w:sz w:val="18"/>
          <w:szCs w:val="18"/>
          <w:color w:val="auto"/>
        </w:rPr>
      </w:pPr>
    </w:p>
    <w:p>
      <w:pPr>
        <w:ind w:left="660" w:right="40" w:hanging="328"/>
        <w:spacing w:after="0" w:line="230" w:lineRule="auto"/>
        <w:tabs>
          <w:tab w:leader="none" w:pos="546"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00"/>
          </w:cols>
          <w:pgMar w:left="320" w:top="1417" w:right="379" w:bottom="1440" w:gutter="0" w:footer="0" w:header="0"/>
        </w:sectPr>
      </w:pPr>
    </w:p>
    <w:bookmarkStart w:id="6" w:name="page7"/>
    <w:bookmarkEnd w:id="6"/>
    <w:p>
      <w:pPr>
        <w:spacing w:after="0" w:line="200" w:lineRule="exact"/>
        <w:rPr>
          <w:sz w:val="20"/>
          <w:szCs w:val="20"/>
          <w:color w:val="auto"/>
        </w:rPr>
      </w:pP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jc w:val="center"/>
        <w:spacing w:after="0"/>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w:t>
      </w:r>
    </w:p>
    <w:p>
      <w:pPr>
        <w:spacing w:after="0" w:line="5"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the requirements for filing on Form S-8 and has duly caused this registration statement to be signed on its behalf by the undersigned, thereunto duly authorized, in Redwood City, California, on March 8, 2023.</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SEER, INC.</w:t>
      </w:r>
    </w:p>
    <w:p>
      <w:pPr>
        <w:spacing w:after="0" w:line="297" w:lineRule="exact"/>
        <w:rPr>
          <w:sz w:val="20"/>
          <w:szCs w:val="20"/>
          <w:color w:val="auto"/>
        </w:rPr>
      </w:pPr>
    </w:p>
    <w:p>
      <w:pPr>
        <w:ind w:left="4560"/>
        <w:spacing w:after="0"/>
        <w:tabs>
          <w:tab w:leader="none" w:pos="4980" w:val="left"/>
        </w:tabs>
        <w:rPr>
          <w:sz w:val="20"/>
          <w:szCs w:val="20"/>
          <w:color w:val="auto"/>
        </w:rPr>
      </w:pPr>
      <w:r>
        <w:rPr>
          <w:rFonts w:ascii="Arial" w:cs="Arial" w:eastAsia="Arial" w:hAnsi="Arial"/>
          <w:sz w:val="18"/>
          <w:szCs w:val="18"/>
          <w:color w:val="auto"/>
        </w:rPr>
        <w:t>By:</w:t>
        <w:tab/>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Omid Farokhzad, M.D.</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060"/>
          </w:cols>
          <w:pgMar w:left="320" w:top="1440" w:right="519" w:bottom="1440" w:gutter="0" w:footer="0" w:header="0"/>
        </w:sectPr>
      </w:pPr>
    </w:p>
    <w:bookmarkStart w:id="7" w:name="page8"/>
    <w:bookmarkEnd w:id="7"/>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jc w:val="center"/>
        <w:ind w:right="20"/>
        <w:spacing w:after="0"/>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Omid Farokhzad, M.D.</w:t>
      </w:r>
    </w:p>
    <w:p>
      <w:pPr>
        <w:spacing w:after="0" w:line="5"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and David Horn as his or her lawful attorney-in-fact and agent with full power of substitution, for him or her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may lawfully do or cause to be done by virtue hereof.</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67" w:lineRule="exact"/>
        <w:rPr>
          <w:sz w:val="20"/>
          <w:szCs w:val="20"/>
          <w:color w:val="auto"/>
        </w:rPr>
      </w:pPr>
    </w:p>
    <w:p>
      <w:pPr>
        <w:ind w:left="1380"/>
        <w:spacing w:after="0"/>
        <w:tabs>
          <w:tab w:leader="none" w:pos="5380" w:val="left"/>
          <w:tab w:leader="none" w:pos="92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32385</wp:posOffset>
            </wp:positionV>
            <wp:extent cx="71151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52"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2245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8"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Omid Farokhzad, M.D.</w:t>
      </w:r>
    </w:p>
    <w:p>
      <w:pPr>
        <w:spacing w:after="0" w:line="200" w:lineRule="exact"/>
        <w:rPr>
          <w:sz w:val="20"/>
          <w:szCs w:val="20"/>
          <w:color w:val="auto"/>
        </w:rPr>
      </w:pPr>
    </w:p>
    <w:p>
      <w:pPr>
        <w:spacing w:after="0" w:line="29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David R.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David R. Horn</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David Hallal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David Hallal</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Catherine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Catherine Friedman</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Meeta Gulyani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Meeta Gulyani</w:t>
      </w: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 Rachel Haurwitz,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2459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Rachel Haurwitz, Ph.D.</w:t>
      </w: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Robert Langer,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Robert Langer, Sc.D.</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Terrance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Terrance McGuire</w:t>
      </w:r>
    </w:p>
    <w:p>
      <w:pPr>
        <w:spacing w:after="0" w:line="2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/s/ Deep Nishar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459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Deep Nishar</w:t>
      </w:r>
    </w:p>
    <w:p>
      <w:pPr>
        <w:spacing w:after="0" w:line="185"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/s/ Mostafa Ronaghi,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29210</wp:posOffset>
            </wp:positionV>
            <wp:extent cx="2245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39"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Mostafa Ronaghi, Ph.D.</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jc w:val="center"/>
              <w:ind w:right="750"/>
              <w:spacing w:after="0"/>
              <w:rPr>
                <w:sz w:val="20"/>
                <w:szCs w:val="20"/>
                <w:color w:val="auto"/>
              </w:rPr>
            </w:pPr>
            <w:r>
              <w:rPr>
                <w:rFonts w:ascii="Arial" w:cs="Arial" w:eastAsia="Arial" w:hAnsi="Arial"/>
                <w:sz w:val="18"/>
                <w:szCs w:val="18"/>
                <w:color w:val="auto"/>
                <w:w w:val="91"/>
              </w:rPr>
              <w:t>Chief Executive Officer, President and</w:t>
            </w:r>
          </w:p>
        </w:tc>
        <w:tc>
          <w:tcPr>
            <w:tcW w:w="1900" w:type="dxa"/>
            <w:vAlign w:val="bottom"/>
            <w:vMerge w:val="restart"/>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136"/>
        </w:trPr>
        <w:tc>
          <w:tcPr>
            <w:tcW w:w="4060" w:type="dxa"/>
            <w:vAlign w:val="bottom"/>
            <w:vMerge w:val="restart"/>
          </w:tcPr>
          <w:p>
            <w:pPr>
              <w:jc w:val="center"/>
              <w:ind w:right="770"/>
              <w:spacing w:after="0"/>
              <w:rPr>
                <w:sz w:val="20"/>
                <w:szCs w:val="20"/>
                <w:color w:val="auto"/>
              </w:rPr>
            </w:pPr>
            <w:r>
              <w:rPr>
                <w:rFonts w:ascii="Arial" w:cs="Arial" w:eastAsia="Arial" w:hAnsi="Arial"/>
                <w:sz w:val="18"/>
                <w:szCs w:val="18"/>
                <w:color w:val="auto"/>
                <w:w w:val="92"/>
              </w:rPr>
              <w:t>Chair of the Board of Directors</w:t>
            </w: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60" w:type="dxa"/>
            <w:vAlign w:val="bottom"/>
            <w:vMerge w:val="continue"/>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060" w:type="dxa"/>
            <w:vAlign w:val="bottom"/>
          </w:tcPr>
          <w:p>
            <w:pPr>
              <w:jc w:val="center"/>
              <w:ind w:right="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4"/>
              </w:rPr>
              <w:t>Chief Financial Officer</w:t>
            </w:r>
          </w:p>
        </w:tc>
        <w:tc>
          <w:tcPr>
            <w:tcW w:w="1900" w:type="dxa"/>
            <w:vAlign w:val="bottom"/>
            <w:vMerge w:val="restart"/>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216"/>
        </w:trPr>
        <w:tc>
          <w:tcPr>
            <w:tcW w:w="4060" w:type="dxa"/>
            <w:vAlign w:val="bottom"/>
          </w:tcPr>
          <w:p>
            <w:pPr>
              <w:jc w:val="center"/>
              <w:ind w:right="75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Officer and Accounting</w:t>
            </w: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jc w:val="center"/>
              <w:ind w:right="77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4060" w:type="dxa"/>
            <w:vAlign w:val="bottom"/>
          </w:tcPr>
          <w:p>
            <w:pPr>
              <w:jc w:val="center"/>
              <w:ind w:right="750"/>
              <w:spacing w:after="0"/>
              <w:rPr>
                <w:sz w:val="20"/>
                <w:szCs w:val="20"/>
                <w:color w:val="auto"/>
              </w:rPr>
            </w:pPr>
            <w:r>
              <w:rPr>
                <w:rFonts w:ascii="Arial" w:cs="Arial" w:eastAsia="Arial" w:hAnsi="Arial"/>
                <w:sz w:val="18"/>
                <w:szCs w:val="18"/>
                <w:color w:val="auto"/>
                <w:w w:val="91"/>
              </w:rPr>
              <w:t>Lead Independent 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89"/>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88"/>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35"/>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34"/>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88"/>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89"/>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r>
        <w:trPr>
          <w:trHeight w:val="634"/>
        </w:trPr>
        <w:tc>
          <w:tcPr>
            <w:tcW w:w="4060" w:type="dxa"/>
            <w:vAlign w:val="bottom"/>
          </w:tcPr>
          <w:p>
            <w:pPr>
              <w:jc w:val="center"/>
              <w:ind w:right="770"/>
              <w:spacing w:after="0"/>
              <w:rPr>
                <w:sz w:val="20"/>
                <w:szCs w:val="20"/>
                <w:color w:val="auto"/>
              </w:rPr>
            </w:pPr>
            <w:r>
              <w:rPr>
                <w:rFonts w:ascii="Arial" w:cs="Arial" w:eastAsia="Arial" w:hAnsi="Arial"/>
                <w:sz w:val="18"/>
                <w:szCs w:val="18"/>
                <w:color w:val="auto"/>
                <w:w w:val="95"/>
              </w:rPr>
              <w:t>Director</w:t>
            </w:r>
          </w:p>
        </w:tc>
        <w:tc>
          <w:tcPr>
            <w:tcW w:w="1900" w:type="dxa"/>
            <w:vAlign w:val="bottom"/>
          </w:tcPr>
          <w:p>
            <w:pPr>
              <w:ind w:left="840"/>
              <w:spacing w:after="0"/>
              <w:rPr>
                <w:sz w:val="20"/>
                <w:szCs w:val="20"/>
                <w:color w:val="auto"/>
              </w:rPr>
            </w:pPr>
            <w:r>
              <w:rPr>
                <w:rFonts w:ascii="Arial" w:cs="Arial" w:eastAsia="Arial" w:hAnsi="Arial"/>
                <w:sz w:val="18"/>
                <w:szCs w:val="18"/>
                <w:color w:val="auto"/>
                <w:w w:val="90"/>
              </w:rPr>
              <w:t>March 8, 2023</w:t>
            </w:r>
          </w:p>
        </w:tc>
        <w:tc>
          <w:tcPr>
            <w:tcW w:w="0" w:type="dxa"/>
            <w:vAlign w:val="bottom"/>
          </w:tcPr>
          <w:p>
            <w:pPr>
              <w:spacing w:after="0"/>
              <w:rPr>
                <w:sz w:val="1"/>
                <w:szCs w:val="1"/>
                <w:color w:val="auto"/>
              </w:rPr>
            </w:pPr>
          </w:p>
        </w:tc>
      </w:tr>
    </w:tbl>
    <w:p>
      <w:pPr>
        <w:sectPr>
          <w:pgSz w:w="11900" w:h="16838" w:orient="portrait"/>
          <w:cols w:equalWidth="0" w:num="2">
            <w:col w:w="3300" w:space="720"/>
            <w:col w:w="7200"/>
          </w:cols>
          <w:pgMar w:left="320" w:top="1440" w:right="3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Exhibit 107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TABLE</w:t>
      </w:r>
    </w:p>
    <w:p>
      <w:pPr>
        <w:jc w:val="center"/>
        <w:spacing w:after="0" w:line="219" w:lineRule="auto"/>
        <w:rPr>
          <w:sz w:val="20"/>
          <w:szCs w:val="20"/>
          <w:color w:val="auto"/>
        </w:rPr>
      </w:pPr>
      <w:r>
        <w:rPr>
          <w:rFonts w:ascii="Arial" w:cs="Arial" w:eastAsia="Arial" w:hAnsi="Arial"/>
          <w:sz w:val="18"/>
          <w:szCs w:val="18"/>
          <w:color w:val="auto"/>
        </w:rPr>
        <w:t>Form S-8</w:t>
      </w:r>
    </w:p>
    <w:p>
      <w:pPr>
        <w:jc w:val="center"/>
        <w:spacing w:after="0"/>
        <w:rPr>
          <w:sz w:val="20"/>
          <w:szCs w:val="20"/>
          <w:color w:val="auto"/>
        </w:rPr>
      </w:pPr>
      <w:r>
        <w:rPr>
          <w:rFonts w:ascii="Arial" w:cs="Arial" w:eastAsia="Arial" w:hAnsi="Arial"/>
          <w:sz w:val="18"/>
          <w:szCs w:val="18"/>
          <w:color w:val="auto"/>
        </w:rPr>
        <w:t>(Form Type)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Seer,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 – Newly Registered Securities</w:t>
      </w:r>
    </w:p>
    <w:p>
      <w:pPr>
        <w:spacing w:after="0" w:line="200" w:lineRule="exact"/>
        <w:rPr>
          <w:sz w:val="20"/>
          <w:szCs w:val="20"/>
          <w:color w:val="auto"/>
        </w:rPr>
      </w:pPr>
    </w:p>
    <w:p>
      <w:pPr>
        <w:spacing w:after="0" w:line="235" w:lineRule="exact"/>
        <w:rPr>
          <w:sz w:val="20"/>
          <w:szCs w:val="20"/>
          <w:color w:val="auto"/>
        </w:rPr>
      </w:pPr>
    </w:p>
    <w:tbl>
      <w:tblPr>
        <w:tblLayout w:type="fixed"/>
        <w:tblInd w:w="30" w:type="dxa"/>
        <w:tblCellMar>
          <w:top w:w="0" w:type="dxa"/>
          <w:left w:w="0" w:type="dxa"/>
          <w:bottom w:w="0" w:type="dxa"/>
          <w:right w:w="0" w:type="dxa"/>
        </w:tblCellMar>
      </w:tblPr>
      <w:tr>
        <w:trPr>
          <w:trHeight w:val="612"/>
        </w:trPr>
        <w:tc>
          <w:tcPr>
            <w:tcW w:w="1000" w:type="dxa"/>
            <w:vAlign w:val="bottom"/>
            <w:tcBorders>
              <w:top w:val="single" w:sz="8" w:color="auto"/>
              <w:left w:val="single" w:sz="8" w:color="auto"/>
              <w:right w:val="single" w:sz="8" w:color="auto"/>
            </w:tcBorders>
          </w:tcPr>
          <w:p>
            <w:pPr>
              <w:spacing w:after="0"/>
              <w:rPr>
                <w:sz w:val="24"/>
                <w:szCs w:val="24"/>
                <w:color w:val="auto"/>
              </w:rPr>
            </w:pPr>
          </w:p>
        </w:tc>
        <w:tc>
          <w:tcPr>
            <w:tcW w:w="158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Fee Calculation</w:t>
            </w:r>
          </w:p>
        </w:tc>
        <w:tc>
          <w:tcPr>
            <w:tcW w:w="1620" w:type="dxa"/>
            <w:vAlign w:val="bottom"/>
            <w:tcBorders>
              <w:top w:val="single" w:sz="8" w:color="auto"/>
              <w:right w:val="single" w:sz="8" w:color="auto"/>
            </w:tcBorders>
          </w:tcPr>
          <w:p>
            <w:pPr>
              <w:spacing w:after="0"/>
              <w:rPr>
                <w:sz w:val="24"/>
                <w:szCs w:val="24"/>
                <w:color w:val="auto"/>
              </w:rPr>
            </w:pPr>
          </w:p>
        </w:tc>
        <w:tc>
          <w:tcPr>
            <w:tcW w:w="1700" w:type="dxa"/>
            <w:vAlign w:val="bottom"/>
            <w:tcBorders>
              <w:top w:val="single" w:sz="8" w:color="auto"/>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Proposed</w:t>
            </w:r>
          </w:p>
        </w:tc>
        <w:tc>
          <w:tcPr>
            <w:tcW w:w="124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000" w:type="dxa"/>
            <w:vAlign w:val="bottom"/>
            <w:tcBorders>
              <w:left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60" w:type="dxa"/>
            <w:vAlign w:val="bottom"/>
          </w:tcPr>
          <w:p>
            <w:pPr>
              <w:spacing w:after="0"/>
              <w:rPr>
                <w:sz w:val="2"/>
                <w:szCs w:val="2"/>
                <w:color w:val="auto"/>
              </w:rPr>
            </w:pPr>
          </w:p>
        </w:tc>
        <w:tc>
          <w:tcPr>
            <w:tcW w:w="1540" w:type="dxa"/>
            <w:vAlign w:val="bottom"/>
            <w:tcBorders>
              <w:right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9"/>
              </w:rPr>
              <w:t>Maximum</w:t>
            </w:r>
          </w:p>
        </w:tc>
        <w:tc>
          <w:tcPr>
            <w:tcW w:w="1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0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8"/>
              </w:rPr>
              <w:t>Rule</w:t>
            </w:r>
          </w:p>
        </w:tc>
        <w:tc>
          <w:tcPr>
            <w:tcW w:w="16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00" w:type="dxa"/>
            <w:vAlign w:val="bottom"/>
            <w:tcBorders>
              <w:left w:val="single" w:sz="8" w:color="auto"/>
              <w:right w:val="single" w:sz="8" w:color="auto"/>
            </w:tcBorders>
          </w:tcPr>
          <w:p>
            <w:pPr>
              <w:spacing w:after="0"/>
              <w:rPr>
                <w:sz w:val="16"/>
                <w:szCs w:val="16"/>
                <w:color w:val="auto"/>
              </w:rPr>
            </w:pPr>
          </w:p>
        </w:tc>
        <w:tc>
          <w:tcPr>
            <w:tcW w:w="1580" w:type="dxa"/>
            <w:vAlign w:val="bottom"/>
            <w:tcBorders>
              <w:right w:val="single" w:sz="8" w:color="auto"/>
            </w:tcBorders>
          </w:tcPr>
          <w:p>
            <w:pPr>
              <w:ind w:left="480"/>
              <w:spacing w:after="0"/>
              <w:rPr>
                <w:sz w:val="20"/>
                <w:szCs w:val="20"/>
                <w:color w:val="auto"/>
              </w:rPr>
            </w:pPr>
            <w:r>
              <w:rPr>
                <w:rFonts w:ascii="Arial" w:cs="Arial" w:eastAsia="Arial" w:hAnsi="Arial"/>
                <w:sz w:val="14"/>
                <w:szCs w:val="14"/>
                <w:b w:val="1"/>
                <w:bCs w:val="1"/>
                <w:color w:val="auto"/>
              </w:rPr>
              <w:t>Securities</w:t>
            </w:r>
          </w:p>
        </w:tc>
        <w:tc>
          <w:tcPr>
            <w:tcW w:w="11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Maximum Offering</w:t>
            </w:r>
          </w:p>
        </w:tc>
        <w:tc>
          <w:tcPr>
            <w:tcW w:w="160" w:type="dxa"/>
            <w:vAlign w:val="bottom"/>
          </w:tcPr>
          <w:p>
            <w:pPr>
              <w:spacing w:after="0"/>
              <w:rPr>
                <w:sz w:val="16"/>
                <w:szCs w:val="16"/>
                <w:color w:val="auto"/>
              </w:rPr>
            </w:pPr>
          </w:p>
        </w:tc>
        <w:tc>
          <w:tcPr>
            <w:tcW w:w="1540" w:type="dxa"/>
            <w:vAlign w:val="bottom"/>
            <w:tcBorders>
              <w:right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Aggregate Offering</w:t>
            </w:r>
          </w:p>
        </w:tc>
        <w:tc>
          <w:tcPr>
            <w:tcW w:w="1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203"/>
        </w:trPr>
        <w:tc>
          <w:tcPr>
            <w:tcW w:w="1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w w:val="95"/>
              </w:rPr>
              <w:t>Security Type</w:t>
            </w:r>
          </w:p>
        </w:tc>
        <w:tc>
          <w:tcPr>
            <w:tcW w:w="158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4"/>
                <w:szCs w:val="14"/>
                <w:b w:val="1"/>
                <w:bCs w:val="1"/>
                <w:color w:val="auto"/>
              </w:rPr>
              <w:t>Class Type</w:t>
            </w:r>
          </w:p>
        </w:tc>
        <w:tc>
          <w:tcPr>
            <w:tcW w:w="112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Fee Rate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right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3"/>
        </w:trPr>
        <w:tc>
          <w:tcPr>
            <w:tcW w:w="1000" w:type="dxa"/>
            <w:vAlign w:val="bottom"/>
            <w:tcBorders>
              <w:left w:val="single" w:sz="8" w:color="auto"/>
              <w:right w:val="single" w:sz="8" w:color="auto"/>
            </w:tcBorders>
          </w:tcPr>
          <w:p>
            <w:pPr>
              <w:ind w:left="260"/>
              <w:spacing w:after="0" w:line="143" w:lineRule="exact"/>
              <w:rPr>
                <w:sz w:val="20"/>
                <w:szCs w:val="20"/>
                <w:color w:val="auto"/>
              </w:rPr>
            </w:pPr>
            <w:r>
              <w:rPr>
                <w:rFonts w:ascii="Arial" w:cs="Arial" w:eastAsia="Arial" w:hAnsi="Arial"/>
                <w:sz w:val="14"/>
                <w:szCs w:val="14"/>
                <w:color w:val="auto"/>
              </w:rPr>
              <w:t>Equity</w:t>
            </w:r>
          </w:p>
        </w:tc>
        <w:tc>
          <w:tcPr>
            <w:tcW w:w="1580" w:type="dxa"/>
            <w:vAlign w:val="bottom"/>
            <w:tcBorders>
              <w:right w:val="single" w:sz="8" w:color="auto"/>
            </w:tcBorders>
          </w:tcPr>
          <w:p>
            <w:pPr>
              <w:ind w:left="20"/>
              <w:spacing w:after="0" w:line="143" w:lineRule="exact"/>
              <w:rPr>
                <w:sz w:val="20"/>
                <w:szCs w:val="20"/>
                <w:color w:val="auto"/>
              </w:rPr>
            </w:pPr>
            <w:r>
              <w:rPr>
                <w:rFonts w:ascii="Arial" w:cs="Arial" w:eastAsia="Arial" w:hAnsi="Arial"/>
                <w:sz w:val="14"/>
                <w:szCs w:val="14"/>
                <w:color w:val="auto"/>
              </w:rPr>
              <w:t>Class A common stock,</w:t>
            </w:r>
          </w:p>
        </w:tc>
        <w:tc>
          <w:tcPr>
            <w:tcW w:w="11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$0.00001 par value</w:t>
            </w:r>
          </w:p>
        </w:tc>
        <w:tc>
          <w:tcPr>
            <w:tcW w:w="11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per share, reserved for</w:t>
            </w:r>
          </w:p>
        </w:tc>
        <w:tc>
          <w:tcPr>
            <w:tcW w:w="11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vMerge w:val="restart"/>
          </w:tcPr>
          <w:p>
            <w:pPr>
              <w:jc w:val="right"/>
              <w:ind w:right="388"/>
              <w:spacing w:after="0"/>
              <w:rPr>
                <w:sz w:val="20"/>
                <w:szCs w:val="20"/>
                <w:color w:val="auto"/>
              </w:rPr>
            </w:pPr>
            <w:r>
              <w:rPr>
                <w:rFonts w:ascii="Arial" w:cs="Arial" w:eastAsia="Arial" w:hAnsi="Arial"/>
                <w:sz w:val="14"/>
                <w:szCs w:val="14"/>
                <w:color w:val="auto"/>
              </w:rPr>
              <w:t>3,170,552 (2)</w:t>
            </w:r>
          </w:p>
        </w:tc>
        <w:tc>
          <w:tcPr>
            <w:tcW w:w="1700" w:type="dxa"/>
            <w:vAlign w:val="bottom"/>
            <w:tcBorders>
              <w:right w:val="single" w:sz="8" w:color="auto"/>
            </w:tcBorders>
            <w:vMerge w:val="restart"/>
          </w:tcPr>
          <w:p>
            <w:pPr>
              <w:jc w:val="right"/>
              <w:ind w:right="728"/>
              <w:spacing w:after="0"/>
              <w:rPr>
                <w:sz w:val="20"/>
                <w:szCs w:val="20"/>
                <w:color w:val="auto"/>
              </w:rPr>
            </w:pPr>
            <w:r>
              <w:rPr>
                <w:rFonts w:ascii="Arial" w:cs="Arial" w:eastAsia="Arial" w:hAnsi="Arial"/>
                <w:sz w:val="14"/>
                <w:szCs w:val="14"/>
                <w:color w:val="auto"/>
              </w:rPr>
              <w:t>$4.00 (4)</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12,682,208.00</w:t>
            </w:r>
          </w:p>
        </w:tc>
        <w:tc>
          <w:tcPr>
            <w:tcW w:w="1240" w:type="dxa"/>
            <w:vAlign w:val="bottom"/>
            <w:tcBorders>
              <w:right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$0.0001102</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1,397.58</w:t>
            </w: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right w:val="single" w:sz="8" w:color="auto"/>
            </w:tcBorders>
          </w:tcPr>
          <w:p>
            <w:pPr>
              <w:spacing w:after="0"/>
              <w:rPr>
                <w:sz w:val="9"/>
                <w:szCs w:val="9"/>
                <w:color w:val="auto"/>
              </w:rPr>
            </w:pPr>
          </w:p>
        </w:tc>
        <w:tc>
          <w:tcPr>
            <w:tcW w:w="1580" w:type="dxa"/>
            <w:vAlign w:val="bottom"/>
            <w:tcBorders>
              <w:right w:val="single" w:sz="8" w:color="auto"/>
            </w:tcBorders>
            <w:vMerge w:val="restart"/>
          </w:tcPr>
          <w:p>
            <w:pPr>
              <w:ind w:left="120"/>
              <w:spacing w:after="0" w:line="149" w:lineRule="exact"/>
              <w:rPr>
                <w:sz w:val="20"/>
                <w:szCs w:val="20"/>
                <w:color w:val="auto"/>
              </w:rPr>
            </w:pPr>
            <w:r>
              <w:rPr>
                <w:rFonts w:ascii="Arial" w:cs="Arial" w:eastAsia="Arial" w:hAnsi="Arial"/>
                <w:sz w:val="14"/>
                <w:szCs w:val="14"/>
                <w:color w:val="auto"/>
              </w:rPr>
              <w:t>issuance pursuant to</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Rules 457(c) and</w:t>
            </w:r>
          </w:p>
        </w:tc>
        <w:tc>
          <w:tcPr>
            <w:tcW w:w="16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000" w:type="dxa"/>
            <w:vAlign w:val="bottom"/>
            <w:tcBorders>
              <w:left w:val="single" w:sz="8" w:color="auto"/>
              <w:right w:val="single" w:sz="8" w:color="auto"/>
            </w:tcBorders>
          </w:tcPr>
          <w:p>
            <w:pPr>
              <w:spacing w:after="0"/>
              <w:rPr>
                <w:sz w:val="2"/>
                <w:szCs w:val="2"/>
                <w:color w:val="auto"/>
              </w:rPr>
            </w:pPr>
          </w:p>
        </w:tc>
        <w:tc>
          <w:tcPr>
            <w:tcW w:w="1580" w:type="dxa"/>
            <w:vAlign w:val="bottom"/>
            <w:tcBorders>
              <w:right w:val="single" w:sz="8" w:color="auto"/>
            </w:tcBorders>
            <w:vMerge w:val="continue"/>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4"/>
        </w:trPr>
        <w:tc>
          <w:tcPr>
            <w:tcW w:w="1000" w:type="dxa"/>
            <w:vAlign w:val="bottom"/>
            <w:tcBorders>
              <w:left w:val="single" w:sz="8" w:color="auto"/>
              <w:right w:val="single" w:sz="8" w:color="auto"/>
            </w:tcBorders>
          </w:tcPr>
          <w:p>
            <w:pPr>
              <w:spacing w:after="0"/>
              <w:rPr>
                <w:sz w:val="4"/>
                <w:szCs w:val="4"/>
                <w:color w:val="auto"/>
              </w:rPr>
            </w:pPr>
          </w:p>
        </w:tc>
        <w:tc>
          <w:tcPr>
            <w:tcW w:w="1580" w:type="dxa"/>
            <w:vAlign w:val="bottom"/>
            <w:tcBorders>
              <w:right w:val="single" w:sz="8" w:color="auto"/>
            </w:tcBorders>
            <w:vMerge w:val="restart"/>
          </w:tcPr>
          <w:p>
            <w:pPr>
              <w:ind w:left="120"/>
              <w:spacing w:after="0" w:line="141" w:lineRule="exact"/>
              <w:rPr>
                <w:sz w:val="20"/>
                <w:szCs w:val="20"/>
                <w:color w:val="auto"/>
              </w:rPr>
            </w:pPr>
            <w:r>
              <w:rPr>
                <w:rFonts w:ascii="Arial" w:cs="Arial" w:eastAsia="Arial" w:hAnsi="Arial"/>
                <w:sz w:val="14"/>
                <w:szCs w:val="14"/>
                <w:color w:val="auto"/>
              </w:rPr>
              <w:t>the 2020 Equity</w:t>
            </w:r>
          </w:p>
        </w:tc>
        <w:tc>
          <w:tcPr>
            <w:tcW w:w="1120" w:type="dxa"/>
            <w:vAlign w:val="bottom"/>
            <w:tcBorders>
              <w:right w:val="single" w:sz="8" w:color="auto"/>
            </w:tcBorders>
            <w:vMerge w:val="continue"/>
          </w:tcPr>
          <w:p>
            <w:pPr>
              <w:spacing w:after="0"/>
              <w:rPr>
                <w:sz w:val="4"/>
                <w:szCs w:val="4"/>
                <w:color w:val="auto"/>
              </w:rPr>
            </w:pPr>
          </w:p>
        </w:tc>
        <w:tc>
          <w:tcPr>
            <w:tcW w:w="16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0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(h)</w:t>
            </w:r>
          </w:p>
        </w:tc>
        <w:tc>
          <w:tcPr>
            <w:tcW w:w="16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tcBorders>
              <w:left w:val="single" w:sz="8" w:color="auto"/>
              <w:right w:val="single" w:sz="8" w:color="auto"/>
            </w:tcBorders>
          </w:tcPr>
          <w:p>
            <w:pPr>
              <w:spacing w:after="0"/>
              <w:rPr>
                <w:sz w:val="8"/>
                <w:szCs w:val="8"/>
                <w:color w:val="auto"/>
              </w:rPr>
            </w:pPr>
          </w:p>
        </w:tc>
        <w:tc>
          <w:tcPr>
            <w:tcW w:w="15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Incentive Plan</w:t>
            </w:r>
          </w:p>
        </w:tc>
        <w:tc>
          <w:tcPr>
            <w:tcW w:w="112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000" w:type="dxa"/>
            <w:vAlign w:val="bottom"/>
            <w:tcBorders>
              <w:left w:val="single" w:sz="8" w:color="auto"/>
              <w:right w:val="single" w:sz="8" w:color="auto"/>
            </w:tcBorders>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6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1000" w:type="dxa"/>
            <w:vAlign w:val="bottom"/>
            <w:tcBorders>
              <w:left w:val="single" w:sz="8" w:color="auto"/>
              <w:right w:val="single" w:sz="8" w:color="auto"/>
            </w:tcBorders>
          </w:tcPr>
          <w:p>
            <w:pPr>
              <w:ind w:left="260"/>
              <w:spacing w:after="0" w:line="137" w:lineRule="exact"/>
              <w:rPr>
                <w:sz w:val="20"/>
                <w:szCs w:val="20"/>
                <w:color w:val="auto"/>
              </w:rPr>
            </w:pPr>
            <w:r>
              <w:rPr>
                <w:rFonts w:ascii="Arial" w:cs="Arial" w:eastAsia="Arial" w:hAnsi="Arial"/>
                <w:sz w:val="14"/>
                <w:szCs w:val="14"/>
                <w:color w:val="auto"/>
              </w:rPr>
              <w:t>Equity</w:t>
            </w:r>
          </w:p>
        </w:tc>
        <w:tc>
          <w:tcPr>
            <w:tcW w:w="1580" w:type="dxa"/>
            <w:vAlign w:val="bottom"/>
            <w:tcBorders>
              <w:right w:val="single" w:sz="8" w:color="auto"/>
            </w:tcBorders>
          </w:tcPr>
          <w:p>
            <w:pPr>
              <w:ind w:left="20"/>
              <w:spacing w:after="0" w:line="137" w:lineRule="exact"/>
              <w:rPr>
                <w:sz w:val="20"/>
                <w:szCs w:val="20"/>
                <w:color w:val="auto"/>
              </w:rPr>
            </w:pPr>
            <w:r>
              <w:rPr>
                <w:rFonts w:ascii="Arial" w:cs="Arial" w:eastAsia="Arial" w:hAnsi="Arial"/>
                <w:sz w:val="14"/>
                <w:szCs w:val="14"/>
                <w:color w:val="auto"/>
              </w:rPr>
              <w:t>Class A common stock,</w:t>
            </w:r>
          </w:p>
        </w:tc>
        <w:tc>
          <w:tcPr>
            <w:tcW w:w="11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$0.00001 par value</w:t>
            </w:r>
          </w:p>
        </w:tc>
        <w:tc>
          <w:tcPr>
            <w:tcW w:w="11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Borders>
              <w:left w:val="single" w:sz="8" w:color="auto"/>
              <w:right w:val="single" w:sz="8" w:color="auto"/>
            </w:tcBorders>
          </w:tcPr>
          <w:p>
            <w:pPr>
              <w:spacing w:after="0"/>
              <w:rPr>
                <w:sz w:val="12"/>
                <w:szCs w:val="12"/>
                <w:color w:val="auto"/>
              </w:rPr>
            </w:pPr>
          </w:p>
        </w:tc>
        <w:tc>
          <w:tcPr>
            <w:tcW w:w="1580" w:type="dxa"/>
            <w:vAlign w:val="bottom"/>
            <w:tcBorders>
              <w:right w:val="single" w:sz="8" w:color="auto"/>
            </w:tcBorders>
          </w:tcPr>
          <w:p>
            <w:pPr>
              <w:ind w:left="120"/>
              <w:spacing w:after="0" w:line="143" w:lineRule="exact"/>
              <w:rPr>
                <w:sz w:val="20"/>
                <w:szCs w:val="20"/>
                <w:color w:val="auto"/>
              </w:rPr>
            </w:pPr>
            <w:r>
              <w:rPr>
                <w:rFonts w:ascii="Arial" w:cs="Arial" w:eastAsia="Arial" w:hAnsi="Arial"/>
                <w:sz w:val="14"/>
                <w:szCs w:val="14"/>
                <w:color w:val="auto"/>
              </w:rPr>
              <w:t>per share, reserved for</w:t>
            </w:r>
          </w:p>
        </w:tc>
        <w:tc>
          <w:tcPr>
            <w:tcW w:w="1120" w:type="dxa"/>
            <w:vAlign w:val="bottom"/>
            <w:tcBorders>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100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ind w:left="120"/>
              <w:spacing w:after="0" w:line="154" w:lineRule="exact"/>
              <w:rPr>
                <w:sz w:val="20"/>
                <w:szCs w:val="20"/>
                <w:color w:val="auto"/>
              </w:rPr>
            </w:pPr>
            <w:r>
              <w:rPr>
                <w:rFonts w:ascii="Arial" w:cs="Arial" w:eastAsia="Arial" w:hAnsi="Arial"/>
                <w:sz w:val="14"/>
                <w:szCs w:val="14"/>
                <w:color w:val="auto"/>
              </w:rPr>
              <w:t>issuance pursuant to</w:t>
            </w:r>
          </w:p>
        </w:tc>
        <w:tc>
          <w:tcPr>
            <w:tcW w:w="112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jc w:val="right"/>
              <w:ind w:right="408"/>
              <w:spacing w:after="0" w:line="154" w:lineRule="exact"/>
              <w:rPr>
                <w:sz w:val="20"/>
                <w:szCs w:val="20"/>
                <w:color w:val="auto"/>
              </w:rPr>
            </w:pPr>
            <w:r>
              <w:rPr>
                <w:rFonts w:ascii="Arial" w:cs="Arial" w:eastAsia="Arial" w:hAnsi="Arial"/>
                <w:sz w:val="14"/>
                <w:szCs w:val="14"/>
                <w:color w:val="auto"/>
              </w:rPr>
              <w:t>634,110 (3)</w:t>
            </w:r>
          </w:p>
        </w:tc>
        <w:tc>
          <w:tcPr>
            <w:tcW w:w="1700" w:type="dxa"/>
            <w:vAlign w:val="bottom"/>
            <w:tcBorders>
              <w:right w:val="single" w:sz="8" w:color="auto"/>
            </w:tcBorders>
          </w:tcPr>
          <w:p>
            <w:pPr>
              <w:jc w:val="right"/>
              <w:ind w:right="688"/>
              <w:spacing w:after="0" w:line="154" w:lineRule="exact"/>
              <w:rPr>
                <w:sz w:val="20"/>
                <w:szCs w:val="20"/>
                <w:color w:val="auto"/>
              </w:rPr>
            </w:pPr>
            <w:r>
              <w:rPr>
                <w:rFonts w:ascii="Arial" w:cs="Arial" w:eastAsia="Arial" w:hAnsi="Arial"/>
                <w:sz w:val="14"/>
                <w:szCs w:val="14"/>
                <w:color w:val="auto"/>
              </w:rPr>
              <w:t>$3.40 (5)</w:t>
            </w:r>
          </w:p>
        </w:tc>
        <w:tc>
          <w:tcPr>
            <w:tcW w:w="160" w:type="dxa"/>
            <w:vAlign w:val="bottom"/>
          </w:tcPr>
          <w:p>
            <w:pPr>
              <w:jc w:val="right"/>
              <w:ind w:right="8"/>
              <w:spacing w:after="0" w:line="154" w:lineRule="exact"/>
              <w:rPr>
                <w:sz w:val="20"/>
                <w:szCs w:val="20"/>
                <w:color w:val="auto"/>
              </w:rPr>
            </w:pPr>
            <w:r>
              <w:rPr>
                <w:rFonts w:ascii="Arial" w:cs="Arial" w:eastAsia="Arial" w:hAnsi="Arial"/>
                <w:sz w:val="14"/>
                <w:szCs w:val="14"/>
                <w:color w:val="auto"/>
                <w:w w:val="76"/>
              </w:rPr>
              <w:t>$</w:t>
            </w:r>
          </w:p>
        </w:tc>
        <w:tc>
          <w:tcPr>
            <w:tcW w:w="1540" w:type="dxa"/>
            <w:vAlign w:val="bottom"/>
            <w:tcBorders>
              <w:right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2,155,974.00</w:t>
            </w:r>
          </w:p>
        </w:tc>
        <w:tc>
          <w:tcPr>
            <w:tcW w:w="1240" w:type="dxa"/>
            <w:vAlign w:val="bottom"/>
            <w:tcBorders>
              <w:right w:val="single" w:sz="8" w:color="auto"/>
            </w:tcBorders>
          </w:tcPr>
          <w:p>
            <w:pPr>
              <w:jc w:val="right"/>
              <w:ind w:right="328"/>
              <w:spacing w:after="0" w:line="154" w:lineRule="exact"/>
              <w:rPr>
                <w:sz w:val="20"/>
                <w:szCs w:val="20"/>
                <w:color w:val="auto"/>
              </w:rPr>
            </w:pPr>
            <w:r>
              <w:rPr>
                <w:rFonts w:ascii="Arial" w:cs="Arial" w:eastAsia="Arial" w:hAnsi="Arial"/>
                <w:sz w:val="14"/>
                <w:szCs w:val="14"/>
                <w:color w:val="auto"/>
              </w:rPr>
              <w:t>$0.0001102</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
              <w:spacing w:after="0" w:line="154" w:lineRule="exact"/>
              <w:rPr>
                <w:sz w:val="20"/>
                <w:szCs w:val="20"/>
                <w:color w:val="auto"/>
              </w:rPr>
            </w:pPr>
            <w:r>
              <w:rPr>
                <w:rFonts w:ascii="Arial" w:cs="Arial" w:eastAsia="Arial" w:hAnsi="Arial"/>
                <w:sz w:val="14"/>
                <w:szCs w:val="14"/>
                <w:color w:val="auto"/>
              </w:rPr>
              <w:t>237.59</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tcPr>
          <w:p>
            <w:pPr>
              <w:spacing w:after="0"/>
              <w:rPr>
                <w:sz w:val="11"/>
                <w:szCs w:val="11"/>
                <w:color w:val="auto"/>
              </w:rPr>
            </w:pPr>
          </w:p>
        </w:tc>
        <w:tc>
          <w:tcPr>
            <w:tcW w:w="1580" w:type="dxa"/>
            <w:vAlign w:val="bottom"/>
            <w:tcBorders>
              <w:right w:val="single" w:sz="8" w:color="auto"/>
            </w:tcBorders>
          </w:tcPr>
          <w:p>
            <w:pPr>
              <w:ind w:left="120"/>
              <w:spacing w:after="0" w:line="135" w:lineRule="exact"/>
              <w:rPr>
                <w:sz w:val="20"/>
                <w:szCs w:val="20"/>
                <w:color w:val="auto"/>
              </w:rPr>
            </w:pPr>
            <w:r>
              <w:rPr>
                <w:rFonts w:ascii="Arial" w:cs="Arial" w:eastAsia="Arial" w:hAnsi="Arial"/>
                <w:sz w:val="14"/>
                <w:szCs w:val="14"/>
                <w:color w:val="auto"/>
              </w:rPr>
              <w:t>the 2020 Equity</w:t>
            </w:r>
          </w:p>
        </w:tc>
        <w:tc>
          <w:tcPr>
            <w:tcW w:w="11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00" w:type="dxa"/>
            <w:vAlign w:val="bottom"/>
            <w:tcBorders>
              <w:left w:val="single" w:sz="8" w:color="auto"/>
              <w:right w:val="single" w:sz="8" w:color="auto"/>
            </w:tcBorders>
          </w:tcPr>
          <w:p>
            <w:pPr>
              <w:spacing w:after="0"/>
              <w:rPr>
                <w:sz w:val="13"/>
                <w:szCs w:val="13"/>
                <w:color w:val="auto"/>
              </w:rPr>
            </w:pPr>
          </w:p>
        </w:tc>
        <w:tc>
          <w:tcPr>
            <w:tcW w:w="158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Incentive Plan</w:t>
            </w:r>
          </w:p>
        </w:tc>
        <w:tc>
          <w:tcPr>
            <w:tcW w:w="11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Rules 457(c) and</w:t>
            </w:r>
          </w:p>
        </w:tc>
        <w:tc>
          <w:tcPr>
            <w:tcW w:w="16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00" w:type="dxa"/>
            <w:vAlign w:val="bottom"/>
            <w:tcBorders>
              <w:left w:val="single" w:sz="8" w:color="auto"/>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(h)</w:t>
            </w:r>
          </w:p>
        </w:tc>
        <w:tc>
          <w:tcPr>
            <w:tcW w:w="162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0"/>
        </w:trPr>
        <w:tc>
          <w:tcPr>
            <w:tcW w:w="258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OFFERING AMOUNT</w:t>
            </w:r>
          </w:p>
        </w:tc>
        <w:tc>
          <w:tcPr>
            <w:tcW w:w="11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3,804,662</w:t>
            </w:r>
          </w:p>
        </w:tc>
        <w:tc>
          <w:tcPr>
            <w:tcW w:w="1700" w:type="dxa"/>
            <w:vAlign w:val="bottom"/>
            <w:tcBorders>
              <w:right w:val="single" w:sz="8" w:color="auto"/>
            </w:tcBorders>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4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14,838,182.00</w:t>
            </w:r>
          </w:p>
        </w:tc>
        <w:tc>
          <w:tcPr>
            <w:tcW w:w="1240" w:type="dxa"/>
            <w:vAlign w:val="bottom"/>
            <w:tcBorders>
              <w:right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1,635.17</w:t>
            </w:r>
          </w:p>
        </w:tc>
        <w:tc>
          <w:tcPr>
            <w:tcW w:w="0" w:type="dxa"/>
            <w:vAlign w:val="bottom"/>
          </w:tcPr>
          <w:p>
            <w:pPr>
              <w:spacing w:after="0"/>
              <w:rPr>
                <w:sz w:val="1"/>
                <w:szCs w:val="1"/>
                <w:color w:val="auto"/>
              </w:rPr>
            </w:pPr>
          </w:p>
        </w:tc>
      </w:tr>
      <w:tr>
        <w:trPr>
          <w:trHeight w:val="25"/>
        </w:trPr>
        <w:tc>
          <w:tcPr>
            <w:tcW w:w="100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8"/>
        </w:trPr>
        <w:tc>
          <w:tcPr>
            <w:tcW w:w="258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 FEE OFFSETS</w:t>
            </w:r>
          </w:p>
        </w:tc>
        <w:tc>
          <w:tcPr>
            <w:tcW w:w="11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100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3"/>
        </w:trPr>
        <w:tc>
          <w:tcPr>
            <w:tcW w:w="100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w w:val="99"/>
              </w:rPr>
              <w:t>NET FEE DUE</w:t>
            </w:r>
          </w:p>
        </w:tc>
        <w:tc>
          <w:tcPr>
            <w:tcW w:w="158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1,635.17</w:t>
            </w:r>
          </w:p>
        </w:tc>
        <w:tc>
          <w:tcPr>
            <w:tcW w:w="0" w:type="dxa"/>
            <w:vAlign w:val="bottom"/>
          </w:tcPr>
          <w:p>
            <w:pPr>
              <w:spacing w:after="0"/>
              <w:rPr>
                <w:sz w:val="1"/>
                <w:szCs w:val="1"/>
                <w:color w:val="auto"/>
              </w:rPr>
            </w:pPr>
          </w:p>
        </w:tc>
      </w:tr>
      <w:tr>
        <w:trPr>
          <w:trHeight w:val="25"/>
        </w:trPr>
        <w:tc>
          <w:tcPr>
            <w:tcW w:w="1000" w:type="dxa"/>
            <w:vAlign w:val="bottom"/>
            <w:tcBorders>
              <w:left w:val="single" w:sz="8" w:color="auto"/>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0" w:hanging="332"/>
        <w:spacing w:after="0" w:line="228" w:lineRule="auto"/>
        <w:tabs>
          <w:tab w:leader="none" w:pos="364" w:val="left"/>
        </w:tabs>
        <w:numPr>
          <w:ilvl w:val="0"/>
          <w:numId w:val="5"/>
        </w:numPr>
        <w:rPr>
          <w:rFonts w:ascii="Arial" w:cs="Arial" w:eastAsia="Arial" w:hAnsi="Arial"/>
          <w:sz w:val="14"/>
          <w:szCs w:val="14"/>
          <w:color w:val="auto"/>
        </w:rPr>
      </w:pPr>
      <w:r>
        <w:rPr>
          <w:rFonts w:ascii="Arial" w:cs="Arial" w:eastAsia="Arial" w:hAnsi="Arial"/>
          <w:sz w:val="14"/>
          <w:szCs w:val="14"/>
          <w:color w:val="auto"/>
        </w:rPr>
        <w:t>Pursuant to Rule 416(a) of the Securities Act of 1933, as amended (the “Securities Act”), this Registration Statement covers any additional shares of the Registrant’s Class A common stock (“Class A common stock”) that become issuable under the Registrant’s 2020 Equity Incentive Plan (the “2020 Plan”) and the Registrant’s 2020 Employee Stock Purchase Plan (the “2020 ESPP”), by reason of any stock dividend, stock split, recapitalization or other similar transaction effected without the Registrant’s receipt of consideration that results in an increase in the number of outstanding shares of Class A common stock.</w:t>
      </w:r>
    </w:p>
    <w:p>
      <w:pPr>
        <w:spacing w:after="0" w:line="22" w:lineRule="exact"/>
        <w:rPr>
          <w:rFonts w:ascii="Arial" w:cs="Arial" w:eastAsia="Arial" w:hAnsi="Arial"/>
          <w:sz w:val="14"/>
          <w:szCs w:val="14"/>
          <w:color w:val="auto"/>
        </w:rPr>
      </w:pPr>
    </w:p>
    <w:p>
      <w:pPr>
        <w:ind w:left="340" w:hanging="332"/>
        <w:spacing w:after="0" w:line="230" w:lineRule="auto"/>
        <w:tabs>
          <w:tab w:leader="none" w:pos="454"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an automatic increase of 3,170,552 shares of the Registrant’s Class A common stock reserved for issuance under, and which annual increase is provided for in, the 2020 Plan as of January 1, 2023.</w:t>
      </w:r>
    </w:p>
    <w:p>
      <w:pPr>
        <w:ind w:left="340" w:right="140" w:hanging="332"/>
        <w:spacing w:after="0" w:line="211" w:lineRule="auto"/>
        <w:tabs>
          <w:tab w:leader="none" w:pos="363"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an automatic increase of 634,110 shares of the Registrant’s Class A common stock reserved for issuance under, and which annual increase is provided for in, the 2020 ESPP as of January 1, 2023.</w:t>
      </w:r>
    </w:p>
    <w:p>
      <w:pPr>
        <w:ind w:left="340" w:right="40" w:hanging="332"/>
        <w:spacing w:after="0" w:line="221" w:lineRule="auto"/>
        <w:tabs>
          <w:tab w:leader="none" w:pos="328" w:val="left"/>
        </w:tabs>
        <w:numPr>
          <w:ilvl w:val="0"/>
          <w:numId w:val="5"/>
        </w:numPr>
        <w:rPr>
          <w:rFonts w:ascii="Arial" w:cs="Arial" w:eastAsia="Arial" w:hAnsi="Arial"/>
          <w:sz w:val="14"/>
          <w:szCs w:val="14"/>
          <w:color w:val="auto"/>
        </w:rPr>
      </w:pPr>
      <w:r>
        <w:rPr>
          <w:rFonts w:ascii="Arial" w:cs="Arial" w:eastAsia="Arial" w:hAnsi="Arial"/>
          <w:sz w:val="14"/>
          <w:szCs w:val="14"/>
          <w:color w:val="auto"/>
        </w:rPr>
        <w:t>Estimated in accordance with Rules 457(c) and (h) of the Securities Act solely for the purpose of calculating the registration fee on the basis of $4.00 per share, which represents the average of the high and low prices of the Registrant’s Class A common stock as reported on the Nasdaq Global Select Market on March 2, 2023.</w:t>
      </w:r>
    </w:p>
    <w:p>
      <w:pPr>
        <w:ind w:left="340" w:right="180" w:hanging="332"/>
        <w:spacing w:after="0" w:line="224" w:lineRule="auto"/>
        <w:tabs>
          <w:tab w:leader="none" w:pos="364" w:val="left"/>
        </w:tabs>
        <w:numPr>
          <w:ilvl w:val="0"/>
          <w:numId w:val="5"/>
        </w:numPr>
        <w:rPr>
          <w:rFonts w:ascii="Arial" w:cs="Arial" w:eastAsia="Arial" w:hAnsi="Arial"/>
          <w:sz w:val="14"/>
          <w:szCs w:val="14"/>
          <w:color w:val="auto"/>
        </w:rPr>
      </w:pPr>
      <w:r>
        <w:rPr>
          <w:rFonts w:ascii="Arial" w:cs="Arial" w:eastAsia="Arial" w:hAnsi="Arial"/>
          <w:sz w:val="14"/>
          <w:szCs w:val="14"/>
          <w:color w:val="auto"/>
        </w:rPr>
        <w:t>Estimated in accordance with Rules 457(c) and (h) of the Securities Act solely for the purpose of calculating the registration fee on the basis of $3.40 per share, which represents 85% the average of the high and low prices of the Registrant’s Class A common stock as reported on the Nasdaq Global Select Market on March 2, 2023. Pursuant to the 2020 ESPP, the purchase price of the shares of common stock reserved for issuance thereunder will be 85% of the lower of the fair market value of common stock on an Offering Period's Enrollment Date or Exercise Date (as such terms are defined in the 2020 ESPP).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most recently amended and restated February 15, 2023)</w:t>
      </w:r>
    </w:p>
    <w:p>
      <w:pPr>
        <w:spacing w:after="0" w:line="173" w:lineRule="exact"/>
        <w:rPr>
          <w:sz w:val="20"/>
          <w:szCs w:val="20"/>
          <w:color w:val="auto"/>
        </w:rPr>
      </w:pPr>
    </w:p>
    <w:p>
      <w:pPr>
        <w:jc w:val="both"/>
        <w:ind w:firstLine="656"/>
        <w:spacing w:after="0" w:line="243" w:lineRule="auto"/>
        <w:tabs>
          <w:tab w:leader="none" w:pos="1296"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Purpose</w:t>
      </w:r>
      <w:r>
        <w:rPr>
          <w:rFonts w:ascii="Arial" w:cs="Arial" w:eastAsia="Arial" w:hAnsi="Arial"/>
          <w:sz w:val="19"/>
          <w:szCs w:val="19"/>
          <w:color w:val="auto"/>
        </w:rPr>
        <w:t>. The purpose of the Plan is to provide employees of the Company and its Designated Companies with an</w:t>
      </w:r>
      <w:r>
        <w:rPr>
          <w:rFonts w:ascii="Arial" w:cs="Arial" w:eastAsia="Arial" w:hAnsi="Arial"/>
          <w:sz w:val="19"/>
          <w:szCs w:val="19"/>
          <w:b w:val="1"/>
          <w:bCs w:val="1"/>
          <w:color w:val="auto"/>
        </w:rPr>
        <w:t xml:space="preserve"> </w:t>
      </w:r>
      <w:r>
        <w:rPr>
          <w:rFonts w:ascii="Arial" w:cs="Arial" w:eastAsia="Arial" w:hAnsi="Arial"/>
          <w:sz w:val="19"/>
          <w:szCs w:val="19"/>
          <w:color w:val="auto"/>
        </w:rPr>
        <w:t>opportunity to purchase 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9"/>
          <w:szCs w:val="19"/>
          <w:b w:val="1"/>
          <w:bCs w:val="1"/>
          <w:color w:val="auto"/>
        </w:rPr>
        <w:t>423 Component</w:t>
      </w:r>
      <w:r>
        <w:rPr>
          <w:rFonts w:ascii="Arial" w:cs="Arial" w:eastAsia="Arial" w:hAnsi="Arial"/>
          <w:sz w:val="19"/>
          <w:szCs w:val="19"/>
          <w:color w:val="auto"/>
        </w:rPr>
        <w:t>”) and a component that is not intended to qualify as an “employee stock purchase plan” under Code Section 423 (the “</w:t>
      </w:r>
      <w:r>
        <w:rPr>
          <w:rFonts w:ascii="Arial" w:cs="Arial" w:eastAsia="Arial" w:hAnsi="Arial"/>
          <w:sz w:val="19"/>
          <w:szCs w:val="19"/>
          <w:b w:val="1"/>
          <w:bCs w:val="1"/>
          <w:color w:val="auto"/>
        </w:rPr>
        <w:t>Non-423 Component</w:t>
      </w:r>
      <w:r>
        <w:rPr>
          <w:rFonts w:ascii="Arial" w:cs="Arial" w:eastAsia="Arial" w:hAnsi="Arial"/>
          <w:sz w:val="19"/>
          <w:szCs w:val="19"/>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Non-423 Component that does not qualify as an “employee stock purchase plan” under Code Section 423;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153" w:lineRule="exact"/>
        <w:rPr>
          <w:rFonts w:ascii="Arial" w:cs="Arial" w:eastAsia="Arial" w:hAnsi="Arial"/>
          <w:sz w:val="19"/>
          <w:szCs w:val="19"/>
          <w:color w:val="auto"/>
        </w:rPr>
      </w:pPr>
    </w:p>
    <w:p>
      <w:pPr>
        <w:ind w:left="1300" w:hanging="644"/>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179"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2.a “</w:t>
      </w:r>
      <w:r>
        <w:rPr>
          <w:rFonts w:ascii="Arial" w:cs="Arial" w:eastAsia="Arial" w:hAnsi="Arial"/>
          <w:sz w:val="22"/>
          <w:szCs w:val="22"/>
          <w:b w:val="1"/>
          <w:bCs w:val="1"/>
          <w:color w:val="auto"/>
        </w:rPr>
        <w:t>Administrator</w:t>
      </w:r>
      <w:r>
        <w:rPr>
          <w:rFonts w:ascii="Arial" w:cs="Arial" w:eastAsia="Arial" w:hAnsi="Arial"/>
          <w:sz w:val="22"/>
          <w:szCs w:val="22"/>
          <w:color w:val="auto"/>
        </w:rPr>
        <w:t>” means the Board or any Committee designated by the Board to administer the Plan pursuant to Section 3.</w:t>
      </w:r>
    </w:p>
    <w:p>
      <w:pPr>
        <w:spacing w:after="0" w:line="153"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2.b “</w:t>
      </w:r>
      <w:r>
        <w:rPr>
          <w:rFonts w:ascii="Arial" w:cs="Arial" w:eastAsia="Arial" w:hAnsi="Arial"/>
          <w:sz w:val="22"/>
          <w:szCs w:val="22"/>
          <w:b w:val="1"/>
          <w:bCs w:val="1"/>
          <w:color w:val="auto"/>
        </w:rPr>
        <w:t>Applicable Laws</w:t>
      </w:r>
      <w:r>
        <w:rPr>
          <w:rFonts w:ascii="Arial" w:cs="Arial" w:eastAsia="Arial" w:hAnsi="Arial"/>
          <w:sz w:val="22"/>
          <w:szCs w:val="22"/>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2.c</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Board</w:t>
      </w:r>
      <w:r>
        <w:rPr>
          <w:rFonts w:ascii="Arial" w:cs="Arial" w:eastAsia="Arial" w:hAnsi="Arial"/>
          <w:sz w:val="19"/>
          <w:szCs w:val="19"/>
          <w:color w:val="auto"/>
        </w:rPr>
        <w:t>” means the Board of Directors of the Company.</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2.d “</w:t>
      </w:r>
      <w:r>
        <w:rPr>
          <w:rFonts w:ascii="Arial" w:cs="Arial" w:eastAsia="Arial" w:hAnsi="Arial"/>
          <w:sz w:val="22"/>
          <w:szCs w:val="22"/>
          <w:b w:val="1"/>
          <w:bCs w:val="1"/>
          <w:color w:val="auto"/>
        </w:rPr>
        <w:t>Change in Control</w:t>
      </w:r>
      <w:r>
        <w:rPr>
          <w:rFonts w:ascii="Arial" w:cs="Arial" w:eastAsia="Arial" w:hAnsi="Arial"/>
          <w:sz w:val="22"/>
          <w:szCs w:val="22"/>
          <w:color w:val="auto"/>
        </w:rPr>
        <w:t>” means the occurrence of any of the following events, unless specifically provided otherwise by the Administrator with respect to a particular Offering:</w:t>
      </w:r>
    </w:p>
    <w:p>
      <w:pPr>
        <w:spacing w:after="0" w:line="153" w:lineRule="exact"/>
        <w:rPr>
          <w:sz w:val="20"/>
          <w:szCs w:val="20"/>
          <w:color w:val="auto"/>
        </w:rPr>
      </w:pPr>
    </w:p>
    <w:p>
      <w:pPr>
        <w:jc w:val="both"/>
        <w:ind w:firstLine="1740"/>
        <w:spacing w:after="0" w:line="244" w:lineRule="auto"/>
        <w:rPr>
          <w:sz w:val="20"/>
          <w:szCs w:val="20"/>
          <w:color w:val="auto"/>
        </w:rPr>
      </w:pPr>
      <w:r>
        <w:rPr>
          <w:rFonts w:ascii="Arial" w:cs="Arial" w:eastAsia="Arial" w:hAnsi="Arial"/>
          <w:sz w:val="19"/>
          <w:szCs w:val="19"/>
          <w:color w:val="auto"/>
        </w:rPr>
        <w:t>(i)</w:t>
      </w:r>
      <w:r>
        <w:rPr>
          <w:rFonts w:ascii="Arial" w:cs="Arial" w:eastAsia="Arial" w:hAnsi="Arial"/>
          <w:sz w:val="19"/>
          <w:szCs w:val="19"/>
          <w:b w:val="1"/>
          <w:bCs w:val="1"/>
          <w:color w:val="auto"/>
        </w:rPr>
        <w:t>Change in Ownership of the Company</w:t>
      </w:r>
      <w:r>
        <w:rPr>
          <w:rFonts w:ascii="Arial" w:cs="Arial" w:eastAsia="Arial" w:hAnsi="Arial"/>
          <w:sz w:val="19"/>
          <w:szCs w:val="19"/>
          <w:color w:val="auto"/>
        </w:rPr>
        <w:t>. 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w:t>
      </w:r>
    </w:p>
    <w:p>
      <w:pPr>
        <w:sectPr>
          <w:pgSz w:w="11900" w:h="16838" w:orient="portrait"/>
          <w:cols w:equalWidth="0" w:num="1">
            <w:col w:w="11240"/>
          </w:cols>
          <w:pgMar w:left="320" w:top="98" w:right="339" w:bottom="1440" w:gutter="0" w:footer="0" w:header="0"/>
        </w:sectPr>
      </w:pPr>
    </w:p>
    <w:bookmarkStart w:id="10" w:name="page11"/>
    <w:bookmarkEnd w:id="10"/>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26" w:lineRule="exact"/>
        <w:rPr>
          <w:sz w:val="20"/>
          <w:szCs w:val="20"/>
          <w:color w:val="auto"/>
        </w:rPr>
      </w:pPr>
    </w:p>
    <w:p>
      <w:pPr>
        <w:jc w:val="both"/>
        <w:ind w:firstLine="1680"/>
        <w:spacing w:after="0" w:line="225" w:lineRule="auto"/>
        <w:rPr>
          <w:sz w:val="20"/>
          <w:szCs w:val="20"/>
          <w:color w:val="auto"/>
        </w:rPr>
      </w:pPr>
      <w:r>
        <w:rPr>
          <w:rFonts w:ascii="Arial" w:cs="Arial" w:eastAsia="Arial" w:hAnsi="Arial"/>
          <w:sz w:val="21"/>
          <w:szCs w:val="21"/>
          <w:color w:val="auto"/>
        </w:rPr>
        <w:t>(ii)</w:t>
      </w:r>
      <w:r>
        <w:rPr>
          <w:rFonts w:ascii="Arial" w:cs="Arial" w:eastAsia="Arial" w:hAnsi="Arial"/>
          <w:sz w:val="21"/>
          <w:szCs w:val="21"/>
          <w:b w:val="1"/>
          <w:bCs w:val="1"/>
          <w:color w:val="auto"/>
        </w:rPr>
        <w:t>Change in Effective Control of the Company</w:t>
      </w:r>
      <w:r>
        <w:rPr>
          <w:rFonts w:ascii="Arial" w:cs="Arial" w:eastAsia="Arial" w:hAnsi="Arial"/>
          <w:sz w:val="21"/>
          <w:szCs w:val="21"/>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54" w:lineRule="exact"/>
        <w:rPr>
          <w:sz w:val="20"/>
          <w:szCs w:val="20"/>
          <w:color w:val="auto"/>
        </w:rPr>
      </w:pPr>
    </w:p>
    <w:p>
      <w:pPr>
        <w:jc w:val="both"/>
        <w:ind w:firstLine="1620"/>
        <w:spacing w:after="0" w:line="242" w:lineRule="auto"/>
        <w:rPr>
          <w:sz w:val="20"/>
          <w:szCs w:val="20"/>
          <w:color w:val="auto"/>
        </w:rPr>
      </w:pPr>
      <w:r>
        <w:rPr>
          <w:rFonts w:ascii="Arial" w:cs="Arial" w:eastAsia="Arial" w:hAnsi="Arial"/>
          <w:sz w:val="19"/>
          <w:szCs w:val="19"/>
          <w:color w:val="auto"/>
        </w:rPr>
        <w:t>(iii)</w:t>
      </w:r>
      <w:r>
        <w:rPr>
          <w:rFonts w:ascii="Arial" w:cs="Arial" w:eastAsia="Arial" w:hAnsi="Arial"/>
          <w:sz w:val="19"/>
          <w:szCs w:val="19"/>
          <w:b w:val="1"/>
          <w:bCs w:val="1"/>
          <w:color w:val="auto"/>
        </w:rPr>
        <w:t>Change in Ownership of a Substantial Portion of the Company’s Assets</w:t>
      </w:r>
      <w:r>
        <w:rPr>
          <w:rFonts w:ascii="Arial" w:cs="Arial" w:eastAsia="Arial" w:hAnsi="Arial"/>
          <w:sz w:val="19"/>
          <w:szCs w:val="19"/>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62"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Notwithstanding the foregoing, a transaction will not be deemed a Change in Control unless the transaction qualifies as a change in control event within the meaning of Section 409A.</w:t>
      </w:r>
    </w:p>
    <w:p>
      <w:pPr>
        <w:spacing w:after="0" w:line="159"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spacing w:after="0" w:line="155"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2.e “</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2.f</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Committee</w:t>
      </w:r>
      <w:r>
        <w:rPr>
          <w:rFonts w:ascii="Arial" w:cs="Arial" w:eastAsia="Arial" w:hAnsi="Arial"/>
          <w:sz w:val="19"/>
          <w:szCs w:val="19"/>
          <w:color w:val="auto"/>
        </w:rPr>
        <w:t>” means a committee of the Board appointed in accordance with Section 3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7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2.g</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Common Stock</w:t>
      </w:r>
      <w:r>
        <w:rPr>
          <w:rFonts w:ascii="Arial" w:cs="Arial" w:eastAsia="Arial" w:hAnsi="Arial"/>
          <w:sz w:val="19"/>
          <w:szCs w:val="19"/>
          <w:color w:val="auto"/>
        </w:rPr>
        <w:t>” means the Class A common stock of the Company.</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2.h</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means Seer, Inc., a Delaware corporation, or any successor thereto.</w:t>
      </w:r>
    </w:p>
    <w:p>
      <w:pPr>
        <w:spacing w:after="0" w:line="179"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2.i “</w:t>
      </w:r>
      <w:r>
        <w:rPr>
          <w:rFonts w:ascii="Arial" w:cs="Arial" w:eastAsia="Arial" w:hAnsi="Arial"/>
          <w:sz w:val="22"/>
          <w:szCs w:val="22"/>
          <w:b w:val="1"/>
          <w:bCs w:val="1"/>
          <w:color w:val="auto"/>
        </w:rPr>
        <w:t>Compensation</w:t>
      </w:r>
      <w:r>
        <w:rPr>
          <w:rFonts w:ascii="Arial" w:cs="Arial" w:eastAsia="Arial" w:hAnsi="Arial"/>
          <w:sz w:val="22"/>
          <w:szCs w:val="22"/>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52"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2.j “</w:t>
      </w:r>
      <w:r>
        <w:rPr>
          <w:rFonts w:ascii="Arial" w:cs="Arial" w:eastAsia="Arial" w:hAnsi="Arial"/>
          <w:sz w:val="22"/>
          <w:szCs w:val="22"/>
          <w:b w:val="1"/>
          <w:bCs w:val="1"/>
          <w:color w:val="auto"/>
        </w:rPr>
        <w:t>Contributions</w:t>
      </w:r>
      <w:r>
        <w:rPr>
          <w:rFonts w:ascii="Arial" w:cs="Arial" w:eastAsia="Arial" w:hAnsi="Arial"/>
          <w:sz w:val="22"/>
          <w:szCs w:val="22"/>
          <w:color w:val="auto"/>
        </w:rPr>
        <w:t>” means the payroll deductions and other additional payments that the Company may permit to be made by a Participant to fund the exercise of options granted pursuant to the Plan.</w:t>
      </w:r>
    </w:p>
    <w:p>
      <w:pPr>
        <w:spacing w:after="0" w:line="15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2.k “</w:t>
      </w:r>
      <w:r>
        <w:rPr>
          <w:rFonts w:ascii="Arial" w:cs="Arial" w:eastAsia="Arial" w:hAnsi="Arial"/>
          <w:sz w:val="19"/>
          <w:szCs w:val="19"/>
          <w:b w:val="1"/>
          <w:bCs w:val="1"/>
          <w:color w:val="auto"/>
        </w:rPr>
        <w:t>Designated Company</w:t>
      </w:r>
      <w:r>
        <w:rPr>
          <w:rFonts w:ascii="Arial" w:cs="Arial" w:eastAsia="Arial" w:hAnsi="Arial"/>
          <w:sz w:val="19"/>
          <w:szCs w:val="19"/>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3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2.l</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Director</w:t>
      </w:r>
      <w:r>
        <w:rPr>
          <w:rFonts w:ascii="Arial" w:cs="Arial" w:eastAsia="Arial" w:hAnsi="Arial"/>
          <w:sz w:val="19"/>
          <w:szCs w:val="19"/>
          <w:color w:val="auto"/>
        </w:rPr>
        <w:t>” means a member of the Board.</w:t>
      </w:r>
    </w:p>
    <w:p>
      <w:pPr>
        <w:spacing w:after="0" w:line="179"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19"/>
          <w:szCs w:val="19"/>
          <w:color w:val="auto"/>
        </w:rPr>
        <w:t>2.m “</w:t>
      </w:r>
      <w:r>
        <w:rPr>
          <w:rFonts w:ascii="Arial" w:cs="Arial" w:eastAsia="Arial" w:hAnsi="Arial"/>
          <w:sz w:val="19"/>
          <w:szCs w:val="19"/>
          <w:b w:val="1"/>
          <w:bCs w:val="1"/>
          <w:color w:val="auto"/>
        </w:rPr>
        <w:t>Eligible Employee</w:t>
      </w:r>
      <w:r>
        <w:rPr>
          <w:rFonts w:ascii="Arial" w:cs="Arial" w:eastAsia="Arial" w:hAnsi="Arial"/>
          <w:sz w:val="19"/>
          <w:szCs w:val="19"/>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w:t>
      </w:r>
    </w:p>
    <w:p>
      <w:pPr>
        <w:spacing w:after="0" w:line="13" w:lineRule="exact"/>
        <w:rPr>
          <w:sz w:val="20"/>
          <w:szCs w:val="20"/>
          <w:color w:val="auto"/>
        </w:rPr>
      </w:pPr>
    </w:p>
    <w:p>
      <w:pPr>
        <w:jc w:val="both"/>
        <w:ind w:firstLine="8"/>
        <w:spacing w:after="0" w:line="244" w:lineRule="auto"/>
        <w:tabs>
          <w:tab w:leader="none" w:pos="334" w:val="left"/>
        </w:tabs>
        <w:numPr>
          <w:ilvl w:val="0"/>
          <w:numId w:val="7"/>
        </w:numPr>
        <w:rPr>
          <w:rFonts w:ascii="Arial" w:cs="Arial" w:eastAsia="Arial" w:hAnsi="Arial"/>
          <w:sz w:val="19"/>
          <w:szCs w:val="19"/>
          <w:color w:val="auto"/>
        </w:rPr>
      </w:pPr>
      <w:r>
        <w:rPr>
          <w:rFonts w:ascii="Arial" w:cs="Arial" w:eastAsia="Arial" w:hAnsi="Arial"/>
          <w:sz w:val="19"/>
          <w:szCs w:val="19"/>
          <w:color w:val="auto"/>
        </w:rPr>
        <w:t>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1.423-2(e)(2)(ii). Such exclusions may be applied with respect to an Offering under the Non-423 Component without regard to the limitations of U.S. Treasury Regulations Section 1.423-2.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7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2.n</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Employer</w:t>
      </w:r>
      <w:r>
        <w:rPr>
          <w:rFonts w:ascii="Arial" w:cs="Arial" w:eastAsia="Arial" w:hAnsi="Arial"/>
          <w:sz w:val="19"/>
          <w:szCs w:val="19"/>
          <w:color w:val="auto"/>
        </w:rPr>
        <w:t>” means the employer of the applicable Eligible Employee(s).</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2.o</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Enrollment Date</w:t>
      </w:r>
      <w:r>
        <w:rPr>
          <w:rFonts w:ascii="Arial" w:cs="Arial" w:eastAsia="Arial" w:hAnsi="Arial"/>
          <w:sz w:val="19"/>
          <w:szCs w:val="19"/>
          <w:color w:val="auto"/>
        </w:rPr>
        <w:t>” means the first Trading Day of each Offering Period.</w:t>
      </w:r>
    </w:p>
    <w:p>
      <w:pPr>
        <w:spacing w:after="0" w:line="17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2.p “</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 as amended, including the rules and regulations promulgated thereunder.</w:t>
      </w:r>
    </w:p>
    <w:p>
      <w:pPr>
        <w:spacing w:after="0" w:line="153"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2.q “</w:t>
      </w:r>
      <w:r>
        <w:rPr>
          <w:rFonts w:ascii="Arial" w:cs="Arial" w:eastAsia="Arial" w:hAnsi="Arial"/>
          <w:sz w:val="19"/>
          <w:szCs w:val="19"/>
          <w:b w:val="1"/>
          <w:bCs w:val="1"/>
          <w:color w:val="auto"/>
        </w:rPr>
        <w:t>Exercise Date</w:t>
      </w:r>
      <w:r>
        <w:rPr>
          <w:rFonts w:ascii="Arial" w:cs="Arial" w:eastAsia="Arial" w:hAnsi="Arial"/>
          <w:sz w:val="19"/>
          <w:szCs w:val="19"/>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37"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2.r “</w:t>
      </w:r>
      <w:r>
        <w:rPr>
          <w:rFonts w:ascii="Arial" w:cs="Arial" w:eastAsia="Arial" w:hAnsi="Arial"/>
          <w:sz w:val="22"/>
          <w:szCs w:val="22"/>
          <w:b w:val="1"/>
          <w:bCs w:val="1"/>
          <w:color w:val="auto"/>
        </w:rPr>
        <w:t>Fair Market Value</w:t>
      </w:r>
      <w:r>
        <w:rPr>
          <w:rFonts w:ascii="Arial" w:cs="Arial" w:eastAsia="Arial" w:hAnsi="Arial"/>
          <w:sz w:val="22"/>
          <w:szCs w:val="22"/>
          <w:color w:val="auto"/>
        </w:rPr>
        <w:t>” means, as of any date and unless the Administrator determines otherwise, the value of Common Stock determined as follows:</w:t>
      </w:r>
    </w:p>
    <w:p>
      <w:pPr>
        <w:spacing w:after="0" w:line="159" w:lineRule="exact"/>
        <w:rPr>
          <w:sz w:val="20"/>
          <w:szCs w:val="20"/>
          <w:color w:val="auto"/>
        </w:rPr>
      </w:pPr>
    </w:p>
    <w:p>
      <w:pPr>
        <w:jc w:val="both"/>
        <w:ind w:firstLine="1740"/>
        <w:spacing w:after="0" w:line="214" w:lineRule="auto"/>
        <w:rPr>
          <w:sz w:val="20"/>
          <w:szCs w:val="20"/>
          <w:color w:val="auto"/>
        </w:rPr>
      </w:pPr>
      <w:r>
        <w:rPr>
          <w:rFonts w:ascii="Arial" w:cs="Arial" w:eastAsia="Arial" w:hAnsi="Arial"/>
          <w:sz w:val="22"/>
          <w:szCs w:val="22"/>
          <w:color w:val="auto"/>
        </w:rPr>
        <w:t xml:space="preserve">(i)If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59" w:lineRule="exact"/>
        <w:rPr>
          <w:sz w:val="20"/>
          <w:szCs w:val="20"/>
          <w:color w:val="auto"/>
        </w:rPr>
      </w:pPr>
    </w:p>
    <w:p>
      <w:pPr>
        <w:jc w:val="both"/>
        <w:ind w:firstLine="1680"/>
        <w:spacing w:after="0" w:line="216" w:lineRule="auto"/>
        <w:rPr>
          <w:sz w:val="20"/>
          <w:szCs w:val="20"/>
          <w:color w:val="auto"/>
        </w:rPr>
      </w:pPr>
      <w:r>
        <w:rPr>
          <w:rFonts w:ascii="Arial" w:cs="Arial" w:eastAsia="Arial" w:hAnsi="Arial"/>
          <w:sz w:val="22"/>
          <w:szCs w:val="22"/>
          <w:color w:val="auto"/>
        </w:rPr>
        <w:t xml:space="preserve">(ii)If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22"/>
          <w:szCs w:val="22"/>
          <w:i w:val="1"/>
          <w:iCs w:val="1"/>
          <w:color w:val="auto"/>
        </w:rPr>
        <w:t>The Wall Street Journal</w:t>
      </w:r>
      <w:r>
        <w:rPr>
          <w:rFonts w:ascii="Arial" w:cs="Arial" w:eastAsia="Arial" w:hAnsi="Arial"/>
          <w:sz w:val="22"/>
          <w:szCs w:val="22"/>
          <w:color w:val="auto"/>
        </w:rPr>
        <w:t xml:space="preserve"> or such other source as the Administrator deems reliable;</w:t>
      </w:r>
    </w:p>
    <w:p>
      <w:pPr>
        <w:spacing w:after="0" w:line="158" w:lineRule="exact"/>
        <w:rPr>
          <w:sz w:val="20"/>
          <w:szCs w:val="20"/>
          <w:color w:val="auto"/>
        </w:rPr>
      </w:pPr>
    </w:p>
    <w:p>
      <w:pPr>
        <w:jc w:val="both"/>
        <w:ind w:firstLine="1620"/>
        <w:spacing w:after="0" w:line="232" w:lineRule="auto"/>
        <w:rPr>
          <w:sz w:val="20"/>
          <w:szCs w:val="20"/>
          <w:color w:val="auto"/>
        </w:rPr>
      </w:pPr>
      <w:r>
        <w:rPr>
          <w:rFonts w:ascii="Arial" w:cs="Arial" w:eastAsia="Arial" w:hAnsi="Arial"/>
          <w:sz w:val="22"/>
          <w:szCs w:val="22"/>
          <w:color w:val="auto"/>
        </w:rPr>
        <w:t>(iii)In the absence of an established market for the Common Stock, the Fair Market Value will be determined in good faith by the Administrator.</w:t>
      </w:r>
    </w:p>
    <w:p>
      <w:pPr>
        <w:spacing w:after="0" w:line="159" w:lineRule="exact"/>
        <w:rPr>
          <w:sz w:val="20"/>
          <w:szCs w:val="20"/>
          <w:color w:val="auto"/>
        </w:rPr>
      </w:pPr>
    </w:p>
    <w:p>
      <w:pPr>
        <w:ind w:right="240" w:firstLine="1296"/>
        <w:spacing w:after="0" w:line="223" w:lineRule="auto"/>
        <w:rPr>
          <w:sz w:val="20"/>
          <w:szCs w:val="20"/>
          <w:color w:val="auto"/>
        </w:rPr>
      </w:pPr>
      <w:r>
        <w:rPr>
          <w:rFonts w:ascii="Arial" w:cs="Arial" w:eastAsia="Arial" w:hAnsi="Arial"/>
          <w:sz w:val="22"/>
          <w:szCs w:val="22"/>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5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2.s</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Fiscal Year</w:t>
      </w:r>
      <w:r>
        <w:rPr>
          <w:rFonts w:ascii="Arial" w:cs="Arial" w:eastAsia="Arial" w:hAnsi="Arial"/>
          <w:sz w:val="19"/>
          <w:szCs w:val="19"/>
          <w:color w:val="auto"/>
        </w:rPr>
        <w:t>” means the fiscal year of the Company.</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2.t</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New Exercise Date</w:t>
      </w:r>
      <w:r>
        <w:rPr>
          <w:rFonts w:ascii="Arial" w:cs="Arial" w:eastAsia="Arial" w:hAnsi="Arial"/>
          <w:sz w:val="19"/>
          <w:szCs w:val="19"/>
          <w:color w:val="auto"/>
        </w:rPr>
        <w:t>” means a new Exercise Date if the Administrator shortens any Offering Period then</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in progress.</w:t>
      </w:r>
    </w:p>
    <w:p>
      <w:pPr>
        <w:spacing w:after="0" w:line="155"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color w:val="auto"/>
        </w:rPr>
        <w:t>2.u “</w:t>
      </w:r>
      <w:r>
        <w:rPr>
          <w:rFonts w:ascii="Arial" w:cs="Arial" w:eastAsia="Arial" w:hAnsi="Arial"/>
          <w:sz w:val="22"/>
          <w:szCs w:val="22"/>
          <w:b w:val="1"/>
          <w:bCs w:val="1"/>
          <w:color w:val="auto"/>
        </w:rPr>
        <w:t>Offering</w:t>
      </w:r>
      <w:r>
        <w:rPr>
          <w:rFonts w:ascii="Arial" w:cs="Arial" w:eastAsia="Arial" w:hAnsi="Arial"/>
          <w:sz w:val="22"/>
          <w:szCs w:val="22"/>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1.423-2(a)(1), the terms of each Offering need not be identical provided that the terms of the Plan and an Offering together satisfy U.S. Treasury Regulations Section 1.423-2(a)(2) and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71"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2.v “</w:t>
      </w:r>
      <w:r>
        <w:rPr>
          <w:rFonts w:ascii="Arial" w:cs="Arial" w:eastAsia="Arial" w:hAnsi="Arial"/>
          <w:sz w:val="19"/>
          <w:szCs w:val="19"/>
          <w:b w:val="1"/>
          <w:bCs w:val="1"/>
          <w:color w:val="auto"/>
        </w:rPr>
        <w:t>Offering Period</w:t>
      </w:r>
      <w:r>
        <w:rPr>
          <w:rFonts w:ascii="Arial" w:cs="Arial" w:eastAsia="Arial" w:hAnsi="Arial"/>
          <w:sz w:val="19"/>
          <w:szCs w:val="19"/>
          <w:color w:val="auto"/>
        </w:rPr>
        <w:t>” means a period beginning on such date as may be determined by the Administrator, in its discretion, during which an Option granted pursuant to the Plan may be exercised. Upon the Administrator’s determination that Offering Periods shall commence under the Plan (the “</w:t>
      </w:r>
      <w:r>
        <w:rPr>
          <w:rFonts w:ascii="Arial" w:cs="Arial" w:eastAsia="Arial" w:hAnsi="Arial"/>
          <w:sz w:val="19"/>
          <w:szCs w:val="19"/>
          <w:b w:val="1"/>
          <w:bCs w:val="1"/>
          <w:color w:val="auto"/>
        </w:rPr>
        <w:t>Offer Commencement Approval</w:t>
      </w:r>
      <w:r>
        <w:rPr>
          <w:rFonts w:ascii="Arial" w:cs="Arial" w:eastAsia="Arial" w:hAnsi="Arial"/>
          <w:sz w:val="19"/>
          <w:szCs w:val="19"/>
          <w:color w:val="auto"/>
        </w:rPr>
        <w:t>”) and unless determined otherwise by the Administrator prior to the Enrollment Date of an Offering Period, Offering Periods will be the consecutive periods of approximately six (6) months commencing on the first Trading Day on or after May 15 and November 15 of each year following the date of the Offer Commencement Approval, and terminating on the first Trading Day on or after November 15 and May 15, respectively, approximately six (6) months later; provided, however, that the first Offering Period under the Plan will commence with the first Trading Day on or after July 15, 2021 and will end on the first Trading Day on or after November 15, 2021. The duration and timing of Offering Periods may be changed pursuant to Sections 6 and 18.</w:t>
      </w:r>
    </w:p>
    <w:p>
      <w:pPr>
        <w:spacing w:after="0" w:line="13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2.w</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Parent</w:t>
      </w:r>
      <w:r>
        <w:rPr>
          <w:rFonts w:ascii="Arial" w:cs="Arial" w:eastAsia="Arial" w:hAnsi="Arial"/>
          <w:sz w:val="19"/>
          <w:szCs w:val="19"/>
          <w:color w:val="auto"/>
        </w:rPr>
        <w:t>” means a “</w:t>
      </w:r>
      <w:r>
        <w:rPr>
          <w:rFonts w:ascii="Arial" w:cs="Arial" w:eastAsia="Arial" w:hAnsi="Arial"/>
          <w:sz w:val="19"/>
          <w:szCs w:val="19"/>
          <w:b w:val="1"/>
          <w:bCs w:val="1"/>
          <w:color w:val="auto"/>
        </w:rPr>
        <w:t>parent corporation,</w:t>
      </w:r>
      <w:r>
        <w:rPr>
          <w:rFonts w:ascii="Arial" w:cs="Arial" w:eastAsia="Arial" w:hAnsi="Arial"/>
          <w:sz w:val="19"/>
          <w:szCs w:val="19"/>
          <w:color w:val="auto"/>
        </w:rPr>
        <w:t>” whether now or hereafter existing, as defined in Code Section</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424(e).</w:t>
      </w:r>
    </w:p>
    <w:p>
      <w:pPr>
        <w:spacing w:after="0" w:line="15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2.x</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Participant</w:t>
      </w:r>
      <w:r>
        <w:rPr>
          <w:rFonts w:ascii="Arial" w:cs="Arial" w:eastAsia="Arial" w:hAnsi="Arial"/>
          <w:sz w:val="19"/>
          <w:szCs w:val="19"/>
          <w:color w:val="auto"/>
        </w:rPr>
        <w:t>” means an Eligible Employee that participates in the Plan.</w:t>
      </w:r>
    </w:p>
    <w:p>
      <w:pPr>
        <w:spacing w:after="0" w:line="179"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22"/>
          <w:szCs w:val="22"/>
          <w:color w:val="auto"/>
        </w:rPr>
        <w:t>2.y</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Plan</w:t>
      </w:r>
      <w:r>
        <w:rPr>
          <w:rFonts w:ascii="Arial" w:cs="Arial" w:eastAsia="Arial" w:hAnsi="Arial"/>
          <w:sz w:val="19"/>
          <w:szCs w:val="19"/>
          <w:color w:val="auto"/>
        </w:rPr>
        <w:t>” means this Seer, Inc. 2020 Employee Stock Purchase Plan.</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1"/>
          <w:szCs w:val="21"/>
          <w:color w:val="auto"/>
        </w:rPr>
        <w:t>2.z “</w:t>
      </w:r>
      <w:r>
        <w:rPr>
          <w:rFonts w:ascii="Arial" w:cs="Arial" w:eastAsia="Arial" w:hAnsi="Arial"/>
          <w:sz w:val="21"/>
          <w:szCs w:val="21"/>
          <w:b w:val="1"/>
          <w:bCs w:val="1"/>
          <w:color w:val="auto"/>
        </w:rPr>
        <w:t>Purchase Period</w:t>
      </w:r>
      <w:r>
        <w:rPr>
          <w:rFonts w:ascii="Arial" w:cs="Arial" w:eastAsia="Arial" w:hAnsi="Arial"/>
          <w:sz w:val="21"/>
          <w:szCs w:val="21"/>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5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2.aa “</w:t>
      </w:r>
      <w:r>
        <w:rPr>
          <w:rFonts w:ascii="Arial" w:cs="Arial" w:eastAsia="Arial" w:hAnsi="Arial"/>
          <w:sz w:val="19"/>
          <w:szCs w:val="19"/>
          <w:b w:val="1"/>
          <w:bCs w:val="1"/>
          <w:color w:val="auto"/>
        </w:rPr>
        <w:t>Purchase Price</w:t>
      </w:r>
      <w:r>
        <w:rPr>
          <w:rFonts w:ascii="Arial" w:cs="Arial" w:eastAsia="Arial" w:hAnsi="Arial"/>
          <w:sz w:val="19"/>
          <w:szCs w:val="19"/>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 (or any successor rule or provision or any other Applicable Law, regulation or stock exchange rule) or pursuant to Section 18.</w:t>
      </w:r>
    </w:p>
    <w:p>
      <w:pPr>
        <w:spacing w:after="0" w:line="137"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2.ab “</w:t>
      </w:r>
      <w:r>
        <w:rPr>
          <w:rFonts w:ascii="Arial" w:cs="Arial" w:eastAsia="Arial" w:hAnsi="Arial"/>
          <w:sz w:val="22"/>
          <w:szCs w:val="22"/>
          <w:b w:val="1"/>
          <w:bCs w:val="1"/>
          <w:color w:val="auto"/>
        </w:rPr>
        <w:t>Registration Date</w:t>
      </w:r>
      <w:r>
        <w:rPr>
          <w:rFonts w:ascii="Arial" w:cs="Arial" w:eastAsia="Arial" w:hAnsi="Arial"/>
          <w:sz w:val="22"/>
          <w:szCs w:val="22"/>
          <w:color w:val="auto"/>
        </w:rPr>
        <w:t>” means the effective date of the first registration statement that is filed by the Company and declared effective pursuant to Section 12(b) of the Exchange Act, with respect to any class of the Company’s securities.</w:t>
      </w:r>
    </w:p>
    <w:p>
      <w:pPr>
        <w:spacing w:after="0" w:line="153" w:lineRule="exact"/>
        <w:rPr>
          <w:sz w:val="20"/>
          <w:szCs w:val="20"/>
          <w:color w:val="auto"/>
        </w:rPr>
      </w:pPr>
    </w:p>
    <w:p>
      <w:pPr>
        <w:ind w:firstLine="1296"/>
        <w:spacing w:after="0" w:line="305" w:lineRule="auto"/>
        <w:rPr>
          <w:sz w:val="20"/>
          <w:szCs w:val="20"/>
          <w:color w:val="auto"/>
        </w:rPr>
      </w:pPr>
      <w:r>
        <w:rPr>
          <w:rFonts w:ascii="Arial" w:cs="Arial" w:eastAsia="Arial" w:hAnsi="Arial"/>
          <w:sz w:val="19"/>
          <w:szCs w:val="19"/>
          <w:color w:val="auto"/>
        </w:rPr>
        <w:t>2.ac “</w:t>
      </w:r>
      <w:r>
        <w:rPr>
          <w:rFonts w:ascii="Arial" w:cs="Arial" w:eastAsia="Arial" w:hAnsi="Arial"/>
          <w:sz w:val="19"/>
          <w:szCs w:val="19"/>
          <w:b w:val="1"/>
          <w:bCs w:val="1"/>
          <w:color w:val="auto"/>
        </w:rPr>
        <w:t>Section 409A</w:t>
      </w:r>
      <w:r>
        <w:rPr>
          <w:rFonts w:ascii="Arial" w:cs="Arial" w:eastAsia="Arial" w:hAnsi="Arial"/>
          <w:sz w:val="19"/>
          <w:szCs w:val="19"/>
          <w:color w:val="auto"/>
        </w:rPr>
        <w:t>” means Code Section 409A and the U.S. Treasury Regulations and guidance thereunder, and any applicable state law equivalent, as each may be promulgated, amended or modified from time to time.</w:t>
      </w:r>
    </w:p>
    <w:p>
      <w:pPr>
        <w:sectPr>
          <w:pgSz w:w="11900" w:h="16838" w:orient="portrait"/>
          <w:cols w:equalWidth="0" w:num="1">
            <w:col w:w="11240"/>
          </w:cols>
          <w:pgMar w:left="320" w:top="1440" w:right="339" w:bottom="1440" w:gutter="0" w:footer="0" w:header="0"/>
        </w:sectPr>
      </w:pPr>
    </w:p>
    <w:p>
      <w:pPr>
        <w:spacing w:after="0" w:line="9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2.ad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w:t>
      </w:r>
      <w:r>
        <w:rPr>
          <w:rFonts w:ascii="Arial" w:cs="Arial" w:eastAsia="Arial" w:hAnsi="Arial"/>
          <w:sz w:val="19"/>
          <w:szCs w:val="19"/>
          <w:color w:val="auto"/>
        </w:rPr>
        <w:t>” means a “subsidiary corporation,” whether now or hereafter existing, as defined in Code</w:t>
      </w:r>
    </w:p>
    <w:p>
      <w:pPr>
        <w:spacing w:after="0" w:line="25" w:lineRule="exact"/>
        <w:rPr>
          <w:sz w:val="20"/>
          <w:szCs w:val="20"/>
          <w:color w:val="auto"/>
        </w:rPr>
      </w:pPr>
    </w:p>
    <w:p>
      <w:pPr>
        <w:sectPr>
          <w:pgSz w:w="11900" w:h="16838" w:orient="portrait"/>
          <w:cols w:equalWidth="0" w:num="2">
            <w:col w:w="1680" w:space="260"/>
            <w:col w:w="9300"/>
          </w:cols>
          <w:pgMar w:left="320" w:top="1440" w:right="339" w:bottom="1440" w:gutter="0" w:footer="0" w:header="0"/>
          <w:type w:val="continuous"/>
        </w:sectPr>
      </w:pPr>
    </w:p>
    <w:p>
      <w:pPr>
        <w:spacing w:after="0"/>
        <w:rPr>
          <w:sz w:val="20"/>
          <w:szCs w:val="20"/>
          <w:color w:val="auto"/>
        </w:rPr>
      </w:pPr>
      <w:r>
        <w:rPr>
          <w:rFonts w:ascii="Arial" w:cs="Arial" w:eastAsia="Arial" w:hAnsi="Arial"/>
          <w:sz w:val="22"/>
          <w:szCs w:val="22"/>
          <w:color w:val="auto"/>
        </w:rPr>
        <w:t>Section 424(f).</w:t>
      </w:r>
    </w:p>
    <w:p>
      <w:pPr>
        <w:spacing w:after="0" w:line="15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2"/>
          <w:szCs w:val="22"/>
          <w:color w:val="auto"/>
        </w:rPr>
        <w:t>2.ae</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Trading Day</w:t>
      </w:r>
      <w:r>
        <w:rPr>
          <w:rFonts w:ascii="Arial" w:cs="Arial" w:eastAsia="Arial" w:hAnsi="Arial"/>
          <w:sz w:val="21"/>
          <w:szCs w:val="21"/>
          <w:color w:val="auto"/>
        </w:rPr>
        <w:t>” means a day on which the primary stock exchange, national market system, or other</w:t>
      </w:r>
    </w:p>
    <w:p>
      <w:pPr>
        <w:sectPr>
          <w:pgSz w:w="11900" w:h="16838" w:orient="portrait"/>
          <w:cols w:equalWidth="0" w:num="1">
            <w:col w:w="11240"/>
          </w:cols>
          <w:pgMar w:left="320" w:top="1440" w:right="339" w:bottom="1440" w:gutter="0" w:footer="0" w:header="0"/>
          <w:type w:val="continuous"/>
        </w:sectPr>
      </w:pPr>
    </w:p>
    <w:p>
      <w:pPr>
        <w:spacing w:after="0" w:line="27" w:lineRule="exact"/>
        <w:rPr>
          <w:sz w:val="20"/>
          <w:szCs w:val="20"/>
          <w:color w:val="auto"/>
        </w:rPr>
      </w:pPr>
    </w:p>
    <w:p>
      <w:pPr>
        <w:ind w:right="20"/>
        <w:spacing w:after="0" w:line="204" w:lineRule="auto"/>
        <w:rPr>
          <w:sz w:val="20"/>
          <w:szCs w:val="20"/>
          <w:color w:val="auto"/>
        </w:rPr>
      </w:pPr>
      <w:r>
        <w:rPr>
          <w:rFonts w:ascii="Arial" w:cs="Arial" w:eastAsia="Arial" w:hAnsi="Arial"/>
          <w:sz w:val="22"/>
          <w:szCs w:val="22"/>
          <w:color w:val="auto"/>
        </w:rPr>
        <w:t>trading platform, as applicable, upon which the Common Stock is listed (or otherwise trades regularly, as determined by the Administrator, in its sole discretion) is open for trading.</w:t>
      </w:r>
    </w:p>
    <w:p>
      <w:pPr>
        <w:spacing w:after="0" w:line="154"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2.af “</w:t>
      </w:r>
      <w:r>
        <w:rPr>
          <w:rFonts w:ascii="Arial" w:cs="Arial" w:eastAsia="Arial" w:hAnsi="Arial"/>
          <w:sz w:val="22"/>
          <w:szCs w:val="22"/>
          <w:b w:val="1"/>
          <w:bCs w:val="1"/>
          <w:color w:val="auto"/>
        </w:rPr>
        <w:t>U.S. Treasury Regulations</w:t>
      </w:r>
      <w:r>
        <w:rPr>
          <w:rFonts w:ascii="Arial" w:cs="Arial" w:eastAsia="Arial" w:hAnsi="Arial"/>
          <w:sz w:val="22"/>
          <w:szCs w:val="22"/>
          <w:color w:val="auto"/>
        </w:rPr>
        <w:t>” means the Treasury Regulations of the Code. Reference to a specific Treasury Regulation or Section of the Code will include such Treasury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177"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Regulation or Section, any valid regulation promulgated under such Section, and any comparable provision of any future legislation or regulation amending, supplementing or superseding such Section or regulation.</w:t>
      </w:r>
    </w:p>
    <w:p>
      <w:pPr>
        <w:spacing w:after="0" w:line="153"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Stock</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3.a </w:t>
      </w:r>
      <w:r>
        <w:rPr>
          <w:rFonts w:ascii="Arial" w:cs="Arial" w:eastAsia="Arial" w:hAnsi="Arial"/>
          <w:sz w:val="22"/>
          <w:szCs w:val="22"/>
          <w:b w:val="1"/>
          <w:bCs w:val="1"/>
          <w:color w:val="auto"/>
        </w:rPr>
        <w:t>Stock Subject to the Plan</w:t>
      </w:r>
      <w:r>
        <w:rPr>
          <w:rFonts w:ascii="Arial" w:cs="Arial" w:eastAsia="Arial" w:hAnsi="Arial"/>
          <w:sz w:val="22"/>
          <w:szCs w:val="22"/>
          <w:color w:val="auto"/>
        </w:rPr>
        <w:t>. Subject to adjustment upon changes in capitalization of the Company as provided in Section 17 hereof, the maximum number of shares of Common Stock that will be made available for sale under the Plan will be equal to 602,570 shares of Common Stock.</w:t>
      </w:r>
    </w:p>
    <w:p>
      <w:pPr>
        <w:spacing w:after="0" w:line="153" w:lineRule="exact"/>
        <w:rPr>
          <w:sz w:val="20"/>
          <w:szCs w:val="20"/>
          <w:color w:val="auto"/>
        </w:rPr>
      </w:pPr>
    </w:p>
    <w:p>
      <w:pPr>
        <w:jc w:val="both"/>
        <w:ind w:firstLine="1296"/>
        <w:spacing w:after="0" w:line="222" w:lineRule="auto"/>
        <w:rPr>
          <w:sz w:val="20"/>
          <w:szCs w:val="20"/>
          <w:color w:val="auto"/>
        </w:rPr>
      </w:pPr>
      <w:r>
        <w:rPr>
          <w:rFonts w:ascii="Arial" w:cs="Arial" w:eastAsia="Arial" w:hAnsi="Arial"/>
          <w:sz w:val="21"/>
          <w:szCs w:val="21"/>
          <w:color w:val="auto"/>
        </w:rPr>
        <w:t xml:space="preserve">3.b </w:t>
      </w:r>
      <w:r>
        <w:rPr>
          <w:rFonts w:ascii="Arial" w:cs="Arial" w:eastAsia="Arial" w:hAnsi="Arial"/>
          <w:sz w:val="21"/>
          <w:szCs w:val="21"/>
          <w:b w:val="1"/>
          <w:bCs w:val="1"/>
          <w:color w:val="auto"/>
        </w:rPr>
        <w:t>Automatic Share Reserve Increase</w:t>
      </w:r>
      <w:r>
        <w:rPr>
          <w:rFonts w:ascii="Arial" w:cs="Arial" w:eastAsia="Arial" w:hAnsi="Arial"/>
          <w:sz w:val="21"/>
          <w:szCs w:val="21"/>
          <w:color w:val="auto"/>
        </w:rPr>
        <w:t>.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1,807,476 shares of Common Stock, (b) a number of shares of Common Stock equal to one percent (1%) of the total number of shares of all classes of common stock of the Company (whether Class A common stock, Class B common stock or other class of Company common stock) outstanding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57" w:lineRule="exact"/>
        <w:rPr>
          <w:sz w:val="20"/>
          <w:szCs w:val="20"/>
          <w:color w:val="auto"/>
        </w:rPr>
      </w:pPr>
    </w:p>
    <w:p>
      <w:pPr>
        <w:jc w:val="both"/>
        <w:ind w:firstLine="656"/>
        <w:spacing w:after="0" w:line="225"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Administration</w:t>
      </w:r>
      <w:r>
        <w:rPr>
          <w:rFonts w:ascii="Arial" w:cs="Arial" w:eastAsia="Arial" w:hAnsi="Arial"/>
          <w:sz w:val="22"/>
          <w:szCs w:val="22"/>
          <w:color w:val="auto"/>
        </w:rPr>
        <w:t>. The Plan will be administered by the Board or a Committee appointed by the Board, which</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will be constituted to comply with Applicable Laws. The Administrator will have full and exclusive discretionary authority to</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(i)construe, interpret and apply the terms of the Plan,</w:t>
      </w:r>
    </w:p>
    <w:p>
      <w:pPr>
        <w:spacing w:after="0" w:line="17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(ii)delegate ministerial duties to any of the Company’s employees,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(iii)designate separate Offerings under the Plan,</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(iv)designate Subsidiaries as participating in the 423 Component or Non-423 Component,</w:t>
      </w:r>
    </w:p>
    <w:p>
      <w:pPr>
        <w:spacing w:after="0" w:line="179" w:lineRule="exact"/>
        <w:rPr>
          <w:sz w:val="20"/>
          <w:szCs w:val="20"/>
          <w:color w:val="auto"/>
        </w:rPr>
      </w:pPr>
    </w:p>
    <w:p>
      <w:pPr>
        <w:ind w:left="1060"/>
        <w:spacing w:after="0"/>
        <w:rPr>
          <w:sz w:val="20"/>
          <w:szCs w:val="20"/>
          <w:color w:val="auto"/>
        </w:rPr>
      </w:pPr>
      <w:r>
        <w:rPr>
          <w:rFonts w:ascii="Arial" w:cs="Arial" w:eastAsia="Arial" w:hAnsi="Arial"/>
          <w:sz w:val="22"/>
          <w:szCs w:val="22"/>
          <w:color w:val="auto"/>
        </w:rPr>
        <w:t>(v)determine eligibility,</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(vi)adjudicate all disputed claims filed under the Plan, and</w:t>
      </w:r>
    </w:p>
    <w:p>
      <w:pPr>
        <w:spacing w:after="0" w:line="179" w:lineRule="exact"/>
        <w:rPr>
          <w:sz w:val="20"/>
          <w:szCs w:val="20"/>
          <w:color w:val="auto"/>
        </w:rPr>
      </w:pPr>
    </w:p>
    <w:p>
      <w:pPr>
        <w:jc w:val="both"/>
        <w:ind w:firstLine="924"/>
        <w:spacing w:after="0" w:line="221" w:lineRule="auto"/>
        <w:rPr>
          <w:sz w:val="20"/>
          <w:szCs w:val="20"/>
          <w:color w:val="auto"/>
        </w:rPr>
      </w:pPr>
      <w:r>
        <w:rPr>
          <w:rFonts w:ascii="Arial" w:cs="Arial" w:eastAsia="Arial" w:hAnsi="Arial"/>
          <w:sz w:val="21"/>
          <w:szCs w:val="21"/>
          <w:color w:val="auto"/>
        </w:rPr>
        <w:t>(vii)establish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3 hereof, but unless otherwise superseded by the terms of such sub-plan or appendix, the provisions of this Plan will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Code Section 423.</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4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Eligibility</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9"/>
          <w:szCs w:val="19"/>
          <w:color w:val="auto"/>
        </w:rPr>
        <w:t xml:space="preserve">5.a </w:t>
      </w:r>
      <w:r>
        <w:rPr>
          <w:rFonts w:ascii="Arial" w:cs="Arial" w:eastAsia="Arial" w:hAnsi="Arial"/>
          <w:sz w:val="19"/>
          <w:szCs w:val="19"/>
          <w:b w:val="1"/>
          <w:bCs w:val="1"/>
          <w:color w:val="auto"/>
        </w:rPr>
        <w:t>Offering Periods</w:t>
      </w:r>
      <w:r>
        <w:rPr>
          <w:rFonts w:ascii="Arial" w:cs="Arial" w:eastAsia="Arial" w:hAnsi="Arial"/>
          <w:sz w:val="19"/>
          <w:szCs w:val="19"/>
          <w:color w:val="auto"/>
        </w:rPr>
        <w:t>. With respect to Offering Periods beginning prior to April 20, 2022, any Eligible Employee on a given Enrollment Date will be eligible to participate in the Plan, subject to the requirements of Section 7. Solely with respect to Offering Periods beginning on or after April 20, 2022, any individual who is an Eligible Employee (i) as of the Friday immediately prior to the applicable Enrollment Date and (ii) through that Enrollment Date will be eligible to participate in the Plan with respect to the Offering Period that begins on that Enrollment Date, subject to the requirements of Section 7.</w:t>
      </w:r>
    </w:p>
    <w:p>
      <w:pPr>
        <w:spacing w:after="0" w:line="140"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1"/>
          <w:szCs w:val="21"/>
          <w:color w:val="auto"/>
        </w:rPr>
        <w:t xml:space="preserve">5.b </w:t>
      </w:r>
      <w:r>
        <w:rPr>
          <w:rFonts w:ascii="Arial" w:cs="Arial" w:eastAsia="Arial" w:hAnsi="Arial"/>
          <w:sz w:val="21"/>
          <w:szCs w:val="21"/>
          <w:b w:val="1"/>
          <w:bCs w:val="1"/>
          <w:color w:val="auto"/>
        </w:rPr>
        <w:t>Non-U.S. Employees</w:t>
      </w:r>
      <w:r>
        <w:rPr>
          <w:rFonts w:ascii="Arial" w:cs="Arial" w:eastAsia="Arial" w:hAnsi="Arial"/>
          <w:sz w:val="21"/>
          <w:szCs w:val="21"/>
          <w:color w:val="auto"/>
        </w:rPr>
        <w:t>. Eligible Employees who are citizens or residents of a non-U.S.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Non-423 Component, an Eligible Employee may be excluded from participation in the Plan or an Offering if the Administrator has determined that participation of such Eligible Employee is not advisable or practicable.</w:t>
      </w:r>
    </w:p>
    <w:p>
      <w:pPr>
        <w:spacing w:after="0" w:line="15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5.c </w:t>
      </w:r>
      <w:r>
        <w:rPr>
          <w:rFonts w:ascii="Arial" w:cs="Arial" w:eastAsia="Arial" w:hAnsi="Arial"/>
          <w:sz w:val="19"/>
          <w:szCs w:val="19"/>
          <w:b w:val="1"/>
          <w:bCs w:val="1"/>
          <w:color w:val="auto"/>
        </w:rPr>
        <w:t>Limitations</w:t>
      </w:r>
      <w:r>
        <w:rPr>
          <w:rFonts w:ascii="Arial" w:cs="Arial" w:eastAsia="Arial" w:hAnsi="Arial"/>
          <w:sz w:val="19"/>
          <w:szCs w:val="19"/>
          <w:color w:val="auto"/>
        </w:rPr>
        <w:t>.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55" w:lineRule="exact"/>
        <w:rPr>
          <w:sz w:val="20"/>
          <w:szCs w:val="20"/>
          <w:color w:val="auto"/>
        </w:rPr>
      </w:pPr>
    </w:p>
    <w:p>
      <w:pPr>
        <w:jc w:val="both"/>
        <w:ind w:firstLine="656"/>
        <w:spacing w:after="0" w:line="212"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Offering Periods</w:t>
      </w:r>
      <w:r>
        <w:rPr>
          <w:rFonts w:ascii="Arial" w:cs="Arial" w:eastAsia="Arial" w:hAnsi="Arial"/>
          <w:sz w:val="22"/>
          <w:szCs w:val="22"/>
          <w:color w:val="auto"/>
        </w:rPr>
        <w:t>. The Plan will be implemented by Offering Periods established by the Administrator from time</w:t>
      </w:r>
      <w:r>
        <w:rPr>
          <w:rFonts w:ascii="Arial" w:cs="Arial" w:eastAsia="Arial" w:hAnsi="Arial"/>
          <w:sz w:val="22"/>
          <w:szCs w:val="22"/>
          <w:b w:val="1"/>
          <w:bCs w:val="1"/>
          <w:color w:val="auto"/>
        </w:rPr>
        <w:t xml:space="preserve"> </w:t>
      </w:r>
      <w:r>
        <w:rPr>
          <w:rFonts w:ascii="Arial" w:cs="Arial" w:eastAsia="Arial" w:hAnsi="Arial"/>
          <w:sz w:val="22"/>
          <w:szCs w:val="22"/>
          <w:color w:val="auto"/>
        </w:rPr>
        <w:t>to time. Offering Periods will expire on the earliest to occur of (a) the completion of the purchase of shares on the last Exercise Date occurring within twenty-seven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beginning of the first Offering Period to be affected thereafter; provided, however, that no Offering Period may last more than twenty-seven (27) months.</w:t>
      </w:r>
    </w:p>
    <w:p>
      <w:pPr>
        <w:spacing w:after="0" w:line="153" w:lineRule="exact"/>
        <w:rPr>
          <w:sz w:val="20"/>
          <w:szCs w:val="20"/>
          <w:color w:val="auto"/>
        </w:rPr>
      </w:pPr>
    </w:p>
    <w:p>
      <w:pPr>
        <w:jc w:val="both"/>
        <w:ind w:firstLine="656"/>
        <w:spacing w:after="0" w:line="246" w:lineRule="auto"/>
        <w:tabs>
          <w:tab w:leader="none" w:pos="1296" w:val="left"/>
        </w:tabs>
        <w:numPr>
          <w:ilvl w:val="1"/>
          <w:numId w:val="12"/>
        </w:numPr>
        <w:rPr>
          <w:rFonts w:ascii="Arial" w:cs="Arial" w:eastAsia="Arial" w:hAnsi="Arial"/>
          <w:sz w:val="19"/>
          <w:szCs w:val="19"/>
          <w:color w:val="auto"/>
        </w:rPr>
      </w:pPr>
      <w:r>
        <w:rPr>
          <w:rFonts w:ascii="Arial" w:cs="Arial" w:eastAsia="Arial" w:hAnsi="Arial"/>
          <w:sz w:val="19"/>
          <w:szCs w:val="19"/>
          <w:b w:val="1"/>
          <w:bCs w:val="1"/>
          <w:color w:val="auto"/>
        </w:rPr>
        <w:t>Participation</w:t>
      </w:r>
      <w:r>
        <w:rPr>
          <w:rFonts w:ascii="Arial" w:cs="Arial" w:eastAsia="Arial" w:hAnsi="Arial"/>
          <w:sz w:val="19"/>
          <w:szCs w:val="19"/>
          <w:color w:val="auto"/>
        </w:rPr>
        <w:t>. An Eligible Employee may participate in the Plan pursuant to Section 5.1 by (a) submitting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Company’s Finance Department (or its designee), a properly completed subscription agreement authorizing Contributions in the form provided by the Administrator for such purpose (which may be similar to the form attached hereto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or</w:t>
      </w:r>
    </w:p>
    <w:p>
      <w:pPr>
        <w:ind w:firstLine="8"/>
        <w:spacing w:after="0" w:line="224" w:lineRule="auto"/>
        <w:tabs>
          <w:tab w:leader="none" w:pos="329"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following an electronic or other enrollment procedure determined by the Administrator, in either case, on or before a date determined by the Administrator prior to an applicable Enrollment Date.</w:t>
      </w:r>
    </w:p>
    <w:p>
      <w:pPr>
        <w:spacing w:after="0" w:line="151" w:lineRule="exact"/>
        <w:rPr>
          <w:rFonts w:ascii="Arial" w:cs="Arial" w:eastAsia="Arial" w:hAnsi="Arial"/>
          <w:sz w:val="22"/>
          <w:szCs w:val="22"/>
          <w:color w:val="auto"/>
        </w:rPr>
      </w:pPr>
    </w:p>
    <w:p>
      <w:pPr>
        <w:ind w:left="1300" w:hanging="644"/>
        <w:spacing w:after="0"/>
        <w:tabs>
          <w:tab w:leader="none" w:pos="1300" w:val="left"/>
        </w:tabs>
        <w:numPr>
          <w:ilvl w:val="1"/>
          <w:numId w:val="13"/>
        </w:numPr>
        <w:rPr>
          <w:rFonts w:ascii="Arial" w:cs="Arial" w:eastAsia="Arial" w:hAnsi="Arial"/>
          <w:sz w:val="22"/>
          <w:szCs w:val="22"/>
          <w:color w:val="auto"/>
        </w:rPr>
      </w:pPr>
      <w:r>
        <w:rPr>
          <w:rFonts w:ascii="Arial" w:cs="Arial" w:eastAsia="Arial" w:hAnsi="Arial"/>
          <w:sz w:val="22"/>
          <w:szCs w:val="22"/>
          <w:b w:val="1"/>
          <w:bCs w:val="1"/>
          <w:color w:val="auto"/>
        </w:rPr>
        <w:t>Contributions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 xml:space="preserve">8.a </w:t>
      </w:r>
      <w:r>
        <w:rPr>
          <w:rFonts w:ascii="Arial" w:cs="Arial" w:eastAsia="Arial" w:hAnsi="Arial"/>
          <w:sz w:val="22"/>
          <w:szCs w:val="22"/>
          <w:b w:val="1"/>
          <w:bCs w:val="1"/>
          <w:color w:val="auto"/>
        </w:rPr>
        <w:t>Contribution Amounts</w:t>
      </w:r>
      <w:r>
        <w:rPr>
          <w:rFonts w:ascii="Arial" w:cs="Arial" w:eastAsia="Arial" w:hAnsi="Arial"/>
          <w:sz w:val="22"/>
          <w:szCs w:val="22"/>
          <w:color w:val="auto"/>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w:t>
      </w:r>
    </w:p>
    <w:p>
      <w:pPr>
        <w:spacing w:after="0" w:line="152" w:lineRule="exact"/>
        <w:rPr>
          <w:sz w:val="20"/>
          <w:szCs w:val="20"/>
          <w:color w:val="auto"/>
        </w:rPr>
      </w:pPr>
    </w:p>
    <w:p>
      <w:pPr>
        <w:jc w:val="both"/>
        <w:ind w:firstLine="1296"/>
        <w:spacing w:after="0" w:line="217" w:lineRule="auto"/>
        <w:rPr>
          <w:sz w:val="20"/>
          <w:szCs w:val="20"/>
          <w:color w:val="auto"/>
        </w:rPr>
      </w:pPr>
      <w:r>
        <w:rPr>
          <w:rFonts w:ascii="Arial" w:cs="Arial" w:eastAsia="Arial" w:hAnsi="Arial"/>
          <w:sz w:val="22"/>
          <w:szCs w:val="22"/>
          <w:color w:val="auto"/>
        </w:rPr>
        <w:t xml:space="preserve">8.b </w:t>
      </w:r>
      <w:r>
        <w:rPr>
          <w:rFonts w:ascii="Arial" w:cs="Arial" w:eastAsia="Arial" w:hAnsi="Arial"/>
          <w:sz w:val="22"/>
          <w:szCs w:val="22"/>
          <w:b w:val="1"/>
          <w:bCs w:val="1"/>
          <w:color w:val="auto"/>
        </w:rPr>
        <w:t>Contribution Methods</w:t>
      </w:r>
      <w:r>
        <w:rPr>
          <w:rFonts w:ascii="Arial" w:cs="Arial" w:eastAsia="Arial" w:hAnsi="Arial"/>
          <w:sz w:val="22"/>
          <w:szCs w:val="22"/>
          <w:color w:val="auto"/>
        </w:rPr>
        <w:t>.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12 hereof (or Participant’s participation is terminated as provided in Section 13 hereof).</w:t>
      </w:r>
    </w:p>
    <w:p>
      <w:pPr>
        <w:spacing w:after="0" w:line="158" w:lineRule="exact"/>
        <w:rPr>
          <w:sz w:val="20"/>
          <w:szCs w:val="20"/>
          <w:color w:val="auto"/>
        </w:rPr>
      </w:pPr>
    </w:p>
    <w:p>
      <w:pPr>
        <w:jc w:val="both"/>
        <w:ind w:firstLine="1740"/>
        <w:spacing w:after="0" w:line="257" w:lineRule="auto"/>
        <w:rPr>
          <w:sz w:val="20"/>
          <w:szCs w:val="20"/>
          <w:color w:val="auto"/>
        </w:rPr>
      </w:pPr>
      <w:r>
        <w:rPr>
          <w:rFonts w:ascii="Arial" w:cs="Arial" w:eastAsia="Arial" w:hAnsi="Arial"/>
          <w:sz w:val="19"/>
          <w:szCs w:val="19"/>
          <w:color w:val="auto"/>
        </w:rPr>
        <w:t>(i)In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44" w:lineRule="exact"/>
        <w:rPr>
          <w:sz w:val="20"/>
          <w:szCs w:val="20"/>
          <w:color w:val="auto"/>
        </w:rPr>
      </w:pPr>
    </w:p>
    <w:p>
      <w:pPr>
        <w:jc w:val="both"/>
        <w:ind w:firstLine="1680"/>
        <w:spacing w:after="0" w:line="223" w:lineRule="auto"/>
        <w:rPr>
          <w:sz w:val="20"/>
          <w:szCs w:val="20"/>
          <w:color w:val="auto"/>
        </w:rPr>
      </w:pPr>
      <w:r>
        <w:rPr>
          <w:rFonts w:ascii="Arial" w:cs="Arial" w:eastAsia="Arial" w:hAnsi="Arial"/>
          <w:sz w:val="22"/>
          <w:szCs w:val="22"/>
          <w:color w:val="auto"/>
        </w:rPr>
        <w:t>(ii)All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5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 xml:space="preserve">8.c </w:t>
      </w:r>
      <w:r>
        <w:rPr>
          <w:rFonts w:ascii="Arial" w:cs="Arial" w:eastAsia="Arial" w:hAnsi="Arial"/>
          <w:sz w:val="19"/>
          <w:szCs w:val="19"/>
          <w:b w:val="1"/>
          <w:bCs w:val="1"/>
          <w:color w:val="auto"/>
        </w:rPr>
        <w:t>Participant Changes to Contributions</w:t>
      </w:r>
      <w:r>
        <w:rPr>
          <w:rFonts w:ascii="Arial" w:cs="Arial" w:eastAsia="Arial" w:hAnsi="Arial"/>
          <w:sz w:val="19"/>
          <w:szCs w:val="19"/>
          <w:color w:val="auto"/>
        </w:rPr>
        <w:t>.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59" w:lineRule="exact"/>
        <w:rPr>
          <w:sz w:val="20"/>
          <w:szCs w:val="20"/>
          <w:color w:val="auto"/>
        </w:rPr>
      </w:pPr>
    </w:p>
    <w:p>
      <w:pPr>
        <w:jc w:val="both"/>
        <w:ind w:firstLine="1740"/>
        <w:spacing w:after="0" w:line="218" w:lineRule="auto"/>
        <w:rPr>
          <w:sz w:val="20"/>
          <w:szCs w:val="20"/>
          <w:color w:val="auto"/>
        </w:rPr>
      </w:pPr>
      <w:r>
        <w:rPr>
          <w:rFonts w:ascii="Arial" w:cs="Arial" w:eastAsia="Arial" w:hAnsi="Arial"/>
          <w:sz w:val="22"/>
          <w:szCs w:val="22"/>
          <w:color w:val="auto"/>
        </w:rPr>
        <w:t>(i)A Participant may make a Contribution rate adjustment pursuant to this Section 8.3 by (A) properly completing and submitting to the Company’s Finance Department (or its designee), a new subscription agreement authorizing the change in Contribution rate in the form provided by the Administrator for such purpose, or (B) following an electronic or other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77"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prescribed by the Administrator, in either case, on or before a date determined by the Administrator prior to (x) the scheduled Enrollment Date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58" w:lineRule="exact"/>
        <w:rPr>
          <w:sz w:val="20"/>
          <w:szCs w:val="20"/>
          <w:color w:val="auto"/>
        </w:rPr>
      </w:pPr>
    </w:p>
    <w:p>
      <w:pPr>
        <w:jc w:val="both"/>
        <w:ind w:right="20" w:firstLine="1680"/>
        <w:spacing w:after="0" w:line="218" w:lineRule="auto"/>
        <w:rPr>
          <w:sz w:val="20"/>
          <w:szCs w:val="20"/>
          <w:color w:val="auto"/>
        </w:rPr>
      </w:pPr>
      <w:r>
        <w:rPr>
          <w:rFonts w:ascii="Arial" w:cs="Arial" w:eastAsia="Arial" w:hAnsi="Arial"/>
          <w:sz w:val="22"/>
          <w:szCs w:val="22"/>
          <w:color w:val="auto"/>
        </w:rPr>
        <w:t>(ii)The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61" w:lineRule="exact"/>
        <w:rPr>
          <w:sz w:val="20"/>
          <w:szCs w:val="20"/>
          <w:color w:val="auto"/>
        </w:rPr>
      </w:pPr>
    </w:p>
    <w:p>
      <w:pPr>
        <w:jc w:val="both"/>
        <w:ind w:firstLine="1620"/>
        <w:spacing w:after="0" w:line="268" w:lineRule="auto"/>
        <w:rPr>
          <w:sz w:val="20"/>
          <w:szCs w:val="20"/>
          <w:color w:val="auto"/>
        </w:rPr>
      </w:pPr>
      <w:r>
        <w:rPr>
          <w:rFonts w:ascii="Arial" w:cs="Arial" w:eastAsia="Arial" w:hAnsi="Arial"/>
          <w:sz w:val="19"/>
          <w:szCs w:val="19"/>
          <w:color w:val="auto"/>
        </w:rPr>
        <w:t>(iii)Except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126" w:lineRule="exact"/>
        <w:rPr>
          <w:sz w:val="20"/>
          <w:szCs w:val="20"/>
          <w:color w:val="auto"/>
        </w:rPr>
      </w:pPr>
    </w:p>
    <w:p>
      <w:pPr>
        <w:jc w:val="both"/>
        <w:ind w:firstLine="1296"/>
        <w:spacing w:after="0" w:line="213" w:lineRule="auto"/>
        <w:rPr>
          <w:sz w:val="20"/>
          <w:szCs w:val="20"/>
          <w:color w:val="auto"/>
        </w:rPr>
      </w:pPr>
      <w:r>
        <w:rPr>
          <w:rFonts w:ascii="Arial" w:cs="Arial" w:eastAsia="Arial" w:hAnsi="Arial"/>
          <w:sz w:val="22"/>
          <w:szCs w:val="22"/>
          <w:color w:val="auto"/>
        </w:rPr>
        <w:t xml:space="preserve">8.d </w:t>
      </w:r>
      <w:r>
        <w:rPr>
          <w:rFonts w:ascii="Arial" w:cs="Arial" w:eastAsia="Arial" w:hAnsi="Arial"/>
          <w:sz w:val="22"/>
          <w:szCs w:val="22"/>
          <w:b w:val="1"/>
          <w:bCs w:val="1"/>
          <w:color w:val="auto"/>
        </w:rPr>
        <w:t>Other Contribution Changes</w:t>
      </w:r>
      <w:r>
        <w:rPr>
          <w:rFonts w:ascii="Arial" w:cs="Arial" w:eastAsia="Arial" w:hAnsi="Arial"/>
          <w:sz w:val="22"/>
          <w:szCs w:val="22"/>
          <w:color w:val="auto"/>
        </w:rPr>
        <w:t>.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5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 xml:space="preserve">8.e </w:t>
      </w:r>
      <w:r>
        <w:rPr>
          <w:rFonts w:ascii="Arial" w:cs="Arial" w:eastAsia="Arial" w:hAnsi="Arial"/>
          <w:sz w:val="19"/>
          <w:szCs w:val="19"/>
          <w:b w:val="1"/>
          <w:bCs w:val="1"/>
          <w:color w:val="auto"/>
        </w:rPr>
        <w:t>Cash Contributions</w:t>
      </w:r>
      <w:r>
        <w:rPr>
          <w:rFonts w:ascii="Arial" w:cs="Arial" w:eastAsia="Arial" w:hAnsi="Arial"/>
          <w:sz w:val="19"/>
          <w:szCs w:val="19"/>
          <w:color w:val="auto"/>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Non-423 Component.</w:t>
      </w:r>
    </w:p>
    <w:p>
      <w:pPr>
        <w:spacing w:after="0" w:line="13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8.f </w:t>
      </w:r>
      <w:r>
        <w:rPr>
          <w:rFonts w:ascii="Arial" w:cs="Arial" w:eastAsia="Arial" w:hAnsi="Arial"/>
          <w:sz w:val="19"/>
          <w:szCs w:val="19"/>
          <w:b w:val="1"/>
          <w:bCs w:val="1"/>
          <w:color w:val="auto"/>
        </w:rPr>
        <w:t>Tax Withholdings</w:t>
      </w:r>
      <w:r>
        <w:rPr>
          <w:rFonts w:ascii="Arial" w:cs="Arial" w:eastAsia="Arial" w:hAnsi="Arial"/>
          <w:sz w:val="19"/>
          <w:szCs w:val="19"/>
          <w:color w:val="auto"/>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1.423-2(f).</w:t>
      </w:r>
    </w:p>
    <w:p>
      <w:pPr>
        <w:spacing w:after="0" w:line="153"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8.g </w:t>
      </w:r>
      <w:r>
        <w:rPr>
          <w:rFonts w:ascii="Arial" w:cs="Arial" w:eastAsia="Arial" w:hAnsi="Arial"/>
          <w:sz w:val="22"/>
          <w:szCs w:val="22"/>
          <w:b w:val="1"/>
          <w:bCs w:val="1"/>
          <w:color w:val="auto"/>
        </w:rPr>
        <w:t>Use of Funds</w:t>
      </w:r>
      <w:r>
        <w:rPr>
          <w:rFonts w:ascii="Arial" w:cs="Arial" w:eastAsia="Arial" w:hAnsi="Arial"/>
          <w:sz w:val="22"/>
          <w:szCs w:val="22"/>
          <w:color w:val="auto"/>
        </w:rPr>
        <w:t>. The Company may use all Contributions received or held by it under the Plan for any corporate purpose, and the Company will not be obligated to segregate such Contributions except under Offerings or for Participants in the Non-423 Component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40" w:right="339" w:bottom="1440" w:gutter="0" w:footer="0" w:header="0"/>
        </w:sectPr>
      </w:pPr>
    </w:p>
    <w:bookmarkStart w:id="18" w:name="page19"/>
    <w:bookmarkEnd w:id="18"/>
    <w:p>
      <w:pPr>
        <w:spacing w:after="0" w:line="177"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1.423-2(f). Until shares of Common Stock are issued, Participants will have only the rights of an unsecured creditor with respect to such shares.</w:t>
      </w:r>
    </w:p>
    <w:p>
      <w:pPr>
        <w:spacing w:after="0" w:line="153" w:lineRule="exact"/>
        <w:rPr>
          <w:sz w:val="20"/>
          <w:szCs w:val="20"/>
          <w:color w:val="auto"/>
        </w:rPr>
      </w:pPr>
    </w:p>
    <w:p>
      <w:pPr>
        <w:jc w:val="both"/>
        <w:ind w:firstLine="656"/>
        <w:spacing w:after="0" w:line="217"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Grant of Option</w:t>
      </w:r>
      <w:r>
        <w:rPr>
          <w:rFonts w:ascii="Arial" w:cs="Arial" w:eastAsia="Arial" w:hAnsi="Arial"/>
          <w:sz w:val="22"/>
          <w:szCs w:val="22"/>
          <w:color w:val="auto"/>
        </w:rPr>
        <w:t>. On the Enrollment Date of each Offering Period, each Eligible Employee participating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52"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1"/>
          <w:szCs w:val="21"/>
          <w:color w:val="auto"/>
        </w:rPr>
        <w:t xml:space="preserve">9.a </w:t>
      </w:r>
      <w:r>
        <w:rPr>
          <w:rFonts w:ascii="Arial" w:cs="Arial" w:eastAsia="Arial" w:hAnsi="Arial"/>
          <w:sz w:val="21"/>
          <w:szCs w:val="21"/>
          <w:b w:val="1"/>
          <w:bCs w:val="1"/>
          <w:color w:val="auto"/>
        </w:rPr>
        <w:t>Certain Option Limits</w:t>
      </w:r>
      <w:r>
        <w:rPr>
          <w:rFonts w:ascii="Arial" w:cs="Arial" w:eastAsia="Arial" w:hAnsi="Arial"/>
          <w:sz w:val="21"/>
          <w:szCs w:val="21"/>
          <w:color w:val="auto"/>
        </w:rPr>
        <w:t>. In no event will an Eligible Employee be permitted to purchase during each Offering Period more than 1,168 shares of Common Stock (subject to any adjustment pursuant to Section 17); provided, that, this limit shall be increased to 3,100 for any Offering Periods commencing after May 15, 2023,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15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 xml:space="preserve">9.b </w:t>
      </w:r>
      <w:r>
        <w:rPr>
          <w:rFonts w:ascii="Arial" w:cs="Arial" w:eastAsia="Arial" w:hAnsi="Arial"/>
          <w:sz w:val="22"/>
          <w:szCs w:val="22"/>
          <w:b w:val="1"/>
          <w:bCs w:val="1"/>
          <w:color w:val="auto"/>
        </w:rPr>
        <w:t>Option Receipt</w:t>
      </w:r>
      <w:r>
        <w:rPr>
          <w:rFonts w:ascii="Arial" w:cs="Arial" w:eastAsia="Arial" w:hAnsi="Arial"/>
          <w:sz w:val="22"/>
          <w:szCs w:val="22"/>
          <w:color w:val="auto"/>
        </w:rPr>
        <w:t>. The Eligible Employee may accept the grant of an option under the Plan by electing to participate in the Plan in accordance with the requirements of Section 7.</w:t>
      </w:r>
    </w:p>
    <w:p>
      <w:pPr>
        <w:spacing w:after="0" w:line="153"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1"/>
          <w:szCs w:val="21"/>
          <w:color w:val="auto"/>
        </w:rPr>
        <w:t xml:space="preserve">9.c </w:t>
      </w:r>
      <w:r>
        <w:rPr>
          <w:rFonts w:ascii="Arial" w:cs="Arial" w:eastAsia="Arial" w:hAnsi="Arial"/>
          <w:sz w:val="21"/>
          <w:szCs w:val="21"/>
          <w:b w:val="1"/>
          <w:bCs w:val="1"/>
          <w:color w:val="auto"/>
        </w:rPr>
        <w:t>Option Term</w:t>
      </w:r>
      <w:r>
        <w:rPr>
          <w:rFonts w:ascii="Arial" w:cs="Arial" w:eastAsia="Arial" w:hAnsi="Arial"/>
          <w:sz w:val="21"/>
          <w:szCs w:val="21"/>
          <w:color w:val="auto"/>
        </w:rPr>
        <w:t>. Exercise of the option will occur as provided in Section 10, unless the Participant’s participation has terminated pursuant to Sections 12 or 13. The option will expire on the last day of the Offering Period.</w:t>
      </w:r>
    </w:p>
    <w:p>
      <w:pPr>
        <w:spacing w:after="0" w:line="139"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Exercise of Option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19"/>
          <w:szCs w:val="19"/>
          <w:color w:val="auto"/>
        </w:rPr>
        <w:t xml:space="preserve">10.a </w:t>
      </w:r>
      <w:r>
        <w:rPr>
          <w:rFonts w:ascii="Arial" w:cs="Arial" w:eastAsia="Arial" w:hAnsi="Arial"/>
          <w:sz w:val="19"/>
          <w:szCs w:val="19"/>
          <w:b w:val="1"/>
          <w:bCs w:val="1"/>
          <w:color w:val="auto"/>
        </w:rPr>
        <w:t>Automatic Exercise</w:t>
      </w:r>
      <w:r>
        <w:rPr>
          <w:rFonts w:ascii="Arial" w:cs="Arial" w:eastAsia="Arial" w:hAnsi="Arial"/>
          <w:sz w:val="19"/>
          <w:szCs w:val="19"/>
          <w:color w:val="auto"/>
        </w:rPr>
        <w:t>.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53"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19"/>
          <w:szCs w:val="19"/>
          <w:color w:val="auto"/>
        </w:rPr>
        <w:t xml:space="preserve">10.b </w:t>
      </w:r>
      <w:r>
        <w:rPr>
          <w:rFonts w:ascii="Arial" w:cs="Arial" w:eastAsia="Arial" w:hAnsi="Arial"/>
          <w:sz w:val="19"/>
          <w:szCs w:val="19"/>
          <w:b w:val="1"/>
          <w:bCs w:val="1"/>
          <w:color w:val="auto"/>
        </w:rPr>
        <w:t>Pro Rata Allocations</w:t>
      </w:r>
      <w:r>
        <w:rPr>
          <w:rFonts w:ascii="Arial" w:cs="Arial" w:eastAsia="Arial" w:hAnsi="Arial"/>
          <w:sz w:val="19"/>
          <w:szCs w:val="19"/>
          <w:color w:val="auto"/>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w:t>
      </w:r>
    </w:p>
    <w:p>
      <w:pPr>
        <w:spacing w:after="0" w:line="3" w:lineRule="exact"/>
        <w:rPr>
          <w:sz w:val="20"/>
          <w:szCs w:val="20"/>
          <w:color w:val="auto"/>
        </w:rPr>
      </w:pPr>
    </w:p>
    <w:p>
      <w:pPr>
        <w:ind w:right="20" w:firstLine="8"/>
        <w:spacing w:after="0" w:line="224" w:lineRule="auto"/>
        <w:tabs>
          <w:tab w:leader="none" w:pos="33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provide that the Company will make a pro rata allocation of the shares of Common Stock available for purchase on such Enrollment Date or Exercise Date, as applicable, 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uniform a manner as will be practicable and as it will determine in its sole discretion to be equitable among all Participants exercising options to purchase Common Stock on such Exercise Date, and continue all Offering Periods then in effect or</w:t>
      </w:r>
    </w:p>
    <w:p>
      <w:pPr>
        <w:jc w:val="both"/>
        <w:ind w:firstLine="8"/>
        <w:spacing w:after="0" w:line="220" w:lineRule="auto"/>
        <w:tabs>
          <w:tab w:leader="none" w:pos="330"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54" w:lineRule="exact"/>
        <w:rPr>
          <w:rFonts w:ascii="Arial" w:cs="Arial" w:eastAsia="Arial" w:hAnsi="Arial"/>
          <w:sz w:val="21"/>
          <w:szCs w:val="21"/>
          <w:color w:val="auto"/>
        </w:rPr>
      </w:pPr>
    </w:p>
    <w:p>
      <w:pPr>
        <w:jc w:val="both"/>
        <w:ind w:firstLine="656"/>
        <w:spacing w:after="0" w:line="221" w:lineRule="auto"/>
        <w:tabs>
          <w:tab w:leader="none" w:pos="1288" w:val="left"/>
        </w:tabs>
        <w:numPr>
          <w:ilvl w:val="1"/>
          <w:numId w:val="17"/>
        </w:numPr>
        <w:rPr>
          <w:rFonts w:ascii="Arial" w:cs="Arial" w:eastAsia="Arial" w:hAnsi="Arial"/>
          <w:sz w:val="21"/>
          <w:szCs w:val="21"/>
          <w:color w:val="auto"/>
        </w:rPr>
      </w:pPr>
      <w:r>
        <w:rPr>
          <w:rFonts w:ascii="Arial" w:cs="Arial" w:eastAsia="Arial" w:hAnsi="Arial"/>
          <w:sz w:val="21"/>
          <w:szCs w:val="21"/>
          <w:b w:val="1"/>
          <w:bCs w:val="1"/>
          <w:color w:val="auto"/>
        </w:rPr>
        <w:t>Delivery</w:t>
      </w:r>
      <w:r>
        <w:rPr>
          <w:rFonts w:ascii="Arial" w:cs="Arial" w:eastAsia="Arial" w:hAnsi="Arial"/>
          <w:sz w:val="21"/>
          <w:szCs w:val="21"/>
          <w:color w:val="auto"/>
        </w:rPr>
        <w:t>. As soon as reasonably practicable after each Exercise Date on which a purchase of shares of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occurs, the Company 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52" w:lineRule="exact"/>
        <w:rPr>
          <w:rFonts w:ascii="Arial" w:cs="Arial" w:eastAsia="Arial" w:hAnsi="Arial"/>
          <w:sz w:val="21"/>
          <w:szCs w:val="21"/>
          <w:color w:val="auto"/>
        </w:rPr>
      </w:pPr>
    </w:p>
    <w:p>
      <w:pPr>
        <w:ind w:left="1300" w:hanging="644"/>
        <w:spacing w:after="0"/>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b w:val="1"/>
          <w:bCs w:val="1"/>
          <w:color w:val="auto"/>
        </w:rPr>
        <w:t>Withdrawal</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12.a </w:t>
      </w:r>
      <w:r>
        <w:rPr>
          <w:rFonts w:ascii="Arial" w:cs="Arial" w:eastAsia="Arial" w:hAnsi="Arial"/>
          <w:sz w:val="19"/>
          <w:szCs w:val="19"/>
          <w:b w:val="1"/>
          <w:bCs w:val="1"/>
          <w:color w:val="auto"/>
        </w:rPr>
        <w:t>Withdrawal Procedures</w:t>
      </w:r>
      <w:r>
        <w:rPr>
          <w:rFonts w:ascii="Arial" w:cs="Arial" w:eastAsia="Arial" w:hAnsi="Arial"/>
          <w:sz w:val="19"/>
          <w:szCs w:val="19"/>
          <w:color w:val="auto"/>
        </w:rPr>
        <w:t xml:space="preserve">. A Participant may withdraw all but not less than all the Contributions credited to his or her account and not yet used to exercise his or her option under the Plan at any time by (a) submitting to the Company’s Finance Department (or its designee) a written notice of withdrawal in the form determined by the Administrator for such purpose (which may be similar to the form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re-enrolls in the Plan in accordance with the provisions of Section 7.</w:t>
      </w:r>
    </w:p>
    <w:p>
      <w:pPr>
        <w:spacing w:after="0" w:line="149"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auto"/>
        </w:rPr>
        <w:t xml:space="preserve">12.b </w:t>
      </w:r>
      <w:r>
        <w:rPr>
          <w:rFonts w:ascii="Arial" w:cs="Arial" w:eastAsia="Arial" w:hAnsi="Arial"/>
          <w:sz w:val="19"/>
          <w:szCs w:val="19"/>
          <w:b w:val="1"/>
          <w:bCs w:val="1"/>
          <w:color w:val="auto"/>
        </w:rPr>
        <w:t>No Effect on Future Participation</w:t>
      </w:r>
      <w:r>
        <w:rPr>
          <w:rFonts w:ascii="Arial" w:cs="Arial" w:eastAsia="Arial" w:hAnsi="Arial"/>
          <w:sz w:val="19"/>
          <w:szCs w:val="19"/>
          <w:color w:val="auto"/>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24" w:lineRule="exact"/>
        <w:rPr>
          <w:sz w:val="20"/>
          <w:szCs w:val="20"/>
          <w:color w:val="auto"/>
        </w:rPr>
      </w:pPr>
    </w:p>
    <w:p>
      <w:pPr>
        <w:jc w:val="both"/>
        <w:ind w:firstLine="656"/>
        <w:spacing w:after="0" w:line="227" w:lineRule="auto"/>
        <w:tabs>
          <w:tab w:leader="none" w:pos="1296" w:val="left"/>
        </w:tabs>
        <w:numPr>
          <w:ilvl w:val="0"/>
          <w:numId w:val="18"/>
        </w:numPr>
        <w:rPr>
          <w:rFonts w:ascii="Arial" w:cs="Arial" w:eastAsia="Arial" w:hAnsi="Arial"/>
          <w:sz w:val="21"/>
          <w:szCs w:val="21"/>
          <w:color w:val="auto"/>
        </w:rPr>
      </w:pPr>
      <w:r>
        <w:rPr>
          <w:rFonts w:ascii="Arial" w:cs="Arial" w:eastAsia="Arial" w:hAnsi="Arial"/>
          <w:sz w:val="21"/>
          <w:szCs w:val="21"/>
          <w:b w:val="1"/>
          <w:bCs w:val="1"/>
          <w:color w:val="auto"/>
        </w:rPr>
        <w:t>Termination of Employment</w:t>
      </w:r>
      <w:r>
        <w:rPr>
          <w:rFonts w:ascii="Arial" w:cs="Arial" w:eastAsia="Arial" w:hAnsi="Arial"/>
          <w:sz w:val="21"/>
          <w:szCs w:val="21"/>
          <w:color w:val="auto"/>
        </w:rPr>
        <w:t>. Upon a Participant’s ceasing to be an Eligible Employee, for any reason, he or she</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Code Section 423; further, no Participant will be deemed to switch from an Offering under the Non-423 Component to an Offering under the 423 Component or vice versa unless (and then only to the extent) such switch would not cause the 423 Component or any option thereunder to fail to comply with Code Section 423.</w:t>
      </w:r>
    </w:p>
    <w:p>
      <w:pPr>
        <w:spacing w:after="0" w:line="148" w:lineRule="exact"/>
        <w:rPr>
          <w:sz w:val="20"/>
          <w:szCs w:val="20"/>
          <w:color w:val="auto"/>
        </w:rPr>
      </w:pPr>
    </w:p>
    <w:p>
      <w:pPr>
        <w:jc w:val="both"/>
        <w:ind w:firstLine="656"/>
        <w:spacing w:after="0" w:line="242"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The Plan is intended to be exempt from the application of Section 409A, and, to the extent not</w:t>
      </w:r>
      <w:r>
        <w:rPr>
          <w:rFonts w:ascii="Arial" w:cs="Arial" w:eastAsia="Arial" w:hAnsi="Arial"/>
          <w:sz w:val="19"/>
          <w:szCs w:val="19"/>
          <w:b w:val="1"/>
          <w:bCs w:val="1"/>
          <w:color w:val="auto"/>
        </w:rPr>
        <w:t xml:space="preserve"> </w:t>
      </w:r>
      <w:r>
        <w:rPr>
          <w:rFonts w:ascii="Arial" w:cs="Arial" w:eastAsia="Arial" w:hAnsi="Arial"/>
          <w:sz w:val="19"/>
          <w:szCs w:val="19"/>
          <w:color w:val="auto"/>
        </w:rPr>
        <w:t>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60" w:lineRule="exact"/>
        <w:rPr>
          <w:rFonts w:ascii="Arial" w:cs="Arial" w:eastAsia="Arial" w:hAnsi="Arial"/>
          <w:sz w:val="19"/>
          <w:szCs w:val="19"/>
          <w:color w:val="auto"/>
        </w:rPr>
      </w:pPr>
    </w:p>
    <w:p>
      <w:pPr>
        <w:jc w:val="both"/>
        <w:ind w:firstLine="656"/>
        <w:spacing w:after="0" w:line="254"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Rights as Stockholder</w:t>
      </w:r>
      <w:r>
        <w:rPr>
          <w:rFonts w:ascii="Arial" w:cs="Arial" w:eastAsia="Arial" w:hAnsi="Arial"/>
          <w:sz w:val="19"/>
          <w:szCs w:val="19"/>
          <w:color w:val="auto"/>
        </w:rPr>
        <w:t>. Until the shares of Common Stock are issued (as evidenced by the appropriate entry on</w:t>
      </w:r>
      <w:r>
        <w:rPr>
          <w:rFonts w:ascii="Arial" w:cs="Arial" w:eastAsia="Arial" w:hAnsi="Arial"/>
          <w:sz w:val="19"/>
          <w:szCs w:val="19"/>
          <w:b w:val="1"/>
          <w:bCs w:val="1"/>
          <w:color w:val="auto"/>
        </w:rPr>
        <w:t xml:space="preserve"> </w:t>
      </w:r>
      <w:r>
        <w:rPr>
          <w:rFonts w:ascii="Arial" w:cs="Arial" w:eastAsia="Arial" w:hAnsi="Arial"/>
          <w:sz w:val="19"/>
          <w:szCs w:val="19"/>
          <w:color w:val="auto"/>
        </w:rPr>
        <w:t>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39" w:lineRule="exact"/>
        <w:rPr>
          <w:rFonts w:ascii="Arial" w:cs="Arial" w:eastAsia="Arial" w:hAnsi="Arial"/>
          <w:sz w:val="19"/>
          <w:szCs w:val="19"/>
          <w:color w:val="auto"/>
        </w:rPr>
      </w:pPr>
    </w:p>
    <w:p>
      <w:pPr>
        <w:jc w:val="both"/>
        <w:ind w:firstLine="656"/>
        <w:spacing w:after="0" w:line="227" w:lineRule="auto"/>
        <w:tabs>
          <w:tab w:leader="none" w:pos="1296" w:val="left"/>
        </w:tabs>
        <w:numPr>
          <w:ilvl w:val="0"/>
          <w:numId w:val="19"/>
        </w:numPr>
        <w:rPr>
          <w:rFonts w:ascii="Arial" w:cs="Arial" w:eastAsia="Arial" w:hAnsi="Arial"/>
          <w:sz w:val="21"/>
          <w:szCs w:val="21"/>
          <w:color w:val="auto"/>
        </w:rPr>
      </w:pPr>
      <w:r>
        <w:rPr>
          <w:rFonts w:ascii="Arial" w:cs="Arial" w:eastAsia="Arial" w:hAnsi="Arial"/>
          <w:sz w:val="21"/>
          <w:szCs w:val="21"/>
          <w:b w:val="1"/>
          <w:bCs w:val="1"/>
          <w:color w:val="auto"/>
        </w:rPr>
        <w:t>Transferability</w:t>
      </w:r>
      <w:r>
        <w:rPr>
          <w:rFonts w:ascii="Arial" w:cs="Arial" w:eastAsia="Arial" w:hAnsi="Arial"/>
          <w:sz w:val="21"/>
          <w:szCs w:val="21"/>
          <w:color w:val="auto"/>
        </w:rPr>
        <w:t>. Neither Contributions credited to a Participant’s account nor any rights with regard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153" w:lineRule="exact"/>
        <w:rPr>
          <w:rFonts w:ascii="Arial" w:cs="Arial" w:eastAsia="Arial" w:hAnsi="Arial"/>
          <w:sz w:val="21"/>
          <w:szCs w:val="21"/>
          <w:color w:val="auto"/>
        </w:rPr>
      </w:pPr>
    </w:p>
    <w:p>
      <w:pPr>
        <w:ind w:left="1300" w:hanging="644"/>
        <w:spacing w:after="0"/>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Adjustments, Dissolution, Liquidation, Merger or Change in Control</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19"/>
          <w:szCs w:val="19"/>
          <w:color w:val="auto"/>
        </w:rPr>
        <w:t xml:space="preserve">17.a </w:t>
      </w:r>
      <w:r>
        <w:rPr>
          <w:rFonts w:ascii="Arial" w:cs="Arial" w:eastAsia="Arial" w:hAnsi="Arial"/>
          <w:sz w:val="19"/>
          <w:szCs w:val="19"/>
          <w:b w:val="1"/>
          <w:bCs w:val="1"/>
          <w:color w:val="auto"/>
        </w:rPr>
        <w:t>Adjustments</w:t>
      </w:r>
      <w:r>
        <w:rPr>
          <w:rFonts w:ascii="Arial" w:cs="Arial" w:eastAsia="Arial" w:hAnsi="Arial"/>
          <w:sz w:val="19"/>
          <w:szCs w:val="19"/>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option under the Plan that has not yet been exercised, and the numerical share limits of Sections 3 and 9.1.</w:t>
      </w:r>
    </w:p>
    <w:p>
      <w:pPr>
        <w:spacing w:after="0" w:line="17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17.b </w:t>
      </w:r>
      <w:r>
        <w:rPr>
          <w:rFonts w:ascii="Arial" w:cs="Arial" w:eastAsia="Arial" w:hAnsi="Arial"/>
          <w:sz w:val="19"/>
          <w:szCs w:val="19"/>
          <w:b w:val="1"/>
          <w:bCs w:val="1"/>
          <w:color w:val="auto"/>
        </w:rPr>
        <w:t>Dissolution or Liquidation</w:t>
      </w:r>
      <w:r>
        <w:rPr>
          <w:rFonts w:ascii="Arial" w:cs="Arial" w:eastAsia="Arial" w:hAnsi="Arial"/>
          <w:sz w:val="19"/>
          <w:szCs w:val="19"/>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5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19"/>
          <w:szCs w:val="19"/>
          <w:color w:val="auto"/>
        </w:rPr>
        <w:t xml:space="preserve">17.c </w:t>
      </w:r>
      <w:r>
        <w:rPr>
          <w:rFonts w:ascii="Arial" w:cs="Arial" w:eastAsia="Arial" w:hAnsi="Arial"/>
          <w:sz w:val="19"/>
          <w:szCs w:val="19"/>
          <w:b w:val="1"/>
          <w:bCs w:val="1"/>
          <w:color w:val="auto"/>
        </w:rPr>
        <w:t>Merger or Change in Control</w:t>
      </w:r>
      <w:r>
        <w:rPr>
          <w:rFonts w:ascii="Arial" w:cs="Arial" w:eastAsia="Arial" w:hAnsi="Arial"/>
          <w:sz w:val="19"/>
          <w:szCs w:val="19"/>
          <w:color w:val="auto"/>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377"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Amendment or Termination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1" w:lineRule="auto"/>
        <w:rPr>
          <w:sz w:val="20"/>
          <w:szCs w:val="20"/>
          <w:color w:val="auto"/>
        </w:rPr>
      </w:pPr>
      <w:r>
        <w:rPr>
          <w:rFonts w:ascii="Arial" w:cs="Arial" w:eastAsia="Arial" w:hAnsi="Arial"/>
          <w:sz w:val="21"/>
          <w:szCs w:val="21"/>
          <w:color w:val="auto"/>
        </w:rPr>
        <w:t xml:space="preserve">18.a </w:t>
      </w:r>
      <w:r>
        <w:rPr>
          <w:rFonts w:ascii="Arial" w:cs="Arial" w:eastAsia="Arial" w:hAnsi="Arial"/>
          <w:sz w:val="21"/>
          <w:szCs w:val="21"/>
          <w:b w:val="1"/>
          <w:bCs w:val="1"/>
          <w:color w:val="auto"/>
        </w:rPr>
        <w:t>Amendment, Suspension, Termination</w:t>
      </w:r>
      <w:r>
        <w:rPr>
          <w:rFonts w:ascii="Arial" w:cs="Arial" w:eastAsia="Arial" w:hAnsi="Arial"/>
          <w:sz w:val="21"/>
          <w:szCs w:val="21"/>
          <w:color w:val="auto"/>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59"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19"/>
          <w:szCs w:val="19"/>
          <w:color w:val="auto"/>
        </w:rPr>
        <w:t xml:space="preserve">18.b </w:t>
      </w:r>
      <w:r>
        <w:rPr>
          <w:rFonts w:ascii="Arial" w:cs="Arial" w:eastAsia="Arial" w:hAnsi="Arial"/>
          <w:sz w:val="19"/>
          <w:szCs w:val="19"/>
          <w:b w:val="1"/>
          <w:bCs w:val="1"/>
          <w:color w:val="auto"/>
        </w:rPr>
        <w:t>Certain Administrator Changes</w:t>
      </w:r>
      <w:r>
        <w:rPr>
          <w:rFonts w:ascii="Arial" w:cs="Arial" w:eastAsia="Arial" w:hAnsi="Arial"/>
          <w:sz w:val="19"/>
          <w:szCs w:val="19"/>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71"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 xml:space="preserve">18.c </w:t>
      </w:r>
      <w:r>
        <w:rPr>
          <w:rFonts w:ascii="Arial" w:cs="Arial" w:eastAsia="Arial" w:hAnsi="Arial"/>
          <w:sz w:val="22"/>
          <w:szCs w:val="22"/>
          <w:b w:val="1"/>
          <w:bCs w:val="1"/>
          <w:color w:val="auto"/>
        </w:rPr>
        <w:t>Changes Due to Accounting Consequences</w:t>
      </w:r>
      <w:r>
        <w:rPr>
          <w:rFonts w:ascii="Arial" w:cs="Arial" w:eastAsia="Arial" w:hAnsi="Arial"/>
          <w:sz w:val="22"/>
          <w:szCs w:val="22"/>
          <w:color w:val="auto"/>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58" w:lineRule="exact"/>
        <w:rPr>
          <w:sz w:val="20"/>
          <w:szCs w:val="20"/>
          <w:color w:val="auto"/>
        </w:rPr>
      </w:pPr>
    </w:p>
    <w:p>
      <w:pPr>
        <w:jc w:val="both"/>
        <w:ind w:firstLine="1740"/>
        <w:spacing w:after="0" w:line="223" w:lineRule="auto"/>
        <w:rPr>
          <w:sz w:val="20"/>
          <w:szCs w:val="20"/>
          <w:color w:val="auto"/>
        </w:rPr>
      </w:pPr>
      <w:r>
        <w:rPr>
          <w:rFonts w:ascii="Arial" w:cs="Arial" w:eastAsia="Arial" w:hAnsi="Arial"/>
          <w:sz w:val="22"/>
          <w:szCs w:val="22"/>
          <w:color w:val="auto"/>
        </w:rPr>
        <w:t>(i)amending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59" w:lineRule="exact"/>
        <w:rPr>
          <w:sz w:val="20"/>
          <w:szCs w:val="20"/>
          <w:color w:val="auto"/>
        </w:rPr>
      </w:pPr>
    </w:p>
    <w:p>
      <w:pPr>
        <w:jc w:val="both"/>
        <w:ind w:firstLine="1680"/>
        <w:spacing w:after="0" w:line="232" w:lineRule="auto"/>
        <w:rPr>
          <w:sz w:val="20"/>
          <w:szCs w:val="20"/>
          <w:color w:val="auto"/>
        </w:rPr>
      </w:pPr>
      <w:r>
        <w:rPr>
          <w:rFonts w:ascii="Arial" w:cs="Arial" w:eastAsia="Arial" w:hAnsi="Arial"/>
          <w:sz w:val="22"/>
          <w:szCs w:val="22"/>
          <w:color w:val="auto"/>
        </w:rPr>
        <w:t>(ii)altering the Purchase Price for any Purchase Period or Offering Period including a Purchase Period or Offering Period underway at the time of the change in Purchase Price;</w:t>
      </w:r>
    </w:p>
    <w:p>
      <w:pPr>
        <w:spacing w:after="0" w:line="159" w:lineRule="exact"/>
        <w:rPr>
          <w:sz w:val="20"/>
          <w:szCs w:val="20"/>
          <w:color w:val="auto"/>
        </w:rPr>
      </w:pPr>
    </w:p>
    <w:p>
      <w:pPr>
        <w:jc w:val="both"/>
        <w:ind w:firstLine="1620"/>
        <w:spacing w:after="0" w:line="232" w:lineRule="auto"/>
        <w:rPr>
          <w:sz w:val="20"/>
          <w:szCs w:val="20"/>
          <w:color w:val="auto"/>
        </w:rPr>
      </w:pPr>
      <w:r>
        <w:rPr>
          <w:rFonts w:ascii="Arial" w:cs="Arial" w:eastAsia="Arial" w:hAnsi="Arial"/>
          <w:sz w:val="22"/>
          <w:szCs w:val="22"/>
          <w:color w:val="auto"/>
        </w:rPr>
        <w:t>(iii)shortening any Purchase Period or Offering Period by setting a New Exercise Date, including a Purchase Period or Offering Period underway at the time of the Administrator action;</w:t>
      </w:r>
    </w:p>
    <w:p>
      <w:pPr>
        <w:spacing w:after="0" w:line="159" w:lineRule="exact"/>
        <w:rPr>
          <w:sz w:val="20"/>
          <w:szCs w:val="20"/>
          <w:color w:val="auto"/>
        </w:rPr>
      </w:pPr>
    </w:p>
    <w:p>
      <w:pPr>
        <w:ind w:left="1640"/>
        <w:spacing w:after="0"/>
        <w:rPr>
          <w:sz w:val="20"/>
          <w:szCs w:val="20"/>
          <w:color w:val="auto"/>
        </w:rPr>
      </w:pPr>
      <w:r>
        <w:rPr>
          <w:rFonts w:ascii="Arial" w:cs="Arial" w:eastAsia="Arial" w:hAnsi="Arial"/>
          <w:sz w:val="19"/>
          <w:szCs w:val="19"/>
          <w:color w:val="auto"/>
        </w:rPr>
        <w:t>(iv)reducing the maximum percentage of Compensation a Participant may elect to set aside as Contributions;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161" w:lineRule="exact"/>
        <w:rPr>
          <w:sz w:val="20"/>
          <w:szCs w:val="20"/>
          <w:color w:val="auto"/>
        </w:rPr>
      </w:pPr>
    </w:p>
    <w:p>
      <w:pPr>
        <w:jc w:val="both"/>
        <w:ind w:firstLine="1692"/>
        <w:spacing w:after="0" w:line="232" w:lineRule="auto"/>
        <w:rPr>
          <w:sz w:val="20"/>
          <w:szCs w:val="20"/>
          <w:color w:val="auto"/>
        </w:rPr>
      </w:pPr>
      <w:r>
        <w:rPr>
          <w:rFonts w:ascii="Arial" w:cs="Arial" w:eastAsia="Arial" w:hAnsi="Arial"/>
          <w:sz w:val="22"/>
          <w:szCs w:val="22"/>
          <w:color w:val="auto"/>
        </w:rPr>
        <w:t>(v)reducing the maximum number of shares of Common Stock a Participant may purchase during any Purchase Period or Offering Period.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Such modifications or amendments will not require stockholder approval or the consent of any Plan Participants.</w:t>
      </w:r>
    </w:p>
    <w:p>
      <w:pPr>
        <w:spacing w:after="0" w:line="18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Conditions Upon Issuance of Shares</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1"/>
          <w:szCs w:val="21"/>
          <w:color w:val="auto"/>
        </w:rPr>
        <w:t xml:space="preserve">19.a </w:t>
      </w:r>
      <w:r>
        <w:rPr>
          <w:rFonts w:ascii="Arial" w:cs="Arial" w:eastAsia="Arial" w:hAnsi="Arial"/>
          <w:sz w:val="21"/>
          <w:szCs w:val="21"/>
          <w:b w:val="1"/>
          <w:bCs w:val="1"/>
          <w:color w:val="auto"/>
        </w:rPr>
        <w:t>Legal Compliance</w:t>
      </w:r>
      <w:r>
        <w:rPr>
          <w:rFonts w:ascii="Arial" w:cs="Arial" w:eastAsia="Arial" w:hAnsi="Arial"/>
          <w:sz w:val="21"/>
          <w:szCs w:val="21"/>
          <w:color w:val="auto"/>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52"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 xml:space="preserve">19.b </w:t>
      </w:r>
      <w:r>
        <w:rPr>
          <w:rFonts w:ascii="Arial" w:cs="Arial" w:eastAsia="Arial" w:hAnsi="Arial"/>
          <w:sz w:val="22"/>
          <w:szCs w:val="22"/>
          <w:b w:val="1"/>
          <w:bCs w:val="1"/>
          <w:color w:val="auto"/>
        </w:rPr>
        <w:t>Investment Representations</w:t>
      </w:r>
      <w:r>
        <w:rPr>
          <w:rFonts w:ascii="Arial" w:cs="Arial" w:eastAsia="Arial" w:hAnsi="Arial"/>
          <w:sz w:val="22"/>
          <w:szCs w:val="22"/>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52" w:lineRule="exact"/>
        <w:rPr>
          <w:sz w:val="20"/>
          <w:szCs w:val="20"/>
          <w:color w:val="auto"/>
        </w:rPr>
      </w:pPr>
    </w:p>
    <w:p>
      <w:pPr>
        <w:jc w:val="both"/>
        <w:ind w:right="20" w:firstLine="656"/>
        <w:spacing w:after="0" w:line="225" w:lineRule="auto"/>
        <w:tabs>
          <w:tab w:leader="none" w:pos="1296" w:val="left"/>
        </w:tabs>
        <w:numPr>
          <w:ilvl w:val="1"/>
          <w:numId w:val="22"/>
        </w:numPr>
        <w:rPr>
          <w:rFonts w:ascii="Arial" w:cs="Arial" w:eastAsia="Arial" w:hAnsi="Arial"/>
          <w:sz w:val="22"/>
          <w:szCs w:val="22"/>
          <w:color w:val="auto"/>
        </w:rPr>
      </w:pPr>
      <w:r>
        <w:rPr>
          <w:rFonts w:ascii="Arial" w:cs="Arial" w:eastAsia="Arial" w:hAnsi="Arial"/>
          <w:sz w:val="22"/>
          <w:szCs w:val="22"/>
          <w:b w:val="1"/>
          <w:bCs w:val="1"/>
          <w:color w:val="auto"/>
        </w:rPr>
        <w:t>Term of Plan</w:t>
      </w:r>
      <w:r>
        <w:rPr>
          <w:rFonts w:ascii="Arial" w:cs="Arial" w:eastAsia="Arial" w:hAnsi="Arial"/>
          <w:sz w:val="22"/>
          <w:szCs w:val="22"/>
          <w:color w:val="auto"/>
        </w:rPr>
        <w:t>. The Plan will become effective upon the later to occur of (a) its adoption by the Board or (b) the</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day immediately prior to the Registration Date. It will continue in effect for a term of twenty (20) years, unless sooner terminated under Section 18.</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1"/>
          <w:numId w:val="22"/>
        </w:numPr>
        <w:rPr>
          <w:rFonts w:ascii="Arial" w:cs="Arial" w:eastAsia="Arial" w:hAnsi="Arial"/>
          <w:sz w:val="19"/>
          <w:szCs w:val="19"/>
          <w:color w:val="auto"/>
        </w:rPr>
      </w:pPr>
      <w:r>
        <w:rPr>
          <w:rFonts w:ascii="Arial" w:cs="Arial" w:eastAsia="Arial" w:hAnsi="Arial"/>
          <w:sz w:val="19"/>
          <w:szCs w:val="19"/>
          <w:b w:val="1"/>
          <w:bCs w:val="1"/>
          <w:color w:val="auto"/>
        </w:rPr>
        <w:t>Stockholder Approval</w:t>
      </w:r>
      <w:r>
        <w:rPr>
          <w:rFonts w:ascii="Arial" w:cs="Arial" w:eastAsia="Arial" w:hAnsi="Arial"/>
          <w:sz w:val="19"/>
          <w:szCs w:val="19"/>
          <w:color w:val="auto"/>
        </w:rPr>
        <w:t>. The Plan will be subject to approval by the stockholders of the Company within twelve</w:t>
      </w:r>
    </w:p>
    <w:p>
      <w:pPr>
        <w:spacing w:after="0" w:line="21" w:lineRule="exact"/>
        <w:rPr>
          <w:rFonts w:ascii="Arial" w:cs="Arial" w:eastAsia="Arial" w:hAnsi="Arial"/>
          <w:sz w:val="19"/>
          <w:szCs w:val="19"/>
          <w:color w:val="auto"/>
        </w:rPr>
      </w:pPr>
    </w:p>
    <w:p>
      <w:pPr>
        <w:ind w:firstLine="8"/>
        <w:spacing w:after="0" w:line="224" w:lineRule="auto"/>
        <w:tabs>
          <w:tab w:leader="none" w:pos="419" w:val="left"/>
        </w:tabs>
        <w:numPr>
          <w:ilvl w:val="0"/>
          <w:numId w:val="23"/>
        </w:numPr>
        <w:rPr>
          <w:rFonts w:ascii="Arial" w:cs="Arial" w:eastAsia="Arial" w:hAnsi="Arial"/>
          <w:sz w:val="22"/>
          <w:szCs w:val="22"/>
          <w:color w:val="auto"/>
        </w:rPr>
      </w:pPr>
      <w:r>
        <w:rPr>
          <w:rFonts w:ascii="Arial" w:cs="Arial" w:eastAsia="Arial" w:hAnsi="Arial"/>
          <w:sz w:val="22"/>
          <w:szCs w:val="22"/>
          <w:color w:val="auto"/>
        </w:rPr>
        <w:t>months after the date the Plan is adopted by the Board. Such stockholder approval will be obtained in the manner and to the degree required under Applicable Laws.</w:t>
      </w:r>
    </w:p>
    <w:p>
      <w:pPr>
        <w:spacing w:after="0" w:line="151" w:lineRule="exact"/>
        <w:rPr>
          <w:rFonts w:ascii="Arial" w:cs="Arial" w:eastAsia="Arial" w:hAnsi="Arial"/>
          <w:sz w:val="22"/>
          <w:szCs w:val="22"/>
          <w:color w:val="auto"/>
        </w:rPr>
      </w:pPr>
    </w:p>
    <w:p>
      <w:pPr>
        <w:jc w:val="both"/>
        <w:ind w:firstLine="656"/>
        <w:spacing w:after="0" w:line="220" w:lineRule="auto"/>
        <w:tabs>
          <w:tab w:leader="none" w:pos="1296" w:val="left"/>
        </w:tabs>
        <w:numPr>
          <w:ilvl w:val="1"/>
          <w:numId w:val="23"/>
        </w:numPr>
        <w:rPr>
          <w:rFonts w:ascii="Arial" w:cs="Arial" w:eastAsia="Arial" w:hAnsi="Arial"/>
          <w:sz w:val="22"/>
          <w:szCs w:val="22"/>
          <w:color w:val="auto"/>
        </w:rPr>
      </w:pPr>
      <w:r>
        <w:rPr>
          <w:rFonts w:ascii="Arial" w:cs="Arial" w:eastAsia="Arial" w:hAnsi="Arial"/>
          <w:sz w:val="22"/>
          <w:szCs w:val="22"/>
          <w:b w:val="1"/>
          <w:bCs w:val="1"/>
          <w:color w:val="auto"/>
        </w:rPr>
        <w:t>Interest</w:t>
      </w:r>
      <w:r>
        <w:rPr>
          <w:rFonts w:ascii="Arial" w:cs="Arial" w:eastAsia="Arial" w:hAnsi="Arial"/>
          <w:sz w:val="22"/>
          <w:szCs w:val="22"/>
          <w:color w:val="auto"/>
        </w:rPr>
        <w:t>. No interest will accrue on the Contributions of a participant in the Plan, except as may be required by</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1.423-2(f).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71" w:lineRule="exact"/>
        <w:rPr>
          <w:sz w:val="20"/>
          <w:szCs w:val="20"/>
          <w:color w:val="auto"/>
        </w:rPr>
      </w:pPr>
    </w:p>
    <w:p>
      <w:pPr>
        <w:jc w:val="both"/>
        <w:ind w:firstLine="656"/>
        <w:spacing w:after="0" w:line="259"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No Effect on Employment</w:t>
      </w:r>
      <w:r>
        <w:rPr>
          <w:rFonts w:ascii="Arial" w:cs="Arial" w:eastAsia="Arial" w:hAnsi="Arial"/>
          <w:sz w:val="19"/>
          <w:szCs w:val="19"/>
          <w:color w:val="auto"/>
        </w:rPr>
        <w:t>. Neither the Plan nor any option under the Plan will confer upon any Participant any</w:t>
      </w:r>
      <w:r>
        <w:rPr>
          <w:rFonts w:ascii="Arial" w:cs="Arial" w:eastAsia="Arial" w:hAnsi="Arial"/>
          <w:sz w:val="19"/>
          <w:szCs w:val="19"/>
          <w:b w:val="1"/>
          <w:bCs w:val="1"/>
          <w:color w:val="auto"/>
        </w:rPr>
        <w:t xml:space="preserve"> </w:t>
      </w:r>
      <w:r>
        <w:rPr>
          <w:rFonts w:ascii="Arial" w:cs="Arial" w:eastAsia="Arial" w:hAnsi="Arial"/>
          <w:sz w:val="19"/>
          <w:szCs w:val="19"/>
          <w:color w:val="auto"/>
        </w:rPr>
        <w:t>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36"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Reports</w:t>
      </w:r>
      <w:r>
        <w:rPr>
          <w:rFonts w:ascii="Arial" w:cs="Arial" w:eastAsia="Arial" w:hAnsi="Arial"/>
          <w:sz w:val="19"/>
          <w:szCs w:val="19"/>
          <w:color w:val="auto"/>
        </w:rPr>
        <w:t>. Individual accounts will be maintained for each Participant in the Plan. Statements of account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given to participating Eligible Employees at least annually, which statements will set forth the amounts of Contributions, the Purchase Price, the number of shares of Common Stock purchased and the remaining cash balance, if any.</w:t>
      </w:r>
    </w:p>
    <w:p>
      <w:pPr>
        <w:spacing w:after="0" w:line="123"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Notices</w:t>
      </w:r>
      <w:r>
        <w:rPr>
          <w:rFonts w:ascii="Arial" w:cs="Arial" w:eastAsia="Arial" w:hAnsi="Arial"/>
          <w:sz w:val="22"/>
          <w:szCs w:val="22"/>
          <w:color w:val="auto"/>
        </w:rPr>
        <w:t>. All notices or other communications by a Participant to the Company under or in connection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will be deemed to have been duly given when received in the form and manner specified by the Company at the location, or by the person, designated by the Company for the receipt thereof.</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Legal Construction</w:t>
      </w:r>
      <w:r>
        <w:rPr>
          <w:rFonts w:ascii="Arial" w:cs="Arial" w:eastAsia="Arial" w:hAnsi="Arial"/>
          <w:sz w:val="22"/>
          <w:szCs w:val="22"/>
          <w:color w:val="auto"/>
        </w:rPr>
        <w:t>.</w:t>
      </w:r>
    </w:p>
    <w:p>
      <w:pPr>
        <w:spacing w:after="0" w:line="17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color w:val="auto"/>
        </w:rPr>
        <w:t xml:space="preserve">26.a </w:t>
      </w:r>
      <w:r>
        <w:rPr>
          <w:rFonts w:ascii="Arial" w:cs="Arial" w:eastAsia="Arial" w:hAnsi="Arial"/>
          <w:sz w:val="22"/>
          <w:szCs w:val="22"/>
          <w:b w:val="1"/>
          <w:bCs w:val="1"/>
          <w:color w:val="auto"/>
        </w:rPr>
        <w:t>Gender and Number</w:t>
      </w:r>
      <w:r>
        <w:rPr>
          <w:rFonts w:ascii="Arial" w:cs="Arial" w:eastAsia="Arial" w:hAnsi="Arial"/>
          <w:sz w:val="22"/>
          <w:szCs w:val="22"/>
          <w:color w:val="auto"/>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spacing w:after="0" w:line="153" w:lineRule="exact"/>
        <w:rPr>
          <w:sz w:val="20"/>
          <w:szCs w:val="20"/>
          <w:color w:val="auto"/>
        </w:rPr>
      </w:pPr>
    </w:p>
    <w:p>
      <w:pPr>
        <w:jc w:val="both"/>
        <w:ind w:firstLine="1296"/>
        <w:spacing w:after="0" w:line="220" w:lineRule="auto"/>
        <w:rPr>
          <w:sz w:val="20"/>
          <w:szCs w:val="20"/>
          <w:color w:val="auto"/>
        </w:rPr>
      </w:pPr>
      <w:r>
        <w:rPr>
          <w:rFonts w:ascii="Arial" w:cs="Arial" w:eastAsia="Arial" w:hAnsi="Arial"/>
          <w:sz w:val="22"/>
          <w:szCs w:val="22"/>
          <w:color w:val="auto"/>
        </w:rPr>
        <w:t xml:space="preserve">26.b </w:t>
      </w:r>
      <w:r>
        <w:rPr>
          <w:rFonts w:ascii="Arial" w:cs="Arial" w:eastAsia="Arial" w:hAnsi="Arial"/>
          <w:sz w:val="22"/>
          <w:szCs w:val="22"/>
          <w:b w:val="1"/>
          <w:bCs w:val="1"/>
          <w:color w:val="auto"/>
        </w:rPr>
        <w:t>Severability</w:t>
      </w:r>
      <w:r>
        <w:rPr>
          <w:rFonts w:ascii="Arial" w:cs="Arial" w:eastAsia="Arial" w:hAnsi="Arial"/>
          <w:sz w:val="22"/>
          <w:szCs w:val="22"/>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52"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 xml:space="preserve">26.c </w:t>
      </w:r>
      <w:r>
        <w:rPr>
          <w:rFonts w:ascii="Arial" w:cs="Arial" w:eastAsia="Arial" w:hAnsi="Arial"/>
          <w:sz w:val="22"/>
          <w:szCs w:val="22"/>
          <w:b w:val="1"/>
          <w:bCs w:val="1"/>
          <w:color w:val="auto"/>
        </w:rPr>
        <w:t>Governing Law</w:t>
      </w:r>
      <w:r>
        <w:rPr>
          <w:rFonts w:ascii="Arial" w:cs="Arial" w:eastAsia="Arial" w:hAnsi="Arial"/>
          <w:sz w:val="22"/>
          <w:szCs w:val="22"/>
          <w:color w:val="auto"/>
        </w:rPr>
        <w:t>. The Plan will be governed by, and construed in accordance with, the laws of the State of Delaware, but without regard to its conflict of law provisions.</w:t>
      </w:r>
    </w:p>
    <w:p>
      <w:pPr>
        <w:spacing w:after="0" w:line="153" w:lineRule="exact"/>
        <w:rPr>
          <w:sz w:val="20"/>
          <w:szCs w:val="20"/>
          <w:color w:val="auto"/>
        </w:rPr>
      </w:pPr>
    </w:p>
    <w:p>
      <w:pPr>
        <w:jc w:val="both"/>
        <w:ind w:right="20" w:firstLine="1296"/>
        <w:spacing w:after="0" w:line="235" w:lineRule="auto"/>
        <w:rPr>
          <w:sz w:val="20"/>
          <w:szCs w:val="20"/>
          <w:color w:val="auto"/>
        </w:rPr>
      </w:pPr>
      <w:r>
        <w:rPr>
          <w:rFonts w:ascii="Arial" w:cs="Arial" w:eastAsia="Arial" w:hAnsi="Arial"/>
          <w:sz w:val="22"/>
          <w:szCs w:val="22"/>
          <w:color w:val="auto"/>
        </w:rPr>
        <w:t xml:space="preserve">26.d </w:t>
      </w:r>
      <w:r>
        <w:rPr>
          <w:rFonts w:ascii="Arial" w:cs="Arial" w:eastAsia="Arial" w:hAnsi="Arial"/>
          <w:sz w:val="22"/>
          <w:szCs w:val="22"/>
          <w:b w:val="1"/>
          <w:bCs w:val="1"/>
          <w:color w:val="auto"/>
        </w:rPr>
        <w:t>Headings</w:t>
      </w:r>
      <w:r>
        <w:rPr>
          <w:rFonts w:ascii="Arial" w:cs="Arial" w:eastAsia="Arial" w:hAnsi="Arial"/>
          <w:sz w:val="22"/>
          <w:szCs w:val="22"/>
          <w:color w:val="auto"/>
        </w:rPr>
        <w:t>. Headings are provided herein for convenience only, and will not serve as a basis for interpretation of the Plan.</w:t>
      </w:r>
    </w:p>
    <w:p>
      <w:pPr>
        <w:spacing w:after="0" w:line="153" w:lineRule="exact"/>
        <w:rPr>
          <w:sz w:val="20"/>
          <w:szCs w:val="20"/>
          <w:color w:val="auto"/>
        </w:rPr>
      </w:pPr>
    </w:p>
    <w:p>
      <w:pPr>
        <w:ind w:firstLine="656"/>
        <w:spacing w:after="0" w:line="235" w:lineRule="auto"/>
        <w:tabs>
          <w:tab w:leader="none" w:pos="1296"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Compliance with Applicable Laws</w:t>
      </w:r>
      <w:r>
        <w:rPr>
          <w:rFonts w:ascii="Arial" w:cs="Arial" w:eastAsia="Arial" w:hAnsi="Arial"/>
          <w:sz w:val="22"/>
          <w:szCs w:val="22"/>
          <w:color w:val="auto"/>
        </w:rPr>
        <w:t>. The terms of this Plan are intended to comply with all Applicable Laws and</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construed accordingly.</w:t>
      </w:r>
    </w:p>
    <w:p>
      <w:pPr>
        <w:spacing w:after="0" w:line="152" w:lineRule="exact"/>
        <w:rPr>
          <w:rFonts w:ascii="Arial" w:cs="Arial" w:eastAsia="Arial" w:hAnsi="Arial"/>
          <w:sz w:val="22"/>
          <w:szCs w:val="22"/>
          <w:color w:val="auto"/>
        </w:rPr>
      </w:pPr>
    </w:p>
    <w:p>
      <w:pPr>
        <w:jc w:val="both"/>
        <w:ind w:firstLine="656"/>
        <w:spacing w:after="0" w:line="223" w:lineRule="auto"/>
        <w:tabs>
          <w:tab w:leader="none" w:pos="1296"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Automatic Transfer to Low Price Offering Period</w:t>
      </w:r>
      <w:r>
        <w:rPr>
          <w:rFonts w:ascii="Arial" w:cs="Arial" w:eastAsia="Arial" w:hAnsi="Arial"/>
          <w:sz w:val="21"/>
          <w:szCs w:val="21"/>
          <w:color w:val="auto"/>
        </w:rPr>
        <w:t>. Unless determined otherwise by the Administrator, this</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re-enrolled in the immediately following Offering Period as of the first day thereof.</w:t>
      </w:r>
    </w:p>
    <w:p>
      <w:pPr>
        <w:spacing w:after="0" w:line="163" w:lineRule="exact"/>
        <w:rPr>
          <w:rFonts w:ascii="Arial" w:cs="Arial" w:eastAsia="Arial" w:hAnsi="Arial"/>
          <w:sz w:val="21"/>
          <w:szCs w:val="21"/>
          <w:color w:val="auto"/>
        </w:rPr>
      </w:pPr>
    </w:p>
    <w:p>
      <w:pPr>
        <w:ind w:left="5400"/>
        <w:spacing w:after="0"/>
        <w:rPr>
          <w:rFonts w:ascii="Arial" w:cs="Arial" w:eastAsia="Arial" w:hAnsi="Arial"/>
          <w:sz w:val="21"/>
          <w:szCs w:val="21"/>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SEER, INC.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2020 EMPLOYEE STOCK PURCHASE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AGREEMENT</w:t>
      </w:r>
    </w:p>
    <w:p>
      <w:pPr>
        <w:spacing w:after="0" w:line="185" w:lineRule="exact"/>
        <w:rPr>
          <w:sz w:val="20"/>
          <w:szCs w:val="20"/>
          <w:color w:val="auto"/>
        </w:rPr>
      </w:pPr>
    </w:p>
    <w:p>
      <w:pPr>
        <w:spacing w:after="0"/>
        <w:tabs>
          <w:tab w:leader="none" w:pos="2600" w:val="left"/>
        </w:tabs>
        <w:rPr>
          <w:sz w:val="20"/>
          <w:szCs w:val="20"/>
          <w:color w:val="auto"/>
        </w:rPr>
      </w:pPr>
      <w:r>
        <w:rPr>
          <w:rFonts w:ascii="Arial" w:cs="Arial" w:eastAsia="Arial" w:hAnsi="Arial"/>
          <w:sz w:val="22"/>
          <w:szCs w:val="22"/>
          <w:color w:val="auto"/>
        </w:rPr>
        <w:t>_____ Original Application</w:t>
      </w:r>
      <w:r>
        <w:rPr>
          <w:sz w:val="20"/>
          <w:szCs w:val="20"/>
          <w:color w:val="auto"/>
        </w:rPr>
        <w:tab/>
      </w:r>
      <w:r>
        <w:rPr>
          <w:rFonts w:ascii="Arial" w:cs="Arial" w:eastAsia="Arial" w:hAnsi="Arial"/>
          <w:sz w:val="19"/>
          <w:szCs w:val="19"/>
          <w:color w:val="auto"/>
        </w:rPr>
        <w:t>Offering Date: _________________</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_____ Change in Payroll Deduction Rate</w:t>
      </w:r>
    </w:p>
    <w:p>
      <w:pPr>
        <w:spacing w:after="0" w:line="179" w:lineRule="exact"/>
        <w:rPr>
          <w:sz w:val="20"/>
          <w:szCs w:val="20"/>
          <w:color w:val="auto"/>
        </w:rPr>
      </w:pPr>
    </w:p>
    <w:p>
      <w:pPr>
        <w:jc w:val="both"/>
        <w:ind w:firstLine="656"/>
        <w:spacing w:after="0" w:line="218"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____________________ hereby elects to participate in the Seer, Inc. 2020 Employee Stock Purchase Plan (the “</w:t>
      </w:r>
      <w:r>
        <w:rPr>
          <w:rFonts w:ascii="Arial" w:cs="Arial" w:eastAsia="Arial" w:hAnsi="Arial"/>
          <w:sz w:val="22"/>
          <w:szCs w:val="22"/>
          <w:b w:val="1"/>
          <w:bCs w:val="1"/>
          <w:color w:val="auto"/>
        </w:rPr>
        <w:t>Plan</w:t>
      </w:r>
      <w:r>
        <w:rPr>
          <w:rFonts w:ascii="Arial" w:cs="Arial" w:eastAsia="Arial" w:hAnsi="Arial"/>
          <w:sz w:val="22"/>
          <w:szCs w:val="22"/>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60" w:lineRule="exact"/>
        <w:rPr>
          <w:rFonts w:ascii="Arial" w:cs="Arial" w:eastAsia="Arial" w:hAnsi="Arial"/>
          <w:sz w:val="22"/>
          <w:szCs w:val="22"/>
          <w:color w:val="auto"/>
        </w:rPr>
      </w:pPr>
    </w:p>
    <w:p>
      <w:pPr>
        <w:jc w:val="both"/>
        <w:ind w:firstLine="656"/>
        <w:spacing w:after="0" w:line="249" w:lineRule="auto"/>
        <w:tabs>
          <w:tab w:leader="none" w:pos="1296" w:val="left"/>
        </w:tabs>
        <w:numPr>
          <w:ilvl w:val="1"/>
          <w:numId w:val="26"/>
        </w:numPr>
        <w:rPr>
          <w:rFonts w:ascii="Arial" w:cs="Arial" w:eastAsia="Arial" w:hAnsi="Arial"/>
          <w:sz w:val="19"/>
          <w:szCs w:val="19"/>
          <w:color w:val="auto"/>
        </w:rPr>
      </w:pPr>
      <w:r>
        <w:rPr>
          <w:rFonts w:ascii="Arial" w:cs="Arial" w:eastAsia="Arial" w:hAnsi="Arial"/>
          <w:sz w:val="19"/>
          <w:szCs w:val="19"/>
          <w:color w:val="auto"/>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51" w:lineRule="exact"/>
        <w:rPr>
          <w:rFonts w:ascii="Arial" w:cs="Arial" w:eastAsia="Arial" w:hAnsi="Arial"/>
          <w:sz w:val="19"/>
          <w:szCs w:val="19"/>
          <w:color w:val="auto"/>
        </w:rPr>
      </w:pPr>
    </w:p>
    <w:p>
      <w:pPr>
        <w:jc w:val="both"/>
        <w:ind w:firstLine="656"/>
        <w:spacing w:after="0" w:line="216"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57" w:lineRule="exact"/>
        <w:rPr>
          <w:rFonts w:ascii="Arial" w:cs="Arial" w:eastAsia="Arial" w:hAnsi="Arial"/>
          <w:sz w:val="22"/>
          <w:szCs w:val="22"/>
          <w:color w:val="auto"/>
        </w:rPr>
      </w:pPr>
    </w:p>
    <w:p>
      <w:pPr>
        <w:ind w:firstLine="656"/>
        <w:spacing w:after="0" w:line="232" w:lineRule="auto"/>
        <w:tabs>
          <w:tab w:leader="none" w:pos="1296" w:val="left"/>
        </w:tabs>
        <w:numPr>
          <w:ilvl w:val="1"/>
          <w:numId w:val="26"/>
        </w:numPr>
        <w:rPr>
          <w:rFonts w:ascii="Arial" w:cs="Arial" w:eastAsia="Arial" w:hAnsi="Arial"/>
          <w:sz w:val="22"/>
          <w:szCs w:val="22"/>
          <w:color w:val="auto"/>
        </w:rPr>
      </w:pPr>
      <w:r>
        <w:rPr>
          <w:rFonts w:ascii="Arial" w:cs="Arial" w:eastAsia="Arial" w:hAnsi="Arial"/>
          <w:sz w:val="22"/>
          <w:szCs w:val="22"/>
          <w:color w:val="auto"/>
        </w:rPr>
        <w:t>I have received a copy of the complete Plan and its accompanying prospectus. I understand that my participation in the Plan is in all respects subject to the terms of the Plan.</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Shares of Common Stock purchased for me under the Plan should be issued in the name(s) of _____________</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(Eligible Employee or Eligible Employee and spouse only).</w:t>
      </w:r>
    </w:p>
    <w:p>
      <w:pPr>
        <w:spacing w:after="0" w:line="161" w:lineRule="exact"/>
        <w:rPr>
          <w:rFonts w:ascii="Arial" w:cs="Arial" w:eastAsia="Arial" w:hAnsi="Arial"/>
          <w:sz w:val="19"/>
          <w:szCs w:val="19"/>
          <w:color w:val="auto"/>
        </w:rPr>
      </w:pPr>
    </w:p>
    <w:p>
      <w:pPr>
        <w:ind w:left="1300" w:hanging="644"/>
        <w:spacing w:after="0"/>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If I am a U.S. taxpayer, I understand that if I dispose of any shares received by me pursuant to the Plan within two</w:t>
      </w:r>
    </w:p>
    <w:p>
      <w:pPr>
        <w:spacing w:after="0" w:line="15" w:lineRule="exact"/>
        <w:rPr>
          <w:rFonts w:ascii="Arial" w:cs="Arial" w:eastAsia="Arial" w:hAnsi="Arial"/>
          <w:sz w:val="19"/>
          <w:szCs w:val="19"/>
          <w:color w:val="auto"/>
        </w:rPr>
      </w:pPr>
    </w:p>
    <w:p>
      <w:pPr>
        <w:jc w:val="both"/>
        <w:ind w:firstLine="8"/>
        <w:spacing w:after="0" w:line="244" w:lineRule="auto"/>
        <w:tabs>
          <w:tab w:leader="none" w:pos="313"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9"/>
          <w:szCs w:val="19"/>
          <w:b w:val="1"/>
          <w:bCs w:val="1"/>
          <w:color w:val="auto"/>
        </w:rPr>
        <w:t>I hereby agree to notify the Company in writing within thirty (30) days after the</w:t>
      </w:r>
      <w:r>
        <w:rPr>
          <w:rFonts w:ascii="Arial" w:cs="Arial" w:eastAsia="Arial" w:hAnsi="Arial"/>
          <w:sz w:val="19"/>
          <w:szCs w:val="19"/>
          <w:color w:val="auto"/>
        </w:rPr>
        <w:t xml:space="preserve"> </w:t>
      </w:r>
      <w:r>
        <w:rPr>
          <w:rFonts w:ascii="Arial" w:cs="Arial" w:eastAsia="Arial" w:hAnsi="Arial"/>
          <w:sz w:val="19"/>
          <w:szCs w:val="19"/>
          <w:b w:val="1"/>
          <w:bCs w:val="1"/>
          <w:color w:val="auto"/>
        </w:rPr>
        <w:t>date of any disposition of my shares and I will make adequate provision for federal, state or other tax withholding obligations, if any, which arise upon the disposition of the Common Stock</w:t>
      </w:r>
      <w:r>
        <w:rPr>
          <w:rFonts w:ascii="Arial" w:cs="Arial" w:eastAsia="Arial" w:hAnsi="Arial"/>
          <w:sz w:val="19"/>
          <w:szCs w:val="19"/>
          <w:color w:val="auto"/>
        </w:rPr>
        <w:t>. The Company may, but will not be obligated to,</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 from my compensation the amount necessary to meet any applicable withholding</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154" w:lineRule="exact"/>
        <w:rPr>
          <w:sz w:val="20"/>
          <w:szCs w:val="20"/>
          <w:color w:val="auto"/>
        </w:rPr>
      </w:pPr>
    </w:p>
    <w:p>
      <w:pPr>
        <w:jc w:val="both"/>
        <w:ind w:firstLine="656"/>
        <w:spacing w:after="0" w:line="242" w:lineRule="auto"/>
        <w:tabs>
          <w:tab w:leader="none" w:pos="1296"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9"/>
          <w:szCs w:val="19"/>
          <w:b w:val="1"/>
          <w:bCs w:val="1"/>
          <w:color w:val="auto"/>
        </w:rPr>
        <w:t>Tax-Related Items</w:t>
      </w:r>
      <w:r>
        <w:rPr>
          <w:rFonts w:ascii="Arial" w:cs="Arial" w:eastAsia="Arial" w:hAnsi="Arial"/>
          <w:sz w:val="19"/>
          <w:szCs w:val="19"/>
          <w:color w:val="auto"/>
        </w:rPr>
        <w:t>”), the ultimate liability for all Tax-Related Items is and remains my responsibility and may exceed the amount actually withheld by the Company or a Designated Company. Furthermore, I acknowledge that the Company and/or any Designated Company (a) make no representations or undertakings regarding the treatment of any Tax-Related Items in connection with any aspect of the options under the Plan and (b) do not commit to and are under no obligation to structure the terms of the grant of options or any aspect of my participation in the Plan to reduce or eliminate my liability for Tax-Related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Tax-Related Items in more than one jurisdiction.</w:t>
      </w:r>
    </w:p>
    <w:p>
      <w:pPr>
        <w:spacing w:after="0" w:line="16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Tax-Related Items. In this regard, I authorize the Company and/or the applicable Designated Company, or their respective agents, at their discretion, to satisfy any applicable withholding obligations with regard to all Tax-Related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Tax-Related Items by considering applicable maximum withholding rates, in which case I will receive a refund of any over-withheld amount in cash and will have no entitlement to the Common Stock equivalent.</w:t>
      </w:r>
    </w:p>
    <w:p>
      <w:pPr>
        <w:spacing w:after="0" w:line="15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Finally, I agree to pay to the Company or the applicable Designated Company any amount of Tax-Related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Tax-Related Items.</w:t>
      </w:r>
    </w:p>
    <w:p>
      <w:pPr>
        <w:spacing w:after="0" w:line="158"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By electing to participate in the Plan, I acknowledge, understand and agree that: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3" w:lineRule="exact"/>
        <w:rPr>
          <w:rFonts w:ascii="Arial" w:cs="Arial" w:eastAsia="Arial" w:hAnsi="Arial"/>
          <w:sz w:val="22"/>
          <w:szCs w:val="22"/>
          <w:color w:val="auto"/>
        </w:rPr>
      </w:pPr>
    </w:p>
    <w:p>
      <w:pPr>
        <w:ind w:left="5500"/>
        <w:spacing w:after="0"/>
        <w:rPr>
          <w:rFonts w:ascii="Arial" w:cs="Arial" w:eastAsia="Arial" w:hAnsi="Arial"/>
          <w:sz w:val="22"/>
          <w:szCs w:val="22"/>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1224"/>
        <w:spacing w:after="0" w:line="232" w:lineRule="auto"/>
        <w:tabs>
          <w:tab w:leader="none" w:pos="1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provided for in the Plan;</w:t>
      </w:r>
    </w:p>
    <w:p>
      <w:pPr>
        <w:spacing w:after="0" w:line="158" w:lineRule="exact"/>
        <w:rPr>
          <w:rFonts w:ascii="Arial" w:cs="Arial" w:eastAsia="Arial" w:hAnsi="Arial"/>
          <w:sz w:val="22"/>
          <w:szCs w:val="22"/>
          <w:color w:val="auto"/>
        </w:rPr>
      </w:pPr>
    </w:p>
    <w:p>
      <w:pPr>
        <w:ind w:left="1860" w:hanging="636"/>
        <w:spacing w:after="0"/>
        <w:tabs>
          <w:tab w:leader="none" w:pos="1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decisions with respect to future grants under the Plan, if applicable, will be at the sole discretion of the</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161" w:lineRule="exact"/>
        <w:rPr>
          <w:rFonts w:ascii="Arial" w:cs="Arial" w:eastAsia="Arial" w:hAnsi="Arial"/>
          <w:sz w:val="19"/>
          <w:szCs w:val="19"/>
          <w:color w:val="auto"/>
        </w:rPr>
      </w:pPr>
    </w:p>
    <w:p>
      <w:pPr>
        <w:jc w:val="both"/>
        <w:ind w:firstLine="1224"/>
        <w:spacing w:after="0" w:line="234" w:lineRule="auto"/>
        <w:tabs>
          <w:tab w:leader="none" w:pos="1860"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57" w:lineRule="exact"/>
        <w:rPr>
          <w:rFonts w:ascii="Arial" w:cs="Arial" w:eastAsia="Arial" w:hAnsi="Arial"/>
          <w:sz w:val="21"/>
          <w:szCs w:val="21"/>
          <w:color w:val="auto"/>
        </w:rPr>
      </w:pPr>
    </w:p>
    <w:p>
      <w:pPr>
        <w:ind w:left="1860" w:hanging="636"/>
        <w:spacing w:after="0"/>
        <w:tabs>
          <w:tab w:leader="none" w:pos="1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 am voluntarily participating in the Plan;</w:t>
      </w:r>
    </w:p>
    <w:p>
      <w:pPr>
        <w:spacing w:after="0" w:line="179" w:lineRule="exact"/>
        <w:rPr>
          <w:rFonts w:ascii="Arial" w:cs="Arial" w:eastAsia="Arial" w:hAnsi="Arial"/>
          <w:sz w:val="22"/>
          <w:szCs w:val="22"/>
          <w:color w:val="auto"/>
        </w:rPr>
      </w:pPr>
    </w:p>
    <w:p>
      <w:pPr>
        <w:ind w:right="20" w:firstLine="1224"/>
        <w:spacing w:after="0" w:line="232" w:lineRule="auto"/>
        <w:tabs>
          <w:tab w:leader="none" w:pos="18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options granted under the Plan and the shares of Common Stock underlying such options, and the income and value of same, are not intended to replace any pension rights or compensation;</w:t>
      </w:r>
    </w:p>
    <w:p>
      <w:pPr>
        <w:spacing w:after="0" w:line="158" w:lineRule="exact"/>
        <w:rPr>
          <w:rFonts w:ascii="Arial" w:cs="Arial" w:eastAsia="Arial" w:hAnsi="Arial"/>
          <w:sz w:val="22"/>
          <w:szCs w:val="22"/>
          <w:color w:val="auto"/>
        </w:rPr>
      </w:pPr>
    </w:p>
    <w:p>
      <w:pPr>
        <w:jc w:val="both"/>
        <w:ind w:firstLine="1224"/>
        <w:spacing w:after="0" w:line="218" w:lineRule="auto"/>
        <w:tabs>
          <w:tab w:leader="none" w:pos="186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end-of-service payments, bonuses, long-service awards, pension or retirement benefits or similar payments;</w:t>
      </w:r>
    </w:p>
    <w:p>
      <w:pPr>
        <w:spacing w:after="0" w:line="160" w:lineRule="exact"/>
        <w:rPr>
          <w:rFonts w:ascii="Arial" w:cs="Arial" w:eastAsia="Arial" w:hAnsi="Arial"/>
          <w:sz w:val="22"/>
          <w:szCs w:val="22"/>
          <w:color w:val="auto"/>
        </w:rPr>
      </w:pPr>
    </w:p>
    <w:p>
      <w:pPr>
        <w:ind w:firstLine="1224"/>
        <w:spacing w:after="0" w:line="232" w:lineRule="auto"/>
        <w:tabs>
          <w:tab w:leader="none" w:pos="1858"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future value of the shares of Common Stock offered under the Plan is unknown, indeterminable and cannot be predicted with certainty;</w:t>
      </w:r>
    </w:p>
    <w:p>
      <w:pPr>
        <w:spacing w:after="0" w:line="158" w:lineRule="exact"/>
        <w:rPr>
          <w:rFonts w:ascii="Arial" w:cs="Arial" w:eastAsia="Arial" w:hAnsi="Arial"/>
          <w:sz w:val="22"/>
          <w:szCs w:val="22"/>
          <w:color w:val="auto"/>
        </w:rPr>
      </w:pPr>
    </w:p>
    <w:p>
      <w:pPr>
        <w:ind w:left="1860" w:hanging="636"/>
        <w:spacing w:after="0"/>
        <w:tabs>
          <w:tab w:leader="none" w:pos="18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shares of Common Stock that I acquire under the Plan may increase or decrease in value, even below</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Purchase Price;</w:t>
      </w:r>
    </w:p>
    <w:p>
      <w:pPr>
        <w:spacing w:after="0" w:line="161" w:lineRule="exact"/>
        <w:rPr>
          <w:rFonts w:ascii="Arial" w:cs="Arial" w:eastAsia="Arial" w:hAnsi="Arial"/>
          <w:sz w:val="19"/>
          <w:szCs w:val="19"/>
          <w:color w:val="auto"/>
        </w:rPr>
      </w:pPr>
    </w:p>
    <w:p>
      <w:pPr>
        <w:jc w:val="both"/>
        <w:ind w:firstLine="1224"/>
        <w:spacing w:after="0" w:line="221" w:lineRule="auto"/>
        <w:tabs>
          <w:tab w:leader="none" w:pos="1851" w:val="left"/>
        </w:tabs>
        <w:numPr>
          <w:ilvl w:val="0"/>
          <w:numId w:val="30"/>
        </w:numPr>
        <w:rPr>
          <w:rFonts w:ascii="Arial" w:cs="Arial" w:eastAsia="Arial" w:hAnsi="Arial"/>
          <w:sz w:val="21"/>
          <w:szCs w:val="21"/>
          <w:color w:val="auto"/>
        </w:rPr>
      </w:pPr>
      <w:r>
        <w:rPr>
          <w:rFonts w:ascii="Arial" w:cs="Arial" w:eastAsia="Arial" w:hAnsi="Arial"/>
          <w:sz w:val="21"/>
          <w:szCs w:val="21"/>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58" w:lineRule="exact"/>
        <w:rPr>
          <w:rFonts w:ascii="Arial" w:cs="Arial" w:eastAsia="Arial" w:hAnsi="Arial"/>
          <w:sz w:val="21"/>
          <w:szCs w:val="21"/>
          <w:color w:val="auto"/>
        </w:rPr>
      </w:pPr>
    </w:p>
    <w:p>
      <w:pPr>
        <w:jc w:val="both"/>
        <w:ind w:firstLine="1224"/>
        <w:spacing w:after="0" w:line="247" w:lineRule="auto"/>
        <w:tabs>
          <w:tab w:leader="none" w:pos="1851"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Arial" w:cs="Arial" w:eastAsia="Arial" w:hAnsi="Arial"/>
          <w:sz w:val="19"/>
          <w:szCs w:val="19"/>
          <w:i w:val="1"/>
          <w:iCs w:val="1"/>
          <w:color w:val="auto"/>
        </w:rPr>
        <w:t>e.g.</w:t>
      </w:r>
      <w:r>
        <w:rPr>
          <w:rFonts w:ascii="Arial" w:cs="Arial" w:eastAsia="Arial" w:hAnsi="Arial"/>
          <w:sz w:val="19"/>
          <w:szCs w:val="19"/>
          <w:color w:val="auto"/>
        </w:rPr>
        <w:t>, active employment would not include a period of “</w:t>
      </w:r>
      <w:r>
        <w:rPr>
          <w:rFonts w:ascii="Arial" w:cs="Arial" w:eastAsia="Arial" w:hAnsi="Arial"/>
          <w:sz w:val="19"/>
          <w:szCs w:val="19"/>
          <w:b w:val="1"/>
          <w:bCs w:val="1"/>
          <w:color w:val="auto"/>
        </w:rPr>
        <w:t>garden</w:t>
      </w:r>
      <w:r>
        <w:rPr>
          <w:rFonts w:ascii="Arial" w:cs="Arial" w:eastAsia="Arial" w:hAnsi="Arial"/>
          <w:sz w:val="19"/>
          <w:szCs w:val="19"/>
          <w:color w:val="auto"/>
        </w:rPr>
        <w:t xml:space="preserve"> </w:t>
      </w:r>
      <w:r>
        <w:rPr>
          <w:rFonts w:ascii="Arial" w:cs="Arial" w:eastAsia="Arial" w:hAnsi="Arial"/>
          <w:sz w:val="19"/>
          <w:szCs w:val="19"/>
          <w:b w:val="1"/>
          <w:bCs w:val="1"/>
          <w:color w:val="auto"/>
        </w:rPr>
        <w:t>leave</w:t>
      </w:r>
      <w:r>
        <w:rPr>
          <w:rFonts w:ascii="Arial" w:cs="Arial" w:eastAsia="Arial" w:hAnsi="Arial"/>
          <w:sz w:val="19"/>
          <w:szCs w:val="19"/>
          <w:color w:val="auto"/>
        </w:rPr>
        <w:t>” or similar period pursuant to the employment laws in the jurisdiction in which I am employed or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40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80"/>
        <w:spacing w:after="0" w:line="223" w:lineRule="auto"/>
        <w:rPr>
          <w:sz w:val="20"/>
          <w:szCs w:val="20"/>
          <w:color w:val="auto"/>
        </w:rPr>
      </w:pPr>
      <w:r>
        <w:rPr>
          <w:rFonts w:ascii="Arial" w:cs="Arial" w:eastAsia="Arial" w:hAnsi="Arial"/>
          <w:sz w:val="22"/>
          <w:szCs w:val="22"/>
          <w:color w:val="auto"/>
        </w:rPr>
        <w:t>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spacing w:after="0" w:line="159" w:lineRule="exact"/>
        <w:rPr>
          <w:sz w:val="20"/>
          <w:szCs w:val="20"/>
          <w:color w:val="auto"/>
        </w:rPr>
      </w:pPr>
    </w:p>
    <w:p>
      <w:pPr>
        <w:jc w:val="both"/>
        <w:ind w:firstLine="656"/>
        <w:spacing w:after="0"/>
        <w:tabs>
          <w:tab w:leader="none" w:pos="1296" w:val="left"/>
        </w:tabs>
        <w:numPr>
          <w:ilvl w:val="0"/>
          <w:numId w:val="31"/>
        </w:numPr>
        <w:rPr>
          <w:rFonts w:ascii="Arial" w:cs="Arial" w:eastAsia="Arial" w:hAnsi="Arial"/>
          <w:sz w:val="19"/>
          <w:szCs w:val="19"/>
          <w:i w:val="1"/>
          <w:iCs w:val="1"/>
          <w:color w:val="auto"/>
        </w:rPr>
      </w:pPr>
      <w:r>
        <w:rPr>
          <w:rFonts w:ascii="Arial" w:cs="Arial" w:eastAsia="Arial" w:hAnsi="Arial"/>
          <w:sz w:val="19"/>
          <w:szCs w:val="19"/>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9"/>
          <w:szCs w:val="19"/>
          <w:b w:val="1"/>
          <w:bCs w:val="1"/>
          <w:i w:val="1"/>
          <w:iCs w:val="1"/>
          <w:color w:val="auto"/>
        </w:rPr>
        <w:t>Data</w:t>
      </w:r>
      <w:r>
        <w:rPr>
          <w:rFonts w:ascii="Arial" w:cs="Arial" w:eastAsia="Arial" w:hAnsi="Arial"/>
          <w:sz w:val="19"/>
          <w:szCs w:val="19"/>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37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56"/>
        <w:spacing w:after="0" w:line="223"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158" w:lineRule="exact"/>
        <w:rPr>
          <w:rFonts w:ascii="Arial" w:cs="Arial" w:eastAsia="Arial" w:hAnsi="Arial"/>
          <w:sz w:val="22"/>
          <w:szCs w:val="22"/>
          <w:color w:val="auto"/>
        </w:rPr>
      </w:pPr>
    </w:p>
    <w:p>
      <w:pPr>
        <w:jc w:val="both"/>
        <w:ind w:right="20" w:firstLine="656"/>
        <w:spacing w:after="0" w:line="223" w:lineRule="auto"/>
        <w:tabs>
          <w:tab w:leader="none" w:pos="128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158" w:lineRule="exact"/>
        <w:rPr>
          <w:rFonts w:ascii="Arial" w:cs="Arial" w:eastAsia="Arial" w:hAnsi="Arial"/>
          <w:sz w:val="22"/>
          <w:szCs w:val="22"/>
          <w:color w:val="auto"/>
        </w:rPr>
      </w:pPr>
    </w:p>
    <w:p>
      <w:pPr>
        <w:jc w:val="both"/>
        <w:ind w:firstLine="656"/>
        <w:spacing w:after="0" w:line="247"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53" w:lineRule="exact"/>
        <w:rPr>
          <w:rFonts w:ascii="Arial" w:cs="Arial" w:eastAsia="Arial" w:hAnsi="Arial"/>
          <w:sz w:val="19"/>
          <w:szCs w:val="19"/>
          <w:color w:val="auto"/>
        </w:rPr>
      </w:pPr>
    </w:p>
    <w:p>
      <w:pPr>
        <w:ind w:firstLine="656"/>
        <w:spacing w:after="0" w:line="232"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color w:val="auto"/>
        </w:rPr>
        <w:t>I hereby agree to be bound by the terms of the Plan. The effectiveness of this Subscription Agreement is dependent upon my eligibility to participate in the Plan.</w:t>
      </w:r>
    </w:p>
    <w:p>
      <w:pPr>
        <w:spacing w:after="0" w:line="200" w:lineRule="exact"/>
        <w:rPr>
          <w:sz w:val="20"/>
          <w:szCs w:val="20"/>
          <w:color w:val="auto"/>
        </w:rPr>
      </w:pPr>
    </w:p>
    <w:p>
      <w:pPr>
        <w:spacing w:after="0" w:line="256" w:lineRule="exact"/>
        <w:rPr>
          <w:sz w:val="20"/>
          <w:szCs w:val="20"/>
          <w:color w:val="auto"/>
        </w:rPr>
      </w:pPr>
    </w:p>
    <w:p>
      <w:pPr>
        <w:ind w:left="80"/>
        <w:spacing w:after="0"/>
        <w:rPr>
          <w:sz w:val="20"/>
          <w:szCs w:val="20"/>
          <w:color w:val="auto"/>
        </w:rPr>
      </w:pPr>
      <w:r>
        <w:rPr>
          <w:rFonts w:ascii="Arial" w:cs="Arial" w:eastAsia="Arial" w:hAnsi="Arial"/>
          <w:sz w:val="22"/>
          <w:szCs w:val="22"/>
          <w:color w:val="auto"/>
        </w:rPr>
        <w:t>Employee’s Social</w:t>
      </w:r>
    </w:p>
    <w:p>
      <w:pPr>
        <w:spacing w:after="0" w:line="220" w:lineRule="exact"/>
        <w:rPr>
          <w:sz w:val="20"/>
          <w:szCs w:val="20"/>
          <w:color w:val="auto"/>
        </w:rPr>
      </w:pPr>
    </w:p>
    <w:p>
      <w:pPr>
        <w:ind w:left="80"/>
        <w:spacing w:after="0"/>
        <w:rPr>
          <w:sz w:val="20"/>
          <w:szCs w:val="20"/>
          <w:color w:val="auto"/>
        </w:rPr>
      </w:pPr>
      <w:r>
        <w:rPr>
          <w:rFonts w:ascii="Arial" w:cs="Arial" w:eastAsia="Arial" w:hAnsi="Arial"/>
          <w:sz w:val="22"/>
          <w:szCs w:val="22"/>
          <w:color w:val="auto"/>
        </w:rPr>
        <w:t>Security Number</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22"/>
          <w:szCs w:val="22"/>
          <w:color w:val="auto"/>
        </w:rPr>
        <w:t>(for U.S.-based employees):</w:t>
      </w:r>
    </w:p>
    <w:p>
      <w:pPr>
        <w:spacing w:after="0" w:line="17" w:lineRule="exact"/>
        <w:rPr>
          <w:sz w:val="20"/>
          <w:szCs w:val="20"/>
          <w:color w:val="auto"/>
        </w:rPr>
      </w:pPr>
    </w:p>
    <w:p>
      <w:pPr>
        <w:ind w:left="80"/>
        <w:spacing w:after="0"/>
        <w:rPr>
          <w:sz w:val="20"/>
          <w:szCs w:val="20"/>
          <w:color w:val="auto"/>
        </w:rPr>
      </w:pPr>
      <w:r>
        <w:rPr>
          <w:rFonts w:ascii="Arial" w:cs="Arial" w:eastAsia="Arial" w:hAnsi="Arial"/>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621665</wp:posOffset>
            </wp:positionV>
            <wp:extent cx="36518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313055</wp:posOffset>
            </wp:positionV>
            <wp:extent cx="365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13335</wp:posOffset>
            </wp:positionV>
            <wp:extent cx="365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365188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-157480</wp:posOffset>
            </wp:positionV>
            <wp:extent cx="365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I UNDERSTAND THAT THIS SUBSCRIPTION AGREEMENT WILL REMAIN IN EFFECT THROUGHOUT SUCCESSIVE OFFERING PERIODS UNLESS TERMINATED BY ME.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-5715</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-5715</wp:posOffset>
            </wp:positionV>
            <wp:extent cx="137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880"/>
        <w:spacing w:after="0"/>
        <w:rPr>
          <w:sz w:val="20"/>
          <w:szCs w:val="20"/>
          <w:color w:val="auto"/>
        </w:rPr>
      </w:pPr>
      <w:r>
        <w:rPr>
          <w:rFonts w:ascii="Arial" w:cs="Arial" w:eastAsia="Arial" w:hAnsi="Arial"/>
          <w:sz w:val="22"/>
          <w:szCs w:val="22"/>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SEER,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EMPLOYEE STOCK PURCHASE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WITHDRAWAL</w:t>
      </w:r>
    </w:p>
    <w:p>
      <w:pPr>
        <w:spacing w:after="0" w:line="17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19"/>
          <w:szCs w:val="19"/>
          <w:color w:val="auto"/>
        </w:rPr>
        <w:t>The undersigned Participant in the Offering Period of the Seer, Inc. 2020 Employee Stock Purchase Plan (the “</w:t>
      </w:r>
      <w:r>
        <w:rPr>
          <w:rFonts w:ascii="Arial" w:cs="Arial" w:eastAsia="Arial" w:hAnsi="Arial"/>
          <w:sz w:val="19"/>
          <w:szCs w:val="19"/>
          <w:b w:val="1"/>
          <w:bCs w:val="1"/>
          <w:color w:val="auto"/>
        </w:rPr>
        <w:t>Plan</w:t>
      </w:r>
      <w:r>
        <w:rPr>
          <w:rFonts w:ascii="Arial" w:cs="Arial" w:eastAsia="Arial" w:hAnsi="Arial"/>
          <w:sz w:val="19"/>
          <w:szCs w:val="19"/>
          <w:color w:val="auto"/>
        </w:rPr>
        <w:t>”) that began on ____________, ______ (the “</w:t>
      </w:r>
      <w:r>
        <w:rPr>
          <w:rFonts w:ascii="Arial" w:cs="Arial" w:eastAsia="Arial" w:hAnsi="Arial"/>
          <w:sz w:val="19"/>
          <w:szCs w:val="19"/>
          <w:b w:val="1"/>
          <w:bCs w:val="1"/>
          <w:color w:val="auto"/>
        </w:rPr>
        <w:t>Offering Date</w:t>
      </w:r>
      <w:r>
        <w:rPr>
          <w:rFonts w:ascii="Arial" w:cs="Arial" w:eastAsia="Arial" w:hAnsi="Arial"/>
          <w:sz w:val="19"/>
          <w:szCs w:val="19"/>
          <w:color w:val="auto"/>
        </w:rPr>
        <w:t>”) hereby notifies the Company that he or she hereby withdraws from the</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37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255905</wp:posOffset>
            </wp:positionV>
            <wp:extent cx="274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530225</wp:posOffset>
            </wp:positionV>
            <wp:extent cx="274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804545</wp:posOffset>
            </wp:positionV>
            <wp:extent cx="274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255905</wp:posOffset>
            </wp:positionV>
            <wp:extent cx="274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3216910</wp:posOffset>
            </wp:positionH>
            <wp:positionV relativeFrom="paragraph">
              <wp:posOffset>-17780</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left="6020"/>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Seer, Inc.</w:t>
      </w:r>
    </w:p>
    <w:p>
      <w:pPr>
        <w:spacing w:after="0" w:line="232" w:lineRule="auto"/>
        <w:rPr>
          <w:sz w:val="20"/>
          <w:szCs w:val="20"/>
          <w:color w:val="auto"/>
        </w:rPr>
      </w:pPr>
      <w:r>
        <w:rPr>
          <w:rFonts w:ascii="Arial" w:cs="Arial" w:eastAsia="Arial" w:hAnsi="Arial"/>
          <w:sz w:val="18"/>
          <w:szCs w:val="18"/>
          <w:color w:val="auto"/>
        </w:rPr>
        <w:t>3800 Bridge Parkway, Suite 102</w:t>
      </w:r>
    </w:p>
    <w:p>
      <w:pPr>
        <w:spacing w:after="0" w:line="203" w:lineRule="auto"/>
        <w:rPr>
          <w:sz w:val="20"/>
          <w:szCs w:val="20"/>
          <w:color w:val="auto"/>
        </w:rPr>
      </w:pPr>
      <w:r>
        <w:rPr>
          <w:rFonts w:ascii="Arial" w:cs="Arial" w:eastAsia="Arial" w:hAnsi="Arial"/>
          <w:sz w:val="18"/>
          <w:szCs w:val="18"/>
          <w:color w:val="auto"/>
        </w:rPr>
        <w:t>Redwood City, CA 94065</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Registration Statement on Form S-8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We have examined the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by Seer, Inc., a Delaware corporation (the “Company”), with the Securities and Exchange Commission on or about the date hereof, relating to the registration under the Securities Act of 1933, as amended, of (i) 3,170,552 shares of Class A common stock, par value $0.00001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reserved for issuance pursuant to the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Company’s 2020 Equity Incentive Plan, and (ii) 634,110 shares of Common Stock reserved for issuance pursuant to the Company’s 2020 Employee Stock Purchase Plan (which plans are referred to herein as the “</w:t>
      </w:r>
      <w:r>
        <w:rPr>
          <w:rFonts w:ascii="Arial" w:cs="Arial" w:eastAsia="Arial" w:hAnsi="Arial"/>
          <w:sz w:val="17"/>
          <w:szCs w:val="17"/>
          <w:b w:val="1"/>
          <w:bCs w:val="1"/>
          <w:color w:val="auto"/>
        </w:rPr>
        <w:t>Plans</w:t>
      </w:r>
      <w:r>
        <w:rPr>
          <w:rFonts w:ascii="Arial" w:cs="Arial" w:eastAsia="Arial" w:hAnsi="Arial"/>
          <w:sz w:val="17"/>
          <w:szCs w:val="17"/>
          <w:color w:val="auto"/>
        </w:rPr>
        <w:t>” and which shares of Common Stock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8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On the basis of the foregoing, and in reliance thereon, we are of the opinion that the Shares, when issued and sold in the manner referred to in the Plans and pursuant to the agreements that accompany the Plans, will be validly issued, fully paid, and nonassessable.</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200" w:lineRule="exact"/>
        <w:rPr>
          <w:sz w:val="20"/>
          <w:szCs w:val="20"/>
          <w:color w:val="auto"/>
        </w:rPr>
      </w:pPr>
    </w:p>
    <w:p>
      <w:pPr>
        <w:spacing w:after="0" w:line="31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WILSON SONSINI GOODRICH &amp; ROSATI, P.C.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WILSON SONSINI GOODRICH &amp; ROSATI</w:t>
      </w:r>
    </w:p>
    <w:p>
      <w:pPr>
        <w:spacing w:after="0" w:line="6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240"/>
          </w:cols>
          <w:pgMar w:left="320" w:top="36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 dated March 6, 2023, relating to the financial statements of Seer, Inc. appearing in this Annual Report on Form 10-K of Seer Inc. for the year ended December 31, 2022.</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8, 2023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lvl w:ilvl="1">
      <w:lvlJc w:val="left"/>
      <w:lvlText w:val="(%2)"/>
      <w:numFmt w:val="lowerRoman"/>
      <w:start w:val="1"/>
    </w:lvl>
  </w:abstractNum>
  <w:abstractNum w:abstractNumId="2">
    <w:nsid w:val="519B500D"/>
    <w:multiLevelType w:val="hybridMultilevel"/>
    <w:lvl w:ilvl="0">
      <w:lvlJc w:val="left"/>
      <w:lvlText w:val="%1"/>
      <w:numFmt w:val="upperLetter"/>
      <w:start w:val="1"/>
    </w:lvl>
    <w:lvl w:ilvl="1">
      <w:lvlJc w:val="left"/>
      <w:lvlText w:val="(%2)"/>
      <w:numFmt w:val="decimal"/>
      <w:start w:val="2"/>
    </w:lvl>
  </w:abstractNum>
  <w:abstractNum w:abstractNumId="3">
    <w:nsid w:val="431BD7B7"/>
    <w:multiLevelType w:val="hybridMultilevel"/>
    <w:lvl w:ilvl="0">
      <w:lvlJc w:val="left"/>
      <w:lvlText w:val="%1."/>
      <w:numFmt w:val="upperLetter"/>
      <w:start w:val="2"/>
    </w:lvl>
    <w:lvl w:ilvl="1">
      <w:lvlJc w:val="left"/>
      <w:lvlText w:val="%2"/>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lowerLetter"/>
      <w:start w:val="4"/>
    </w:lvl>
  </w:abstractNum>
  <w:abstractNum w:abstractNumId="7">
    <w:nsid w:val="62BBD95A"/>
    <w:multiLevelType w:val="hybridMultilevel"/>
    <w:lvl w:ilvl="0">
      <w:lvlJc w:val="left"/>
      <w:lvlText w:val="%1."/>
      <w:numFmt w:val="decimal"/>
      <w:start w:val="3"/>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5"/>
    </w:lvl>
  </w:abstractNum>
  <w:abstractNum w:abstractNumId="10">
    <w:nsid w:val="333AB105"/>
    <w:multiLevelType w:val="hybridMultilevel"/>
    <w:lvl w:ilvl="0">
      <w:lvlJc w:val="left"/>
      <w:lvlText w:val="%1."/>
      <w:numFmt w:val="decimal"/>
      <w:start w:val="6"/>
    </w:lvl>
  </w:abstractNum>
  <w:abstractNum w:abstractNumId="11">
    <w:nsid w:val="721DA317"/>
    <w:multiLevelType w:val="hybridMultilevel"/>
    <w:lvl w:ilvl="0">
      <w:lvlJc w:val="left"/>
      <w:lvlText w:val="%1"/>
      <w:numFmt w:val="lowerLetter"/>
      <w:start w:val="1"/>
    </w:lvl>
    <w:lvl w:ilvl="1">
      <w:lvlJc w:val="left"/>
      <w:lvlText w:val="%2."/>
      <w:numFmt w:val="decimal"/>
      <w:start w:val="7"/>
    </w:lvl>
  </w:abstractNum>
  <w:abstractNum w:abstractNumId="12">
    <w:nsid w:val="2443A858"/>
    <w:multiLevelType w:val="hybridMultilevel"/>
    <w:lvl w:ilvl="0">
      <w:lvlJc w:val="left"/>
      <w:lvlText w:val="(%1)"/>
      <w:numFmt w:val="lowerLetter"/>
      <w:start w:val="2"/>
    </w:lvl>
    <w:lvl w:ilvl="1">
      <w:lvlJc w:val="left"/>
      <w:lvlText w:val="%2."/>
      <w:numFmt w:val="decimal"/>
      <w:start w:val="8"/>
    </w:lvl>
  </w:abstractNum>
  <w:abstractNum w:abstractNumId="13">
    <w:nsid w:val="2D1D5AE9"/>
    <w:multiLevelType w:val="hybridMultilevel"/>
    <w:lvl w:ilvl="0">
      <w:lvlJc w:val="left"/>
      <w:lvlText w:val="%1."/>
      <w:numFmt w:val="decimal"/>
      <w:start w:val="9"/>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lowerRoman"/>
      <w:start w:val="10"/>
    </w:lvl>
  </w:abstractNum>
  <w:abstractNum w:abstractNumId="16">
    <w:nsid w:val="8EDBDAB"/>
    <w:multiLevelType w:val="hybridMultilevel"/>
    <w:lvl w:ilvl="0">
      <w:lvlJc w:val="left"/>
      <w:lvlText w:val="(%1)"/>
      <w:numFmt w:val="lowerLetter"/>
      <w:start w:val="25"/>
    </w:lvl>
    <w:lvl w:ilvl="1">
      <w:lvlJc w:val="left"/>
      <w:lvlText w:val="%2."/>
      <w:numFmt w:val="decimal"/>
      <w:start w:val="11"/>
    </w:lvl>
  </w:abstractNum>
  <w:abstractNum w:abstractNumId="17">
    <w:nsid w:val="79838CB2"/>
    <w:multiLevelType w:val="hybridMultilevel"/>
    <w:lvl w:ilvl="0">
      <w:lvlJc w:val="left"/>
      <w:lvlText w:val="%1."/>
      <w:numFmt w:val="decimal"/>
      <w:start w:val="13"/>
    </w:lvl>
  </w:abstractNum>
  <w:abstractNum w:abstractNumId="18">
    <w:nsid w:val="4353D0CD"/>
    <w:multiLevelType w:val="hybridMultilevel"/>
    <w:lvl w:ilvl="0">
      <w:lvlJc w:val="left"/>
      <w:lvlText w:val="%1."/>
      <w:numFmt w:val="decimal"/>
      <w:start w:val="14"/>
    </w:lvl>
  </w:abstractNum>
  <w:abstractNum w:abstractNumId="19">
    <w:nsid w:val="B03E0C6"/>
    <w:multiLevelType w:val="hybridMultilevel"/>
    <w:lvl w:ilvl="0">
      <w:lvlJc w:val="left"/>
      <w:lvlText w:val="%1."/>
      <w:numFmt w:val="decimal"/>
      <w:start w:val="18"/>
    </w:lvl>
  </w:abstractNum>
  <w:abstractNum w:abstractNumId="20">
    <w:nsid w:val="189A769B"/>
    <w:multiLevelType w:val="hybridMultilevel"/>
    <w:lvl w:ilvl="0">
      <w:lvlJc w:val="left"/>
      <w:lvlText w:val="%1."/>
      <w:numFmt w:val="decimal"/>
      <w:start w:val="19"/>
    </w:lvl>
  </w:abstractNum>
  <w:abstractNum w:abstractNumId="21">
    <w:nsid w:val="54E49EB4"/>
    <w:multiLevelType w:val="hybridMultilevel"/>
    <w:lvl w:ilvl="0">
      <w:lvlJc w:val="left"/>
      <w:lvlText w:val="%1"/>
      <w:numFmt w:val="decimal"/>
      <w:start w:val="1"/>
    </w:lvl>
    <w:lvl w:ilvl="1">
      <w:lvlJc w:val="left"/>
      <w:lvlText w:val="%2."/>
      <w:numFmt w:val="decimal"/>
      <w:start w:val="20"/>
    </w:lvl>
  </w:abstractNum>
  <w:abstractNum w:abstractNumId="22">
    <w:nsid w:val="71F32454"/>
    <w:multiLevelType w:val="hybridMultilevel"/>
    <w:lvl w:ilvl="0">
      <w:lvlJc w:val="left"/>
      <w:lvlText w:val="(%1)"/>
      <w:numFmt w:val="decimal"/>
      <w:start w:val="12"/>
    </w:lvl>
    <w:lvl w:ilvl="1">
      <w:lvlJc w:val="left"/>
      <w:lvlText w:val="%2."/>
      <w:numFmt w:val="decimal"/>
      <w:start w:val="22"/>
    </w:lvl>
  </w:abstractNum>
  <w:abstractNum w:abstractNumId="23">
    <w:nsid w:val="2CA88611"/>
    <w:multiLevelType w:val="hybridMultilevel"/>
    <w:lvl w:ilvl="0">
      <w:lvlJc w:val="left"/>
      <w:lvlText w:val="%1."/>
      <w:numFmt w:val="decimal"/>
      <w:start w:val="23"/>
    </w:lvl>
  </w:abstractNum>
  <w:abstractNum w:abstractNumId="24">
    <w:nsid w:val="836C40E"/>
    <w:multiLevelType w:val="hybridMultilevel"/>
    <w:lvl w:ilvl="0">
      <w:lvlJc w:val="left"/>
      <w:lvlText w:val="%1."/>
      <w:numFmt w:val="decimal"/>
      <w:start w:val="27"/>
    </w:lvl>
    <w:lvl w:ilvl="1">
      <w:lvlJc w:val="left"/>
      <w:lvlText w:val="*"/>
      <w:numFmt w:val="bullet"/>
      <w:start w:val="1"/>
    </w:lvl>
  </w:abstractNum>
  <w:abstractNum w:abstractNumId="25">
    <w:nsid w:val="2901D82"/>
    <w:multiLevelType w:val="hybridMultilevel"/>
    <w:lvl w:ilvl="0">
      <w:lvlJc w:val="left"/>
      <w:lvlText w:val="%1"/>
      <w:numFmt w:val="decimal"/>
      <w:start w:val="1"/>
    </w:lvl>
    <w:lvl w:ilvl="1">
      <w:lvlJc w:val="left"/>
      <w:lvlText w:val="%2."/>
      <w:numFmt w:val="decimal"/>
      <w:start w:val="1"/>
    </w:lvl>
  </w:abstractNum>
  <w:abstractNum w:abstractNumId="26">
    <w:nsid w:val="3A95F874"/>
    <w:multiLevelType w:val="hybridMultilevel"/>
    <w:lvl w:ilvl="0">
      <w:lvlJc w:val="left"/>
      <w:lvlText w:val="(%1)"/>
      <w:numFmt w:val="decimal"/>
      <w:start w:val="2"/>
    </w:lvl>
    <w:lvl w:ilvl="1">
      <w:lvlJc w:val="left"/>
      <w:lvlText w:val="%2"/>
      <w:numFmt w:val="decimal"/>
      <w:start w:val="1"/>
    </w:lvl>
  </w:abstractNum>
  <w:abstractNum w:abstractNumId="27">
    <w:nsid w:val="8138641"/>
    <w:multiLevelType w:val="hybridMultilevel"/>
    <w:lvl w:ilvl="0">
      <w:lvlJc w:val="left"/>
      <w:lvlText w:val="%1."/>
      <w:numFmt w:val="decimal"/>
      <w:start w:val="7"/>
    </w:lvl>
  </w:abstractNum>
  <w:abstractNum w:abstractNumId="28">
    <w:nsid w:val="1E7FF521"/>
    <w:multiLevelType w:val="hybridMultilevel"/>
    <w:lvl w:ilvl="0">
      <w:lvlJc w:val="left"/>
      <w:lvlText w:val="%1."/>
      <w:numFmt w:val="decimal"/>
      <w:start w:val="8"/>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9"/>
    </w:lvl>
  </w:abstractNum>
  <w:abstractNum w:abstractNumId="31">
    <w:nsid w:val="6CEAF087"/>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16" Type="http://schemas.openxmlformats.org/officeDocument/2006/relationships/hyperlink" Target="https://www.sec.gov/ix?doc=/Archives/edgar/data/0001726445/000162828023006564/seer-20221231.htm" TargetMode="External"/><Relationship Id="rId17" Type="http://schemas.openxmlformats.org/officeDocument/2006/relationships/hyperlink" Target="https://www.sec.gov/Archives/edgar/data/1726445/000162828020016900/seer-form8xa.htm" TargetMode="External"/><Relationship Id="rId19" Type="http://schemas.openxmlformats.org/officeDocument/2006/relationships/hyperlink" Target="https://www.sec.gov/Archives/edgar/data/1726445/000162828020016325/exhibit41-stockcertifi.htm" TargetMode="External"/><Relationship Id="rId20" Type="http://schemas.openxmlformats.org/officeDocument/2006/relationships/hyperlink" Target="https://www.sec.gov/Archives/edgar/data/1726445/000162828020016863/exhibit102-sx1a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2023-03-08T15:23:11Z</dcterms:created>
  <dcterms:modified xsi:type="dcterms:W3CDTF">2023-03-08T15:23:11Z</dcterms:modified>
</cp:coreProperties>
</file>