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(Rule 13d-102)</w:t>
      </w:r>
    </w:p>
    <w:p>
      <w:pPr>
        <w:spacing w:after="0" w:line="206" w:lineRule="exact"/>
        <w:rPr>
          <w:sz w:val="24"/>
          <w:szCs w:val="24"/>
          <w:color w:val="auto"/>
        </w:rPr>
      </w:pPr>
    </w:p>
    <w:p>
      <w:pPr>
        <w:jc w:val="center"/>
        <w:ind w:left="500" w:right="2640"/>
        <w:spacing w:after="0" w:line="243" w:lineRule="auto"/>
        <w:rPr>
          <w:sz w:val="20"/>
          <w:szCs w:val="20"/>
          <w:color w:val="auto"/>
        </w:rPr>
      </w:pPr>
      <w:r>
        <w:rPr>
          <w:rFonts w:ascii="Arial" w:cs="Arial" w:eastAsia="Arial" w:hAnsi="Arial"/>
          <w:sz w:val="22"/>
          <w:szCs w:val="22"/>
          <w:b w:val="1"/>
          <w:bCs w:val="1"/>
          <w:color w:val="auto"/>
        </w:rPr>
        <w:t>Information to be Included in Statements Filed Pursuant to § 240.13d-1(b), (c) and (d) and Amendments Thereto Filed Pursuant to § 240.13d-2</w:t>
      </w:r>
    </w:p>
    <w:p>
      <w:pPr>
        <w:spacing w:after="0" w:line="177"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p>
      <w:pPr>
        <w:jc w:val="center"/>
        <w:ind w:right="-63"/>
        <w:spacing w:after="0"/>
        <w:rPr>
          <w:sz w:val="20"/>
          <w:szCs w:val="20"/>
          <w:color w:val="auto"/>
        </w:rPr>
      </w:pPr>
      <w:r>
        <w:rPr>
          <w:rFonts w:ascii="Arial" w:cs="Arial" w:eastAsia="Arial" w:hAnsi="Arial"/>
          <w:sz w:val="43"/>
          <w:szCs w:val="43"/>
          <w:b w:val="1"/>
          <w:bCs w:val="1"/>
          <w:color w:val="auto"/>
        </w:rPr>
        <w:t>Seer, Inc.</w:t>
      </w:r>
    </w:p>
    <w:p>
      <w:pPr>
        <w:spacing w:after="0" w:line="50"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81578P106</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December 8, 2020</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4" w:right="9720" w:hanging="4"/>
        <w:spacing w:after="0" w:line="224" w:lineRule="exact"/>
        <w:tabs>
          <w:tab w:leader="none" w:pos="211"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w:t>
      </w:r>
    </w:p>
    <w:p>
      <w:pPr>
        <w:ind w:left="204" w:hanging="204"/>
        <w:spacing w:after="0"/>
        <w:tabs>
          <w:tab w:leader="none" w:pos="2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36" w:lineRule="exact"/>
        <w:rPr>
          <w:sz w:val="24"/>
          <w:szCs w:val="24"/>
          <w:color w:val="auto"/>
        </w:rPr>
      </w:pPr>
    </w:p>
    <w:p>
      <w:pPr>
        <w:ind w:left="424" w:hanging="424"/>
        <w:spacing w:after="0" w:line="308"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left="4" w:right="6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517" w:right="519" w:bottom="1440" w:gutter="0" w:footer="0" w:header="0"/>
        </w:sectPr>
      </w:pPr>
    </w:p>
    <w:bookmarkStart w:id="1" w:name="page2"/>
    <w:bookmarkEnd w:id="1"/>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1 of 7</w:t>
      </w:r>
    </w:p>
    <w:p>
      <w:pPr>
        <w:spacing w:after="0" w:line="171" w:lineRule="exact"/>
        <w:rPr>
          <w:sz w:val="20"/>
          <w:szCs w:val="20"/>
          <w:color w:val="auto"/>
        </w:rPr>
      </w:pPr>
    </w:p>
    <w:p>
      <w:pPr>
        <w:ind w:left="620" w:hanging="377"/>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522097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SVF II AIV-1 (DE) L.P.</w:t>
      </w:r>
    </w:p>
    <w:p>
      <w:pPr>
        <w:spacing w:after="0" w:line="36" w:lineRule="exact"/>
        <w:rPr>
          <w:sz w:val="20"/>
          <w:szCs w:val="20"/>
          <w:color w:val="auto"/>
        </w:rPr>
      </w:pPr>
    </w:p>
    <w:p>
      <w:pPr>
        <w:ind w:left="620" w:hanging="377"/>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2,896,578</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5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2,896,578</w:t>
      </w:r>
    </w:p>
    <w:p>
      <w:pPr>
        <w:spacing w:after="0" w:line="36" w:lineRule="exact"/>
        <w:rPr>
          <w:sz w:val="20"/>
          <w:szCs w:val="20"/>
          <w:color w:val="auto"/>
        </w:rPr>
      </w:pPr>
    </w:p>
    <w:p>
      <w:pPr>
        <w:ind w:left="600" w:hanging="357"/>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2,896,578</w:t>
      </w:r>
    </w:p>
    <w:p>
      <w:pPr>
        <w:spacing w:after="0" w:line="36" w:lineRule="exact"/>
        <w:rPr>
          <w:sz w:val="20"/>
          <w:szCs w:val="20"/>
          <w:color w:val="auto"/>
        </w:rPr>
      </w:pPr>
    </w:p>
    <w:p>
      <w:pPr>
        <w:ind w:left="620" w:right="5480" w:hanging="467"/>
        <w:spacing w:after="0" w:line="406"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620" w:right="6740" w:hanging="467"/>
        <w:spacing w:after="0" w:line="406" w:lineRule="auto"/>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PN</w:t>
      </w:r>
    </w:p>
    <w:p>
      <w:pPr>
        <w:sectPr>
          <w:pgSz w:w="11900" w:h="16838" w:orient="portrait"/>
          <w:cols w:equalWidth="0" w:num="1">
            <w:col w:w="11020"/>
          </w:cols>
          <w:pgMar w:left="440" w:top="274" w:right="439" w:bottom="1440" w:gutter="0" w:footer="0" w:header="0"/>
        </w:sectPr>
      </w:pPr>
    </w:p>
    <w:bookmarkStart w:id="2" w:name="page3"/>
    <w:bookmarkEnd w:id="2"/>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81578P106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2 of 7</w:t>
      </w:r>
    </w:p>
    <w:p>
      <w:pPr>
        <w:spacing w:after="0" w:line="171" w:lineRule="exact"/>
        <w:rPr>
          <w:sz w:val="20"/>
          <w:szCs w:val="20"/>
          <w:color w:val="auto"/>
        </w:rPr>
      </w:pPr>
    </w:p>
    <w:p>
      <w:pPr>
        <w:ind w:left="620" w:hanging="377"/>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5220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522033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SB Investment Advisers (UK) Limited</w:t>
      </w:r>
    </w:p>
    <w:p>
      <w:pPr>
        <w:spacing w:after="0" w:line="36" w:lineRule="exact"/>
        <w:rPr>
          <w:sz w:val="20"/>
          <w:szCs w:val="20"/>
          <w:color w:val="auto"/>
        </w:rPr>
      </w:pPr>
    </w:p>
    <w:p>
      <w:pPr>
        <w:ind w:left="620" w:hanging="377"/>
        <w:spacing w:after="0"/>
        <w:tabs>
          <w:tab w:leader="none" w:pos="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620"/>
        <w:spacing w:after="0" w:line="207" w:lineRule="exact"/>
        <w:tabs>
          <w:tab w:leader="none" w:pos="140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0" w:hanging="377"/>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England and Wales</w:t>
      </w:r>
    </w:p>
    <w:p>
      <w:pPr>
        <w:spacing w:after="0" w:line="36"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5    Sole Voting Power</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340" w:type="dxa"/>
            <w:vAlign w:val="bottom"/>
            <w:tcBorders>
              <w:bottom w:val="single" w:sz="8" w:color="auto"/>
            </w:tcBorders>
          </w:tcPr>
          <w:p>
            <w:pPr>
              <w:spacing w:after="0"/>
              <w:rPr>
                <w:sz w:val="21"/>
                <w:szCs w:val="21"/>
                <w:color w:val="auto"/>
              </w:rPr>
            </w:pP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6</w:t>
            </w: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6"/>
              </w:rPr>
              <w:t>Beneficially</w:t>
            </w:r>
          </w:p>
        </w:tc>
        <w:tc>
          <w:tcPr>
            <w:tcW w:w="340" w:type="dxa"/>
            <w:vAlign w:val="bottom"/>
          </w:tcPr>
          <w:p>
            <w:pPr>
              <w:spacing w:after="0"/>
              <w:rPr>
                <w:sz w:val="18"/>
                <w:szCs w:val="18"/>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2,896,578</w:t>
            </w:r>
          </w:p>
        </w:tc>
        <w:tc>
          <w:tcPr>
            <w:tcW w:w="0" w:type="dxa"/>
            <w:vAlign w:val="bottom"/>
          </w:tcPr>
          <w:p>
            <w:pPr>
              <w:spacing w:after="0"/>
              <w:rPr>
                <w:sz w:val="1"/>
                <w:szCs w:val="1"/>
                <w:color w:val="auto"/>
              </w:rPr>
            </w:pPr>
          </w:p>
        </w:tc>
      </w:tr>
      <w:tr>
        <w:trPr>
          <w:trHeight w:val="230"/>
        </w:trPr>
        <w:tc>
          <w:tcPr>
            <w:tcW w:w="920" w:type="dxa"/>
            <w:vAlign w:val="bottom"/>
          </w:tcPr>
          <w:p>
            <w:pPr>
              <w:jc w:val="center"/>
              <w:spacing w:after="0"/>
              <w:rPr>
                <w:sz w:val="20"/>
                <w:szCs w:val="20"/>
                <w:color w:val="auto"/>
              </w:rPr>
            </w:pPr>
            <w:r>
              <w:rPr>
                <w:rFonts w:ascii="Arial" w:cs="Arial" w:eastAsia="Arial" w:hAnsi="Arial"/>
                <w:sz w:val="18"/>
                <w:szCs w:val="18"/>
                <w:color w:val="auto"/>
                <w:w w:val="91"/>
              </w:rPr>
              <w:t>Owned by</w:t>
            </w: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92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340" w:type="dxa"/>
            <w:vAlign w:val="bottom"/>
          </w:tcPr>
          <w:p>
            <w:pPr>
              <w:jc w:val="right"/>
              <w:ind w:right="50"/>
              <w:spacing w:after="0" w:line="182" w:lineRule="exact"/>
              <w:rPr>
                <w:sz w:val="20"/>
                <w:szCs w:val="20"/>
                <w:color w:val="auto"/>
              </w:rPr>
            </w:pPr>
            <w:r>
              <w:rPr>
                <w:rFonts w:ascii="Arial" w:cs="Arial" w:eastAsia="Arial" w:hAnsi="Arial"/>
                <w:sz w:val="18"/>
                <w:szCs w:val="18"/>
                <w:color w:val="auto"/>
              </w:rPr>
              <w:t>7</w:t>
            </w:r>
          </w:p>
        </w:tc>
        <w:tc>
          <w:tcPr>
            <w:tcW w:w="9560" w:type="dxa"/>
            <w:vAlign w:val="bottom"/>
          </w:tcPr>
          <w:p>
            <w:pPr>
              <w:ind w:left="16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Arial" w:cs="Arial" w:eastAsia="Arial" w:hAnsi="Arial"/>
                <w:sz w:val="18"/>
                <w:szCs w:val="18"/>
                <w:color w:val="auto"/>
                <w:w w:val="92"/>
              </w:rPr>
              <w:t>Reporting</w:t>
            </w:r>
          </w:p>
        </w:tc>
        <w:tc>
          <w:tcPr>
            <w:tcW w:w="340" w:type="dxa"/>
            <w:vAlign w:val="bottom"/>
          </w:tcPr>
          <w:p>
            <w:pPr>
              <w:spacing w:after="0"/>
              <w:rPr>
                <w:sz w:val="18"/>
                <w:szCs w:val="18"/>
                <w:color w:val="auto"/>
              </w:rPr>
            </w:pP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jc w:val="center"/>
              <w:spacing w:after="0"/>
              <w:rPr>
                <w:sz w:val="20"/>
                <w:szCs w:val="20"/>
                <w:color w:val="auto"/>
              </w:rPr>
            </w:pPr>
            <w:r>
              <w:rPr>
                <w:rFonts w:ascii="Arial" w:cs="Arial" w:eastAsia="Arial" w:hAnsi="Arial"/>
                <w:sz w:val="18"/>
                <w:szCs w:val="18"/>
                <w:color w:val="auto"/>
                <w:w w:val="84"/>
              </w:rPr>
              <w:t>Person</w:t>
            </w:r>
          </w:p>
        </w:tc>
        <w:tc>
          <w:tcPr>
            <w:tcW w:w="340" w:type="dxa"/>
            <w:vAlign w:val="bottom"/>
          </w:tcPr>
          <w:p>
            <w:pPr>
              <w:spacing w:after="0"/>
              <w:rPr>
                <w:sz w:val="18"/>
                <w:szCs w:val="18"/>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9"/>
              </w:rPr>
              <w:t>With</w:t>
            </w:r>
          </w:p>
        </w:tc>
        <w:tc>
          <w:tcPr>
            <w:tcW w:w="34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920" w:type="dxa"/>
            <w:vAlign w:val="bottom"/>
            <w:vMerge w:val="continue"/>
          </w:tcPr>
          <w:p>
            <w:pPr>
              <w:spacing w:after="0"/>
              <w:rPr>
                <w:sz w:val="12"/>
                <w:szCs w:val="12"/>
                <w:color w:val="auto"/>
              </w:rPr>
            </w:pP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8</w:t>
            </w: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340" w:type="dxa"/>
            <w:vAlign w:val="bottom"/>
            <w:vMerge w:val="continue"/>
          </w:tcPr>
          <w:p>
            <w:pPr>
              <w:spacing w:after="0"/>
              <w:rPr>
                <w:sz w:val="7"/>
                <w:szCs w:val="7"/>
                <w:color w:val="auto"/>
              </w:rPr>
            </w:pPr>
          </w:p>
        </w:tc>
        <w:tc>
          <w:tcPr>
            <w:tcW w:w="9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2,896,578</w:t>
      </w:r>
    </w:p>
    <w:p>
      <w:pPr>
        <w:spacing w:after="0" w:line="36" w:lineRule="exact"/>
        <w:rPr>
          <w:sz w:val="20"/>
          <w:szCs w:val="20"/>
          <w:color w:val="auto"/>
        </w:rPr>
      </w:pPr>
    </w:p>
    <w:p>
      <w:pPr>
        <w:ind w:left="600" w:hanging="357"/>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2,896,578</w:t>
      </w:r>
    </w:p>
    <w:p>
      <w:pPr>
        <w:spacing w:after="0" w:line="36" w:lineRule="exact"/>
        <w:rPr>
          <w:sz w:val="20"/>
          <w:szCs w:val="20"/>
          <w:color w:val="auto"/>
        </w:rPr>
      </w:pPr>
    </w:p>
    <w:p>
      <w:pPr>
        <w:ind w:left="620" w:right="5480" w:hanging="467"/>
        <w:spacing w:after="0" w:line="406"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Not Applicable</w:t>
      </w:r>
    </w:p>
    <w:p>
      <w:pPr>
        <w:spacing w:after="0" w:line="1" w:lineRule="exact"/>
        <w:rPr>
          <w:rFonts w:ascii="Arial" w:cs="Arial" w:eastAsia="Arial" w:hAnsi="Arial"/>
          <w:sz w:val="18"/>
          <w:szCs w:val="18"/>
          <w:color w:val="auto"/>
        </w:rPr>
      </w:pPr>
    </w:p>
    <w:p>
      <w:pPr>
        <w:ind w:left="620" w:right="6740" w:hanging="467"/>
        <w:spacing w:after="0" w:line="406" w:lineRule="auto"/>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 5.4%</w:t>
      </w:r>
    </w:p>
    <w:p>
      <w:pPr>
        <w:spacing w:after="0" w:line="1" w:lineRule="exact"/>
        <w:rPr>
          <w:rFonts w:ascii="Arial" w:cs="Arial" w:eastAsia="Arial" w:hAnsi="Arial"/>
          <w:sz w:val="18"/>
          <w:szCs w:val="18"/>
          <w:color w:val="auto"/>
        </w:rPr>
      </w:pPr>
    </w:p>
    <w:p>
      <w:pPr>
        <w:ind w:left="600" w:hanging="447"/>
        <w:spacing w:after="0"/>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52"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FI</w:t>
      </w:r>
    </w:p>
    <w:p>
      <w:pPr>
        <w:sectPr>
          <w:pgSz w:w="11900" w:h="16838" w:orient="portrait"/>
          <w:cols w:equalWidth="0" w:num="1">
            <w:col w:w="11020"/>
          </w:cols>
          <w:pgMar w:left="440" w:top="274" w:right="439" w:bottom="1440" w:gutter="0" w:footer="0" w:header="0"/>
        </w:sectPr>
      </w:pPr>
    </w:p>
    <w:bookmarkStart w:id="3" w:name="page4"/>
    <w:bookmarkEnd w:id="3"/>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3 of 7</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(a) Name of Issuer:</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Seer, Inc. (the “Issuer”)</w:t>
      </w:r>
    </w:p>
    <w:p>
      <w:pPr>
        <w:spacing w:after="0" w:line="127" w:lineRule="exact"/>
        <w:rPr>
          <w:sz w:val="20"/>
          <w:szCs w:val="20"/>
          <w:color w:val="auto"/>
        </w:rPr>
      </w:pPr>
    </w:p>
    <w:p>
      <w:pPr>
        <w:ind w:left="1420" w:hanging="439"/>
        <w:spacing w:after="0"/>
        <w:tabs>
          <w:tab w:leader="none" w:pos="1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3800 Bridge Parkway, Suite 102</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Redwood City, California 94065</w:t>
      </w:r>
    </w:p>
    <w:p>
      <w:pPr>
        <w:spacing w:after="0" w:line="35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(a) Name of Person Filing:</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Each of the following is hereinafter individually referred to as a “Reporting Person” and collectively as the “Reporting</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Persons.” This statement is filed on behalf of:</w:t>
      </w:r>
    </w:p>
    <w:p>
      <w:pPr>
        <w:spacing w:after="0" w:line="10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SVF II AIV-1 (DE) L.P. (“SVF”)</w:t>
      </w:r>
    </w:p>
    <w:p>
      <w:pPr>
        <w:spacing w:after="0" w:line="2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SB Investment Advisers (UK) Limited (“SBIA UK”)</w:t>
      </w:r>
    </w:p>
    <w:p>
      <w:pPr>
        <w:spacing w:after="0" w:line="112" w:lineRule="exact"/>
        <w:rPr>
          <w:sz w:val="20"/>
          <w:szCs w:val="20"/>
          <w:color w:val="auto"/>
        </w:rPr>
      </w:pPr>
    </w:p>
    <w:p>
      <w:pPr>
        <w:ind w:left="1420" w:hanging="439"/>
        <w:spacing w:after="0"/>
        <w:tabs>
          <w:tab w:leader="none" w:pos="14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Address or Principal Business Office:</w:t>
      </w:r>
    </w:p>
    <w:p>
      <w:pPr>
        <w:spacing w:after="0" w:line="121" w:lineRule="exact"/>
        <w:rPr>
          <w:sz w:val="20"/>
          <w:szCs w:val="20"/>
          <w:color w:val="auto"/>
        </w:rPr>
      </w:pPr>
    </w:p>
    <w:p>
      <w:pPr>
        <w:ind w:left="1420" w:right="500" w:firstLine="383"/>
        <w:spacing w:after="0" w:line="277" w:lineRule="auto"/>
        <w:rPr>
          <w:sz w:val="20"/>
          <w:szCs w:val="20"/>
          <w:color w:val="auto"/>
        </w:rPr>
      </w:pPr>
      <w:r>
        <w:rPr>
          <w:rFonts w:ascii="Arial" w:cs="Arial" w:eastAsia="Arial" w:hAnsi="Arial"/>
          <w:sz w:val="18"/>
          <w:szCs w:val="18"/>
          <w:color w:val="auto"/>
        </w:rPr>
        <w:t>The address for SVF is 251 Little Falls Drive, Wilmington, DE 19808. The address for SBIA UK is 69 Grosvenor Street, London W1K 3JP, United Kingdom.</w:t>
      </w:r>
    </w:p>
    <w:p>
      <w:pPr>
        <w:spacing w:after="0" w:line="72" w:lineRule="exact"/>
        <w:rPr>
          <w:sz w:val="20"/>
          <w:szCs w:val="20"/>
          <w:color w:val="auto"/>
        </w:rPr>
      </w:pPr>
    </w:p>
    <w:p>
      <w:pPr>
        <w:ind w:left="1420" w:hanging="439"/>
        <w:spacing w:after="0"/>
        <w:tabs>
          <w:tab w:leader="none" w:pos="14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of each Reporting Person is:</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SVF is organized under the laws of Delaware. SBIA UK is organized under the laws of England and Wales.</w:t>
      </w:r>
    </w:p>
    <w:p>
      <w:pPr>
        <w:spacing w:after="0" w:line="127" w:lineRule="exact"/>
        <w:rPr>
          <w:sz w:val="20"/>
          <w:szCs w:val="20"/>
          <w:color w:val="auto"/>
        </w:rPr>
      </w:pPr>
    </w:p>
    <w:p>
      <w:pPr>
        <w:ind w:left="1420" w:hanging="439"/>
        <w:spacing w:after="0"/>
        <w:tabs>
          <w:tab w:leader="none" w:pos="14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21"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Class A Common stock, par value $ 0.00001 per share (“Class A Common Stock”).</w:t>
      </w:r>
    </w:p>
    <w:p>
      <w:pPr>
        <w:spacing w:after="0" w:line="127" w:lineRule="exact"/>
        <w:rPr>
          <w:sz w:val="20"/>
          <w:szCs w:val="20"/>
          <w:color w:val="auto"/>
        </w:rPr>
      </w:pPr>
    </w:p>
    <w:p>
      <w:pPr>
        <w:ind w:left="1820" w:right="8320" w:hanging="839"/>
        <w:spacing w:after="0" w:line="445" w:lineRule="auto"/>
        <w:tabs>
          <w:tab w:leader="none" w:pos="1422"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81578P106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12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ectPr>
          <w:pgSz w:w="11900" w:h="16838" w:orient="portrait"/>
          <w:cols w:equalWidth="0" w:num="1">
            <w:col w:w="11020"/>
          </w:cols>
          <w:pgMar w:left="440" w:top="274"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CUSIP No. 81578P106</w:t>
            </w:r>
          </w:p>
        </w:tc>
        <w:tc>
          <w:tcPr>
            <w:tcW w:w="2500" w:type="dxa"/>
            <w:vAlign w:val="bottom"/>
          </w:tcPr>
          <w:p>
            <w:pPr>
              <w:jc w:val="right"/>
              <w:ind w:right="179"/>
              <w:spacing w:after="0"/>
              <w:rPr>
                <w:sz w:val="20"/>
                <w:szCs w:val="20"/>
                <w:color w:val="auto"/>
              </w:rPr>
            </w:pPr>
            <w:r>
              <w:rPr>
                <w:rFonts w:ascii="Arial" w:cs="Arial" w:eastAsia="Arial" w:hAnsi="Arial"/>
                <w:sz w:val="18"/>
                <w:szCs w:val="18"/>
                <w:color w:val="auto"/>
              </w:rPr>
              <w:t>Schedule 13G</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Page 4 of 7</w:t>
            </w:r>
          </w:p>
        </w:tc>
        <w:tc>
          <w:tcPr>
            <w:tcW w:w="0" w:type="dxa"/>
            <w:vAlign w:val="bottom"/>
          </w:tcPr>
          <w:p>
            <w:pPr>
              <w:spacing w:after="0"/>
              <w:rPr>
                <w:sz w:val="1"/>
                <w:szCs w:val="1"/>
                <w:color w:val="auto"/>
              </w:rPr>
            </w:pPr>
          </w:p>
        </w:tc>
      </w:tr>
      <w:tr>
        <w:trPr>
          <w:trHeight w:val="364"/>
        </w:trPr>
        <w:tc>
          <w:tcPr>
            <w:tcW w:w="4000" w:type="dxa"/>
            <w:vAlign w:val="bottom"/>
          </w:tcPr>
          <w:p>
            <w:pPr>
              <w:ind w:left="440"/>
              <w:spacing w:after="0"/>
              <w:rPr>
                <w:sz w:val="20"/>
                <w:szCs w:val="20"/>
                <w:color w:val="auto"/>
              </w:rPr>
            </w:pPr>
            <w:r>
              <w:rPr>
                <w:rFonts w:ascii="Arial" w:cs="Arial" w:eastAsia="Arial" w:hAnsi="Arial"/>
                <w:sz w:val="18"/>
                <w:szCs w:val="18"/>
                <w:b w:val="1"/>
                <w:bCs w:val="1"/>
                <w:color w:val="auto"/>
              </w:rPr>
              <w:t>(a-c)</w:t>
            </w:r>
          </w:p>
        </w:tc>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200" w:type="dxa"/>
            <w:vAlign w:val="bottom"/>
            <w:gridSpan w:val="6"/>
          </w:tcPr>
          <w:p>
            <w:pPr>
              <w:ind w:left="1380"/>
              <w:spacing w:after="0"/>
              <w:rPr>
                <w:sz w:val="20"/>
                <w:szCs w:val="20"/>
                <w:color w:val="auto"/>
              </w:rPr>
            </w:pPr>
            <w:r>
              <w:rPr>
                <w:rFonts w:ascii="Arial" w:cs="Arial" w:eastAsia="Arial" w:hAnsi="Arial"/>
                <w:sz w:val="18"/>
                <w:szCs w:val="18"/>
                <w:color w:val="auto"/>
                <w:w w:val="90"/>
              </w:rPr>
              <w:t>The ownership information presented below represents beneficial ownership of Class A Common Stock of the Issuer as of</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00" w:type="dxa"/>
            <w:vAlign w:val="bottom"/>
            <w:gridSpan w:val="3"/>
          </w:tcPr>
          <w:p>
            <w:pPr>
              <w:ind w:left="980"/>
              <w:spacing w:after="0"/>
              <w:rPr>
                <w:sz w:val="20"/>
                <w:szCs w:val="20"/>
                <w:color w:val="auto"/>
              </w:rPr>
            </w:pPr>
            <w:r>
              <w:rPr>
                <w:rFonts w:ascii="Arial" w:cs="Arial" w:eastAsia="Arial" w:hAnsi="Arial"/>
                <w:sz w:val="18"/>
                <w:szCs w:val="18"/>
                <w:color w:val="auto"/>
                <w:w w:val="89"/>
              </w:rPr>
              <w:t>December 8, 2020, based upon 53,350,763 shares of Class A Common Stock outstanding.</w:t>
            </w:r>
          </w:p>
        </w:tc>
        <w:tc>
          <w:tcPr>
            <w:tcW w:w="6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jc w:val="center"/>
              <w:ind w:right="44"/>
              <w:spacing w:after="0"/>
              <w:rPr>
                <w:sz w:val="20"/>
                <w:szCs w:val="20"/>
                <w:color w:val="auto"/>
              </w:rPr>
            </w:pPr>
            <w:r>
              <w:rPr>
                <w:rFonts w:ascii="Arial" w:cs="Arial" w:eastAsia="Arial" w:hAnsi="Arial"/>
                <w:sz w:val="14"/>
                <w:szCs w:val="14"/>
                <w:b w:val="1"/>
                <w:bCs w:val="1"/>
                <w:color w:val="auto"/>
                <w:w w:val="81"/>
              </w:rPr>
              <w:t>Sole</w:t>
            </w:r>
          </w:p>
        </w:tc>
        <w:tc>
          <w:tcPr>
            <w:tcW w:w="1020" w:type="dxa"/>
            <w:vAlign w:val="bottom"/>
          </w:tcPr>
          <w:p>
            <w:pPr>
              <w:spacing w:after="0"/>
              <w:rPr>
                <w:sz w:val="24"/>
                <w:szCs w:val="24"/>
                <w:color w:val="auto"/>
              </w:rPr>
            </w:pP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w w:val="81"/>
              </w:rPr>
              <w:t>Sole</w:t>
            </w:r>
          </w:p>
        </w:tc>
        <w:tc>
          <w:tcPr>
            <w:tcW w:w="820" w:type="dxa"/>
            <w:vAlign w:val="bottom"/>
          </w:tcPr>
          <w:p>
            <w:pPr>
              <w:jc w:val="center"/>
              <w:ind w:right="23"/>
              <w:spacing w:after="0"/>
              <w:rPr>
                <w:sz w:val="20"/>
                <w:szCs w:val="20"/>
                <w:color w:val="auto"/>
              </w:rPr>
            </w:pPr>
            <w:r>
              <w:rPr>
                <w:rFonts w:ascii="Arial" w:cs="Arial" w:eastAsia="Arial" w:hAnsi="Arial"/>
                <w:sz w:val="14"/>
                <w:szCs w:val="14"/>
                <w:b w:val="1"/>
                <w:bCs w:val="1"/>
                <w:color w:val="auto"/>
                <w:w w:val="92"/>
              </w:rPr>
              <w:t>Shared</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6"/>
              </w:rPr>
              <w:t>power</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Shared</w:t>
            </w:r>
          </w:p>
        </w:tc>
        <w:tc>
          <w:tcPr>
            <w:tcW w:w="108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2"/>
              </w:rPr>
              <w:t>power to</w:t>
            </w:r>
          </w:p>
        </w:tc>
        <w:tc>
          <w:tcPr>
            <w:tcW w:w="82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2"/>
              </w:rPr>
              <w:t>power to</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7"/>
              </w:rPr>
              <w:t>to vote</w:t>
            </w:r>
          </w:p>
        </w:tc>
        <w:tc>
          <w:tcPr>
            <w:tcW w:w="1020" w:type="dxa"/>
            <w:vAlign w:val="bottom"/>
            <w:vMerge w:val="continue"/>
          </w:tcPr>
          <w:p>
            <w:pPr>
              <w:spacing w:after="0"/>
              <w:rPr>
                <w:sz w:val="12"/>
                <w:szCs w:val="12"/>
                <w:color w:val="auto"/>
              </w:rPr>
            </w:pPr>
          </w:p>
        </w:tc>
        <w:tc>
          <w:tcPr>
            <w:tcW w:w="108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7"/>
              </w:rPr>
              <w:t>dispose or</w:t>
            </w:r>
          </w:p>
        </w:tc>
        <w:tc>
          <w:tcPr>
            <w:tcW w:w="82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87"/>
              </w:rPr>
              <w:t>dispose or</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500" w:type="dxa"/>
            <w:vAlign w:val="bottom"/>
            <w:vMerge w:val="restart"/>
          </w:tcPr>
          <w:p>
            <w:pPr>
              <w:jc w:val="center"/>
              <w:ind w:left="1359"/>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9"/>
              </w:rPr>
              <w:t>or to</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power to</w:t>
            </w:r>
          </w:p>
        </w:tc>
        <w:tc>
          <w:tcPr>
            <w:tcW w:w="108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4"/>
              </w:rPr>
              <w:t>to direct</w:t>
            </w:r>
          </w:p>
        </w:tc>
        <w:tc>
          <w:tcPr>
            <w:tcW w:w="82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90"/>
              </w:rPr>
              <w:t>to direct</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100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Percent</w:t>
            </w: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4"/>
              </w:rPr>
              <w:t>direct</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vote or to</w:t>
            </w:r>
          </w:p>
        </w:tc>
        <w:tc>
          <w:tcPr>
            <w:tcW w:w="108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5"/>
              </w:rPr>
              <w:t>the</w:t>
            </w:r>
          </w:p>
        </w:tc>
        <w:tc>
          <w:tcPr>
            <w:tcW w:w="82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85"/>
              </w:rPr>
              <w:t>the</w:t>
            </w:r>
          </w:p>
        </w:tc>
        <w:tc>
          <w:tcPr>
            <w:tcW w:w="0" w:type="dxa"/>
            <w:vAlign w:val="bottom"/>
          </w:tcPr>
          <w:p>
            <w:pPr>
              <w:spacing w:after="0"/>
              <w:rPr>
                <w:sz w:val="1"/>
                <w:szCs w:val="1"/>
                <w:color w:val="auto"/>
              </w:rPr>
            </w:pPr>
          </w:p>
        </w:tc>
      </w:tr>
      <w:tr>
        <w:trPr>
          <w:trHeight w:val="149"/>
        </w:trPr>
        <w:tc>
          <w:tcPr>
            <w:tcW w:w="4000" w:type="dxa"/>
            <w:vAlign w:val="bottom"/>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2500" w:type="dxa"/>
            <w:vAlign w:val="bottom"/>
          </w:tcPr>
          <w:p>
            <w:pPr>
              <w:jc w:val="center"/>
              <w:ind w:left="1359"/>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1000" w:type="dxa"/>
            <w:vAlign w:val="bottom"/>
            <w:vMerge w:val="continue"/>
          </w:tcPr>
          <w:p>
            <w:pPr>
              <w:spacing w:after="0"/>
              <w:rPr>
                <w:sz w:val="12"/>
                <w:szCs w:val="12"/>
                <w:color w:val="auto"/>
              </w:rPr>
            </w:pPr>
          </w:p>
        </w:tc>
        <w:tc>
          <w:tcPr>
            <w:tcW w:w="60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5"/>
              </w:rPr>
              <w:t>the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direct the</w:t>
            </w:r>
          </w:p>
        </w:tc>
        <w:tc>
          <w:tcPr>
            <w:tcW w:w="108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90"/>
              </w:rPr>
              <w:t>disposition</w:t>
            </w:r>
          </w:p>
        </w:tc>
        <w:tc>
          <w:tcPr>
            <w:tcW w:w="820" w:type="dxa"/>
            <w:vAlign w:val="bottom"/>
          </w:tcPr>
          <w:p>
            <w:pPr>
              <w:jc w:val="center"/>
              <w:ind w:right="3"/>
              <w:spacing w:after="0" w:line="149" w:lineRule="exact"/>
              <w:rPr>
                <w:sz w:val="20"/>
                <w:szCs w:val="20"/>
                <w:color w:val="auto"/>
              </w:rPr>
            </w:pPr>
            <w:r>
              <w:rPr>
                <w:rFonts w:ascii="Arial" w:cs="Arial" w:eastAsia="Arial" w:hAnsi="Arial"/>
                <w:sz w:val="14"/>
                <w:szCs w:val="14"/>
                <w:b w:val="1"/>
                <w:bCs w:val="1"/>
                <w:color w:val="auto"/>
                <w:w w:val="88"/>
              </w:rPr>
              <w:t>disposition</w:t>
            </w:r>
          </w:p>
        </w:tc>
        <w:tc>
          <w:tcPr>
            <w:tcW w:w="0" w:type="dxa"/>
            <w:vAlign w:val="bottom"/>
          </w:tcPr>
          <w:p>
            <w:pPr>
              <w:spacing w:after="0"/>
              <w:rPr>
                <w:sz w:val="1"/>
                <w:szCs w:val="1"/>
                <w:color w:val="auto"/>
              </w:rPr>
            </w:pPr>
          </w:p>
        </w:tc>
      </w:tr>
      <w:tr>
        <w:trPr>
          <w:trHeight w:val="175"/>
        </w:trPr>
        <w:tc>
          <w:tcPr>
            <w:tcW w:w="4000" w:type="dxa"/>
            <w:vAlign w:val="bottom"/>
            <w:vMerge w:val="continue"/>
          </w:tcPr>
          <w:p>
            <w:pPr>
              <w:spacing w:after="0"/>
              <w:rPr>
                <w:sz w:val="15"/>
                <w:szCs w:val="15"/>
                <w:color w:val="auto"/>
              </w:rPr>
            </w:pPr>
          </w:p>
        </w:tc>
        <w:tc>
          <w:tcPr>
            <w:tcW w:w="2500" w:type="dxa"/>
            <w:vAlign w:val="bottom"/>
          </w:tcPr>
          <w:p>
            <w:pPr>
              <w:jc w:val="center"/>
              <w:ind w:left="1379"/>
              <w:spacing w:after="0"/>
              <w:rPr>
                <w:sz w:val="20"/>
                <w:szCs w:val="20"/>
                <w:color w:val="auto"/>
              </w:rPr>
            </w:pPr>
            <w:r>
              <w:rPr>
                <w:rFonts w:ascii="Arial" w:cs="Arial" w:eastAsia="Arial" w:hAnsi="Arial"/>
                <w:sz w:val="14"/>
                <w:szCs w:val="14"/>
                <w:b w:val="1"/>
                <w:bCs w:val="1"/>
                <w:color w:val="auto"/>
                <w:w w:val="90"/>
              </w:rPr>
              <w:t>owned</w:t>
            </w:r>
          </w:p>
        </w:tc>
        <w:tc>
          <w:tcPr>
            <w:tcW w:w="1000" w:type="dxa"/>
            <w:vAlign w:val="bottom"/>
          </w:tcPr>
          <w:p>
            <w:pPr>
              <w:jc w:val="right"/>
              <w:ind w:right="299"/>
              <w:spacing w:after="0"/>
              <w:rPr>
                <w:sz w:val="20"/>
                <w:szCs w:val="20"/>
                <w:color w:val="auto"/>
              </w:rPr>
            </w:pPr>
            <w:r>
              <w:rPr>
                <w:rFonts w:ascii="Arial" w:cs="Arial" w:eastAsia="Arial" w:hAnsi="Arial"/>
                <w:sz w:val="14"/>
                <w:szCs w:val="14"/>
                <w:b w:val="1"/>
                <w:bCs w:val="1"/>
                <w:color w:val="auto"/>
              </w:rPr>
              <w:t>of class:</w:t>
            </w:r>
          </w:p>
        </w:tc>
        <w:tc>
          <w:tcPr>
            <w:tcW w:w="60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vote: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vote:</w:t>
            </w:r>
          </w:p>
        </w:tc>
        <w:tc>
          <w:tcPr>
            <w:tcW w:w="1080" w:type="dxa"/>
            <w:vAlign w:val="bottom"/>
          </w:tcPr>
          <w:p>
            <w:pPr>
              <w:jc w:val="center"/>
              <w:ind w:right="84"/>
              <w:spacing w:after="0"/>
              <w:rPr>
                <w:sz w:val="20"/>
                <w:szCs w:val="20"/>
                <w:color w:val="auto"/>
              </w:rPr>
            </w:pPr>
            <w:r>
              <w:rPr>
                <w:rFonts w:ascii="Arial" w:cs="Arial" w:eastAsia="Arial" w:hAnsi="Arial"/>
                <w:sz w:val="14"/>
                <w:szCs w:val="14"/>
                <w:b w:val="1"/>
                <w:bCs w:val="1"/>
                <w:color w:val="auto"/>
                <w:w w:val="89"/>
              </w:rPr>
              <w:t>of:</w:t>
            </w:r>
          </w:p>
        </w:tc>
        <w:tc>
          <w:tcPr>
            <w:tcW w:w="820" w:type="dxa"/>
            <w:vAlign w:val="bottom"/>
          </w:tcPr>
          <w:p>
            <w:pPr>
              <w:jc w:val="center"/>
              <w:ind w:right="3"/>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SVF II AIV-1 LP</w:t>
            </w:r>
          </w:p>
        </w:tc>
        <w:tc>
          <w:tcPr>
            <w:tcW w:w="250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2,896,578</w:t>
            </w:r>
          </w:p>
        </w:tc>
        <w:tc>
          <w:tcPr>
            <w:tcW w:w="10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0</w:t>
            </w:r>
          </w:p>
        </w:tc>
        <w:tc>
          <w:tcPr>
            <w:tcW w:w="1020" w:type="dxa"/>
            <w:vAlign w:val="bottom"/>
            <w:shd w:val="clear" w:color="auto" w:fill="CCEEFF"/>
          </w:tcPr>
          <w:p>
            <w:pPr>
              <w:jc w:val="right"/>
              <w:ind w:right="63"/>
              <w:spacing w:after="0"/>
              <w:rPr>
                <w:sz w:val="20"/>
                <w:szCs w:val="20"/>
                <w:color w:val="auto"/>
              </w:rPr>
            </w:pPr>
            <w:r>
              <w:rPr>
                <w:rFonts w:ascii="Arial" w:cs="Arial" w:eastAsia="Arial" w:hAnsi="Arial"/>
                <w:sz w:val="18"/>
                <w:szCs w:val="18"/>
                <w:color w:val="auto"/>
              </w:rPr>
              <w:t>2,896,578</w:t>
            </w:r>
          </w:p>
        </w:tc>
        <w:tc>
          <w:tcPr>
            <w:tcW w:w="1080" w:type="dxa"/>
            <w:vAlign w:val="bottom"/>
            <w:shd w:val="clear" w:color="auto" w:fill="CCEEFF"/>
          </w:tcPr>
          <w:p>
            <w:pPr>
              <w:jc w:val="right"/>
              <w:ind w:right="204"/>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2,896,578</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SB Investment Advisers (UK) Limited</w:t>
            </w:r>
          </w:p>
        </w:tc>
        <w:tc>
          <w:tcPr>
            <w:tcW w:w="2500" w:type="dxa"/>
            <w:vAlign w:val="bottom"/>
          </w:tcPr>
          <w:p>
            <w:pPr>
              <w:jc w:val="right"/>
              <w:ind w:right="59"/>
              <w:spacing w:after="0"/>
              <w:rPr>
                <w:sz w:val="20"/>
                <w:szCs w:val="20"/>
                <w:color w:val="auto"/>
              </w:rPr>
            </w:pPr>
            <w:r>
              <w:rPr>
                <w:rFonts w:ascii="Arial" w:cs="Arial" w:eastAsia="Arial" w:hAnsi="Arial"/>
                <w:sz w:val="18"/>
                <w:szCs w:val="18"/>
                <w:color w:val="auto"/>
              </w:rPr>
              <w:t>2,896,578</w:t>
            </w:r>
          </w:p>
        </w:tc>
        <w:tc>
          <w:tcPr>
            <w:tcW w:w="1000" w:type="dxa"/>
            <w:vAlign w:val="bottom"/>
          </w:tcPr>
          <w:p>
            <w:pPr>
              <w:jc w:val="right"/>
              <w:ind w:right="139"/>
              <w:spacing w:after="0"/>
              <w:rPr>
                <w:sz w:val="20"/>
                <w:szCs w:val="20"/>
                <w:color w:val="auto"/>
              </w:rPr>
            </w:pPr>
            <w:r>
              <w:rPr>
                <w:rFonts w:ascii="Arial" w:cs="Arial" w:eastAsia="Arial" w:hAnsi="Arial"/>
                <w:sz w:val="18"/>
                <w:szCs w:val="18"/>
                <w:color w:val="auto"/>
              </w:rPr>
              <w:t>5.4%</w:t>
            </w:r>
          </w:p>
        </w:tc>
        <w:tc>
          <w:tcPr>
            <w:tcW w:w="600" w:type="dxa"/>
            <w:vAlign w:val="bottom"/>
          </w:tcPr>
          <w:p>
            <w:pPr>
              <w:jc w:val="right"/>
              <w:ind w:right="84"/>
              <w:spacing w:after="0"/>
              <w:rPr>
                <w:sz w:val="20"/>
                <w:szCs w:val="20"/>
                <w:color w:val="auto"/>
              </w:rPr>
            </w:pPr>
            <w:r>
              <w:rPr>
                <w:rFonts w:ascii="Arial" w:cs="Arial" w:eastAsia="Arial" w:hAnsi="Arial"/>
                <w:sz w:val="18"/>
                <w:szCs w:val="18"/>
                <w:color w:val="auto"/>
              </w:rPr>
              <w:t>0</w:t>
            </w:r>
          </w:p>
        </w:tc>
        <w:tc>
          <w:tcPr>
            <w:tcW w:w="1020" w:type="dxa"/>
            <w:vAlign w:val="bottom"/>
          </w:tcPr>
          <w:p>
            <w:pPr>
              <w:jc w:val="right"/>
              <w:ind w:right="63"/>
              <w:spacing w:after="0"/>
              <w:rPr>
                <w:sz w:val="20"/>
                <w:szCs w:val="20"/>
                <w:color w:val="auto"/>
              </w:rPr>
            </w:pPr>
            <w:r>
              <w:rPr>
                <w:rFonts w:ascii="Arial" w:cs="Arial" w:eastAsia="Arial" w:hAnsi="Arial"/>
                <w:sz w:val="18"/>
                <w:szCs w:val="18"/>
                <w:color w:val="auto"/>
              </w:rPr>
              <w:t>2,896,578</w:t>
            </w:r>
          </w:p>
        </w:tc>
        <w:tc>
          <w:tcPr>
            <w:tcW w:w="1080" w:type="dxa"/>
            <w:vAlign w:val="bottom"/>
          </w:tcPr>
          <w:p>
            <w:pPr>
              <w:jc w:val="right"/>
              <w:ind w:right="204"/>
              <w:spacing w:after="0"/>
              <w:rPr>
                <w:sz w:val="20"/>
                <w:szCs w:val="20"/>
                <w:color w:val="auto"/>
              </w:rPr>
            </w:pPr>
            <w:r>
              <w:rPr>
                <w:rFonts w:ascii="Arial" w:cs="Arial" w:eastAsia="Arial" w:hAnsi="Arial"/>
                <w:sz w:val="18"/>
                <w:szCs w:val="18"/>
                <w:color w:val="auto"/>
              </w:rPr>
              <w:t>0</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2,896,578</w:t>
            </w:r>
          </w:p>
        </w:tc>
        <w:tc>
          <w:tcPr>
            <w:tcW w:w="0" w:type="dxa"/>
            <w:vAlign w:val="bottom"/>
          </w:tcPr>
          <w:p>
            <w:pPr>
              <w:spacing w:after="0"/>
              <w:rPr>
                <w:sz w:val="1"/>
                <w:szCs w:val="1"/>
                <w:color w:val="auto"/>
              </w:rPr>
            </w:pPr>
          </w:p>
        </w:tc>
      </w:tr>
    </w:tbl>
    <w:p>
      <w:pPr>
        <w:spacing w:after="0" w:line="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SVF is the record holder of the shares of Class A Common Stock reported herein.</w:t>
      </w:r>
    </w:p>
    <w:p>
      <w:pPr>
        <w:spacing w:after="0" w:line="117" w:lineRule="exact"/>
        <w:rPr>
          <w:sz w:val="20"/>
          <w:szCs w:val="20"/>
          <w:color w:val="auto"/>
        </w:rPr>
      </w:pPr>
    </w:p>
    <w:p>
      <w:pPr>
        <w:ind w:left="980" w:right="80" w:firstLine="401"/>
        <w:spacing w:after="0" w:line="286" w:lineRule="auto"/>
        <w:rPr>
          <w:sz w:val="20"/>
          <w:szCs w:val="20"/>
          <w:color w:val="auto"/>
        </w:rPr>
      </w:pPr>
      <w:r>
        <w:rPr>
          <w:rFonts w:ascii="Arial" w:cs="Arial" w:eastAsia="Arial" w:hAnsi="Arial"/>
          <w:sz w:val="17"/>
          <w:szCs w:val="17"/>
          <w:color w:val="auto"/>
        </w:rPr>
        <w:t>SBIA UK has been appointed as alternative investment fund manager (“AIFM”) and is exclusively responsible for managing SVF in accordance with the Alternative Investment Fund Managers Directive and is authorized and regulated by the UK Financial Conduct Authority accordingly. As AIFM of SVF, SBIA UK is exclusively responsible for portfolio management and risk management.</w:t>
      </w:r>
    </w:p>
    <w:p>
      <w:pPr>
        <w:spacing w:after="0" w:line="31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080" w:right="6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5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74" w:right="439" w:bottom="1440" w:gutter="0" w:footer="0" w:header="0"/>
        </w:sectPr>
      </w:pPr>
    </w:p>
    <w:bookmarkStart w:id="5" w:name="page6"/>
    <w:bookmarkEnd w:id="5"/>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81578P106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5 of 7</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1020"/>
          </w:cols>
          <w:pgMar w:left="440" w:top="274" w:right="439" w:bottom="1440" w:gutter="0" w:footer="0" w:header="0"/>
        </w:sectPr>
      </w:pPr>
    </w:p>
    <w:bookmarkStart w:id="6" w:name="page7"/>
    <w:bookmarkEnd w:id="6"/>
    <w:p>
      <w:pPr>
        <w:spacing w:after="0"/>
        <w:tabs>
          <w:tab w:leader="none" w:pos="5220" w:val="left"/>
          <w:tab w:leader="none" w:pos="101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81578P106</w:t>
      </w:r>
      <w:r>
        <w:rPr>
          <w:sz w:val="20"/>
          <w:szCs w:val="20"/>
          <w:color w:val="auto"/>
        </w:rPr>
        <w:tab/>
      </w:r>
      <w:r>
        <w:rPr>
          <w:rFonts w:ascii="Arial" w:cs="Arial" w:eastAsia="Arial" w:hAnsi="Arial"/>
          <w:sz w:val="18"/>
          <w:szCs w:val="18"/>
          <w:color w:val="auto"/>
        </w:rPr>
        <w:t>Schedule 13G</w:t>
      </w:r>
      <w:r>
        <w:rPr>
          <w:sz w:val="20"/>
          <w:szCs w:val="20"/>
          <w:color w:val="auto"/>
        </w:rPr>
        <w:tab/>
      </w:r>
      <w:r>
        <w:rPr>
          <w:rFonts w:ascii="Arial" w:cs="Arial" w:eastAsia="Arial" w:hAnsi="Arial"/>
          <w:sz w:val="16"/>
          <w:szCs w:val="16"/>
          <w:color w:val="auto"/>
        </w:rPr>
        <w:t>Page 6 of 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December 18, 2020</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SVF II AIV-1 (DE) L.P.</w:t>
      </w:r>
    </w:p>
    <w:p>
      <w:pPr>
        <w:spacing w:after="0" w:line="27"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4"/>
              </w:rPr>
              <w:t>SB Investment Advisers (UK) Limited, its Manager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Wheeler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Brian Wheeler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SB Investment Advisers (UK)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Wheeler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Brian Wheeler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1020"/>
          </w:cols>
          <w:pgMar w:left="440" w:top="274"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980" w:type="dxa"/>
            <w:vAlign w:val="bottom"/>
            <w:gridSpan w:val="4"/>
          </w:tcPr>
          <w:p>
            <w:pPr>
              <w:spacing w:after="0"/>
              <w:rPr>
                <w:sz w:val="20"/>
                <w:szCs w:val="20"/>
                <w:color w:val="auto"/>
              </w:rPr>
            </w:pPr>
            <w:r>
              <w:rPr>
                <w:rFonts w:ascii="Arial" w:cs="Arial" w:eastAsia="Arial" w:hAnsi="Arial"/>
                <w:sz w:val="18"/>
                <w:szCs w:val="18"/>
                <w:color w:val="auto"/>
              </w:rPr>
              <w:t>CUSIP No. 81578P106</w:t>
            </w:r>
          </w:p>
        </w:tc>
        <w:tc>
          <w:tcPr>
            <w:tcW w:w="4280" w:type="dxa"/>
            <w:vAlign w:val="bottom"/>
          </w:tcPr>
          <w:p>
            <w:pPr>
              <w:ind w:left="1260"/>
              <w:spacing w:after="0"/>
              <w:rPr>
                <w:sz w:val="20"/>
                <w:szCs w:val="20"/>
                <w:color w:val="auto"/>
              </w:rPr>
            </w:pPr>
            <w:r>
              <w:rPr>
                <w:rFonts w:ascii="Arial" w:cs="Arial" w:eastAsia="Arial" w:hAnsi="Arial"/>
                <w:sz w:val="18"/>
                <w:szCs w:val="18"/>
                <w:color w:val="auto"/>
              </w:rPr>
              <w:t>Schedule 13G</w:t>
            </w:r>
          </w:p>
        </w:tc>
        <w:tc>
          <w:tcPr>
            <w:tcW w:w="2760" w:type="dxa"/>
            <w:vAlign w:val="bottom"/>
          </w:tcPr>
          <w:p>
            <w:pPr>
              <w:ind w:left="1940"/>
              <w:spacing w:after="0"/>
              <w:rPr>
                <w:sz w:val="20"/>
                <w:szCs w:val="20"/>
                <w:color w:val="auto"/>
              </w:rPr>
            </w:pPr>
            <w:r>
              <w:rPr>
                <w:rFonts w:ascii="Arial" w:cs="Arial" w:eastAsia="Arial" w:hAnsi="Arial"/>
                <w:sz w:val="18"/>
                <w:szCs w:val="18"/>
                <w:color w:val="auto"/>
                <w:w w:val="86"/>
              </w:rPr>
              <w:t>Page 7 of 7</w:t>
            </w:r>
          </w:p>
        </w:tc>
      </w:tr>
      <w:tr>
        <w:trPr>
          <w:trHeight w:val="364"/>
        </w:trPr>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280" w:type="dxa"/>
            <w:vAlign w:val="bottom"/>
          </w:tcPr>
          <w:p>
            <w:pPr>
              <w:ind w:left="720"/>
              <w:spacing w:after="0"/>
              <w:rPr>
                <w:sz w:val="20"/>
                <w:szCs w:val="20"/>
                <w:color w:val="auto"/>
              </w:rPr>
            </w:pPr>
            <w:r>
              <w:rPr>
                <w:rFonts w:ascii="Arial" w:cs="Arial" w:eastAsia="Arial" w:hAnsi="Arial"/>
                <w:sz w:val="18"/>
                <w:szCs w:val="18"/>
                <w:b w:val="1"/>
                <w:bCs w:val="1"/>
                <w:color w:val="auto"/>
              </w:rPr>
              <w:t>LIST OF EXHIBITS</w:t>
            </w:r>
          </w:p>
        </w:tc>
        <w:tc>
          <w:tcPr>
            <w:tcW w:w="2760" w:type="dxa"/>
            <w:vAlign w:val="bottom"/>
          </w:tcPr>
          <w:p>
            <w:pPr>
              <w:spacing w:after="0"/>
              <w:rPr>
                <w:sz w:val="24"/>
                <w:szCs w:val="24"/>
                <w:color w:val="auto"/>
              </w:rPr>
            </w:pPr>
          </w:p>
        </w:tc>
      </w:tr>
      <w:tr>
        <w:trPr>
          <w:trHeight w:val="392"/>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8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17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99</w:t>
            </w:r>
          </w:p>
        </w:tc>
        <w:tc>
          <w:tcPr>
            <w:tcW w:w="3260" w:type="dxa"/>
            <w:vAlign w:val="bottom"/>
            <w:gridSpan w:val="3"/>
          </w:tcPr>
          <w:p>
            <w:pPr>
              <w:ind w:left="820"/>
              <w:spacing w:after="0"/>
              <w:rPr>
                <w:sz w:val="20"/>
                <w:szCs w:val="20"/>
                <w:color w:val="auto"/>
              </w:rPr>
            </w:pPr>
            <w:r>
              <w:rPr>
                <w:rFonts w:ascii="Arial" w:cs="Arial" w:eastAsia="Arial" w:hAnsi="Arial"/>
                <w:sz w:val="18"/>
                <w:szCs w:val="18"/>
                <w:color w:val="auto"/>
              </w:rPr>
              <w:t>Joint Filing Agreement.</w:t>
            </w:r>
          </w:p>
        </w:tc>
        <w:tc>
          <w:tcPr>
            <w:tcW w:w="4280" w:type="dxa"/>
            <w:vAlign w:val="bottom"/>
          </w:tcPr>
          <w:p>
            <w:pPr>
              <w:spacing w:after="0"/>
              <w:rPr>
                <w:sz w:val="24"/>
                <w:szCs w:val="24"/>
                <w:color w:val="auto"/>
              </w:rPr>
            </w:pPr>
          </w:p>
        </w:tc>
        <w:tc>
          <w:tcPr>
            <w:tcW w:w="276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hereby execute this Joint Filing Agreement as of the 18</w:t>
      </w:r>
      <w:r>
        <w:rPr>
          <w:rFonts w:ascii="Arial" w:cs="Arial" w:eastAsia="Arial" w:hAnsi="Arial"/>
          <w:sz w:val="15"/>
          <w:szCs w:val="15"/>
          <w:color w:val="auto"/>
        </w:rPr>
        <w:t>th</w:t>
      </w:r>
      <w:r>
        <w:rPr>
          <w:rFonts w:ascii="Arial" w:cs="Arial" w:eastAsia="Arial" w:hAnsi="Arial"/>
          <w:sz w:val="18"/>
          <w:szCs w:val="18"/>
          <w:color w:val="auto"/>
        </w:rPr>
        <w:t xml:space="preserve"> day of December,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SVF II AIV-1 (DE) L.P.</w:t>
      </w:r>
    </w:p>
    <w:p>
      <w:pPr>
        <w:spacing w:after="0" w:line="27"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Pr>
          <w:p>
            <w:pPr>
              <w:spacing w:after="0"/>
              <w:rPr>
                <w:sz w:val="20"/>
                <w:szCs w:val="20"/>
                <w:color w:val="auto"/>
              </w:rPr>
            </w:pPr>
            <w:r>
              <w:rPr>
                <w:rFonts w:ascii="Arial" w:cs="Arial" w:eastAsia="Arial" w:hAnsi="Arial"/>
                <w:sz w:val="18"/>
                <w:szCs w:val="18"/>
                <w:color w:val="auto"/>
                <w:w w:val="94"/>
              </w:rPr>
              <w:t>SB Investment Advisers (UK) Limited, its Manager</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Wheeler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Brian Wheeler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432"/>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SB Investment Advisers (UK)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Wheeler</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20" w:type="dxa"/>
            <w:vAlign w:val="bottom"/>
          </w:tcPr>
          <w:p>
            <w:pPr>
              <w:spacing w:after="0"/>
              <w:rPr>
                <w:sz w:val="20"/>
                <w:szCs w:val="20"/>
                <w:color w:val="auto"/>
              </w:rPr>
            </w:pPr>
            <w:r>
              <w:rPr>
                <w:rFonts w:ascii="Arial" w:cs="Arial" w:eastAsia="Arial" w:hAnsi="Arial"/>
                <w:sz w:val="18"/>
                <w:szCs w:val="18"/>
                <w:color w:val="auto"/>
              </w:rPr>
              <w:t>Brian Wheeler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bullet"/>
      <w:start w:val="1"/>
    </w:lvl>
  </w:abstractNum>
  <w:abstractNum w:abstractNumId="3">
    <w:nsid w:val="1190CDE7"/>
    <w:multiLevelType w:val="hybridMultilevel"/>
    <w:lvl w:ilvl="0">
      <w:lvlJc w:val="left"/>
      <w:lvlText w:val="2"/>
      <w:numFmt w:val="bullet"/>
      <w:start w:val="1"/>
    </w:lvl>
  </w:abstractNum>
  <w:abstractNum w:abstractNumId="4">
    <w:nsid w:val="66EF438D"/>
    <w:multiLevelType w:val="hybridMultilevel"/>
    <w:lvl w:ilvl="0">
      <w:lvlJc w:val="left"/>
      <w:lvlText w:val="3"/>
      <w:numFmt w:val="bullet"/>
      <w:start w:val="1"/>
    </w:lvl>
  </w:abstractNum>
  <w:abstractNum w:abstractNumId="5">
    <w:nsid w:val="140E0F76"/>
    <w:multiLevelType w:val="hybridMultilevel"/>
    <w:lvl w:ilvl="0">
      <w:lvlJc w:val="left"/>
      <w:lvlText w:val="4"/>
      <w:numFmt w:val="bullet"/>
      <w:start w:val="1"/>
    </w:lvl>
  </w:abstractNum>
  <w:abstractNum w:abstractNumId="6">
    <w:nsid w:val="3352255A"/>
    <w:multiLevelType w:val="hybridMultilevel"/>
    <w:lvl w:ilvl="0">
      <w:lvlJc w:val="left"/>
      <w:lvlText w:val="9"/>
      <w:numFmt w:val="bullet"/>
      <w:start w:val="1"/>
    </w:lvl>
  </w:abstractNum>
  <w:abstractNum w:abstractNumId="7">
    <w:nsid w:val="109CF92E"/>
    <w:multiLevelType w:val="hybridMultilevel"/>
    <w:lvl w:ilvl="0">
      <w:lvlJc w:val="left"/>
      <w:lvlText w:val="%1"/>
      <w:numFmt w:val="decimal"/>
      <w:start w:val="10"/>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2"/>
      <w:numFmt w:val="bullet"/>
      <w:start w:val="1"/>
    </w:lvl>
  </w:abstractNum>
  <w:abstractNum w:abstractNumId="10">
    <w:nsid w:val="1BEFD79F"/>
    <w:multiLevelType w:val="hybridMultilevel"/>
    <w:lvl w:ilvl="0">
      <w:lvlJc w:val="left"/>
      <w:lvlText w:val="3"/>
      <w:numFmt w:val="bullet"/>
      <w:start w:val="1"/>
    </w:lvl>
  </w:abstractNum>
  <w:abstractNum w:abstractNumId="11">
    <w:nsid w:val="41A7C4C9"/>
    <w:multiLevelType w:val="hybridMultilevel"/>
    <w:lvl w:ilvl="0">
      <w:lvlJc w:val="left"/>
      <w:lvlText w:val="4"/>
      <w:numFmt w:val="bullet"/>
      <w:start w:val="1"/>
    </w:lvl>
  </w:abstractNum>
  <w:abstractNum w:abstractNumId="12">
    <w:nsid w:val="6B68079A"/>
    <w:multiLevelType w:val="hybridMultilevel"/>
    <w:lvl w:ilvl="0">
      <w:lvlJc w:val="left"/>
      <w:lvlText w:val="9"/>
      <w:numFmt w:val="bullet"/>
      <w:start w:val="1"/>
    </w:lvl>
  </w:abstractNum>
  <w:abstractNum w:abstractNumId="13">
    <w:nsid w:val="4E6AFB66"/>
    <w:multiLevelType w:val="hybridMultilevel"/>
    <w:lvl w:ilvl="0">
      <w:lvlJc w:val="left"/>
      <w:lvlText w:val="%1"/>
      <w:numFmt w:val="decimal"/>
      <w:start w:val="10"/>
    </w:lvl>
  </w:abstractNum>
  <w:abstractNum w:abstractNumId="14">
    <w:nsid w:val="25E45D32"/>
    <w:multiLevelType w:val="hybridMultilevel"/>
    <w:lvl w:ilvl="0">
      <w:lvlJc w:val="left"/>
      <w:lvlText w:val="(%1)"/>
      <w:numFmt w:val="lowerLetter"/>
      <w:start w:val="2"/>
    </w:lvl>
  </w:abstractNum>
  <w:abstractNum w:abstractNumId="15">
    <w:nsid w:val="519B500D"/>
    <w:multiLevelType w:val="hybridMultilevel"/>
    <w:lvl w:ilvl="0">
      <w:lvlJc w:val="left"/>
      <w:lvlText w:val="(%1)"/>
      <w:numFmt w:val="lowerLetter"/>
      <w:start w:val="2"/>
    </w:lvl>
  </w:abstractNum>
  <w:abstractNum w:abstractNumId="16">
    <w:nsid w:val="431BD7B7"/>
    <w:multiLevelType w:val="hybridMultilevel"/>
    <w:lvl w:ilvl="0">
      <w:lvlJc w:val="left"/>
      <w:lvlText w:val="(%1)"/>
      <w:numFmt w:val="lowerLetter"/>
      <w:start w:val="3"/>
    </w:lvl>
  </w:abstractNum>
  <w:abstractNum w:abstractNumId="17">
    <w:nsid w:val="3F2DBA31"/>
    <w:multiLevelType w:val="hybridMultilevel"/>
    <w:lvl w:ilvl="0">
      <w:lvlJc w:val="left"/>
      <w:lvlText w:val="(%1)"/>
      <w:numFmt w:val="lowerLetter"/>
      <w:start w:val="4"/>
    </w:lvl>
  </w:abstractNum>
  <w:abstractNum w:abstractNumId="18">
    <w:nsid w:val="7C83E458"/>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2020-12-18T15:47:05Z</dcterms:created>
  <dcterms:modified xsi:type="dcterms:W3CDTF">2020-12-18T15:47:05Z</dcterms:modified>
</cp:coreProperties>
</file>