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4"/>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380" w:type="dxa"/>
            <w:vAlign w:val="bottom"/>
            <w:tcBorders>
              <w:bottom w:val="single" w:sz="8" w:color="808080"/>
            </w:tcBorders>
          </w:tcPr>
          <w:p>
            <w:pPr>
              <w:spacing w:after="0"/>
              <w:rPr>
                <w:sz w:val="23"/>
                <w:szCs w:val="23"/>
                <w:color w:val="auto"/>
              </w:rPr>
            </w:pPr>
          </w:p>
        </w:tc>
        <w:tc>
          <w:tcPr>
            <w:tcW w:w="3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2060" w:type="dxa"/>
            <w:vAlign w:val="bottom"/>
            <w:gridSpan w:val="5"/>
            <w:vMerge w:val="restart"/>
          </w:tcPr>
          <w:p>
            <w:pPr>
              <w:jc w:val="center"/>
              <w:ind w:right="217"/>
              <w:spacing w:after="0" w:line="143" w:lineRule="exact"/>
              <w:rPr>
                <w:sz w:val="20"/>
                <w:szCs w:val="20"/>
                <w:color w:val="auto"/>
              </w:rPr>
            </w:pPr>
            <w:r>
              <w:rPr>
                <w:rFonts w:ascii="Arial" w:cs="Arial" w:eastAsia="Arial" w:hAnsi="Arial"/>
                <w:sz w:val="13"/>
                <w:szCs w:val="13"/>
                <w:color w:val="auto"/>
              </w:rPr>
              <w:t>Washington, D.C. 20549</w:t>
            </w: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20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0" w:type="dxa"/>
            <w:vAlign w:val="bottom"/>
            <w:gridSpan w:val="20"/>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gridSpan w:val="3"/>
          </w:tcPr>
          <w:p>
            <w:pPr>
              <w:spacing w:after="0" w:line="20" w:lineRule="exact"/>
              <w:rPr>
                <w:sz w:val="1"/>
                <w:szCs w:val="1"/>
                <w:color w:val="auto"/>
              </w:rPr>
            </w:pPr>
          </w:p>
        </w:tc>
        <w:tc>
          <w:tcPr>
            <w:tcW w:w="680" w:type="dxa"/>
            <w:vAlign w:val="bottom"/>
            <w:tcBorders>
              <w:top w:val="single" w:sz="8" w:color="808080"/>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80" w:type="dxa"/>
            <w:vAlign w:val="bottom"/>
            <w:gridSpan w:val="2"/>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20"/>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2"/>
                <w:szCs w:val="12"/>
                <w:color w:val="auto"/>
                <w:w w:val="99"/>
              </w:rPr>
              <w:t>Estimated average burden</w:t>
            </w: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60" w:type="dxa"/>
            <w:vAlign w:val="bottom"/>
            <w:gridSpan w:val="19"/>
            <w:vMerge w:val="restart"/>
          </w:tcPr>
          <w:p>
            <w:pPr>
              <w:jc w:val="center"/>
              <w:ind w:left="50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180" w:type="dxa"/>
            <w:vAlign w:val="bottom"/>
          </w:tcPr>
          <w:p>
            <w:pPr>
              <w:spacing w:after="0"/>
              <w:rPr>
                <w:sz w:val="11"/>
                <w:szCs w:val="11"/>
                <w:color w:val="auto"/>
              </w:rPr>
            </w:pPr>
          </w:p>
        </w:tc>
        <w:tc>
          <w:tcPr>
            <w:tcW w:w="50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560" w:type="dxa"/>
            <w:vAlign w:val="bottom"/>
            <w:gridSpan w:val="19"/>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60" w:type="dxa"/>
            <w:vAlign w:val="bottom"/>
            <w:gridSpan w:val="19"/>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53"/>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MCGUIRE TERRANCE</w:t>
              </w:r>
            </w:hyperlink>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9"/>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Seer,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gridSpan w:val="2"/>
            <w:vMerge w:val="restart"/>
          </w:tcPr>
          <w:p>
            <w:pPr>
              <w:ind w:left="260"/>
              <w:spacing w:after="0" w:line="120" w:lineRule="exact"/>
              <w:rPr>
                <w:sz w:val="20"/>
                <w:szCs w:val="20"/>
                <w:color w:val="auto"/>
              </w:rPr>
            </w:pPr>
            <w:r>
              <w:rPr>
                <w:rFonts w:ascii="Arial" w:cs="Arial" w:eastAsia="Arial" w:hAnsi="Arial"/>
                <w:sz w:val="13"/>
                <w:szCs w:val="13"/>
                <w:color w:val="0000FF"/>
              </w:rPr>
              <w:t>X</w:t>
            </w:r>
          </w:p>
        </w:tc>
        <w:tc>
          <w:tcPr>
            <w:tcW w:w="640" w:type="dxa"/>
            <w:vAlign w:val="bottom"/>
            <w:vMerge w:val="restart"/>
          </w:tcPr>
          <w:p>
            <w:pPr>
              <w:ind w:left="180"/>
              <w:spacing w:after="0" w:line="120"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7"/>
            <w:vMerge w:val="restart"/>
          </w:tcPr>
          <w:p>
            <w:pPr>
              <w:ind w:left="240"/>
              <w:spacing w:after="0" w:line="120"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4"/>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8"/>
                <w:szCs w:val="8"/>
                <w:color w:val="auto"/>
              </w:rPr>
            </w:pPr>
          </w:p>
        </w:tc>
        <w:tc>
          <w:tcPr>
            <w:tcW w:w="1500" w:type="dxa"/>
            <w:vAlign w:val="bottom"/>
            <w:gridSpan w:val="7"/>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15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020" w:type="dxa"/>
            <w:vAlign w:val="bottom"/>
            <w:gridSpan w:val="8"/>
          </w:tcPr>
          <w:p>
            <w:pPr>
              <w:ind w:left="240"/>
              <w:spacing w:after="0"/>
              <w:rPr>
                <w:sz w:val="20"/>
                <w:szCs w:val="20"/>
                <w:color w:val="auto"/>
              </w:rPr>
            </w:pPr>
            <w:r>
              <w:rPr>
                <w:rFonts w:ascii="Arial" w:cs="Arial" w:eastAsia="Arial" w:hAnsi="Arial"/>
                <w:sz w:val="17"/>
                <w:szCs w:val="17"/>
                <w:color w:val="0000FF"/>
                <w:w w:val="89"/>
              </w:rPr>
              <w:t>06/14/2023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w w:val="96"/>
              </w:rPr>
              <w:t>C/O SEER, INC.</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jc w:val="center"/>
              <w:ind w:right="153"/>
              <w:spacing w:after="0"/>
              <w:rPr>
                <w:sz w:val="20"/>
                <w:szCs w:val="20"/>
                <w:color w:val="auto"/>
              </w:rPr>
            </w:pPr>
            <w:r>
              <w:rPr>
                <w:rFonts w:ascii="Arial" w:cs="Arial" w:eastAsia="Arial" w:hAnsi="Arial"/>
                <w:sz w:val="13"/>
                <w:szCs w:val="13"/>
                <w:color w:val="auto"/>
                <w:w w:val="99"/>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3800 BRIDGE PARKWAY</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9"/>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12"/>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REDWOOD</w:t>
            </w: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94065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920" w:type="dxa"/>
            <w:vAlign w:val="bottom"/>
            <w:gridSpan w:val="24"/>
            <w:vMerge w:val="restart"/>
          </w:tcPr>
          <w:p>
            <w:pPr>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920" w:type="dxa"/>
            <w:vAlign w:val="bottom"/>
            <w:gridSpan w:val="2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92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560" w:type="dxa"/>
            <w:vAlign w:val="bottom"/>
            <w:gridSpan w:val="13"/>
            <w:vMerge w:val="restart"/>
          </w:tcPr>
          <w:p>
            <w:pPr>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gridSpan w:val="13"/>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480" w:type="dxa"/>
            <w:vAlign w:val="bottom"/>
            <w:tcBorders>
              <w:top w:val="single" w:sz="8" w:color="2C2C2C"/>
            </w:tcBorders>
            <w:gridSpan w:val="21"/>
          </w:tcPr>
          <w:p>
            <w:pPr>
              <w:ind w:left="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5"/>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7"/>
          </w:tcPr>
          <w:p>
            <w:pPr>
              <w:ind w:left="6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6"/>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6"/>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7"/>
          </w:tcPr>
          <w:p>
            <w:pPr>
              <w:ind w:left="6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6"/>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6"/>
          </w:tcPr>
          <w:p>
            <w:pPr>
              <w:ind w:left="780"/>
              <w:spacing w:after="0"/>
              <w:rPr>
                <w:sz w:val="20"/>
                <w:szCs w:val="20"/>
                <w:color w:val="auto"/>
              </w:rPr>
            </w:pPr>
            <w:r>
              <w:rPr>
                <w:rFonts w:ascii="Arial" w:cs="Arial" w:eastAsia="Arial" w:hAnsi="Arial"/>
                <w:sz w:val="17"/>
                <w:szCs w:val="17"/>
                <w:color w:val="0000FF"/>
                <w:w w:val="86"/>
              </w:rPr>
              <w:t>06/14/2023</w:t>
            </w: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w w:val="83"/>
              </w:rPr>
              <w:t>23,443</w:t>
            </w:r>
            <w:r>
              <w:rPr>
                <w:rFonts w:ascii="Arial" w:cs="Arial" w:eastAsia="Arial" w:hAnsi="Arial"/>
                <w:sz w:val="21"/>
                <w:szCs w:val="21"/>
                <w:color w:val="008000"/>
                <w:w w:val="83"/>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jc w:val="center"/>
              <w:ind w:left="254"/>
              <w:spacing w:after="0"/>
              <w:rPr>
                <w:sz w:val="20"/>
                <w:szCs w:val="20"/>
                <w:color w:val="auto"/>
              </w:rPr>
            </w:pPr>
            <w:r>
              <w:rPr>
                <w:rFonts w:ascii="Arial" w:cs="Arial" w:eastAsia="Arial" w:hAnsi="Arial"/>
                <w:sz w:val="17"/>
                <w:szCs w:val="17"/>
                <w:color w:val="0000FF"/>
                <w:w w:val="88"/>
              </w:rPr>
              <w:t>33,388</w:t>
            </w: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7"/>
              </w:rPr>
              <w:t>210,982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4"/>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4"/>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vMerge w:val="restart"/>
          </w:tcPr>
          <w:p>
            <w:pPr>
              <w:jc w:val="center"/>
              <w:ind w:left="254"/>
              <w:spacing w:after="0"/>
              <w:rPr>
                <w:sz w:val="20"/>
                <w:szCs w:val="20"/>
                <w:color w:val="auto"/>
              </w:rPr>
            </w:pPr>
            <w:r>
              <w:rPr>
                <w:rFonts w:ascii="Arial" w:cs="Arial" w:eastAsia="Arial" w:hAnsi="Arial"/>
                <w:sz w:val="17"/>
                <w:szCs w:val="17"/>
                <w:color w:val="0000FF"/>
                <w:w w:val="88"/>
              </w:rPr>
              <w:t>78,947</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6"/>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gridSpan w:val="7"/>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6"/>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80" w:type="dxa"/>
            <w:vAlign w:val="bottom"/>
            <w:gridSpan w:val="21"/>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60" w:type="dxa"/>
            <w:vAlign w:val="bottom"/>
            <w:gridSpan w:val="1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gridSpan w:val="6"/>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0000FF"/>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34,735</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4.33</w:t>
            </w:r>
          </w:p>
        </w:tc>
        <w:tc>
          <w:tcPr>
            <w:tcW w:w="140" w:type="dxa"/>
            <w:vAlign w:val="bottom"/>
          </w:tcPr>
          <w:p>
            <w:pPr>
              <w:spacing w:after="0"/>
              <w:rPr>
                <w:sz w:val="5"/>
                <w:szCs w:val="5"/>
                <w:color w:val="auto"/>
              </w:rPr>
            </w:pPr>
          </w:p>
        </w:tc>
        <w:tc>
          <w:tcPr>
            <w:tcW w:w="1040" w:type="dxa"/>
            <w:vAlign w:val="bottom"/>
            <w:gridSpan w:val="2"/>
            <w:vMerge w:val="restart"/>
          </w:tcPr>
          <w:p>
            <w:pPr>
              <w:jc w:val="right"/>
              <w:ind w:right="95"/>
              <w:spacing w:after="0"/>
              <w:rPr>
                <w:sz w:val="20"/>
                <w:szCs w:val="20"/>
                <w:color w:val="auto"/>
              </w:rPr>
            </w:pPr>
            <w:r>
              <w:rPr>
                <w:rFonts w:ascii="Arial" w:cs="Arial" w:eastAsia="Arial" w:hAnsi="Arial"/>
                <w:sz w:val="13"/>
                <w:szCs w:val="13"/>
                <w:color w:val="0000FF"/>
              </w:rPr>
              <w:t>06/14/2023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4"/>
            <w:vMerge w:val="restart"/>
          </w:tcPr>
          <w:p>
            <w:pPr>
              <w:ind w:left="40"/>
              <w:spacing w:after="0"/>
              <w:rPr>
                <w:sz w:val="20"/>
                <w:szCs w:val="20"/>
                <w:color w:val="auto"/>
              </w:rPr>
            </w:pPr>
            <w:r>
              <w:rPr>
                <w:rFonts w:ascii="Arial" w:cs="Arial" w:eastAsia="Arial" w:hAnsi="Arial"/>
                <w:sz w:val="13"/>
                <w:szCs w:val="13"/>
                <w:color w:val="0000FF"/>
              </w:rPr>
              <w:t>A</w:t>
            </w:r>
          </w:p>
        </w:tc>
        <w:tc>
          <w:tcPr>
            <w:tcW w:w="300" w:type="dxa"/>
            <w:vAlign w:val="bottom"/>
          </w:tcPr>
          <w:p>
            <w:pPr>
              <w:spacing w:after="0"/>
              <w:rPr>
                <w:sz w:val="5"/>
                <w:szCs w:val="5"/>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3"/>
                <w:szCs w:val="13"/>
                <w:color w:val="0000FF"/>
              </w:rPr>
              <w:t>34,735</w:t>
            </w:r>
          </w:p>
        </w:tc>
        <w:tc>
          <w:tcPr>
            <w:tcW w:w="300" w:type="dxa"/>
            <w:vAlign w:val="bottom"/>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06/14/2033</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60" w:type="dxa"/>
            <w:vAlign w:val="bottom"/>
            <w:gridSpan w:val="4"/>
            <w:vMerge w:val="restart"/>
          </w:tcPr>
          <w:p>
            <w:pPr>
              <w:ind w:left="220"/>
              <w:spacing w:after="0"/>
              <w:rPr>
                <w:sz w:val="20"/>
                <w:szCs w:val="20"/>
                <w:color w:val="auto"/>
              </w:rPr>
            </w:pPr>
            <w:r>
              <w:rPr>
                <w:rFonts w:ascii="Arial" w:cs="Arial" w:eastAsia="Arial" w:hAnsi="Arial"/>
                <w:sz w:val="13"/>
                <w:szCs w:val="13"/>
                <w:color w:val="0000FF"/>
              </w:rPr>
              <w:t>34,735</w:t>
            </w:r>
          </w:p>
        </w:tc>
        <w:tc>
          <w:tcPr>
            <w:tcW w:w="62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-6554470</wp:posOffset>
            </wp:positionV>
            <wp:extent cx="7045960" cy="6734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73481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shares are represented by restricted stock units, or RSUs, which vest on the earlier of (i) June 14, 2024 or (ii) the day prior to the date of the Issuer's next annual meeting of stockholders.</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securities are held of record by Strong Bridge, LLC for which the Reporting Person serves as an operating manager.</w:t>
      </w:r>
    </w:p>
    <w:p>
      <w:pPr>
        <w:spacing w:after="0" w:line="46" w:lineRule="exact"/>
        <w:rPr>
          <w:rFonts w:ascii="Arial" w:cs="Arial" w:eastAsia="Arial" w:hAnsi="Arial"/>
          <w:sz w:val="13"/>
          <w:szCs w:val="13"/>
          <w:color w:val="008000"/>
        </w:rPr>
      </w:pPr>
    </w:p>
    <w:p>
      <w:pPr>
        <w:ind w:left="40" w:right="160" w:firstLine="4"/>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securities are held of record by Polaris Founders Capital Fund I, L.P. ("PFCF I"). Polaris Founders Capital Management Co. I, L.L.C. ("PFCM"), is the general partner of PFCF I. The Reporting Person and Jonathan A. Flint ("Flint") are the managing members of PFCM. Each of the Reporting Person and Flint in their respective capacities with respect to PFCM may be deemed to have shared voting and dispositive power with respect to the shares held by PFCF I. Each of PFCM, Flint, and the Reporting Person disclaims beneficial ownership of securities held by PFCF I, and this report shall not be deemed an admission that the Reporting Person, Flint, or PFCM is the beneficial owner of these securities for purposes of Section 16 or for any other purpose, except to the extent of their respective pecuniary interests therein.</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subject to the option vest on the earlier of (i) June 14, 2024 or (ii) the day prior to the date of the Issuer's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Elona Kogan, by power of</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17003" TargetMode="External"/><Relationship Id="rId9"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2023-06-16T20:30:16Z</dcterms:created>
  <dcterms:modified xsi:type="dcterms:W3CDTF">2023-06-16T20:30:16Z</dcterms:modified>
</cp:coreProperties>
</file>