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438ddefa14a.htm"/>
      <w:bookmarkStart w:id="1" w:name="ksd11043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543800" cy="9829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Dear Fellow Seer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have an important choice to make regarding the future of Seer at our upcoming 2026 Annual Meeting of Stockholders, which will be held on July 28, 2026 (the “Annual Meeting”). Your vote matters, and Seer needs your support. </w:t>
      </w:r>
    </w:p>
    <w:p>
      <w:pPr>
        <w:pStyle w:val="TextBody"/>
        <w:bidi w:val="0"/>
        <w:spacing w:before="240" w:after="0"/>
        <w:jc w:val="left"/>
        <w:rPr>
          <w:rFonts w:ascii="Times New Roman" w:hAnsi="Times New Roman"/>
          <w:sz w:val="20"/>
        </w:rPr>
      </w:pPr>
      <w:r>
        <w:rPr>
          <w:rFonts w:ascii="Times New Roman" w:hAnsi="Times New Roman"/>
          <w:sz w:val="20"/>
        </w:rPr>
        <w:t xml:space="preserve">Two activist stockholders, Bradley Radoff and Michael Torok, are pursuing a costly, distracting, and value-destructive proxy fight at the Annual Meeting. Radoff and Torok are the same activist stockholders who have repeatedly attempted to acquire Seer for less than the value of the cash, cash equivalents and investments on our balance sheet. Radoff and Torok have not offered any strategies that, in our opinion, would result in a more valuable company. From the conversations that Radoff and Torok have had with our management team and several of us, it is clear that they do not understand Seer, our technology differentiation, our value proposition, the magnitude of the market opportunity ahead of us, or the technological challenges that we have successfully overcome to build a portfolio of products that make it possible to pursue deep, unbiased proteomics at scale that will enable AI-driven biology. </w:t>
      </w:r>
    </w:p>
    <w:p>
      <w:pPr>
        <w:pStyle w:val="TextBody"/>
        <w:bidi w:val="0"/>
        <w:spacing w:before="240" w:after="0"/>
        <w:jc w:val="left"/>
        <w:rPr>
          <w:rFonts w:ascii="Times New Roman" w:hAnsi="Times New Roman"/>
          <w:sz w:val="20"/>
        </w:rPr>
      </w:pPr>
      <w:r>
        <w:rPr>
          <w:rFonts w:ascii="Times New Roman" w:hAnsi="Times New Roman"/>
          <w:sz w:val="20"/>
        </w:rPr>
        <w:t xml:space="preserve">Radoff and Torok’s goal at the Annual Meeting is the election of three director candidates that they have hand-picked, none of whom have experience or skills that are relevant to Seer. Although we offered, in good faith, to interview these candidates, Radoff and Torok declined to let them speak with us. </w:t>
      </w:r>
    </w:p>
    <w:p>
      <w:pPr>
        <w:pStyle w:val="TextBody"/>
        <w:bidi w:val="0"/>
        <w:spacing w:before="240" w:after="0"/>
        <w:jc w:val="left"/>
        <w:rPr>
          <w:rFonts w:ascii="Times New Roman" w:hAnsi="Times New Roman"/>
          <w:sz w:val="20"/>
        </w:rPr>
      </w:pPr>
      <w:r>
        <w:rPr>
          <w:rFonts w:ascii="Times New Roman" w:hAnsi="Times New Roman"/>
          <w:sz w:val="20"/>
        </w:rPr>
        <w:t xml:space="preserve">If successful, the proxy fight launched by Radoff and Torok would result in three of Seer’s highly qualified, respected, and independent directors no longer serving on Seer’s Board of Directors. Stated differently, we will lose three of the directors who have guided Seer through successful research, multiple product launches, several capital raises—including a successful IPO—and brought us to the point where our commercial opportunity is beginning to accelerate, all while exercising discipline in capital deployment and maintaining a balance sheet that positions Seer to execute on the opportunities in front of us. </w:t>
      </w:r>
      <w:r>
        <w:rPr>
          <w:rFonts w:ascii="Times New Roman" w:hAnsi="Times New Roman"/>
          <w:b/>
          <w:sz w:val="20"/>
        </w:rPr>
        <w:t>That is not a risk that you should take.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believe Radoff and Torok are attempting to exploit a period of stock price dislocation to acquire Seer at a valuation below the value of cash, cash equivalents, and investments on our balance sheet. Category-creating life sciences tools companies, like Seer, can endure periods where scientific and commercial progress can meaningfully outpace public market recognition. In those periods, stock prices can decline even as the underlying platform continues to strengthen. That does not change the fact that Seer’s addressable market is large, and its breakthrough technology is seeing adoption. </w:t>
      </w:r>
    </w:p>
    <w:p>
      <w:pPr>
        <w:pStyle w:val="TextBody"/>
        <w:bidi w:val="0"/>
        <w:spacing w:before="240" w:after="0"/>
        <w:jc w:val="left"/>
        <w:rPr>
          <w:rFonts w:ascii="Times New Roman" w:hAnsi="Times New Roman"/>
          <w:sz w:val="20"/>
        </w:rPr>
      </w:pPr>
      <w:r>
        <w:rPr>
          <w:rFonts w:ascii="Times New Roman" w:hAnsi="Times New Roman"/>
          <w:sz w:val="20"/>
        </w:rPr>
        <w:t xml:space="preserve">Seer is building a category-defining platform with the potential to transform biological discovery. Stockholders should focus on the strength of Seer’s pioneering technology, its growing scientific validation and high-impact </w:t>
      </w:r>
    </w:p>
    <w:p>
      <w:pPr>
        <w:pStyle w:val="TextBody"/>
        <w:bidi w:val="0"/>
        <w:spacing w:before="0" w:after="0"/>
        <w:jc w:val="left"/>
        <w:rPr/>
      </w:pPr>
      <w:r>
        <w:rPr/>
        <w:t> </w:t>
      </w:r>
    </w:p>
    <w:p>
      <w:pPr>
        <w:pStyle w:val="TextBody"/>
        <w:bidi w:val="0"/>
        <w:spacing w:before="0" w:after="0"/>
        <w:jc w:val="right"/>
        <w:rPr/>
      </w:pPr>
      <w:r>
        <w:rPr/>
        <w:drawing>
          <wp:inline distT="0" distB="0" distL="0" distR="0">
            <wp:extent cx="7543800" cy="2839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43800" cy="283972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publications, the increasing number of large-scale population studies adopting Seer’s platform, and the long-term opportunity ahead. In our view, that opportunity should not be obscured by short-term stock price volatility, or transferred to Radoff and Torok before Seer stockholders have the opportunity to realize the long-term value we believe in. </w:t>
      </w:r>
    </w:p>
    <w:p>
      <w:pPr>
        <w:pStyle w:val="TextBody"/>
        <w:bidi w:val="0"/>
        <w:spacing w:before="240" w:after="0"/>
        <w:jc w:val="left"/>
        <w:rPr>
          <w:rFonts w:ascii="Times New Roman" w:hAnsi="Times New Roman"/>
          <w:sz w:val="20"/>
        </w:rPr>
      </w:pPr>
      <w:r>
        <w:rPr>
          <w:rFonts w:ascii="Times New Roman" w:hAnsi="Times New Roman"/>
          <w:sz w:val="20"/>
        </w:rPr>
        <w:t xml:space="preserve">Seer was founded by visionaries who, collectively, remain the Company’s largest stockholders by a significant margin.1 It is led by a deeply committed management team that has executed against its research and development roadmap and established Seer as a trusted partner to its customers. And it is governed by a highly qualified Board of Directors whose members are themselves stockholders and are deeply focused on long-term value creation.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facts are clear: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
        <w:gridCol w:w="121"/>
        <w:gridCol w:w="2393"/>
        <w:gridCol w:w="212"/>
        <w:gridCol w:w="7031"/>
      </w:tblGrid>
      <w:tr>
        <w:trPr/>
        <w:tc>
          <w:tcPr>
            <w:tcW w:w="4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703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2514"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center"/>
              <w:rPr/>
            </w:pPr>
            <w:r>
              <w:rPr/>
              <w:drawing>
                <wp:inline distT="0" distB="0" distL="0" distR="0">
                  <wp:extent cx="213995" cy="2139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3995" cy="21399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b/>
              </w:rPr>
            </w:pPr>
            <w:r>
              <w:rPr>
                <w:b/>
              </w:rPr>
              <w:t>Seer is Building a New Market from the Ground Up</w:t>
            </w:r>
          </w:p>
        </w:tc>
        <w:tc>
          <w:tcPr>
            <w:tcW w:w="212" w:type="dxa"/>
            <w:tcBorders/>
            <w:vAlign w:val="bottom"/>
          </w:tcPr>
          <w:p>
            <w:pPr>
              <w:pStyle w:val="TableContents"/>
              <w:bidi w:val="0"/>
              <w:spacing w:before="0" w:after="283"/>
              <w:jc w:val="left"/>
              <w:rPr/>
            </w:pPr>
            <w:r>
              <w:rPr/>
              <w:t>  </w:t>
            </w:r>
          </w:p>
        </w:tc>
        <w:tc>
          <w:tcPr>
            <w:tcW w:w="7031" w:type="dxa"/>
            <w:tcBorders/>
          </w:tcPr>
          <w:p>
            <w:pPr>
              <w:pStyle w:val="TableContents"/>
              <w:bidi w:val="0"/>
              <w:spacing w:before="0" w:after="283"/>
              <w:jc w:val="left"/>
              <w:rPr/>
            </w:pPr>
            <w:r>
              <w:rPr/>
              <w:t>Seer has created and now leads the market for scalable, deep, unbiased proteomics, offering what we believe is the only commercial solution capable of enabling standardized population-scale studies that were previously out of reach. It is difficult to build a product capable of achieving this and Seer has repeatedly proven that we can. It is also challenging to build and fuel a market expansion in unbiased proteomics similar to what we saw in genomics, and Seer is well positioned to do exactly that.</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2514"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center"/>
              <w:rPr/>
            </w:pPr>
            <w:r>
              <w:rPr/>
              <w:drawing>
                <wp:inline distT="0" distB="0" distL="0" distR="0">
                  <wp:extent cx="213995" cy="2139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3995" cy="21399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b/>
              </w:rPr>
            </w:pPr>
            <w:r>
              <w:rPr>
                <w:b/>
              </w:rPr>
              <w:t>Seer is Executing with Discipline Against a Clear Long-Term Value Creation Strategy</w:t>
            </w:r>
          </w:p>
        </w:tc>
        <w:tc>
          <w:tcPr>
            <w:tcW w:w="212" w:type="dxa"/>
            <w:tcBorders/>
            <w:vAlign w:val="bottom"/>
          </w:tcPr>
          <w:p>
            <w:pPr>
              <w:pStyle w:val="TableContents"/>
              <w:bidi w:val="0"/>
              <w:spacing w:before="0" w:after="283"/>
              <w:jc w:val="left"/>
              <w:rPr/>
            </w:pPr>
            <w:r>
              <w:rPr/>
              <w:t>  </w:t>
            </w:r>
          </w:p>
        </w:tc>
        <w:tc>
          <w:tcPr>
            <w:tcW w:w="7031" w:type="dxa"/>
            <w:tcBorders/>
          </w:tcPr>
          <w:p>
            <w:pPr>
              <w:pStyle w:val="TableContents"/>
              <w:bidi w:val="0"/>
              <w:spacing w:before="0" w:after="283"/>
              <w:jc w:val="left"/>
              <w:rPr/>
            </w:pPr>
            <w:r>
              <w:rPr/>
              <w:t>The team is delivering key progress against our strategic initiatives— expanding our installed base, accelerating utilization, securing additional large-scale cohort and biobank studies, and broadening our addressable markets through continued product innovation—all while controlling costs. Indeed, our operating expense year-over-year between 2023 to 2025 has decreased approximately 4.3%2 and 19.3%,3 respectively, while innovation and product launches have only accelerated.</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2514"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center"/>
              <w:rPr/>
            </w:pPr>
            <w:r>
              <w:rPr/>
              <w:drawing>
                <wp:inline distT="0" distB="0" distL="0" distR="0">
                  <wp:extent cx="213995" cy="2139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3995" cy="21399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b/>
              </w:rPr>
            </w:pPr>
            <w:r>
              <w:rPr>
                <w:b/>
              </w:rPr>
              <w:t>Seer’s Board is a Collection of Highly Engaged and Seasoned Industry Experts</w:t>
            </w:r>
          </w:p>
        </w:tc>
        <w:tc>
          <w:tcPr>
            <w:tcW w:w="212" w:type="dxa"/>
            <w:tcBorders/>
            <w:vAlign w:val="bottom"/>
          </w:tcPr>
          <w:p>
            <w:pPr>
              <w:pStyle w:val="TableContents"/>
              <w:bidi w:val="0"/>
              <w:spacing w:before="0" w:after="283"/>
              <w:jc w:val="left"/>
              <w:rPr/>
            </w:pPr>
            <w:r>
              <w:rPr/>
              <w:t>  </w:t>
            </w:r>
          </w:p>
        </w:tc>
        <w:tc>
          <w:tcPr>
            <w:tcW w:w="7031" w:type="dxa"/>
            <w:tcBorders/>
          </w:tcPr>
          <w:p>
            <w:pPr>
              <w:pStyle w:val="TableContents"/>
              <w:bidi w:val="0"/>
              <w:spacing w:before="0" w:after="283"/>
              <w:jc w:val="left"/>
              <w:rPr/>
            </w:pPr>
            <w:r>
              <w:rPr/>
              <w:t>Our deeply experienced and independent Board is well-qualified to oversee continued strategic execution and advance stockholders’ best interests. Its membership includes the most highly cited engineer in history, the former president of a large life science tools company, individuals with long track records of capital deployment and company building, and senior product leaders with expertise across analytical tools, data, and software.</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2514"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center"/>
              <w:rPr/>
            </w:pPr>
            <w:r>
              <w:rPr/>
              <w:drawing>
                <wp:inline distT="0" distB="0" distL="0" distR="0">
                  <wp:extent cx="213995" cy="2139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3995" cy="21399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b/>
              </w:rPr>
            </w:pPr>
            <w:r>
              <w:rPr>
                <w:b/>
              </w:rPr>
              <w:t>Radoff and Torok’s Nominees Lack the Relevant Skills and Expertise to Add Value to Seer’s Board</w:t>
            </w:r>
          </w:p>
        </w:tc>
        <w:tc>
          <w:tcPr>
            <w:tcW w:w="212" w:type="dxa"/>
            <w:tcBorders/>
            <w:vAlign w:val="bottom"/>
          </w:tcPr>
          <w:p>
            <w:pPr>
              <w:pStyle w:val="TableContents"/>
              <w:bidi w:val="0"/>
              <w:spacing w:before="0" w:after="283"/>
              <w:jc w:val="left"/>
              <w:rPr/>
            </w:pPr>
            <w:r>
              <w:rPr/>
              <w:t>  </w:t>
            </w:r>
          </w:p>
        </w:tc>
        <w:tc>
          <w:tcPr>
            <w:tcW w:w="7031" w:type="dxa"/>
            <w:tcBorders/>
          </w:tcPr>
          <w:p>
            <w:pPr>
              <w:pStyle w:val="TableContents"/>
              <w:bidi w:val="0"/>
              <w:spacing w:before="0" w:after="283"/>
              <w:jc w:val="left"/>
              <w:rPr/>
            </w:pPr>
            <w:r>
              <w:rPr/>
              <w:t>After carefully reviewing the three director candidates, Seer’s Board unanimously determined that they lack the qualifications and independence necessary to enhance the overall quality of the Board.</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2514"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center"/>
              <w:rPr/>
            </w:pPr>
            <w:r>
              <w:rPr/>
              <w:drawing>
                <wp:inline distT="0" distB="0" distL="0" distR="0">
                  <wp:extent cx="213995" cy="2139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3995" cy="21399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b/>
              </w:rPr>
            </w:pPr>
            <w:r>
              <w:rPr>
                <w:b/>
              </w:rPr>
              <w:t>Radoff and Torok’s Proposal Significantly Undervalues Seer</w:t>
            </w:r>
          </w:p>
        </w:tc>
        <w:tc>
          <w:tcPr>
            <w:tcW w:w="212" w:type="dxa"/>
            <w:tcBorders/>
            <w:vAlign w:val="bottom"/>
          </w:tcPr>
          <w:p>
            <w:pPr>
              <w:pStyle w:val="TableContents"/>
              <w:bidi w:val="0"/>
              <w:spacing w:before="0" w:after="283"/>
              <w:jc w:val="left"/>
              <w:rPr/>
            </w:pPr>
            <w:r>
              <w:rPr/>
              <w:t>  </w:t>
            </w:r>
          </w:p>
        </w:tc>
        <w:tc>
          <w:tcPr>
            <w:tcW w:w="7031" w:type="dxa"/>
            <w:tcBorders/>
          </w:tcPr>
          <w:p>
            <w:pPr>
              <w:pStyle w:val="TableContents"/>
              <w:bidi w:val="0"/>
              <w:spacing w:before="0" w:after="283"/>
              <w:jc w:val="left"/>
              <w:rPr/>
            </w:pPr>
            <w:r>
              <w:rPr/>
              <w:t>The Board has unanimously determined that the May 14 acquisition proposal, like those before it, significantly undervalues Seer in light of our compelling long-term growth opportunities.</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2514" w:type="dxa"/>
            <w:gridSpan w:val="2"/>
            <w:tcBorders/>
            <w:vAlign w:val="center"/>
          </w:tcPr>
          <w:p>
            <w:pPr>
              <w:pStyle w:val="TableContents"/>
              <w:bidi w:val="0"/>
              <w:spacing w:before="0" w:after="283"/>
              <w:jc w:val="left"/>
              <w:rPr>
                <w:sz w:val="4"/>
                <w:szCs w:val="4"/>
              </w:rPr>
            </w:pPr>
            <w:r>
              <w:rPr>
                <w:sz w:val="4"/>
                <w:szCs w:val="4"/>
              </w:rPr>
            </w:r>
          </w:p>
        </w:tc>
        <w:tc>
          <w:tcPr>
            <w:tcW w:w="7243"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center"/>
              <w:rPr/>
            </w:pPr>
            <w:r>
              <w:rPr/>
              <w:drawing>
                <wp:inline distT="0" distB="0" distL="0" distR="0">
                  <wp:extent cx="213995" cy="2139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3995" cy="21399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b/>
              </w:rPr>
            </w:pPr>
            <w:r>
              <w:rPr>
                <w:b/>
              </w:rPr>
              <w:t>Radoff’s Behavior Is Not New</w:t>
            </w:r>
          </w:p>
        </w:tc>
        <w:tc>
          <w:tcPr>
            <w:tcW w:w="212" w:type="dxa"/>
            <w:tcBorders/>
            <w:vAlign w:val="bottom"/>
          </w:tcPr>
          <w:p>
            <w:pPr>
              <w:pStyle w:val="TableContents"/>
              <w:bidi w:val="0"/>
              <w:spacing w:before="0" w:after="283"/>
              <w:jc w:val="left"/>
              <w:rPr/>
            </w:pPr>
            <w:r>
              <w:rPr/>
              <w:t>  </w:t>
            </w:r>
          </w:p>
        </w:tc>
        <w:tc>
          <w:tcPr>
            <w:tcW w:w="7031" w:type="dxa"/>
            <w:tcBorders/>
          </w:tcPr>
          <w:p>
            <w:pPr>
              <w:pStyle w:val="TableContents"/>
              <w:bidi w:val="0"/>
              <w:spacing w:before="0" w:after="283"/>
              <w:jc w:val="left"/>
              <w:rPr/>
            </w:pPr>
            <w:r>
              <w:rPr/>
              <w:t>We believe this campaign is the latest in a long line of short-sighted campaigns run by Radoff to prioritize balance sheet extraction for his personal benefit— in direct contrast to our Board, which is committed to maximizing value for all Seer stockholders, with directors who are themselves significant, long-term stockholders.</w:t>
            </w:r>
          </w:p>
        </w:tc>
      </w:tr>
    </w:tbl>
    <w:p>
      <w:pPr>
        <w:pStyle w:val="TextBody"/>
        <w:bidi w:val="0"/>
        <w:spacing w:before="240" w:after="0"/>
        <w:jc w:val="left"/>
        <w:rPr>
          <w:rFonts w:ascii="Times New Roman" w:hAnsi="Times New Roman"/>
          <w:sz w:val="20"/>
        </w:rPr>
      </w:pPr>
      <w:r>
        <w:rPr>
          <w:rFonts w:ascii="Times New Roman" w:hAnsi="Times New Roman"/>
          <w:sz w:val="20"/>
        </w:rPr>
        <w:t xml:space="preserve">Now is not the time to trust Seer’s future to three unknown director candidates that are not endorsed by Seer’s Board and are sourced by two activist stockholders who want to acquire Seer at a fire sale price. </w:t>
      </w:r>
    </w:p>
    <w:p>
      <w:pPr>
        <w:pStyle w:val="TextBody"/>
        <w:bidi w:val="0"/>
        <w:spacing w:before="240" w:after="0"/>
        <w:jc w:val="left"/>
        <w:rPr>
          <w:rFonts w:ascii="Times New Roman" w:hAnsi="Times New Roman"/>
          <w:sz w:val="20"/>
        </w:rPr>
      </w:pPr>
      <w:r>
        <w:rPr>
          <w:rFonts w:ascii="Times New Roman" w:hAnsi="Times New Roman"/>
          <w:sz w:val="20"/>
        </w:rPr>
        <w:t xml:space="preserve">Seer benefits from a deeply qualified, independent, and highly engaged Board of Directors that is fully aligned with stockholder interests and holds management accountable. Election of any of the candidates nominated by Radoff and Torok has the potential to impair our progress.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Seer is Executing with Financial Discipline Against a Clear Long-Term Value Creation Strategy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10230" cy="5983605"/>
                <wp:effectExtent l="0" t="0" r="0" b="0"/>
                <wp:wrapSquare wrapText="right"/>
                <wp:docPr id="9" name="Frame1"/>
                <a:graphic xmlns:a="http://schemas.openxmlformats.org/drawingml/2006/main">
                  <a:graphicData uri="http://schemas.microsoft.com/office/word/2010/wordprocessingShape">
                    <wps:wsp>
                      <wps:cNvSpPr txBox="1"/>
                      <wps:spPr>
                        <a:xfrm>
                          <a:off x="0" y="0"/>
                          <a:ext cx="3110230" cy="5983605"/>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Seer is pioneering a new market with substantial scientific and commercial potential </w:t>
                            </w:r>
                          </w:p>
                          <w:p>
                            <w:pPr>
                              <w:pStyle w:val="TextBody"/>
                              <w:bidi w:val="0"/>
                              <w:spacing w:before="120" w:after="0"/>
                              <w:jc w:val="left"/>
                              <w:rPr>
                                <w:rFonts w:ascii="Times New Roman" w:hAnsi="Times New Roman"/>
                                <w:sz w:val="20"/>
                              </w:rPr>
                            </w:pPr>
                            <w:r>
                              <w:rPr>
                                <w:rFonts w:ascii="Times New Roman" w:hAnsi="Times New Roman"/>
                                <w:sz w:val="20"/>
                              </w:rPr>
                              <w:t xml:space="preserve">Since our founding, Seer has created an entirely new market, imagining and pioneering the first solution for standardized, robust, deep unbiased proteomics at scale. Our Proteograph® Product Suite (Proteograph®) platform has fundamentally expanded what is possible in proteomics, and in just eight years, we have built a portfolio of more than 250 patent applications and issued patents, including over 80 issued patents worldwide. Today, we firmly believe that the Proteograph® is the </w:t>
                            </w:r>
                            <w:r>
                              <w:rPr>
                                <w:rFonts w:ascii="Times New Roman" w:hAnsi="Times New Roman"/>
                                <w:i/>
                                <w:sz w:val="20"/>
                              </w:rPr>
                              <w:t>only</w:t>
                            </w:r>
                            <w:r>
                              <w:rPr>
                                <w:rFonts w:ascii="Times New Roman" w:hAnsi="Times New Roman"/>
                                <w:sz w:val="20"/>
                              </w:rPr>
                              <w:t xml:space="preserve"> commercial solution capable of delivering the necessary level of depth, reproducibility, and standardization to enable population-scale studies beyond the reach of traditional mass spectrometry workflows. Biological discovery is at an inflection point, and Seer is uniquely positioned to help power the next era of AI-driven precision medicine. </w:t>
                            </w:r>
                          </w:p>
                          <w:p>
                            <w:pPr>
                              <w:pStyle w:val="TextBody"/>
                              <w:bidi w:val="0"/>
                              <w:spacing w:before="240" w:after="0"/>
                              <w:jc w:val="left"/>
                              <w:rPr>
                                <w:rFonts w:ascii="Times New Roman" w:hAnsi="Times New Roman"/>
                                <w:sz w:val="20"/>
                              </w:rPr>
                            </w:pPr>
                            <w:r>
                              <w:rPr>
                                <w:rFonts w:ascii="Times New Roman" w:hAnsi="Times New Roman"/>
                                <w:sz w:val="20"/>
                              </w:rPr>
                              <w:t xml:space="preserve">External validation of Seer’s technology continues to build. As of May 13, 2026, Seer has been featured in a total of 84 publications,4 doubling in number over the past year. This increase in the rate of publication highlights the scientific community’s growing confidence in our platform’s capabilities. </w:t>
                            </w:r>
                          </w:p>
                          <w:p>
                            <w:pPr>
                              <w:pStyle w:val="TextBody"/>
                              <w:bidi w:val="0"/>
                              <w:spacing w:before="240" w:after="0"/>
                              <w:jc w:val="left"/>
                              <w:rPr>
                                <w:rFonts w:ascii="Times New Roman" w:hAnsi="Times New Roman"/>
                                <w:sz w:val="20"/>
                              </w:rPr>
                            </w:pPr>
                            <w:r>
                              <w:rPr>
                                <w:rFonts w:ascii="Times New Roman" w:hAnsi="Times New Roman"/>
                                <w:sz w:val="20"/>
                              </w:rPr>
                              <w:t xml:space="preserve">These publications are the basis for our commercial flywheel to begin to turn. We reached significant market milestones in the past year, including the initiation of landmark population-scale studies with Korea University,5 Discovery Life Sciences, and an NIH-funded multi-omics program.6 These recent achievements demonstrate long-term momentum, and we are now at a pivotal moment as our commercial opportunity begins to accelerate. Our recently announced PRECISE-SG100K population-scale study in April 2026,7 conducted in collaboration with Precision Health Research, Singapore (PRECISE) and Thermo Fisher Scientific, has generated data for 10,000 participants, with the potential to scale to 100,000, creating one of the largest multi-omics datasets in the world. </w:t>
                            </w:r>
                          </w:p>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1.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Seer is pioneering a new market with substantial scientific and commercial potential </w:t>
                      </w:r>
                    </w:p>
                    <w:p>
                      <w:pPr>
                        <w:pStyle w:val="TextBody"/>
                        <w:bidi w:val="0"/>
                        <w:spacing w:before="120" w:after="0"/>
                        <w:jc w:val="left"/>
                        <w:rPr>
                          <w:rFonts w:ascii="Times New Roman" w:hAnsi="Times New Roman"/>
                          <w:sz w:val="20"/>
                        </w:rPr>
                      </w:pPr>
                      <w:r>
                        <w:rPr>
                          <w:rFonts w:ascii="Times New Roman" w:hAnsi="Times New Roman"/>
                          <w:sz w:val="20"/>
                        </w:rPr>
                        <w:t xml:space="preserve">Since our founding, Seer has created an entirely new market, imagining and pioneering the first solution for standardized, robust, deep unbiased proteomics at scale. Our Proteograph® Product Suite (Proteograph®) platform has fundamentally expanded what is possible in proteomics, and in just eight years, we have built a portfolio of more than 250 patent applications and issued patents, including over 80 issued patents worldwide. Today, we firmly believe that the Proteograph® is the </w:t>
                      </w:r>
                      <w:r>
                        <w:rPr>
                          <w:rFonts w:ascii="Times New Roman" w:hAnsi="Times New Roman"/>
                          <w:i/>
                          <w:sz w:val="20"/>
                        </w:rPr>
                        <w:t>only</w:t>
                      </w:r>
                      <w:r>
                        <w:rPr>
                          <w:rFonts w:ascii="Times New Roman" w:hAnsi="Times New Roman"/>
                          <w:sz w:val="20"/>
                        </w:rPr>
                        <w:t xml:space="preserve"> commercial solution capable of delivering the necessary level of depth, reproducibility, and standardization to enable population-scale studies beyond the reach of traditional mass spectrometry workflows. Biological discovery is at an inflection point, and Seer is uniquely positioned to help power the next era of AI-driven precision medicine. </w:t>
                      </w:r>
                    </w:p>
                    <w:p>
                      <w:pPr>
                        <w:pStyle w:val="TextBody"/>
                        <w:bidi w:val="0"/>
                        <w:spacing w:before="240" w:after="0"/>
                        <w:jc w:val="left"/>
                        <w:rPr>
                          <w:rFonts w:ascii="Times New Roman" w:hAnsi="Times New Roman"/>
                          <w:sz w:val="20"/>
                        </w:rPr>
                      </w:pPr>
                      <w:r>
                        <w:rPr>
                          <w:rFonts w:ascii="Times New Roman" w:hAnsi="Times New Roman"/>
                          <w:sz w:val="20"/>
                        </w:rPr>
                        <w:t xml:space="preserve">External validation of Seer’s technology continues to build. As of May 13, 2026, Seer has been featured in a total of 84 publications,4 doubling in number over the past year. This increase in the rate of publication highlights the scientific community’s growing confidence in our platform’s capabilities. </w:t>
                      </w:r>
                    </w:p>
                    <w:p>
                      <w:pPr>
                        <w:pStyle w:val="TextBody"/>
                        <w:bidi w:val="0"/>
                        <w:spacing w:before="240" w:after="0"/>
                        <w:jc w:val="left"/>
                        <w:rPr>
                          <w:rFonts w:ascii="Times New Roman" w:hAnsi="Times New Roman"/>
                          <w:sz w:val="20"/>
                        </w:rPr>
                      </w:pPr>
                      <w:r>
                        <w:rPr>
                          <w:rFonts w:ascii="Times New Roman" w:hAnsi="Times New Roman"/>
                          <w:sz w:val="20"/>
                        </w:rPr>
                        <w:t xml:space="preserve">These publications are the basis for our commercial flywheel to begin to turn. We reached significant market milestones in the past year, including the initiation of landmark population-scale studies with Korea University,5 Discovery Life Sciences, and an NIH-funded multi-omics program.6 These recent achievements demonstrate long-term momentum, and we are now at a pivotal moment as our commercial opportunity begins to accelerate. Our recently announced PRECISE-SG100K population-scale study in April 2026,7 conducted in collaboration with Precision Health Research, Singapore (PRECISE) and Thermo Fisher Scientific, has generated data for 10,000 participants, with the potential to scale to 100,000, creating one of the largest multi-omics datasets in the world. </w:t>
                      </w:r>
                    </w:p>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75000" cy="5520690"/>
                <wp:effectExtent l="0" t="0" r="0" b="0"/>
                <wp:wrapSquare wrapText="right"/>
                <wp:docPr id="10" name="Frame2"/>
                <a:graphic xmlns:a="http://schemas.openxmlformats.org/drawingml/2006/main">
                  <a:graphicData uri="http://schemas.microsoft.com/office/word/2010/wordprocessingShape">
                    <wps:wsp>
                      <wps:cNvSpPr txBox="1"/>
                      <wps:spPr>
                        <a:xfrm>
                          <a:off x="0" y="0"/>
                          <a:ext cx="3175000" cy="552069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Recent scientific highlights underscore strength of Seer’s foundation for growth and ability to drive progress </w:t>
                            </w:r>
                          </w:p>
                          <w:p>
                            <w:pPr>
                              <w:pStyle w:val="TextBody"/>
                              <w:bidi w:val="0"/>
                              <w:spacing w:before="120" w:after="0"/>
                              <w:jc w:val="left"/>
                              <w:rPr>
                                <w:rFonts w:ascii="Times New Roman" w:hAnsi="Times New Roman"/>
                                <w:sz w:val="20"/>
                              </w:rPr>
                            </w:pPr>
                            <w:r>
                              <w:rPr>
                                <w:rFonts w:ascii="Times New Roman" w:hAnsi="Times New Roman"/>
                                <w:sz w:val="20"/>
                              </w:rPr>
                              <w:t xml:space="preserve">Our recent performance highlights the strength of Seer’s scientific foundation and our ability to continue executing despite the still-growing market. Over the past year, we have expanded our installed base by 67%, alongside 69% growth in consumable kit sample volumes.8 These accomplishments reflect both the increasing adoption of the Proteograph® and increasing utilization by existing customers. This combination is a key indicator of durable, recurring growth and is especially encouraging given the continued challenges in academic and government funding. </w:t>
                            </w:r>
                          </w:p>
                          <w:p>
                            <w:pPr>
                              <w:pStyle w:val="TextBody"/>
                              <w:bidi w:val="0"/>
                              <w:spacing w:before="360" w:after="0"/>
                              <w:jc w:val="left"/>
                              <w:rPr>
                                <w:rFonts w:ascii="Times New Roman" w:hAnsi="Times New Roman"/>
                                <w:b/>
                                <w:sz w:val="20"/>
                              </w:rPr>
                            </w:pPr>
                            <w:r>
                              <w:rPr>
                                <w:rFonts w:ascii="Times New Roman" w:hAnsi="Times New Roman"/>
                                <w:b/>
                                <w:sz w:val="20"/>
                              </w:rPr>
                              <w:t xml:space="preserve">Maintaining cost discipline and prudently managing capital to drive returns for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Seer’s Board of Directors and management team are highly responsible stewards of capital, tightly managing investments and expenses to ensure that we remain disciplined as we fund our plans for long-term growth. Our focus on reducing cash burn has allowed us to lower our total operating expenses for two consecutive years,9 most recently from $22.8 million in Q1 2025 to $18.2 million in Q1 2026.10 Our prudent capital decisions and focus on driving efficiencies have allowed us to build and maintain a strong cash position, which we believe today represents sufficient capital to reach cash flow breakeven.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our balanced approach to capital allocation and underscoring the Seer Board’s confidence in our long-term value creation potential, since 2024, we’ve repurchased approximately 13.2 million shares at a volume-weighted average price of $1.86, representing approximately $24.5 million of capital deployed and reducing net total common shares outstanding by roughly 15%.11 Most recently, in February 2026, we announced a new program to repurchase up to $25 million of shares.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4.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Recent scientific highlights underscore strength of Seer’s foundation for growth and ability to drive progress </w:t>
                      </w:r>
                    </w:p>
                    <w:p>
                      <w:pPr>
                        <w:pStyle w:val="TextBody"/>
                        <w:bidi w:val="0"/>
                        <w:spacing w:before="120" w:after="0"/>
                        <w:jc w:val="left"/>
                        <w:rPr>
                          <w:rFonts w:ascii="Times New Roman" w:hAnsi="Times New Roman"/>
                          <w:sz w:val="20"/>
                        </w:rPr>
                      </w:pPr>
                      <w:r>
                        <w:rPr>
                          <w:rFonts w:ascii="Times New Roman" w:hAnsi="Times New Roman"/>
                          <w:sz w:val="20"/>
                        </w:rPr>
                        <w:t xml:space="preserve">Our recent performance highlights the strength of Seer’s scientific foundation and our ability to continue executing despite the still-growing market. Over the past year, we have expanded our installed base by 67%, alongside 69% growth in consumable kit sample volumes.8 These accomplishments reflect both the increasing adoption of the Proteograph® and increasing utilization by existing customers. This combination is a key indicator of durable, recurring growth and is especially encouraging given the continued challenges in academic and government funding. </w:t>
                      </w:r>
                    </w:p>
                    <w:p>
                      <w:pPr>
                        <w:pStyle w:val="TextBody"/>
                        <w:bidi w:val="0"/>
                        <w:spacing w:before="360" w:after="0"/>
                        <w:jc w:val="left"/>
                        <w:rPr>
                          <w:rFonts w:ascii="Times New Roman" w:hAnsi="Times New Roman"/>
                          <w:b/>
                          <w:sz w:val="20"/>
                        </w:rPr>
                      </w:pPr>
                      <w:r>
                        <w:rPr>
                          <w:rFonts w:ascii="Times New Roman" w:hAnsi="Times New Roman"/>
                          <w:b/>
                          <w:sz w:val="20"/>
                        </w:rPr>
                        <w:t xml:space="preserve">Maintaining cost discipline and prudently managing capital to drive returns for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Seer’s Board of Directors and management team are highly responsible stewards of capital, tightly managing investments and expenses to ensure that we remain disciplined as we fund our plans for long-term growth. Our focus on reducing cash burn has allowed us to lower our total operating expenses for two consecutive years,9 most recently from $22.8 million in Q1 2025 to $18.2 million in Q1 2026.10 Our prudent capital decisions and focus on driving efficiencies have allowed us to build and maintain a strong cash position, which we believe today represents sufficient capital to reach cash flow breakeven.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our balanced approach to capital allocation and underscoring the Seer Board’s confidence in our long-term value creation potential, since 2024, we’ve repurchased approximately 13.2 million shares at a volume-weighted average price of $1.86, representing approximately $24.5 million of capital deployed and reducing net total common shares outstanding by roughly 15%.11 Most recently, in February 2026, we announced a new program to repurchase up to $25 million of shares.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Positioning Seer to continue building stockholder value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110230" cy="3385185"/>
                <wp:effectExtent l="0" t="0" r="0" b="0"/>
                <wp:wrapSquare wrapText="right"/>
                <wp:docPr id="11" name="Frame3"/>
                <a:graphic xmlns:a="http://schemas.openxmlformats.org/drawingml/2006/main">
                  <a:graphicData uri="http://schemas.microsoft.com/office/word/2010/wordprocessingShape">
                    <wps:wsp>
                      <wps:cNvSpPr txBox="1"/>
                      <wps:spPr>
                        <a:xfrm>
                          <a:off x="0" y="0"/>
                          <a:ext cx="3110230" cy="338518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In parallel with Seer’s disciplined financial practices, we are making focused, high-conviction investments in our platform to reinforce Seer’s technological differentiation, support meaningful progress across our portfolio, and drive stockholder value. Innovation remains central to our strategy as we seek to establish our leadership position as the preferred proteomic data platform for AI-driven biology. </w:t>
                            </w:r>
                          </w:p>
                          <w:p>
                            <w:pPr>
                              <w:pStyle w:val="TextBody"/>
                              <w:bidi w:val="0"/>
                              <w:spacing w:before="240" w:after="0"/>
                              <w:jc w:val="left"/>
                              <w:rPr>
                                <w:rFonts w:ascii="Times New Roman" w:hAnsi="Times New Roman"/>
                                <w:sz w:val="20"/>
                              </w:rPr>
                            </w:pPr>
                            <w:r>
                              <w:rPr>
                                <w:rFonts w:ascii="Times New Roman" w:hAnsi="Times New Roman"/>
                                <w:sz w:val="20"/>
                              </w:rPr>
                              <w:t xml:space="preserve">In May 2025, we introduced the SP200 Automation Instrument and Proteograph® ONE Assay to advance the next generation of proteomics detection. We are also committed to enhancing our Proteograph® Analysis Suite (PAS), our cloud-based data analytics software solution, to more seamlessly deliver interpretable results for customers. The fourth generation of our PAS, which is on track to be released later this year, will feature AI capabilities that enable customers to interact with their data through a chat-based large language model interface, further establishing Seer’s technological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We are also pleased with the progress that we are making in the development of our next-generation detector, designed to deliver the depth, precision,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6.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In parallel with Seer’s disciplined financial practices, we are making focused, high-conviction investments in our platform to reinforce Seer’s technological differentiation, support meaningful progress across our portfolio, and drive stockholder value. Innovation remains central to our strategy as we seek to establish our leadership position as the preferred proteomic data platform for AI-driven biology. </w:t>
                      </w:r>
                    </w:p>
                    <w:p>
                      <w:pPr>
                        <w:pStyle w:val="TextBody"/>
                        <w:bidi w:val="0"/>
                        <w:spacing w:before="240" w:after="0"/>
                        <w:jc w:val="left"/>
                        <w:rPr>
                          <w:rFonts w:ascii="Times New Roman" w:hAnsi="Times New Roman"/>
                          <w:sz w:val="20"/>
                        </w:rPr>
                      </w:pPr>
                      <w:r>
                        <w:rPr>
                          <w:rFonts w:ascii="Times New Roman" w:hAnsi="Times New Roman"/>
                          <w:sz w:val="20"/>
                        </w:rPr>
                        <w:t xml:space="preserve">In May 2025, we introduced the SP200 Automation Instrument and Proteograph® ONE Assay to advance the next generation of proteomics detection. We are also committed to enhancing our Proteograph® Analysis Suite (PAS), our cloud-based data analytics software solution, to more seamlessly deliver interpretable results for customers. The fourth generation of our PAS, which is on track to be released later this year, will feature AI capabilities that enable customers to interact with their data through a chat-based large language model interface, further establishing Seer’s technological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We are also pleased with the progress that we are making in the development of our next-generation detector, designed to deliver the depth, precision, and </w:t>
                      </w:r>
                    </w:p>
                  </w:txbxContent>
                </v:textbox>
                <w10:wrap type="square" side="right"/>
              </v:rect>
            </w:pict>
          </mc:Fallback>
        </mc:AlternateConten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3175000" cy="3086100"/>
                <wp:effectExtent l="0" t="0" r="0" b="0"/>
                <wp:wrapSquare wrapText="right"/>
                <wp:docPr id="12" name="Frame4"/>
                <a:graphic xmlns:a="http://schemas.openxmlformats.org/drawingml/2006/main">
                  <a:graphicData uri="http://schemas.microsoft.com/office/word/2010/wordprocessingShape">
                    <wps:wsp>
                      <wps:cNvSpPr txBox="1"/>
                      <wps:spPr>
                        <a:xfrm>
                          <a:off x="0" y="0"/>
                          <a:ext cx="3175000" cy="308610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scale that large-scale biomarker discovery and population studies demand. Bringing the detector together with our Proteograph® platform will create an end-to-end sample-to-data proteomics solution at levels of speed, simplicity, standardization, reproducibility, and cost that are accessible to a much wider audience that can catalyze the growth of the proteomics market beyond existing mass spectrometry users. We believe this innovation is key to meaningfully expanding the end market for proteomics, and we look forward to sharing data on the instrument in the second half of the year. </w:t>
                            </w:r>
                          </w:p>
                          <w:p>
                            <w:pPr>
                              <w:pStyle w:val="TextBody"/>
                              <w:bidi w:val="0"/>
                              <w:spacing w:before="240" w:after="0"/>
                              <w:jc w:val="left"/>
                              <w:rPr>
                                <w:rFonts w:ascii="Times New Roman" w:hAnsi="Times New Roman"/>
                                <w:sz w:val="20"/>
                              </w:rPr>
                            </w:pPr>
                            <w:r>
                              <w:rPr>
                                <w:rFonts w:ascii="Times New Roman" w:hAnsi="Times New Roman"/>
                                <w:sz w:val="20"/>
                              </w:rPr>
                              <w:t xml:space="preserve">These initiatives—building a new market, maintaining cost discipline, strategically returning capital to stockholders, and investing in our platform—are the right decisions to grow stockholder value. We are building a company that has significant long-term value potential, and we want </w:t>
                            </w:r>
                            <w:r>
                              <w:rPr>
                                <w:rFonts w:ascii="Times New Roman" w:hAnsi="Times New Roman"/>
                                <w:i/>
                                <w:sz w:val="20"/>
                              </w:rPr>
                              <w:t>all of our stockholders</w:t>
                            </w:r>
                            <w:r>
                              <w:rPr>
                                <w:rFonts w:ascii="Times New Roman" w:hAnsi="Times New Roman"/>
                                <w:sz w:val="20"/>
                              </w:rPr>
                              <w:t xml:space="preserve"> (not just Radoff and Torok) to benefit from that hard work. We remain confident that Seer is on a clear and achievable path to revenue growth and profitability, and we are excited for the future as we strive to capitalize on the opportunities ahead.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scale that large-scale biomarker discovery and population studies demand. Bringing the detector together with our Proteograph® platform will create an end-to-end sample-to-data proteomics solution at levels of speed, simplicity, standardization, reproducibility, and cost that are accessible to a much wider audience that can catalyze the growth of the proteomics market beyond existing mass spectrometry users. We believe this innovation is key to meaningfully expanding the end market for proteomics, and we look forward to sharing data on the instrument in the second half of the year. </w:t>
                      </w:r>
                    </w:p>
                    <w:p>
                      <w:pPr>
                        <w:pStyle w:val="TextBody"/>
                        <w:bidi w:val="0"/>
                        <w:spacing w:before="240" w:after="0"/>
                        <w:jc w:val="left"/>
                        <w:rPr>
                          <w:rFonts w:ascii="Times New Roman" w:hAnsi="Times New Roman"/>
                          <w:sz w:val="20"/>
                        </w:rPr>
                      </w:pPr>
                      <w:r>
                        <w:rPr>
                          <w:rFonts w:ascii="Times New Roman" w:hAnsi="Times New Roman"/>
                          <w:sz w:val="20"/>
                        </w:rPr>
                        <w:t xml:space="preserve">These initiatives—building a new market, maintaining cost discipline, strategically returning capital to stockholders, and investing in our platform—are the right decisions to grow stockholder value. We are building a company that has significant long-term value potential, and we want </w:t>
                      </w:r>
                      <w:r>
                        <w:rPr>
                          <w:rFonts w:ascii="Times New Roman" w:hAnsi="Times New Roman"/>
                          <w:i/>
                          <w:sz w:val="20"/>
                        </w:rPr>
                        <w:t>all of our stockholders</w:t>
                      </w:r>
                      <w:r>
                        <w:rPr>
                          <w:rFonts w:ascii="Times New Roman" w:hAnsi="Times New Roman"/>
                          <w:sz w:val="20"/>
                        </w:rPr>
                        <w:t xml:space="preserve"> (not just Radoff and Torok) to benefit from that hard work. We remain confident that Seer is on a clear and achievable path to revenue growth and profitability, and we are excited for the future as we strive to capitalize on the opportunities ahead.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Seer’s Board is a Collection of Highly Engaged and Seasoned Industry Experts Well-Qualified to Oversee Continued Strategic Execution and Advance Stockholders’ Best Interests </w:t>
      </w:r>
    </w:p>
    <w:p>
      <w:pPr>
        <w:pStyle w:val="TextBody"/>
        <w:bidi w:val="0"/>
        <w:spacing w:before="120" w:after="0"/>
        <w:jc w:val="left"/>
        <w:rPr>
          <w:rFonts w:ascii="Times New Roman" w:hAnsi="Times New Roman"/>
          <w:sz w:val="20"/>
        </w:rPr>
      </w:pPr>
      <w:r>
        <w:rPr>
          <w:rFonts w:ascii="Times New Roman" w:hAnsi="Times New Roman"/>
          <w:sz w:val="20"/>
        </w:rPr>
        <w:t xml:space="preserve">Seer benefits from an experienced, independent, and highly engaged Board that is purpose-built to oversee our strategy as we continue pioneering the nascent space of proteomics. We have a demonstrated commitment to evolving our corporate governance practices as we grow and mature. For example, we voluntarily eliminated our classified board starting in 2023, and our dual class share structure sunset in late 2025. At the Annual Meeting, all of our directors will stand for election to one-year terms. </w:t>
      </w:r>
    </w:p>
    <w:p>
      <w:pPr>
        <w:pStyle w:val="TextBody"/>
        <w:bidi w:val="0"/>
        <w:spacing w:before="240" w:after="0"/>
        <w:jc w:val="left"/>
        <w:rPr>
          <w:rFonts w:ascii="Times New Roman" w:hAnsi="Times New Roman"/>
          <w:sz w:val="20"/>
        </w:rPr>
      </w:pPr>
      <w:r>
        <w:rPr>
          <w:rFonts w:ascii="Times New Roman" w:hAnsi="Times New Roman"/>
          <w:sz w:val="20"/>
        </w:rPr>
        <w:t xml:space="preserve">Seer operates at the forefront of a rapidly evolving scientific and commercial landscape, and our directors possess the right combination of technical expertise, operating experience, and strategic perspective to support Seer’s execution. Our directors include prominent scientists, successful investors, operating executives, and governance experts. Collectively, they have deep, complementary expertise spanning proteomics, biotechnology, life sciences, healthcare, venture capital, capital allocation, strategic planning, and business development.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To highlight just a few of our directors’ many accomplishments: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4"/>
        <w:gridCol w:w="3776"/>
        <w:gridCol w:w="203"/>
        <w:gridCol w:w="3777"/>
      </w:tblGrid>
      <w:tr>
        <w:trPr/>
        <w:tc>
          <w:tcPr>
            <w:tcW w:w="22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5" w:type="dxa"/>
            <w:vMerge w:val="restart"/>
            <w:tcBorders/>
          </w:tcPr>
          <w:p>
            <w:pPr>
              <w:pStyle w:val="TableContents"/>
              <w:bidi w:val="0"/>
              <w:spacing w:before="0" w:after="283"/>
              <w:jc w:val="left"/>
              <w:rPr/>
            </w:pPr>
            <w:r>
              <w:rPr/>
              <w:drawing>
                <wp:inline distT="0" distB="0" distL="0" distR="0">
                  <wp:extent cx="970915" cy="97091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0915" cy="97091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b/>
              </w:rPr>
              <w:t xml:space="preserve">Omid Farokhzad, </w:t>
            </w:r>
            <w:r>
              <w:rPr/>
              <w:t>M.D.</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sz w:val="4"/>
                <w:szCs w:val="4"/>
              </w:rPr>
            </w:pPr>
            <w:r>
              <w:rPr>
                <w:sz w:val="4"/>
                <w:szCs w:val="4"/>
              </w:rPr>
            </w:r>
          </w:p>
        </w:tc>
      </w:tr>
      <w:tr>
        <w:trPr/>
        <w:tc>
          <w:tcPr>
            <w:tcW w:w="2245" w:type="dxa"/>
            <w:vMerge w:val="continue"/>
            <w:tcBorders/>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Co-founder and Chief Executive Officer of Seer, author of over 200 scientific papers, and inventor on over 250 issued and pending patents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Professor at Harvard Medical School and directed the Center for Nanomedicine at Brigham and Women’s Hospital</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Deep expertise in biotechnology, nanotechnology, drug delivery, and building innovative life sciences platforms</w:t>
            </w:r>
          </w:p>
        </w:tc>
      </w:tr>
      <w:tr>
        <w:trPr>
          <w:trHeight w:val="24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vMerge w:val="restart"/>
            <w:tcBorders/>
          </w:tcPr>
          <w:p>
            <w:pPr>
              <w:pStyle w:val="TableContents"/>
              <w:bidi w:val="0"/>
              <w:spacing w:before="0" w:after="283"/>
              <w:jc w:val="left"/>
              <w:rPr/>
            </w:pPr>
            <w:r>
              <w:rPr/>
              <w:drawing>
                <wp:inline distT="0" distB="0" distL="0" distR="0">
                  <wp:extent cx="970915" cy="97091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0915" cy="97091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b/>
              </w:rPr>
            </w:pPr>
            <w:r>
              <w:rPr>
                <w:b/>
              </w:rPr>
              <w:t>Meeta Gulyani</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sz w:val="4"/>
                <w:szCs w:val="4"/>
              </w:rPr>
            </w:pPr>
            <w:r>
              <w:rPr>
                <w:sz w:val="4"/>
                <w:szCs w:val="4"/>
              </w:rPr>
            </w:r>
          </w:p>
        </w:tc>
      </w:tr>
      <w:tr>
        <w:trPr/>
        <w:tc>
          <w:tcPr>
            <w:tcW w:w="2245" w:type="dxa"/>
            <w:vMerge w:val="continue"/>
            <w:tcBorders/>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Senior Vice President, General Manager, Bioprocessing and Head of Life Science Strategy of Ecolab</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member of Novo Advisory Group</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senior operating executive at Merck KGaA and Roche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Seasoned international operating executive with extensive experience in the life sciences industry and across markets, including Asia</w:t>
            </w:r>
          </w:p>
        </w:tc>
      </w:tr>
      <w:tr>
        <w:trPr>
          <w:trHeight w:val="24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vMerge w:val="restart"/>
            <w:tcBorders/>
          </w:tcPr>
          <w:p>
            <w:pPr>
              <w:pStyle w:val="TableContents"/>
              <w:bidi w:val="0"/>
              <w:spacing w:before="0" w:after="283"/>
              <w:jc w:val="left"/>
              <w:rPr/>
            </w:pPr>
            <w:r>
              <w:rPr/>
              <w:drawing>
                <wp:inline distT="0" distB="0" distL="0" distR="0">
                  <wp:extent cx="970915" cy="97091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0915" cy="97091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b/>
              </w:rPr>
              <w:t xml:space="preserve">Robert Langer, </w:t>
            </w:r>
            <w:r>
              <w:rPr/>
              <w:t>Sc.D.</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sz w:val="4"/>
                <w:szCs w:val="4"/>
              </w:rPr>
            </w:pPr>
            <w:r>
              <w:rPr>
                <w:sz w:val="4"/>
                <w:szCs w:val="4"/>
              </w:rPr>
            </w:r>
          </w:p>
        </w:tc>
      </w:tr>
      <w:tr>
        <w:trPr/>
        <w:tc>
          <w:tcPr>
            <w:tcW w:w="2245" w:type="dxa"/>
            <w:vMerge w:val="continue"/>
            <w:tcBorders/>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Renowned biotechnology pioneer and MIT Institute Professor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One of the most accomplished scientists globally with over 1,500 patents and patent applications, and 1,600 articles, and elected membership in all three U.S. National Academies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Recipient of over 220 major awards, including the National Medal of Science and the National Medal of Technology and Innovation</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Inducted into the National Inventors Hall of Fame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Co-founded and scaled more than 30 biotechnology companies, including Moderna</w:t>
            </w:r>
          </w:p>
        </w:tc>
      </w:tr>
      <w:tr>
        <w:trPr>
          <w:trHeight w:val="24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vMerge w:val="restart"/>
            <w:tcBorders/>
          </w:tcPr>
          <w:p>
            <w:pPr>
              <w:pStyle w:val="TableContents"/>
              <w:bidi w:val="0"/>
              <w:spacing w:before="0" w:after="20"/>
              <w:jc w:val="left"/>
              <w:rPr/>
            </w:pPr>
            <w:r>
              <w:rPr/>
              <w:drawing>
                <wp:inline distT="0" distB="0" distL="0" distR="0">
                  <wp:extent cx="970915" cy="97091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0915" cy="97091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b/>
              </w:rPr>
            </w:pPr>
            <w:r>
              <w:rPr>
                <w:b/>
              </w:rPr>
              <w:t>Terrance McGuire</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sz w:val="4"/>
                <w:szCs w:val="4"/>
              </w:rPr>
            </w:pPr>
            <w:r>
              <w:rPr>
                <w:sz w:val="4"/>
                <w:szCs w:val="4"/>
              </w:rPr>
            </w:r>
          </w:p>
        </w:tc>
      </w:tr>
      <w:tr>
        <w:trPr/>
        <w:tc>
          <w:tcPr>
            <w:tcW w:w="2245" w:type="dxa"/>
            <w:vMerge w:val="continue"/>
            <w:tcBorders/>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Founding Partner of Polaris Partners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Extensive experience investing in and scaling leading healthcare and biotechnology companies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Invested in healthcare and technology companies that collectively reached $70 billion in peak enterprise value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Proven capital allocation expertise</w:t>
            </w:r>
          </w:p>
        </w:tc>
      </w:tr>
      <w:tr>
        <w:trPr>
          <w:trHeight w:val="240" w:hRule="atLeast"/>
        </w:trPr>
        <w:tc>
          <w:tcPr>
            <w:tcW w:w="2245" w:type="dxa"/>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245" w:type="dxa"/>
            <w:vMerge w:val="restart"/>
            <w:tcBorders/>
          </w:tcPr>
          <w:p>
            <w:pPr>
              <w:pStyle w:val="TableContents"/>
              <w:bidi w:val="0"/>
              <w:spacing w:before="0" w:after="283"/>
              <w:jc w:val="left"/>
              <w:rPr/>
            </w:pPr>
            <w:r>
              <w:rPr/>
              <w:drawing>
                <wp:inline distT="0" distB="0" distL="0" distR="0">
                  <wp:extent cx="970915" cy="97091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0915" cy="970915"/>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b/>
              </w:rPr>
            </w:pPr>
            <w:r>
              <w:rPr>
                <w:b/>
              </w:rPr>
              <w:t>Dipchand (Deep) Nishar</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sz w:val="4"/>
                <w:szCs w:val="4"/>
              </w:rPr>
            </w:pPr>
            <w:r>
              <w:rPr>
                <w:sz w:val="4"/>
                <w:szCs w:val="4"/>
              </w:rPr>
            </w:r>
          </w:p>
        </w:tc>
      </w:tr>
      <w:tr>
        <w:trPr/>
        <w:tc>
          <w:tcPr>
            <w:tcW w:w="2245" w:type="dxa"/>
            <w:vMerge w:val="continue"/>
            <w:tcBorders/>
          </w:tcPr>
          <w:p>
            <w:pPr>
              <w:pStyle w:val="Normal"/>
              <w:bidi w:val="0"/>
              <w:jc w:val="left"/>
              <w:rPr/>
            </w:pPr>
            <w:r>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Senior Managing Partner at Softbank Vision Fund and former Managing Director at General Catalyst</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senior executive at LinkedIn and Google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Extensive background in corporate strategy, governance, capital allocation, investing, and management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407"/>
        <w:gridCol w:w="106"/>
        <w:gridCol w:w="3892"/>
        <w:gridCol w:w="122"/>
        <w:gridCol w:w="3678"/>
      </w:tblGrid>
      <w:tr>
        <w:trPr/>
        <w:tc>
          <w:tcPr>
            <w:tcW w:w="240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2407" w:type="dxa"/>
            <w:vMerge w:val="restart"/>
            <w:tcBorders/>
          </w:tcPr>
          <w:p>
            <w:pPr>
              <w:pStyle w:val="TableContents"/>
              <w:bidi w:val="0"/>
              <w:spacing w:before="0" w:after="283"/>
              <w:jc w:val="left"/>
              <w:rPr/>
            </w:pPr>
            <w:r>
              <w:rPr/>
              <w:drawing>
                <wp:inline distT="0" distB="0" distL="0" distR="0">
                  <wp:extent cx="970280" cy="97028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0280" cy="97028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3892" w:type="dxa"/>
            <w:tcBorders/>
          </w:tcPr>
          <w:p>
            <w:pPr>
              <w:pStyle w:val="TableContents"/>
              <w:bidi w:val="0"/>
              <w:spacing w:before="0" w:after="283"/>
              <w:jc w:val="left"/>
              <w:rPr>
                <w:b/>
              </w:rPr>
            </w:pPr>
            <w:r>
              <w:rPr>
                <w:b/>
              </w:rPr>
              <w:t>Isaac Ro</w:t>
            </w:r>
          </w:p>
        </w:tc>
        <w:tc>
          <w:tcPr>
            <w:tcW w:w="122" w:type="dxa"/>
            <w:tcBorders/>
            <w:vAlign w:val="bottom"/>
          </w:tcPr>
          <w:p>
            <w:pPr>
              <w:pStyle w:val="TableContents"/>
              <w:bidi w:val="0"/>
              <w:spacing w:before="0" w:after="283"/>
              <w:jc w:val="left"/>
              <w:rPr/>
            </w:pPr>
            <w:r>
              <w:rPr/>
              <w:t>  </w:t>
            </w:r>
          </w:p>
        </w:tc>
        <w:tc>
          <w:tcPr>
            <w:tcW w:w="3678" w:type="dxa"/>
            <w:tcBorders/>
          </w:tcPr>
          <w:p>
            <w:pPr>
              <w:pStyle w:val="TableContents"/>
              <w:bidi w:val="0"/>
              <w:spacing w:before="0" w:after="283"/>
              <w:jc w:val="left"/>
              <w:rPr>
                <w:sz w:val="4"/>
                <w:szCs w:val="4"/>
              </w:rPr>
            </w:pPr>
            <w:r>
              <w:rPr>
                <w:sz w:val="4"/>
                <w:szCs w:val="4"/>
              </w:rPr>
            </w:r>
          </w:p>
        </w:tc>
      </w:tr>
      <w:tr>
        <w:trPr/>
        <w:tc>
          <w:tcPr>
            <w:tcW w:w="2407" w:type="dxa"/>
            <w:vMerge w:val="continue"/>
            <w:tcBorders/>
          </w:tcPr>
          <w:p>
            <w:pPr>
              <w:pStyle w:val="Normal"/>
              <w:bidi w:val="0"/>
              <w:jc w:val="left"/>
              <w:rPr/>
            </w:pPr>
            <w:r>
              <w:rPr/>
            </w:r>
          </w:p>
        </w:tc>
        <w:tc>
          <w:tcPr>
            <w:tcW w:w="106" w:type="dxa"/>
            <w:tcBorders/>
            <w:vAlign w:val="bottom"/>
          </w:tcPr>
          <w:p>
            <w:pPr>
              <w:pStyle w:val="TableContents"/>
              <w:bidi w:val="0"/>
              <w:spacing w:before="0" w:after="283"/>
              <w:jc w:val="left"/>
              <w:rPr/>
            </w:pPr>
            <w:r>
              <w:rPr/>
              <w:t> </w:t>
            </w:r>
          </w:p>
        </w:tc>
        <w:tc>
          <w:tcPr>
            <w:tcW w:w="389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Partner at Catalio Capital Management and experienced healthcare investor, serving on the boards of PinkDx and PrognomiQ</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CFO of multiple life sciences and diagnostics companies with successful exits</w:t>
            </w:r>
          </w:p>
        </w:tc>
        <w:tc>
          <w:tcPr>
            <w:tcW w:w="122" w:type="dxa"/>
            <w:tcBorders/>
            <w:vAlign w:val="bottom"/>
          </w:tcPr>
          <w:p>
            <w:pPr>
              <w:pStyle w:val="TableContents"/>
              <w:bidi w:val="0"/>
              <w:spacing w:before="0" w:after="283"/>
              <w:jc w:val="left"/>
              <w:rPr/>
            </w:pPr>
            <w:r>
              <w:rPr/>
              <w:t>  </w:t>
            </w:r>
          </w:p>
        </w:tc>
        <w:tc>
          <w:tcPr>
            <w:tcW w:w="3678"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Senior Research Analyst at Goldman Sachs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Deep expertise in capital markets, corporate strategy, equity research, capital allocation, governance, investing, management, and precision medicine</w:t>
            </w:r>
          </w:p>
        </w:tc>
      </w:tr>
      <w:tr>
        <w:trPr>
          <w:trHeight w:val="240" w:hRule="atLeast"/>
        </w:trPr>
        <w:tc>
          <w:tcPr>
            <w:tcW w:w="2407" w:type="dxa"/>
            <w:tcBorders/>
            <w:vAlign w:val="center"/>
          </w:tcPr>
          <w:p>
            <w:pPr>
              <w:pStyle w:val="TableContents"/>
              <w:bidi w:val="0"/>
              <w:spacing w:before="0" w:after="283"/>
              <w:jc w:val="left"/>
              <w:rPr>
                <w:sz w:val="4"/>
                <w:szCs w:val="4"/>
              </w:rPr>
            </w:pPr>
            <w:r>
              <w:rPr>
                <w:sz w:val="4"/>
                <w:szCs w:val="4"/>
              </w:rPr>
            </w:r>
          </w:p>
        </w:tc>
        <w:tc>
          <w:tcPr>
            <w:tcW w:w="3998" w:type="dxa"/>
            <w:gridSpan w:val="2"/>
            <w:tcBorders/>
            <w:vAlign w:val="center"/>
          </w:tcPr>
          <w:p>
            <w:pPr>
              <w:pStyle w:val="TableContents"/>
              <w:bidi w:val="0"/>
              <w:spacing w:before="0" w:after="283"/>
              <w:jc w:val="left"/>
              <w:rPr>
                <w:sz w:val="4"/>
                <w:szCs w:val="4"/>
              </w:rPr>
            </w:pPr>
            <w:r>
              <w:rPr>
                <w:sz w:val="4"/>
                <w:szCs w:val="4"/>
              </w:rPr>
            </w:r>
          </w:p>
        </w:tc>
        <w:tc>
          <w:tcPr>
            <w:tcW w:w="3800" w:type="dxa"/>
            <w:gridSpan w:val="2"/>
            <w:tcBorders/>
            <w:vAlign w:val="center"/>
          </w:tcPr>
          <w:p>
            <w:pPr>
              <w:pStyle w:val="TableContents"/>
              <w:bidi w:val="0"/>
              <w:spacing w:before="0" w:after="283"/>
              <w:jc w:val="left"/>
              <w:rPr>
                <w:sz w:val="4"/>
                <w:szCs w:val="4"/>
              </w:rPr>
            </w:pPr>
            <w:r>
              <w:rPr>
                <w:sz w:val="4"/>
                <w:szCs w:val="4"/>
              </w:rPr>
            </w:r>
          </w:p>
        </w:tc>
      </w:tr>
      <w:tr>
        <w:trPr/>
        <w:tc>
          <w:tcPr>
            <w:tcW w:w="2407" w:type="dxa"/>
            <w:vMerge w:val="restart"/>
            <w:tcBorders/>
          </w:tcPr>
          <w:p>
            <w:pPr>
              <w:pStyle w:val="TableContents"/>
              <w:bidi w:val="0"/>
              <w:spacing w:before="0" w:after="283"/>
              <w:jc w:val="left"/>
              <w:rPr/>
            </w:pPr>
            <w:r>
              <w:rPr/>
              <w:drawing>
                <wp:inline distT="0" distB="0" distL="0" distR="0">
                  <wp:extent cx="970280" cy="97028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0280" cy="97028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3892" w:type="dxa"/>
            <w:tcBorders/>
          </w:tcPr>
          <w:p>
            <w:pPr>
              <w:pStyle w:val="TableContents"/>
              <w:bidi w:val="0"/>
              <w:spacing w:before="0" w:after="283"/>
              <w:jc w:val="left"/>
              <w:rPr/>
            </w:pPr>
            <w:r>
              <w:rPr>
                <w:b/>
              </w:rPr>
              <w:t xml:space="preserve">Nicolas Roelofs, </w:t>
            </w:r>
            <w:r>
              <w:rPr/>
              <w:t>Ph.D.</w:t>
            </w:r>
          </w:p>
        </w:tc>
        <w:tc>
          <w:tcPr>
            <w:tcW w:w="122" w:type="dxa"/>
            <w:tcBorders/>
            <w:vAlign w:val="bottom"/>
          </w:tcPr>
          <w:p>
            <w:pPr>
              <w:pStyle w:val="TableContents"/>
              <w:bidi w:val="0"/>
              <w:spacing w:before="0" w:after="283"/>
              <w:jc w:val="left"/>
              <w:rPr/>
            </w:pPr>
            <w:r>
              <w:rPr/>
              <w:t>  </w:t>
            </w:r>
          </w:p>
        </w:tc>
        <w:tc>
          <w:tcPr>
            <w:tcW w:w="3678" w:type="dxa"/>
            <w:tcBorders/>
          </w:tcPr>
          <w:p>
            <w:pPr>
              <w:pStyle w:val="TableContents"/>
              <w:bidi w:val="0"/>
              <w:spacing w:before="0" w:after="283"/>
              <w:jc w:val="left"/>
              <w:rPr>
                <w:sz w:val="4"/>
                <w:szCs w:val="4"/>
              </w:rPr>
            </w:pPr>
            <w:r>
              <w:rPr>
                <w:sz w:val="4"/>
                <w:szCs w:val="4"/>
              </w:rPr>
            </w:r>
          </w:p>
        </w:tc>
      </w:tr>
      <w:tr>
        <w:trPr/>
        <w:tc>
          <w:tcPr>
            <w:tcW w:w="2407" w:type="dxa"/>
            <w:vMerge w:val="continue"/>
            <w:tcBorders/>
          </w:tcPr>
          <w:p>
            <w:pPr>
              <w:pStyle w:val="Normal"/>
              <w:bidi w:val="0"/>
              <w:jc w:val="left"/>
              <w:rPr/>
            </w:pPr>
            <w:r>
              <w:rPr/>
            </w:r>
          </w:p>
        </w:tc>
        <w:tc>
          <w:tcPr>
            <w:tcW w:w="106" w:type="dxa"/>
            <w:tcBorders/>
            <w:vAlign w:val="bottom"/>
          </w:tcPr>
          <w:p>
            <w:pPr>
              <w:pStyle w:val="TableContents"/>
              <w:bidi w:val="0"/>
              <w:spacing w:before="0" w:after="283"/>
              <w:jc w:val="left"/>
              <w:rPr/>
            </w:pPr>
            <w:r>
              <w:rPr/>
              <w:t> </w:t>
            </w:r>
          </w:p>
        </w:tc>
        <w:tc>
          <w:tcPr>
            <w:tcW w:w="389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Lead Independent Director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Former President of Agilent’s Life Sciences Group</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Current and former board member of numerous public and private life sciences tools companies, including Olink and The Binding Site</w:t>
            </w:r>
          </w:p>
        </w:tc>
        <w:tc>
          <w:tcPr>
            <w:tcW w:w="122" w:type="dxa"/>
            <w:tcBorders/>
            <w:vAlign w:val="bottom"/>
          </w:tcPr>
          <w:p>
            <w:pPr>
              <w:pStyle w:val="TableContents"/>
              <w:bidi w:val="0"/>
              <w:spacing w:before="0" w:after="283"/>
              <w:jc w:val="left"/>
              <w:rPr/>
            </w:pPr>
            <w:r>
              <w:rPr/>
              <w:t>  </w:t>
            </w:r>
          </w:p>
        </w:tc>
        <w:tc>
          <w:tcPr>
            <w:tcW w:w="3678"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Industrial advisor and venture partner to numerous private equity funds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Significant operating, scientific, and technical knowledge as well as governance experience</w:t>
            </w:r>
          </w:p>
        </w:tc>
      </w:tr>
    </w:tbl>
    <w:p>
      <w:pPr>
        <w:pStyle w:val="TextBody"/>
        <w:bidi w:val="0"/>
        <w:spacing w:before="360" w:after="0"/>
        <w:jc w:val="left"/>
        <w:rPr>
          <w:rFonts w:ascii="Times New Roman" w:hAnsi="Times New Roman"/>
          <w:sz w:val="20"/>
        </w:rPr>
      </w:pPr>
      <w:r>
        <w:rPr>
          <w:rFonts w:ascii="Times New Roman" w:hAnsi="Times New Roman"/>
          <w:sz w:val="20"/>
        </w:rPr>
        <w:t xml:space="preserve">Seer’s Board is deeply aligned with stockholder interests and committed to holding management accountable for performance </w:t>
      </w:r>
    </w:p>
    <w:p>
      <w:pPr>
        <w:pStyle w:val="TextBody"/>
        <w:bidi w:val="0"/>
        <w:spacing w:before="120" w:after="0"/>
        <w:jc w:val="left"/>
        <w:rPr>
          <w:rFonts w:ascii="Times New Roman" w:hAnsi="Times New Roman"/>
          <w:sz w:val="20"/>
        </w:rPr>
      </w:pPr>
      <w:r>
        <w:rPr>
          <w:rFonts w:ascii="Times New Roman" w:hAnsi="Times New Roman"/>
          <w:sz w:val="20"/>
        </w:rPr>
        <w:t xml:space="preserve">Seer’s Board and management team are strongly aligned with the interests of stockholders, collectively owning 18.1%12 of our outstanding shares. We believe that this significant insider ownership demonstrates confidence in Seer’s long-term opportunity and reinforces the alignment between Seer’s leadership and stockholder base. </w:t>
      </w:r>
    </w:p>
    <w:p>
      <w:pPr>
        <w:pStyle w:val="TextBody"/>
        <w:bidi w:val="0"/>
        <w:spacing w:before="240" w:after="0"/>
        <w:jc w:val="left"/>
        <w:rPr>
          <w:rFonts w:ascii="Times New Roman" w:hAnsi="Times New Roman"/>
          <w:sz w:val="20"/>
        </w:rPr>
      </w:pPr>
      <w:r>
        <w:rPr>
          <w:rFonts w:ascii="Times New Roman" w:hAnsi="Times New Roman"/>
          <w:sz w:val="20"/>
        </w:rPr>
        <w:t xml:space="preserve">Additionally, Seer’s Board has developed and implemented an executive compensation program that directly aligns pay with performance, ensuring management is fully incentivized to advance Seer’s strategic success. Seer’s executive compensation program is heavily weighted toward long-term equity awards tied to significant stock price appreciation targets, ensuring that management’s interests are deeply aligned with those of our stockholders. When executive stock options were granted in 2023, the accompanying market performance condition required a 150% stock price growth before becoming eligible for time-based vesting.13 In 2024, the accompanying market performance condition required stock price growth of 300% for our Chief Executive Officer and 200% for other named executive officers before becoming eligible to vest.14 </w:t>
      </w:r>
    </w:p>
    <w:p>
      <w:pPr>
        <w:pStyle w:val="TextBody"/>
        <w:bidi w:val="0"/>
        <w:spacing w:before="240" w:after="0"/>
        <w:jc w:val="left"/>
        <w:rPr>
          <w:rFonts w:ascii="Times New Roman" w:hAnsi="Times New Roman"/>
          <w:sz w:val="20"/>
        </w:rPr>
      </w:pPr>
      <w:r>
        <w:rPr>
          <w:rFonts w:ascii="Times New Roman" w:hAnsi="Times New Roman"/>
          <w:sz w:val="20"/>
        </w:rPr>
        <w:t xml:space="preserve">Seer’s Board continues to refine our compensation practices with a focus on cost discipline and minimizing stockholder dilution. In 2025, no equity awards were granted to management, and in both 2024 and 2025, the Board elected not to utilize the automatic share increase available under our equity incentive plan.15 Together, these decisions are reflective of the Board’s prudent approach to compensation and commitment to responsible stewardship of stockholder capital.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543800" cy="332549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7543800" cy="3325495"/>
                    </a:xfrm>
                    <a:prstGeom prst="rect">
                      <a:avLst/>
                    </a:prstGeom>
                  </pic:spPr>
                </pic:pic>
              </a:graphicData>
            </a:graphic>
          </wp:inline>
        </w:drawing>
      </w:r>
      <w:r>
        <w:rPr/>
        <w:t xml:space="preserve"> </w:t>
      </w:r>
    </w:p>
    <w:p>
      <w:pPr>
        <w:pStyle w:val="TextBody"/>
        <w:bidi w:val="0"/>
        <w:jc w:val="left"/>
        <w:rPr/>
      </w:pPr>
      <w:r>
        <w:rPr/>
        <w:t>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10230" cy="1026795"/>
                <wp:effectExtent l="0" t="0" r="0" b="0"/>
                <wp:wrapSquare wrapText="right"/>
                <wp:docPr id="21" name="Frame5"/>
                <a:graphic xmlns:a="http://schemas.openxmlformats.org/drawingml/2006/main">
                  <a:graphicData uri="http://schemas.microsoft.com/office/word/2010/wordprocessingShape">
                    <wps:wsp>
                      <wps:cNvSpPr txBox="1"/>
                      <wps:spPr>
                        <a:xfrm>
                          <a:off x="0" y="0"/>
                          <a:ext cx="3110230" cy="102679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Seer’s Board thoughtfully, and with an open mind, evaluated the three director candidates identified by Radoff and Torok. At the conclusion of this process, Seer’s Board unanimously determined that these individuals lack the relevant skillsets, experience, and independence required to oversee a complex proteomics company at a critical stage of its evolution in a nascent market.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0.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Seer’s Board thoughtfully, and with an open mind, evaluated the three director candidates identified by Radoff and Torok. At the conclusion of this process, Seer’s Board unanimously determined that these individuals lack the relevant skillsets, experience, and independence required to oversee a complex proteomics company at a critical stage of its evolution in a nascent market. </w:t>
                      </w:r>
                    </w:p>
                  </w:txbxContent>
                </v:textbox>
                <w10:wrap type="square" side="right"/>
              </v:rect>
            </w:pict>
          </mc:Fallback>
        </mc:AlternateConten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75000" cy="1320165"/>
                <wp:effectExtent l="0" t="0" r="0" b="0"/>
                <wp:wrapSquare wrapText="right"/>
                <wp:docPr id="22" name="Frame6"/>
                <a:graphic xmlns:a="http://schemas.openxmlformats.org/drawingml/2006/main">
                  <a:graphicData uri="http://schemas.microsoft.com/office/word/2010/wordprocessingShape">
                    <wps:wsp>
                      <wps:cNvSpPr txBox="1"/>
                      <wps:spPr>
                        <a:xfrm>
                          <a:off x="0" y="0"/>
                          <a:ext cx="3175000" cy="132016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As part of its review process, Seer’s Board offered to interview the proposed nominees. </w:t>
                            </w:r>
                            <w:r>
                              <w:rPr>
                                <w:rFonts w:ascii="Times New Roman" w:hAnsi="Times New Roman"/>
                                <w:b/>
                                <w:sz w:val="20"/>
                              </w:rPr>
                              <w:t>Radoff and Torok</w:t>
                            </w:r>
                            <w:r>
                              <w:rPr>
                                <w:rFonts w:ascii="Times New Roman" w:hAnsi="Times New Roman"/>
                                <w:sz w:val="20"/>
                              </w:rPr>
                              <w:t xml:space="preserve"> </w:t>
                            </w:r>
                            <w:r>
                              <w:rPr>
                                <w:rFonts w:ascii="Times New Roman" w:hAnsi="Times New Roman"/>
                                <w:b/>
                                <w:sz w:val="20"/>
                              </w:rPr>
                              <w:t>declined to make any of their three candidates</w:t>
                            </w:r>
                            <w:r>
                              <w:rPr>
                                <w:rFonts w:ascii="Times New Roman" w:hAnsi="Times New Roman"/>
                                <w:sz w:val="20"/>
                              </w:rPr>
                              <w:t xml:space="preserve"> </w:t>
                            </w:r>
                            <w:r>
                              <w:rPr>
                                <w:rFonts w:ascii="Times New Roman" w:hAnsi="Times New Roman"/>
                                <w:b/>
                                <w:sz w:val="20"/>
                              </w:rPr>
                              <w:t xml:space="preserve">available for interviews. </w:t>
                            </w:r>
                            <w:r>
                              <w:rPr>
                                <w:rFonts w:ascii="Times New Roman" w:hAnsi="Times New Roman"/>
                                <w:sz w:val="20"/>
                              </w:rPr>
                              <w:t xml:space="preserve">Candidate interviews are customary practice in good-faith engagement, and this refusal to make the candidates available demonstrates that Radoff and Torok are not, in fact, seeking to work constructively with the Board for the benefit of Seer stockholders, despite their claims to that effect.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3.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As part of its review process, Seer’s Board offered to interview the proposed nominees. </w:t>
                      </w:r>
                      <w:r>
                        <w:rPr>
                          <w:rFonts w:ascii="Times New Roman" w:hAnsi="Times New Roman"/>
                          <w:b/>
                          <w:sz w:val="20"/>
                        </w:rPr>
                        <w:t>Radoff and Torok</w:t>
                      </w:r>
                      <w:r>
                        <w:rPr>
                          <w:rFonts w:ascii="Times New Roman" w:hAnsi="Times New Roman"/>
                          <w:sz w:val="20"/>
                        </w:rPr>
                        <w:t xml:space="preserve"> </w:t>
                      </w:r>
                      <w:r>
                        <w:rPr>
                          <w:rFonts w:ascii="Times New Roman" w:hAnsi="Times New Roman"/>
                          <w:b/>
                          <w:sz w:val="20"/>
                        </w:rPr>
                        <w:t>declined to make any of their three candidates</w:t>
                      </w:r>
                      <w:r>
                        <w:rPr>
                          <w:rFonts w:ascii="Times New Roman" w:hAnsi="Times New Roman"/>
                          <w:sz w:val="20"/>
                        </w:rPr>
                        <w:t xml:space="preserve"> </w:t>
                      </w:r>
                      <w:r>
                        <w:rPr>
                          <w:rFonts w:ascii="Times New Roman" w:hAnsi="Times New Roman"/>
                          <w:b/>
                          <w:sz w:val="20"/>
                        </w:rPr>
                        <w:t xml:space="preserve">available for interviews. </w:t>
                      </w:r>
                      <w:r>
                        <w:rPr>
                          <w:rFonts w:ascii="Times New Roman" w:hAnsi="Times New Roman"/>
                          <w:sz w:val="20"/>
                        </w:rPr>
                        <w:t xml:space="preserve">Candidate interviews are customary practice in good-faith engagement, and this refusal to make the candidates available demonstrates that Radoff and Torok are not, in fact, seeking to work constructively with the Board for the benefit of Seer stockholders, despite their claims to that effect.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Radoff and Torok’s nominees are not equipped to oversee Seer’s strategy </w:t>
      </w:r>
    </w:p>
    <w:p>
      <w:pPr>
        <w:pStyle w:val="TextBody"/>
        <w:bidi w:val="0"/>
        <w:spacing w:before="120" w:after="0"/>
        <w:jc w:val="left"/>
        <w:rPr>
          <w:rFonts w:ascii="Times New Roman" w:hAnsi="Times New Roman"/>
          <w:sz w:val="20"/>
        </w:rPr>
      </w:pPr>
      <w:r>
        <w:rPr>
          <w:rFonts w:ascii="Times New Roman" w:hAnsi="Times New Roman"/>
          <w:sz w:val="20"/>
        </w:rPr>
        <w:t xml:space="preserve">In stark contrast to Seer’s purpose-built Board of Directors—with its deep life sciences, proteomics, and operating expertise—Radoff and Torok’s nominees: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4"/>
        <w:gridCol w:w="108"/>
        <w:gridCol w:w="4496"/>
        <w:gridCol w:w="122"/>
        <w:gridCol w:w="455"/>
        <w:gridCol w:w="108"/>
        <w:gridCol w:w="4462"/>
      </w:tblGrid>
      <w:tr>
        <w:trPr/>
        <w:tc>
          <w:tcPr>
            <w:tcW w:w="45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62" w:type="dxa"/>
            <w:tcBorders/>
            <w:vAlign w:val="center"/>
          </w:tcPr>
          <w:p>
            <w:pPr>
              <w:pStyle w:val="TableContents"/>
              <w:bidi w:val="0"/>
              <w:spacing w:before="0" w:after="283"/>
              <w:jc w:val="left"/>
              <w:rPr>
                <w:sz w:val="4"/>
                <w:szCs w:val="4"/>
              </w:rPr>
            </w:pPr>
            <w:r>
              <w:rPr>
                <w:sz w:val="4"/>
                <w:szCs w:val="4"/>
              </w:rPr>
            </w:r>
          </w:p>
        </w:tc>
      </w:tr>
      <w:tr>
        <w:trPr/>
        <w:tc>
          <w:tcPr>
            <w:tcW w:w="454" w:type="dxa"/>
            <w:tcBorders/>
          </w:tcPr>
          <w:p>
            <w:pPr>
              <w:pStyle w:val="TableContents"/>
              <w:bidi w:val="0"/>
              <w:spacing w:before="0" w:after="20"/>
              <w:jc w:val="left"/>
              <w:rPr/>
            </w:pPr>
            <w:r>
              <w:rPr/>
              <w:drawing>
                <wp:inline distT="0" distB="0" distL="0" distR="0">
                  <wp:extent cx="213995" cy="21399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213995" cy="213995"/>
                          </a:xfrm>
                          <a:prstGeom prst="rect">
                            <a:avLst/>
                          </a:prstGeom>
                        </pic:spPr>
                      </pic:pic>
                    </a:graphicData>
                  </a:graphic>
                </wp:inline>
              </w:drawing>
            </w:r>
            <w:r>
              <w:rPr/>
              <w:t xml:space="preserve"> </w:t>
            </w:r>
          </w:p>
        </w:tc>
        <w:tc>
          <w:tcPr>
            <w:tcW w:w="108" w:type="dxa"/>
            <w:tcBorders/>
            <w:vAlign w:val="bottom"/>
          </w:tcPr>
          <w:p>
            <w:pPr>
              <w:pStyle w:val="TableContents"/>
              <w:bidi w:val="0"/>
              <w:spacing w:before="0" w:after="283"/>
              <w:jc w:val="left"/>
              <w:rPr/>
            </w:pPr>
            <w:r>
              <w:rPr/>
              <w:t> </w:t>
            </w:r>
          </w:p>
        </w:tc>
        <w:tc>
          <w:tcPr>
            <w:tcW w:w="4496" w:type="dxa"/>
            <w:tcBorders/>
          </w:tcPr>
          <w:p>
            <w:pPr>
              <w:pStyle w:val="TableContents"/>
              <w:bidi w:val="0"/>
              <w:spacing w:before="0" w:after="283"/>
              <w:jc w:val="left"/>
              <w:rPr/>
            </w:pPr>
            <w:r>
              <w:rPr/>
              <w:t>Lack meaningful experience in proteomics or adjacent scientific platforms;</w:t>
            </w:r>
          </w:p>
        </w:tc>
        <w:tc>
          <w:tcPr>
            <w:tcW w:w="122" w:type="dxa"/>
            <w:tcBorders/>
            <w:vAlign w:val="bottom"/>
          </w:tcPr>
          <w:p>
            <w:pPr>
              <w:pStyle w:val="TableContents"/>
              <w:bidi w:val="0"/>
              <w:spacing w:before="0" w:after="283"/>
              <w:jc w:val="left"/>
              <w:rPr/>
            </w:pPr>
            <w:r>
              <w:rPr/>
              <w:t>  </w:t>
            </w:r>
          </w:p>
        </w:tc>
        <w:tc>
          <w:tcPr>
            <w:tcW w:w="455" w:type="dxa"/>
            <w:tcBorders/>
          </w:tcPr>
          <w:p>
            <w:pPr>
              <w:pStyle w:val="TableContents"/>
              <w:bidi w:val="0"/>
              <w:spacing w:before="0" w:after="283"/>
              <w:jc w:val="left"/>
              <w:rPr/>
            </w:pPr>
            <w:r>
              <w:rPr/>
              <w:drawing>
                <wp:inline distT="0" distB="0" distL="0" distR="0">
                  <wp:extent cx="213995" cy="21399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213995" cy="213995"/>
                          </a:xfrm>
                          <a:prstGeom prst="rect">
                            <a:avLst/>
                          </a:prstGeom>
                        </pic:spPr>
                      </pic:pic>
                    </a:graphicData>
                  </a:graphic>
                </wp:inline>
              </w:drawing>
            </w:r>
            <w:r>
              <w:rPr/>
              <w:t xml:space="preserve"> </w:t>
            </w:r>
          </w:p>
        </w:tc>
        <w:tc>
          <w:tcPr>
            <w:tcW w:w="108" w:type="dxa"/>
            <w:tcBorders/>
            <w:vAlign w:val="bottom"/>
          </w:tcPr>
          <w:p>
            <w:pPr>
              <w:pStyle w:val="TableContents"/>
              <w:bidi w:val="0"/>
              <w:spacing w:before="0" w:after="283"/>
              <w:jc w:val="left"/>
              <w:rPr/>
            </w:pPr>
            <w:r>
              <w:rPr/>
              <w:t> </w:t>
            </w:r>
          </w:p>
        </w:tc>
        <w:tc>
          <w:tcPr>
            <w:tcW w:w="4462" w:type="dxa"/>
            <w:tcBorders/>
          </w:tcPr>
          <w:p>
            <w:pPr>
              <w:pStyle w:val="TableContents"/>
              <w:bidi w:val="0"/>
              <w:spacing w:before="0" w:after="283"/>
              <w:jc w:val="left"/>
              <w:rPr/>
            </w:pPr>
            <w:r>
              <w:rPr/>
              <w:t>Do not bring skills aligned with Seer’s strategic priorities or stage of development; and</w:t>
            </w:r>
          </w:p>
        </w:tc>
      </w:tr>
      <w:tr>
        <w:trPr>
          <w:trHeight w:val="240" w:hRule="atLeast"/>
        </w:trPr>
        <w:tc>
          <w:tcPr>
            <w:tcW w:w="454" w:type="dxa"/>
            <w:tcBorders/>
            <w:vAlign w:val="center"/>
          </w:tcPr>
          <w:p>
            <w:pPr>
              <w:pStyle w:val="TableContents"/>
              <w:bidi w:val="0"/>
              <w:spacing w:before="0" w:after="283"/>
              <w:jc w:val="left"/>
              <w:rPr>
                <w:sz w:val="4"/>
                <w:szCs w:val="4"/>
              </w:rPr>
            </w:pPr>
            <w:r>
              <w:rPr>
                <w:sz w:val="4"/>
                <w:szCs w:val="4"/>
              </w:rPr>
            </w:r>
          </w:p>
        </w:tc>
        <w:tc>
          <w:tcPr>
            <w:tcW w:w="4604" w:type="dxa"/>
            <w:gridSpan w:val="2"/>
            <w:tcBorders/>
            <w:vAlign w:val="center"/>
          </w:tcPr>
          <w:p>
            <w:pPr>
              <w:pStyle w:val="TableContents"/>
              <w:bidi w:val="0"/>
              <w:spacing w:before="0" w:after="283"/>
              <w:jc w:val="left"/>
              <w:rPr>
                <w:sz w:val="4"/>
                <w:szCs w:val="4"/>
              </w:rPr>
            </w:pPr>
            <w:r>
              <w:rPr>
                <w:sz w:val="4"/>
                <w:szCs w:val="4"/>
              </w:rPr>
            </w:r>
          </w:p>
        </w:tc>
        <w:tc>
          <w:tcPr>
            <w:tcW w:w="577" w:type="dxa"/>
            <w:gridSpan w:val="2"/>
            <w:tcBorders/>
            <w:vAlign w:val="center"/>
          </w:tcPr>
          <w:p>
            <w:pPr>
              <w:pStyle w:val="TableContents"/>
              <w:bidi w:val="0"/>
              <w:spacing w:before="0" w:after="283"/>
              <w:jc w:val="left"/>
              <w:rPr>
                <w:sz w:val="4"/>
                <w:szCs w:val="4"/>
              </w:rPr>
            </w:pPr>
            <w:r>
              <w:rPr>
                <w:sz w:val="4"/>
                <w:szCs w:val="4"/>
              </w:rPr>
            </w:r>
          </w:p>
        </w:tc>
        <w:tc>
          <w:tcPr>
            <w:tcW w:w="4570" w:type="dxa"/>
            <w:gridSpan w:val="2"/>
            <w:tcBorders/>
            <w:vAlign w:val="center"/>
          </w:tcPr>
          <w:p>
            <w:pPr>
              <w:pStyle w:val="TableContents"/>
              <w:bidi w:val="0"/>
              <w:spacing w:before="0" w:after="283"/>
              <w:jc w:val="left"/>
              <w:rPr>
                <w:sz w:val="4"/>
                <w:szCs w:val="4"/>
              </w:rPr>
            </w:pPr>
            <w:r>
              <w:rPr>
                <w:sz w:val="4"/>
                <w:szCs w:val="4"/>
              </w:rPr>
            </w:r>
          </w:p>
        </w:tc>
      </w:tr>
      <w:tr>
        <w:trPr/>
        <w:tc>
          <w:tcPr>
            <w:tcW w:w="454" w:type="dxa"/>
            <w:tcBorders/>
          </w:tcPr>
          <w:p>
            <w:pPr>
              <w:pStyle w:val="TableContents"/>
              <w:bidi w:val="0"/>
              <w:spacing w:before="0" w:after="283"/>
              <w:jc w:val="left"/>
              <w:rPr/>
            </w:pPr>
            <w:r>
              <w:rPr/>
              <w:drawing>
                <wp:inline distT="0" distB="0" distL="0" distR="0">
                  <wp:extent cx="213995" cy="21399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213995" cy="213995"/>
                          </a:xfrm>
                          <a:prstGeom prst="rect">
                            <a:avLst/>
                          </a:prstGeom>
                        </pic:spPr>
                      </pic:pic>
                    </a:graphicData>
                  </a:graphic>
                </wp:inline>
              </w:drawing>
            </w:r>
            <w:r>
              <w:rPr/>
              <w:t xml:space="preserve"> </w:t>
            </w:r>
          </w:p>
        </w:tc>
        <w:tc>
          <w:tcPr>
            <w:tcW w:w="108" w:type="dxa"/>
            <w:tcBorders/>
            <w:vAlign w:val="bottom"/>
          </w:tcPr>
          <w:p>
            <w:pPr>
              <w:pStyle w:val="TableContents"/>
              <w:bidi w:val="0"/>
              <w:spacing w:before="0" w:after="283"/>
              <w:jc w:val="left"/>
              <w:rPr/>
            </w:pPr>
            <w:r>
              <w:rPr/>
              <w:t> </w:t>
            </w:r>
          </w:p>
        </w:tc>
        <w:tc>
          <w:tcPr>
            <w:tcW w:w="4496" w:type="dxa"/>
            <w:tcBorders/>
          </w:tcPr>
          <w:p>
            <w:pPr>
              <w:pStyle w:val="TableContents"/>
              <w:bidi w:val="0"/>
              <w:spacing w:before="0" w:after="283"/>
              <w:jc w:val="left"/>
              <w:rPr/>
            </w:pPr>
            <w:r>
              <w:rPr/>
              <w:t>Appear selected to advance a narrow, short-term agenda favored by Radoff and Torok rather than to support long-term value creation;</w:t>
            </w:r>
          </w:p>
        </w:tc>
        <w:tc>
          <w:tcPr>
            <w:tcW w:w="122" w:type="dxa"/>
            <w:tcBorders/>
            <w:vAlign w:val="bottom"/>
          </w:tcPr>
          <w:p>
            <w:pPr>
              <w:pStyle w:val="TableContents"/>
              <w:bidi w:val="0"/>
              <w:spacing w:before="0" w:after="283"/>
              <w:jc w:val="left"/>
              <w:rPr/>
            </w:pPr>
            <w:r>
              <w:rPr/>
              <w:t>  </w:t>
            </w:r>
          </w:p>
        </w:tc>
        <w:tc>
          <w:tcPr>
            <w:tcW w:w="455" w:type="dxa"/>
            <w:tcBorders/>
          </w:tcPr>
          <w:p>
            <w:pPr>
              <w:pStyle w:val="TableContents"/>
              <w:bidi w:val="0"/>
              <w:spacing w:before="0" w:after="283"/>
              <w:jc w:val="left"/>
              <w:rPr/>
            </w:pPr>
            <w:r>
              <w:rPr/>
              <w:drawing>
                <wp:inline distT="0" distB="0" distL="0" distR="0">
                  <wp:extent cx="213995" cy="21399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213995" cy="213995"/>
                          </a:xfrm>
                          <a:prstGeom prst="rect">
                            <a:avLst/>
                          </a:prstGeom>
                        </pic:spPr>
                      </pic:pic>
                    </a:graphicData>
                  </a:graphic>
                </wp:inline>
              </w:drawing>
            </w:r>
            <w:r>
              <w:rPr/>
              <w:t xml:space="preserve"> </w:t>
            </w:r>
          </w:p>
        </w:tc>
        <w:tc>
          <w:tcPr>
            <w:tcW w:w="108" w:type="dxa"/>
            <w:tcBorders/>
            <w:vAlign w:val="bottom"/>
          </w:tcPr>
          <w:p>
            <w:pPr>
              <w:pStyle w:val="TableContents"/>
              <w:bidi w:val="0"/>
              <w:spacing w:before="0" w:after="283"/>
              <w:jc w:val="left"/>
              <w:rPr/>
            </w:pPr>
            <w:r>
              <w:rPr/>
              <w:t> </w:t>
            </w:r>
          </w:p>
        </w:tc>
        <w:tc>
          <w:tcPr>
            <w:tcW w:w="4462" w:type="dxa"/>
            <w:tcBorders/>
          </w:tcPr>
          <w:p>
            <w:pPr>
              <w:pStyle w:val="TableContents"/>
              <w:bidi w:val="0"/>
              <w:spacing w:before="0" w:after="283"/>
              <w:jc w:val="left"/>
              <w:rPr/>
            </w:pPr>
            <w:r>
              <w:rPr/>
              <w:t>Raise serious concerns regarding independence from Radoff and ability to act in the best interests of all stockholders.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We believe that electing any of Radoff and Torok’s nominees would diminish the overall quality of Seer’s Board. Several of the candidates also have long-standing ties to Radoff and, we believe, may not be equipped to make decisions independent of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b/>
              </w:rPr>
              <w:t xml:space="preserve">Howard Berman: </w:t>
            </w:r>
            <w:r>
              <w:rPr/>
              <w:t>Mr. Berman has a general background in biopharma but does not have experience in proteomics or in scaling complex life sciences platforms. Additionally, his recent public company board experience is limited and tied to activist-driven situations, including an appointment to the Board of Directors of Atea Pharmaceuticals as part of a proxy contest led by Radoff.</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b/>
              </w:rPr>
              <w:t xml:space="preserve">Joshua Horowitz: </w:t>
            </w:r>
            <w:r>
              <w:rPr/>
              <w:t>Mr. Horowitz is an investor with no background in life sciences, proteomics, or healthcare. His board history is heavily concentrated in restructurings and similar transactions, with mixed outcomes. He has multiple overlapping investments and governance roles alongside Radoff, raising concerns of independence from Radoff’s interests.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b/>
              </w:rPr>
              <w:t xml:space="preserve">Luis Rinaldini: </w:t>
            </w:r>
            <w:r>
              <w:rPr/>
              <w:t>Mr. Rinaldini is a telecom-focused investment banker with no relevant experience in life sciences, proteomics, or healthcare. He brings limited public company board experience, other than a short tenure on the Board of Directors of Acacia Research during a period of stock underperformance.16</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Radoff and Torok nominated Messrs. Berman, Horowitz, and Rinaldini </w:t>
      </w:r>
      <w:r>
        <w:rPr>
          <w:rFonts w:ascii="Times New Roman" w:hAnsi="Times New Roman"/>
          <w:i/>
          <w:sz w:val="20"/>
        </w:rPr>
        <w:t>not</w:t>
      </w:r>
      <w:r>
        <w:rPr>
          <w:rFonts w:ascii="Times New Roman" w:hAnsi="Times New Roman"/>
          <w:sz w:val="20"/>
        </w:rPr>
        <w:t xml:space="preserve"> to strengthen Seer’s Board during a critical period, but to advance a specific, narrow agenda that serves the interests of Radoff and Torok above those of Seer’s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Radoff and Torok’s Proposal Significantly Undervalues Seer and Is Not in the Best Interests of Stockholders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10230" cy="3379470"/>
                <wp:effectExtent l="0" t="0" r="0" b="0"/>
                <wp:wrapSquare wrapText="right"/>
                <wp:docPr id="27" name="Frame7"/>
                <a:graphic xmlns:a="http://schemas.openxmlformats.org/drawingml/2006/main">
                  <a:graphicData uri="http://schemas.microsoft.com/office/word/2010/wordprocessingShape">
                    <wps:wsp>
                      <wps:cNvSpPr txBox="1"/>
                      <wps:spPr>
                        <a:xfrm>
                          <a:off x="0" y="0"/>
                          <a:ext cx="3110230" cy="337947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In addition to nominating director candidates, Radoff and Torok are attempting to acquire Seer at a significant discount to its net cash position.17 Consistent with its fiduciary duties, Seer’s Board thoroughly reviewed all of Radoff and Torok’s highly-contingent, unsolicited, non-binding acquisition proposals in consultation with our independent financial and legal advisors, including the latest proposal made on May 14. Seer’s Board unanimously determined that the May 14 proposal, like the proposals before it, significantly undervalues Seer and is not in the best interests of stockholders.18 These proposals significantly undervalue Seer in light of our compelling long-term growth opportunities, and fail to reflect the value of Seer’s differentiated technology, market leadership position, and growing customer adoption. </w:t>
                            </w:r>
                          </w:p>
                          <w:p>
                            <w:pPr>
                              <w:pStyle w:val="TextBody"/>
                              <w:bidi w:val="0"/>
                              <w:spacing w:before="240" w:after="0"/>
                              <w:jc w:val="left"/>
                              <w:rPr>
                                <w:rFonts w:ascii="Times New Roman" w:hAnsi="Times New Roman"/>
                                <w:sz w:val="20"/>
                              </w:rPr>
                            </w:pPr>
                            <w:r>
                              <w:rPr>
                                <w:rFonts w:ascii="Times New Roman" w:hAnsi="Times New Roman"/>
                                <w:sz w:val="20"/>
                              </w:rPr>
                              <w:t xml:space="preserve">Radoff and Torok do not want to deliver a transaction that rewards our stockholders for their patience and compensates them for the opportunities in front of Seer. Rather, they want to use a portion of Seer’s cash to buy out all other stockholders so that they can keep the rest of Seer’s cash—and all of our other assets—for themselves. Following the completion of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6.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In addition to nominating director candidates, Radoff and Torok are attempting to acquire Seer at a significant discount to its net cash position.17 Consistent with its fiduciary duties, Seer’s Board thoroughly reviewed all of Radoff and Torok’s highly-contingent, unsolicited, non-binding acquisition proposals in consultation with our independent financial and legal advisors, including the latest proposal made on May 14. Seer’s Board unanimously determined that the May 14 proposal, like the proposals before it, significantly undervalues Seer and is not in the best interests of stockholders.18 These proposals significantly undervalue Seer in light of our compelling long-term growth opportunities, and fail to reflect the value of Seer’s differentiated technology, market leadership position, and growing customer adoption. </w:t>
                      </w:r>
                    </w:p>
                    <w:p>
                      <w:pPr>
                        <w:pStyle w:val="TextBody"/>
                        <w:bidi w:val="0"/>
                        <w:spacing w:before="240" w:after="0"/>
                        <w:jc w:val="left"/>
                        <w:rPr>
                          <w:rFonts w:ascii="Times New Roman" w:hAnsi="Times New Roman"/>
                          <w:sz w:val="20"/>
                        </w:rPr>
                      </w:pPr>
                      <w:r>
                        <w:rPr>
                          <w:rFonts w:ascii="Times New Roman" w:hAnsi="Times New Roman"/>
                          <w:sz w:val="20"/>
                        </w:rPr>
                        <w:t xml:space="preserve">Radoff and Torok do not want to deliver a transaction that rewards our stockholders for their patience and compensates them for the opportunities in front of Seer. Rather, they want to use a portion of Seer’s cash to buy out all other stockholders so that they can keep the rest of Seer’s cash—and all of our other assets—for themselves. Following the completion of </w:t>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75000" cy="2939415"/>
                <wp:effectExtent l="0" t="0" r="0" b="0"/>
                <wp:wrapSquare wrapText="right"/>
                <wp:docPr id="28" name="Frame8"/>
                <a:graphic xmlns:a="http://schemas.openxmlformats.org/drawingml/2006/main">
                  <a:graphicData uri="http://schemas.microsoft.com/office/word/2010/wordprocessingShape">
                    <wps:wsp>
                      <wps:cNvSpPr txBox="1"/>
                      <wps:spPr>
                        <a:xfrm>
                          <a:off x="0" y="0"/>
                          <a:ext cx="3175000" cy="293941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their transaction, Radoff and Torok would have no incentive to maximize the value of Seer’s assets through their illusory “contingent value right.” After all, if they keep Seer’s assets, then Radoff and Torok can continue to develop the proteomics market and capture all of the value of these assets for themselves. Alternatively, we believe it is likely they would simply shut the Company down and capture the difference between the current offer of approximately $141 million19 and approximately $220 million of cash, cash equivalents and investments on Seer’s balance sheet as of March 31, 2026.20 Importantly, Seer has no debt and has been operating prudently with a clean balance sheet since inception.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see these “proposals” for what they are: transparent efforts by Radoff and Torok to acquire much of Seer’s substantial cash resources at a steep discount so that Radoff and Torok—and only Radoff and Torok—can redeploy those resources for their benefit, without appropriately rewarding Seer stockholders for that value.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1.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their transaction, Radoff and Torok would have no incentive to maximize the value of Seer’s assets through their illusory “contingent value right.” After all, if they keep Seer’s assets, then Radoff and Torok can continue to develop the proteomics market and capture all of the value of these assets for themselves. Alternatively, we believe it is likely they would simply shut the Company down and capture the difference between the current offer of approximately $141 million19 and approximately $220 million of cash, cash equivalents and investments on Seer’s balance sheet as of March 31, 2026.20 Importantly, Seer has no debt and has been operating prudently with a clean balance sheet since inception.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see these “proposals” for what they are: transparent efforts by Radoff and Torok to acquire much of Seer’s substantial cash resources at a steep discount so that Radoff and Torok—and only Radoff and Torok—can redeploy those resources for their benefit, without appropriately rewarding Seer stockholders for that value.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Radoff’s Behavior Is Not New </w:t>
      </w:r>
    </w:p>
    <w:p>
      <w:pPr>
        <w:pStyle w:val="TextBody"/>
        <w:bidi w:val="0"/>
        <w:spacing w:before="120" w:after="0"/>
        <w:jc w:val="left"/>
        <w:rPr>
          <w:rFonts w:ascii="Times New Roman" w:hAnsi="Times New Roman"/>
          <w:sz w:val="20"/>
        </w:rPr>
      </w:pPr>
      <w:r>
        <w:rPr>
          <w:rFonts w:ascii="Times New Roman" w:hAnsi="Times New Roman"/>
          <w:sz w:val="20"/>
        </w:rPr>
        <w:t xml:space="preserve">Unfortunately, </w:t>
      </w:r>
      <w:r>
        <w:rPr>
          <w:rFonts w:ascii="Times New Roman" w:hAnsi="Times New Roman"/>
          <w:b/>
          <w:sz w:val="20"/>
        </w:rPr>
        <w:t>Radoff’s campaign at Seer is the latest in a long line of short-sighted campaigns prioritizing balance sheet extraction for his personal benefit.</w:t>
      </w:r>
      <w:r>
        <w:rPr>
          <w:rFonts w:ascii="Times New Roman" w:hAnsi="Times New Roman"/>
          <w:sz w:val="20"/>
        </w:rPr>
        <w:t xml:space="preserve"> This is in direct contrast to Seer’s Board, which is committed to maximizing long-term returns for </w:t>
      </w:r>
      <w:r>
        <w:rPr>
          <w:rFonts w:ascii="Times New Roman" w:hAnsi="Times New Roman"/>
          <w:i/>
          <w:sz w:val="20"/>
        </w:rPr>
        <w:t>all</w:t>
      </w:r>
      <w:r>
        <w:rPr>
          <w:rFonts w:ascii="Times New Roman" w:hAnsi="Times New Roman"/>
          <w:sz w:val="20"/>
        </w:rPr>
        <w:t xml:space="preserve"> stockholders. Stockholders should carefully consider whether Radoff’s “plan” is constructive, especially considering our tangible progress.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110230" cy="2569845"/>
                <wp:effectExtent l="0" t="0" r="0" b="0"/>
                <wp:wrapSquare wrapText="right"/>
                <wp:docPr id="29" name="Frame9"/>
                <a:graphic xmlns:a="http://schemas.openxmlformats.org/drawingml/2006/main">
                  <a:graphicData uri="http://schemas.microsoft.com/office/word/2010/wordprocessingShape">
                    <wps:wsp>
                      <wps:cNvSpPr txBox="1"/>
                      <wps:spPr>
                        <a:xfrm>
                          <a:off x="0" y="0"/>
                          <a:ext cx="3110230" cy="2569845"/>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More short-termism from Radoff </w:t>
                            </w:r>
                          </w:p>
                          <w:p>
                            <w:pPr>
                              <w:pStyle w:val="TextBody"/>
                              <w:bidi w:val="0"/>
                              <w:spacing w:before="120" w:after="0"/>
                              <w:jc w:val="left"/>
                              <w:rPr>
                                <w:rFonts w:ascii="Times New Roman" w:hAnsi="Times New Roman"/>
                                <w:sz w:val="20"/>
                              </w:rPr>
                            </w:pPr>
                            <w:r>
                              <w:rPr>
                                <w:rFonts w:ascii="Times New Roman" w:hAnsi="Times New Roman"/>
                                <w:sz w:val="20"/>
                              </w:rPr>
                              <w:t xml:space="preserve">Radoff’s campaigns often focus on immediate board turnover, strategic reviews, sales processes, liquidation scenarios, and rapid capital returns rather than the patient execution or introduction of long-term operating plans. He is using the same playbook at Seer. Indeed, in conversations and disclosures, Radoff has made it clear that he believes that a near-term sale process is the primary value driver at Seer. We do not believe that this is the best path forward, particularly given the opportunities inherent in building the proteomics market, where value creation depends on long-term investment and execution. Importantly, the technological and scientific advancement that Seer has made in proteomics is widely recognized through a large portfolio of patents, rapidly growing number of publications, and the initiation of multiple large population-scale studies that began in 2025.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2.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More short-termism from Radoff </w:t>
                      </w:r>
                    </w:p>
                    <w:p>
                      <w:pPr>
                        <w:pStyle w:val="TextBody"/>
                        <w:bidi w:val="0"/>
                        <w:spacing w:before="120" w:after="0"/>
                        <w:jc w:val="left"/>
                        <w:rPr>
                          <w:rFonts w:ascii="Times New Roman" w:hAnsi="Times New Roman"/>
                          <w:sz w:val="20"/>
                        </w:rPr>
                      </w:pPr>
                      <w:r>
                        <w:rPr>
                          <w:rFonts w:ascii="Times New Roman" w:hAnsi="Times New Roman"/>
                          <w:sz w:val="20"/>
                        </w:rPr>
                        <w:t xml:space="preserve">Radoff’s campaigns often focus on immediate board turnover, strategic reviews, sales processes, liquidation scenarios, and rapid capital returns rather than the patient execution or introduction of long-term operating plans. He is using the same playbook at Seer. Indeed, in conversations and disclosures, Radoff has made it clear that he believes that a near-term sale process is the primary value driver at Seer. We do not believe that this is the best path forward, particularly given the opportunities inherent in building the proteomics market, where value creation depends on long-term investment and execution. Importantly, the technological and scientific advancement that Seer has made in proteomics is widely recognized through a large portfolio of patents, rapidly growing number of publications, and the initiation of multiple large population-scale studies that began in 2025. </w:t>
                      </w:r>
                    </w:p>
                  </w:txbxContent>
                </v:textbox>
                <w10:wrap type="square" side="right"/>
              </v:rect>
            </w:pict>
          </mc:Fallback>
        </mc:AlternateConten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75000" cy="3021330"/>
                <wp:effectExtent l="0" t="0" r="0" b="0"/>
                <wp:wrapSquare wrapText="right"/>
                <wp:docPr id="30" name="Frame10"/>
                <a:graphic xmlns:a="http://schemas.openxmlformats.org/drawingml/2006/main">
                  <a:graphicData uri="http://schemas.microsoft.com/office/word/2010/wordprocessingShape">
                    <wps:wsp>
                      <wps:cNvSpPr txBox="1"/>
                      <wps:spPr>
                        <a:xfrm>
                          <a:off x="0" y="0"/>
                          <a:ext cx="3175000" cy="302133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Not focused on operational improvements, just balance sheet extraction </w:t>
                            </w:r>
                          </w:p>
                          <w:p>
                            <w:pPr>
                              <w:pStyle w:val="TextBody"/>
                              <w:bidi w:val="0"/>
                              <w:spacing w:before="120" w:after="0"/>
                              <w:jc w:val="left"/>
                              <w:rPr>
                                <w:rFonts w:ascii="Times New Roman" w:hAnsi="Times New Roman"/>
                                <w:sz w:val="20"/>
                              </w:rPr>
                            </w:pPr>
                            <w:r>
                              <w:rPr>
                                <w:rFonts w:ascii="Times New Roman" w:hAnsi="Times New Roman"/>
                                <w:sz w:val="20"/>
                              </w:rPr>
                              <w:t xml:space="preserve">Radoff and Torok have not presented a credible plan to enhance Seer’s operations, accelerate adoption, or drive sustainable growth. Their approach remains intractably focused on extracting perceived balance sheet value in the near-term, rather than building on our strong momentum. To reiterate: Radoff and Torok have offered no actionable, value-creating ideas for Seer. Their only “idea” is the immediate sale of Seer – preferably, from their perspective, to them. This is the wrong outcome for Seer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Disruptive and value destructive </w:t>
                            </w:r>
                          </w:p>
                          <w:p>
                            <w:pPr>
                              <w:pStyle w:val="TextBody"/>
                              <w:bidi w:val="0"/>
                              <w:spacing w:before="120" w:after="0"/>
                              <w:jc w:val="left"/>
                              <w:rPr>
                                <w:rFonts w:ascii="Times New Roman" w:hAnsi="Times New Roman"/>
                                <w:sz w:val="20"/>
                              </w:rPr>
                            </w:pPr>
                            <w:r>
                              <w:rPr>
                                <w:rFonts w:ascii="Times New Roman" w:hAnsi="Times New Roman"/>
                                <w:sz w:val="20"/>
                              </w:rPr>
                              <w:t xml:space="preserve">As at many other companies, Radoff is pursuing a value-destructive campaign at Seer, disrupting our clear progress and diverting focus from execution at a critical time. Seer is building the proteomics market and has a clear vision, which requires disciplined investment and operational focus, not the distraction of a proxy contest.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7.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Not focused on operational improvements, just balance sheet extraction </w:t>
                      </w:r>
                    </w:p>
                    <w:p>
                      <w:pPr>
                        <w:pStyle w:val="TextBody"/>
                        <w:bidi w:val="0"/>
                        <w:spacing w:before="120" w:after="0"/>
                        <w:jc w:val="left"/>
                        <w:rPr>
                          <w:rFonts w:ascii="Times New Roman" w:hAnsi="Times New Roman"/>
                          <w:sz w:val="20"/>
                        </w:rPr>
                      </w:pPr>
                      <w:r>
                        <w:rPr>
                          <w:rFonts w:ascii="Times New Roman" w:hAnsi="Times New Roman"/>
                          <w:sz w:val="20"/>
                        </w:rPr>
                        <w:t xml:space="preserve">Radoff and Torok have not presented a credible plan to enhance Seer’s operations, accelerate adoption, or drive sustainable growth. Their approach remains intractably focused on extracting perceived balance sheet value in the near-term, rather than building on our strong momentum. To reiterate: Radoff and Torok have offered no actionable, value-creating ideas for Seer. Their only “idea” is the immediate sale of Seer – preferably, from their perspective, to them. This is the wrong outcome for Seer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Disruptive and value destructive </w:t>
                      </w:r>
                    </w:p>
                    <w:p>
                      <w:pPr>
                        <w:pStyle w:val="TextBody"/>
                        <w:bidi w:val="0"/>
                        <w:spacing w:before="120" w:after="0"/>
                        <w:jc w:val="left"/>
                        <w:rPr>
                          <w:rFonts w:ascii="Times New Roman" w:hAnsi="Times New Roman"/>
                          <w:sz w:val="20"/>
                        </w:rPr>
                      </w:pPr>
                      <w:r>
                        <w:rPr>
                          <w:rFonts w:ascii="Times New Roman" w:hAnsi="Times New Roman"/>
                          <w:sz w:val="20"/>
                        </w:rPr>
                        <w:t xml:space="preserve">As at many other companies, Radoff is pursuing a value-destructive campaign at Seer, disrupting our clear progress and diverting focus from execution at a critical time. Seer is building the proteomics market and has a clear vision, which requires disciplined investment and operational focus, not the distraction of a proxy contest. </w:t>
                      </w:r>
                    </w:p>
                  </w:txbxContent>
                </v:textbox>
                <w10:wrap type="square" side="right"/>
              </v:rect>
            </w:pict>
          </mc:Fallback>
        </mc:AlternateContent>
      </w:r>
    </w:p>
    <w:p>
      <w:pPr>
        <w:pStyle w:val="TextBody"/>
        <w:bidi w:val="0"/>
        <w:spacing w:before="0" w:after="0"/>
        <w:jc w:val="left"/>
        <w:rPr/>
      </w:pPr>
      <w:r>
        <w:rPr/>
        <w:drawing>
          <wp:inline distT="0" distB="0" distL="0" distR="0">
            <wp:extent cx="7543800" cy="32385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7543800" cy="32385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Vote “</w:t>
      </w:r>
      <w:r>
        <w:rPr>
          <w:rFonts w:ascii="Times New Roman" w:hAnsi="Times New Roman"/>
          <w:b/>
          <w:sz w:val="20"/>
        </w:rPr>
        <w:t>FOR</w:t>
      </w:r>
      <w:r>
        <w:rPr>
          <w:rFonts w:ascii="Times New Roman" w:hAnsi="Times New Roman"/>
          <w:sz w:val="20"/>
        </w:rPr>
        <w:t xml:space="preserve">” Seer’s Nominees on the </w:t>
      </w:r>
      <w:r>
        <w:rPr>
          <w:rFonts w:ascii="Times New Roman" w:hAnsi="Times New Roman"/>
          <w:b/>
          <w:sz w:val="20"/>
        </w:rPr>
        <w:t>BLUE</w:t>
      </w:r>
      <w:r>
        <w:rPr>
          <w:rFonts w:ascii="Times New Roman" w:hAnsi="Times New Roman"/>
          <w:sz w:val="20"/>
        </w:rPr>
        <w:t xml:space="preserve"> Proxy Card TODAY to Protect the Value of Your Investment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1320165"/>
                <wp:effectExtent l="0" t="0" r="0" b="0"/>
                <wp:wrapSquare wrapText="right"/>
                <wp:docPr id="32" name="Frame11"/>
                <a:graphic xmlns:a="http://schemas.openxmlformats.org/drawingml/2006/main">
                  <a:graphicData uri="http://schemas.microsoft.com/office/word/2010/wordprocessingShape">
                    <wps:wsp>
                      <wps:cNvSpPr txBox="1"/>
                      <wps:spPr>
                        <a:xfrm>
                          <a:off x="0" y="0"/>
                          <a:ext cx="3110230" cy="132016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Seer has the right Board of Directors, management team, and strategy to advance its long-term vision and deliver value for stockholders. We are executing with discipline against a clear plan to scale our differentiated platform, expand our leadership in proteomics, and capitalize on the significant opportunities ahead. Our directors are actively engaged, fully aligned with stockholder interests, and committed to holding management accountable for delivering on Seer’s strategic priorities.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3.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Seer has the right Board of Directors, management team, and strategy to advance its long-term vision and deliver value for stockholders. We are executing with discipline against a clear plan to scale our differentiated platform, expand our leadership in proteomics, and capitalize on the significant opportunities ahead. Our directors are actively engaged, fully aligned with stockholder interests, and committed to holding management accountable for delivering on Seer’s strategic priorities. </w:t>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75000" cy="1472565"/>
                <wp:effectExtent l="0" t="0" r="0" b="0"/>
                <wp:wrapSquare wrapText="right"/>
                <wp:docPr id="33" name="Frame12"/>
                <a:graphic xmlns:a="http://schemas.openxmlformats.org/drawingml/2006/main">
                  <a:graphicData uri="http://schemas.microsoft.com/office/word/2010/wordprocessingShape">
                    <wps:wsp>
                      <wps:cNvSpPr txBox="1"/>
                      <wps:spPr>
                        <a:xfrm>
                          <a:off x="0" y="0"/>
                          <a:ext cx="3175000" cy="147256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In contrast, Radoff and Torok are pursuing a disruptive and self-interested proxy contest that risks undermining Seer’s progress. At the same time, they continue to make illusory acquisition proposals that are designed to strip stockholders of their ability to realize the long-term value of Seer’s innovations. </w:t>
                            </w:r>
                          </w:p>
                          <w:p>
                            <w:pPr>
                              <w:pStyle w:val="TextBody"/>
                              <w:bidi w:val="0"/>
                              <w:spacing w:before="240" w:after="0"/>
                              <w:jc w:val="left"/>
                              <w:rPr>
                                <w:rFonts w:ascii="Times New Roman" w:hAnsi="Times New Roman"/>
                                <w:sz w:val="20"/>
                              </w:rPr>
                            </w:pPr>
                            <w:r>
                              <w:rPr>
                                <w:rFonts w:ascii="Times New Roman" w:hAnsi="Times New Roman"/>
                                <w:sz w:val="20"/>
                              </w:rPr>
                              <w:t xml:space="preserve">Seer’s Board is confident that it has the right composition, skills, and experience to guide Seer forward and deliver long-term value for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5.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In contrast, Radoff and Torok are pursuing a disruptive and self-interested proxy contest that risks undermining Seer’s progress. At the same time, they continue to make illusory acquisition proposals that are designed to strip stockholders of their ability to realize the long-term value of Seer’s innovations. </w:t>
                      </w:r>
                    </w:p>
                    <w:p>
                      <w:pPr>
                        <w:pStyle w:val="TextBody"/>
                        <w:bidi w:val="0"/>
                        <w:spacing w:before="240" w:after="0"/>
                        <w:jc w:val="left"/>
                        <w:rPr>
                          <w:rFonts w:ascii="Times New Roman" w:hAnsi="Times New Roman"/>
                          <w:sz w:val="20"/>
                        </w:rPr>
                      </w:pPr>
                      <w:r>
                        <w:rPr>
                          <w:rFonts w:ascii="Times New Roman" w:hAnsi="Times New Roman"/>
                          <w:sz w:val="20"/>
                        </w:rPr>
                        <w:t xml:space="preserve">Seer’s Board is confident that it has the right composition, skills, and experience to guide Seer forward and deliver long-term value for stockholders.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unanimously recommend that you vote today using the </w:t>
      </w:r>
      <w:r>
        <w:rPr>
          <w:rFonts w:ascii="Times New Roman" w:hAnsi="Times New Roman"/>
          <w:b/>
          <w:sz w:val="20"/>
        </w:rPr>
        <w:t>BLUE</w:t>
      </w:r>
      <w:r>
        <w:rPr>
          <w:rFonts w:ascii="Times New Roman" w:hAnsi="Times New Roman"/>
          <w:sz w:val="20"/>
        </w:rPr>
        <w:t xml:space="preserve"> proxy card “</w:t>
      </w:r>
      <w:r>
        <w:rPr>
          <w:rFonts w:ascii="Times New Roman" w:hAnsi="Times New Roman"/>
          <w:b/>
          <w:sz w:val="20"/>
        </w:rPr>
        <w:t>FOR</w:t>
      </w:r>
      <w:r>
        <w:rPr>
          <w:rFonts w:ascii="Times New Roman" w:hAnsi="Times New Roman"/>
          <w:sz w:val="20"/>
        </w:rPr>
        <w:t xml:space="preserve">” the election of each of Seer’s seven highly qualified director nominees: Omid Farokhzad, M.D., Meeta Gulyani, Robert Langer, Sc.D., Terrance McGuire, Dipchand (Deep) Nishar, Isaac Ro, and Nicolas Roelofs, Ph.D.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support of Seer.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rFonts w:ascii="Times New Roman" w:hAnsi="Times New Roman"/>
          <w:b/>
          <w:sz w:val="20"/>
        </w:rPr>
      </w:pPr>
      <w:r>
        <w:rPr>
          <w:rFonts w:ascii="Times New Roman" w:hAnsi="Times New Roman"/>
          <w:b/>
          <w:sz w:val="20"/>
        </w:rPr>
        <w:t xml:space="preserve">The Seer Board of Directors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569835" cy="1549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7569835" cy="1549400"/>
                    </a:xfrm>
                    <a:prstGeom prst="rect">
                      <a:avLst/>
                    </a:prstGeom>
                  </pic:spPr>
                </pic:pic>
              </a:graphicData>
            </a:graphic>
          </wp:inline>
        </w:drawing>
      </w:r>
      <w:r>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If you have any questions or require any assistance with voting your shares, please call: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2"/>
        <w:gridCol w:w="2654"/>
        <w:gridCol w:w="102"/>
        <w:gridCol w:w="2653"/>
        <w:gridCol w:w="102"/>
        <w:gridCol w:w="2654"/>
      </w:tblGrid>
      <w:tr>
        <w:trPr/>
        <w:tc>
          <w:tcPr>
            <w:tcW w:w="193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r>
      <w:tr>
        <w:trPr/>
        <w:tc>
          <w:tcPr>
            <w:tcW w:w="1938" w:type="dxa"/>
            <w:vMerge w:val="restart"/>
            <w:tcBorders/>
          </w:tcPr>
          <w:p>
            <w:pPr>
              <w:pStyle w:val="TableContents"/>
              <w:bidi w:val="0"/>
              <w:spacing w:before="0" w:after="283"/>
              <w:jc w:val="left"/>
              <w:rPr/>
            </w:pPr>
            <w:r>
              <w:rPr/>
              <w:drawing>
                <wp:inline distT="0" distB="0" distL="0" distR="0">
                  <wp:extent cx="991870" cy="27686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91870" cy="27686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left"/>
              <w:rPr/>
            </w:pPr>
            <w:r>
              <w:rPr/>
              <w:t>Innisfree M&amp;A Incorporated</w:t>
            </w:r>
          </w:p>
        </w:tc>
        <w:tc>
          <w:tcPr>
            <w:tcW w:w="102"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left"/>
              <w:rPr/>
            </w:pPr>
            <w:r>
              <w:rPr/>
              <w:t>Stockholders may call</w:t>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left"/>
              <w:rPr/>
            </w:pPr>
            <w:r>
              <w:rPr/>
              <w:t>Banks and Brokers may</w:t>
            </w:r>
          </w:p>
        </w:tc>
      </w:tr>
      <w:tr>
        <w:trPr/>
        <w:tc>
          <w:tcPr>
            <w:tcW w:w="193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left"/>
              <w:rPr/>
            </w:pPr>
            <w:r>
              <w:rPr/>
              <w:t>500 Fifth Avenue, 21st Floor</w:t>
            </w:r>
          </w:p>
        </w:tc>
        <w:tc>
          <w:tcPr>
            <w:tcW w:w="102"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left"/>
              <w:rPr/>
            </w:pPr>
            <w:r>
              <w:rPr/>
              <w:t>toll free: (877) 456-3524</w:t>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left"/>
              <w:rPr/>
            </w:pPr>
            <w:r>
              <w:rPr/>
              <w:t>call collect: (212) 750-5833</w:t>
            </w:r>
          </w:p>
        </w:tc>
      </w:tr>
      <w:tr>
        <w:trPr/>
        <w:tc>
          <w:tcPr>
            <w:tcW w:w="193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left"/>
              <w:rPr/>
            </w:pPr>
            <w:r>
              <w:rPr/>
              <w:t>New York, New York 10110</w:t>
            </w:r>
          </w:p>
        </w:tc>
        <w:tc>
          <w:tcPr>
            <w:tcW w:w="102" w:type="dxa"/>
            <w:tcBorders/>
            <w:vAlign w:val="bottom"/>
          </w:tcPr>
          <w:p>
            <w:pPr>
              <w:pStyle w:val="TableContents"/>
              <w:bidi w:val="0"/>
              <w:spacing w:before="0" w:after="283"/>
              <w:jc w:val="left"/>
              <w:rPr/>
            </w:pPr>
            <w:r>
              <w:rPr/>
              <w:t> </w:t>
            </w:r>
          </w:p>
        </w:tc>
        <w:tc>
          <w:tcPr>
            <w:tcW w:w="265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654"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communication.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1   Seer, Inc. Definitive Proxy Statement on Schedule 14A, filed with the U.S. Securities and Exchange Commission (June 3,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2   Seer, Inc., “Seer Reports Fourth Quarter and Full Year 2024 Financial Results and Provides Full Year 2025 Outlook,” press release (February 27, 2025), available at </w:t>
            </w:r>
            <w:r>
              <w:rPr>
                <w:rFonts w:ascii="Times New Roman" w:hAnsi="Times New Roman"/>
                <w:sz w:val="20"/>
                <w:u w:val="single"/>
              </w:rPr>
              <w:t>https://investor.seer.bio/news-releases/news-release-details/seer-reports-fourth-quarter-and-full-year-2024-financial-results</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3   Seer, Inc., “Seer Reports Fourth Quarter and Full Year 2025 Financial Results and Provides Full Year 2026 Outlook,” press release (February 26, 2026), available at </w:t>
            </w:r>
            <w:r>
              <w:rPr>
                <w:rFonts w:ascii="Times New Roman" w:hAnsi="Times New Roman"/>
                <w:sz w:val="20"/>
                <w:u w:val="single"/>
              </w:rPr>
              <w:t>https://investor.seer.bio/news-releases/news-release-details/seer-reports-fourth- quarter-and-full-year-2025-financial-results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4   Seer, Inc., “Seer Reports First Quarter 2026 Financial Results and Reaffirms Full Year 2026 Outlook,” press release (May 13, 2026), available at </w:t>
            </w:r>
            <w:r>
              <w:rPr>
                <w:rFonts w:ascii="Times New Roman" w:hAnsi="Times New Roman"/>
                <w:sz w:val="20"/>
                <w:u w:val="single"/>
              </w:rPr>
              <w:t>https://investor.seer.bio/news-releases/news-release-details/seer-reports-first-quarter-2026-financial-results-and-reaffirms</w:t>
            </w:r>
            <w:r>
              <w:rPr>
                <w:rFonts w:ascii="Times New Roman" w:hAnsi="Times New Roman"/>
                <w:sz w:val="20"/>
              </w:rPr>
              <w: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11   Seer, Inc. Q1 2026 Earnings Conference Call webcast (May 13, 2026), available at </w:t>
            </w:r>
            <w:r>
              <w:rPr>
                <w:rFonts w:ascii="Times New Roman" w:hAnsi="Times New Roman"/>
                <w:sz w:val="20"/>
                <w:u w:val="single"/>
              </w:rPr>
              <w:t>https://edge.media-server.com/mmc/p/krwrnxpf/</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12   Seer, Inc. Definitive Proxy Statement on Schedule 14A, filed with the U.S. Securities and Exchange Commission (June 3,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13   Seer, Inc., Definitive Proxy Statement on Schedule 14A, filed with the U.S. Securities and Exchange Commission (April 26, 2024), available at </w:t>
            </w:r>
            <w:r>
              <w:rPr>
                <w:rFonts w:ascii="Times New Roman" w:hAnsi="Times New Roman"/>
                <w:sz w:val="20"/>
                <w:u w:val="single"/>
              </w:rPr>
              <w:t>https://www.sec.gov/ Archives/edgar/data/1726445/000095017024049191/ seer_2023_def_14a.htm</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14   Seer, Inc., Definitive Proxy Statement on Schedule 14A, filed with the U.S. Securities and Exchange Commission (May 28, 2025), available at </w:t>
            </w:r>
            <w:r>
              <w:rPr>
                <w:rFonts w:ascii="Times New Roman" w:hAnsi="Times New Roman"/>
                <w:sz w:val="20"/>
                <w:u w:val="single"/>
              </w:rPr>
              <w:t>https://investor.seer.bio/ static-files/5ca65b92-ec10-4986-8ae9-04258d7ff3a2</w:t>
            </w:r>
            <w:r>
              <w:rPr>
                <w:rFonts w:ascii="Times New Roman" w:hAnsi="Times New Roman"/>
                <w:sz w:val="20"/>
              </w:rPr>
              <w:t>.</w:t>
            </w:r>
          </w:p>
        </w:tc>
      </w:tr>
    </w:tbl>
    <w:p>
      <w:pPr>
        <w:pStyle w:val="HorizontalLine"/>
        <w:pBdr>
          <w:bottom w:val="double" w:sz="6" w:space="0" w:color="808080"/>
        </w:pBdr>
        <w:bidi w:val="0"/>
        <w:jc w:val="left"/>
        <w:rPr/>
      </w:pPr>
      <w:r>
        <w:br w:type="page"/>
      </w:r>
      <w:r>
        <w:rPr/>
      </w:r>
    </w:p>
    <w:tbl>
      <w:tblPr>
        <w:tblW w:w="12445" w:type="dxa"/>
        <w:jc w:val="center"/>
        <w:tblInd w:w="0" w:type="dxa"/>
        <w:tblLayout w:type="fixed"/>
        <w:tblCellMar>
          <w:top w:w="0" w:type="dxa"/>
          <w:left w:w="0" w:type="dxa"/>
          <w:bottom w:w="0" w:type="dxa"/>
          <w:right w:w="0" w:type="dxa"/>
        </w:tblCellMar>
      </w:tblPr>
      <w:tblGrid>
        <w:gridCol w:w="5255"/>
        <w:gridCol w:w="120"/>
        <w:gridCol w:w="7070"/>
      </w:tblGrid>
      <w:tr>
        <w:trPr/>
        <w:tc>
          <w:tcPr>
            <w:tcW w:w="52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70" w:type="dxa"/>
            <w:tcBorders/>
            <w:vAlign w:val="center"/>
          </w:tcPr>
          <w:p>
            <w:pPr>
              <w:pStyle w:val="TableContents"/>
              <w:bidi w:val="0"/>
              <w:spacing w:before="0" w:after="283"/>
              <w:jc w:val="left"/>
              <w:rPr>
                <w:sz w:val="4"/>
                <w:szCs w:val="4"/>
              </w:rPr>
            </w:pPr>
            <w:r>
              <w:rPr>
                <w:sz w:val="4"/>
                <w:szCs w:val="4"/>
              </w:rPr>
            </w:r>
          </w:p>
        </w:tc>
      </w:tr>
      <w:tr>
        <w:trPr/>
        <w:tc>
          <w:tcPr>
            <w:tcW w:w="525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5   Seer, Inc., “Seer’s Proteograph Platform Enables Unprecedented 20,000-Sample Proteomics Study with Korea University to Develop AI-Driven Diagnostics for Cancers in Young Adults,” press release (June 1, 2025), available at </w:t>
            </w:r>
            <w:r>
              <w:rPr>
                <w:rFonts w:ascii="Times New Roman" w:hAnsi="Times New Roman"/>
                <w:sz w:val="20"/>
                <w:u w:val="single"/>
              </w:rPr>
              <w:t>https://investor. seer.bio/news-releases/news-release-details/seers-proteograph-platform-enables-unprecedented-20000-sample</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6   Seer, Inc. Q4 and FY 2025 Earnings Conference Call webcast (February 26, 2026), available at </w:t>
            </w:r>
            <w:r>
              <w:rPr>
                <w:rFonts w:ascii="Times New Roman" w:hAnsi="Times New Roman"/>
                <w:sz w:val="20"/>
                <w:u w:val="single"/>
              </w:rPr>
              <w:t>https://edge.media-server.com/mmc/p/7qayq4eh</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7   Seer, Inc., “Seer and Precision Health Research, Singapore Sign Collaboration to Provide Deep, Unbiased Proteomics on 10,000 PRECISE SG100K Samples,” press release (April 9, 2026), available at </w:t>
            </w:r>
            <w:r>
              <w:rPr>
                <w:rFonts w:ascii="Times New Roman" w:hAnsi="Times New Roman"/>
                <w:sz w:val="20"/>
                <w:u w:val="single"/>
              </w:rPr>
              <w:t>https://investor.seer.bio/news-releases/news- release-details/seer-and-precision-health-research-singapore-sign-collaboration</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8   Seer, Inc. Fourth Quarter and Full Year 2025 Earnings Conference Call webcast (February 26, 2026), available at </w:t>
            </w:r>
            <w:r>
              <w:rPr>
                <w:rFonts w:ascii="Times New Roman" w:hAnsi="Times New Roman"/>
                <w:sz w:val="20"/>
                <w:u w:val="single"/>
              </w:rPr>
              <w:t>https://edge.media-server.com/mmc/p/7qayq4eh/</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9   Seer, Inc., “Seer Reports Fourth Quarter 2024 and Full Year 2024 Financial Results and Provides Full Year 2025 Outlook,” press release (February 27, 2025), available at </w:t>
            </w:r>
            <w:r>
              <w:rPr>
                <w:rFonts w:ascii="Times New Roman" w:hAnsi="Times New Roman"/>
                <w:sz w:val="20"/>
                <w:u w:val="single"/>
              </w:rPr>
              <w:t>https://investor.seer.bio/news-releases/news-release-details/seer-reports-fourth-quarter-and-full-year-2024-financial-results</w:t>
            </w:r>
            <w:r>
              <w:rPr>
                <w:rFonts w:ascii="Times New Roman" w:hAnsi="Times New Roman"/>
                <w:sz w:val="20"/>
              </w:rPr>
              <w:t xml:space="preserve">; Seer, Inc., “Seer Reports Fourth Quarter 2025 and Full Year 2025 Financial Results and Provides Full Year 2026 Outlook,” press release (February 26, 2026), available at </w:t>
            </w:r>
            <w:r>
              <w:rPr>
                <w:rFonts w:ascii="Times New Roman" w:hAnsi="Times New Roman"/>
                <w:sz w:val="20"/>
                <w:u w:val="single"/>
              </w:rPr>
              <w:t>https://investor.seer.bio/news-releases/news-release-details/seer-reports-fourth-quarter-and-full-year-2025-financial-results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10   Seer, Inc., “Seer Reports First Quarter 2026 Financial Results and Reaffirms Full Year 2026 Outlook,” press release (May 13, 2026), available at </w:t>
            </w:r>
            <w:r>
              <w:rPr>
                <w:rFonts w:ascii="Times New Roman" w:hAnsi="Times New Roman"/>
                <w:sz w:val="20"/>
                <w:u w:val="single"/>
              </w:rPr>
              <w:t>https://investor.seer.bio/news-releases/news-release-details/seer-reports-first-quarter-2026-financial-results-and-reaffirms</w:t>
            </w:r>
            <w:r>
              <w:rPr>
                <w:rFonts w:ascii="Times New Roman" w:hAnsi="Times New Roman"/>
                <w:sz w:val="20"/>
              </w:rPr>
              <w:t>.</w:t>
            </w:r>
          </w:p>
        </w:tc>
        <w:tc>
          <w:tcPr>
            <w:tcW w:w="120" w:type="dxa"/>
            <w:tcBorders/>
            <w:vAlign w:val="bottom"/>
          </w:tcPr>
          <w:p>
            <w:pPr>
              <w:pStyle w:val="TableContents"/>
              <w:bidi w:val="0"/>
              <w:spacing w:before="0" w:after="283"/>
              <w:jc w:val="left"/>
              <w:rPr/>
            </w:pPr>
            <w:r>
              <w:rPr/>
              <w:t>  </w:t>
            </w:r>
          </w:p>
        </w:tc>
        <w:tc>
          <w:tcPr>
            <w:tcW w:w="7070"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15   Seer, Inc., Definitive Proxy Statement on Schedule 14A, filed with the U.S. Securities and Exchange Commission (May 28, 2025), available at </w:t>
            </w:r>
            <w:r>
              <w:rPr>
                <w:rFonts w:ascii="Times New Roman" w:hAnsi="Times New Roman"/>
                <w:sz w:val="20"/>
                <w:u w:val="single"/>
              </w:rPr>
              <w:t>https://investor.seer.bio/ static-files/5ca65b92-ec10-4986-8ae9-04258d7ff3a2</w:t>
            </w:r>
            <w:r>
              <w:rPr>
                <w:rFonts w:ascii="Times New Roman" w:hAnsi="Times New Roman"/>
                <w:sz w:val="20"/>
              </w:rPr>
              <w:t>.; Seer, Inc., Definitive Proxy Statement on Schedule 14A, filed with the U.S. Securities and Exchange Commission (June 3,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16   Acacia Research stock price declined from $3.11 at open on May 7, 2019 (the day after Mr. Rinaldini’s appointment as a director), to $2.22 at close on March 11, 2020 (the day that Mr. Rinaldini resigned as a director). Source: Yahoo! Finance historical trading data at </w:t>
            </w:r>
            <w:r>
              <w:rPr>
                <w:rFonts w:ascii="Times New Roman" w:hAnsi="Times New Roman"/>
                <w:sz w:val="20"/>
                <w:u w:val="single"/>
              </w:rPr>
              <w:t>https://finance.yahoo.com/quote/ACTG/ history/?period1=1557187200&amp;period2=1583971200</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17   The Radoff-JEC Group, “The Radoff-JEC Group Submits Improved Non-Binding Proposal to Acquire Seer, Inc.,” press release (April 24, 2026), available at </w:t>
            </w:r>
            <w:r>
              <w:rPr>
                <w:rFonts w:ascii="Times New Roman" w:hAnsi="Times New Roman"/>
                <w:sz w:val="20"/>
                <w:u w:val="single"/>
              </w:rPr>
              <w:t>https:// www.businesswire.com/news/home/20260424350279/en/The-Radoff-JEC-Group-Submits-Improved-Non-Binding-Proposal-to-Acquire-Seer-Inc</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18   Seer, Inc., “Seer Board of Directors Unanimously Rejects Revised Unsolicited Proposal from Radoff-JEC Group,” press release (April 27, 2026), available at </w:t>
            </w:r>
            <w:r>
              <w:rPr>
                <w:rFonts w:ascii="Times New Roman" w:hAnsi="Times New Roman"/>
                <w:sz w:val="20"/>
                <w:u w:val="single"/>
              </w:rPr>
              <w:t>https:// investor.seer.bio/news-releases/news-release-details/seer-board-directors-unanimously-rejects-revised-unsolicited</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19   Implied offer equity value based on fully diluted shares outstanding as of May 14, 2026.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20   Seer, Inc., “Seer Reports First Quarter 2026 Financial Results and Reaffirms Full Year 2026 Outlook,” press release (May 13, 2026), available at </w:t>
            </w:r>
            <w:r>
              <w:rPr>
                <w:rFonts w:ascii="Times New Roman" w:hAnsi="Times New Roman"/>
                <w:sz w:val="20"/>
                <w:u w:val="single"/>
              </w:rPr>
              <w:t>https://investor.seer.bio/news-releases/news-release-details/seer-reports-first-quarter-2026-financial-results-and-reaffirms</w:t>
            </w: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1058545" cy="361315"/>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1058545" cy="36131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4.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4979</Words>
  <Characters>30406</Characters>
  <CharactersWithSpaces>35498</CharactersWithSpaces>
  <Paragraphs>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